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0FCEF2" w14:textId="77777777" w:rsidR="00167BDB" w:rsidRDefault="00167BDB" w:rsidP="00167BDB">
      <w:pPr>
        <w:jc w:val="center"/>
        <w:rPr>
          <w:b/>
          <w:bCs/>
          <w:sz w:val="32"/>
          <w:szCs w:val="32"/>
        </w:rPr>
      </w:pPr>
      <w:r>
        <w:rPr>
          <w:b/>
          <w:bCs/>
          <w:noProof/>
          <w:sz w:val="30"/>
          <w:szCs w:val="30"/>
          <w:lang w:val="en-US"/>
        </w:rPr>
        <w:drawing>
          <wp:inline distT="114300" distB="114300" distL="114300" distR="114300" wp14:anchorId="45B48AF6" wp14:editId="3A43DFE1">
            <wp:extent cx="1809750" cy="723900"/>
            <wp:effectExtent l="0" t="0" r="0" b="0"/>
            <wp:docPr id="1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F830343" w14:textId="77777777" w:rsidR="00167BDB" w:rsidRDefault="00167BDB" w:rsidP="00167BDB">
      <w:pPr>
        <w:jc w:val="center"/>
        <w:rPr>
          <w:b/>
          <w:bCs/>
          <w:sz w:val="32"/>
          <w:szCs w:val="32"/>
        </w:rPr>
      </w:pPr>
    </w:p>
    <w:p w14:paraId="20210A2B" w14:textId="77777777" w:rsidR="00167BDB" w:rsidRPr="00CA6468" w:rsidRDefault="00167BDB" w:rsidP="00167BDB">
      <w:pPr>
        <w:jc w:val="center"/>
        <w:rPr>
          <w:b/>
          <w:bCs/>
          <w:sz w:val="32"/>
          <w:szCs w:val="32"/>
          <w:lang w:val="en-IN"/>
        </w:rPr>
      </w:pPr>
      <w:r>
        <w:rPr>
          <w:b/>
          <w:bCs/>
          <w:sz w:val="32"/>
          <w:szCs w:val="32"/>
        </w:rPr>
        <w:t xml:space="preserve">Module Code: </w:t>
      </w:r>
      <w:r w:rsidRPr="00CA6468">
        <w:rPr>
          <w:b/>
          <w:bCs/>
          <w:sz w:val="32"/>
          <w:szCs w:val="32"/>
          <w:lang w:val="en-IN"/>
        </w:rPr>
        <w:t>LCMB7024</w:t>
      </w:r>
    </w:p>
    <w:p w14:paraId="2E8FCB85" w14:textId="77777777" w:rsidR="00167BDB" w:rsidRDefault="00167BDB" w:rsidP="00167BDB">
      <w:pPr>
        <w:jc w:val="center"/>
        <w:rPr>
          <w:b/>
          <w:bCs/>
          <w:sz w:val="32"/>
          <w:szCs w:val="32"/>
        </w:rPr>
      </w:pPr>
    </w:p>
    <w:p w14:paraId="5D7F741F" w14:textId="77777777" w:rsidR="00167BDB" w:rsidRDefault="00167BDB" w:rsidP="00167BDB">
      <w:pPr>
        <w:spacing w:line="360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Module Name: Marketing Management</w:t>
      </w:r>
    </w:p>
    <w:p w14:paraId="7D96BC0C" w14:textId="77777777" w:rsidR="00167BDB" w:rsidRDefault="00167BDB" w:rsidP="00167BDB">
      <w:pPr>
        <w:spacing w:line="360" w:lineRule="auto"/>
        <w:jc w:val="center"/>
        <w:rPr>
          <w:b/>
          <w:bCs/>
          <w:sz w:val="32"/>
          <w:szCs w:val="32"/>
        </w:rPr>
      </w:pPr>
    </w:p>
    <w:p w14:paraId="1AB9230E" w14:textId="77777777" w:rsidR="00167BDB" w:rsidRDefault="00167BDB" w:rsidP="00167BDB">
      <w:pPr>
        <w:spacing w:line="360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Assessment :</w:t>
      </w:r>
      <w:r>
        <w:rPr>
          <w:b/>
          <w:bCs/>
          <w:sz w:val="32"/>
          <w:szCs w:val="32"/>
        </w:rPr>
        <w:t xml:space="preserve"> Business</w:t>
      </w:r>
      <w:bookmarkStart w:id="0" w:name="_GoBack"/>
      <w:bookmarkEnd w:id="0"/>
      <w:r>
        <w:rPr>
          <w:b/>
          <w:bCs/>
          <w:sz w:val="32"/>
          <w:szCs w:val="32"/>
        </w:rPr>
        <w:t xml:space="preserve"> Poster </w:t>
      </w:r>
      <w:r>
        <w:rPr>
          <w:b/>
          <w:bCs/>
          <w:sz w:val="32"/>
          <w:szCs w:val="32"/>
        </w:rPr>
        <w:t xml:space="preserve"> </w:t>
      </w:r>
    </w:p>
    <w:p w14:paraId="4B828BF4" w14:textId="77777777" w:rsidR="00167BDB" w:rsidRDefault="00167BDB" w:rsidP="00167BDB">
      <w:pPr>
        <w:spacing w:line="360" w:lineRule="auto"/>
        <w:jc w:val="center"/>
        <w:rPr>
          <w:b/>
          <w:bCs/>
          <w:sz w:val="32"/>
          <w:szCs w:val="32"/>
        </w:rPr>
      </w:pPr>
    </w:p>
    <w:p w14:paraId="6A3FEE7F" w14:textId="77777777" w:rsidR="00167BDB" w:rsidRDefault="00167BDB" w:rsidP="00167BDB">
      <w:pPr>
        <w:jc w:val="center"/>
        <w:rPr>
          <w:b/>
          <w:sz w:val="32"/>
          <w:szCs w:val="32"/>
        </w:rPr>
      </w:pPr>
      <w:r w:rsidRPr="00901613">
        <w:rPr>
          <w:b/>
          <w:sz w:val="32"/>
          <w:szCs w:val="32"/>
        </w:rPr>
        <w:t>Student Name</w:t>
      </w:r>
      <w:r w:rsidRPr="00632BFB">
        <w:rPr>
          <w:b/>
          <w:sz w:val="32"/>
          <w:szCs w:val="32"/>
        </w:rPr>
        <w:t>: Shivam Vijaykumar Patel</w:t>
      </w:r>
    </w:p>
    <w:p w14:paraId="31AD7CB1" w14:textId="77777777" w:rsidR="00167BDB" w:rsidRPr="00632BFB" w:rsidRDefault="00167BDB" w:rsidP="00167BDB">
      <w:pPr>
        <w:jc w:val="center"/>
        <w:rPr>
          <w:b/>
          <w:sz w:val="32"/>
          <w:szCs w:val="32"/>
        </w:rPr>
      </w:pPr>
    </w:p>
    <w:p w14:paraId="6795641F" w14:textId="77777777" w:rsidR="00167BDB" w:rsidRDefault="00167BDB" w:rsidP="00167BDB">
      <w:pPr>
        <w:jc w:val="center"/>
        <w:rPr>
          <w:b/>
          <w:sz w:val="32"/>
          <w:szCs w:val="32"/>
        </w:rPr>
      </w:pPr>
      <w:r w:rsidRPr="00632BFB">
        <w:rPr>
          <w:b/>
          <w:sz w:val="32"/>
          <w:szCs w:val="32"/>
        </w:rPr>
        <w:t>Student ID: 2439811</w:t>
      </w:r>
    </w:p>
    <w:p w14:paraId="692EE096" w14:textId="77777777" w:rsidR="00167BDB" w:rsidRDefault="00167BDB" w:rsidP="00167BDB">
      <w:pPr>
        <w:jc w:val="center"/>
        <w:rPr>
          <w:b/>
          <w:sz w:val="32"/>
          <w:szCs w:val="32"/>
        </w:rPr>
      </w:pPr>
    </w:p>
    <w:p w14:paraId="466AC6D7" w14:textId="77777777" w:rsidR="00167BDB" w:rsidRDefault="00167BDB" w:rsidP="00167BDB">
      <w:pPr>
        <w:spacing w:line="360" w:lineRule="auto"/>
        <w:jc w:val="center"/>
        <w:rPr>
          <w:b/>
          <w:color w:val="1D2125"/>
          <w:sz w:val="32"/>
          <w:szCs w:val="32"/>
          <w:shd w:val="clear" w:color="auto" w:fill="FFFFFF"/>
        </w:rPr>
      </w:pPr>
      <w:r w:rsidRPr="00901613">
        <w:rPr>
          <w:rStyle w:val="Strong"/>
          <w:sz w:val="32"/>
          <w:szCs w:val="32"/>
        </w:rPr>
        <w:t>Lecturer Name</w:t>
      </w:r>
      <w:r w:rsidRPr="00901613">
        <w:rPr>
          <w:rStyle w:val="Strong"/>
        </w:rPr>
        <w:t>:</w:t>
      </w:r>
      <w:r w:rsidRPr="00901613">
        <w:t xml:space="preserve"> </w:t>
      </w:r>
      <w:r w:rsidRPr="00CA6468">
        <w:rPr>
          <w:b/>
          <w:color w:val="1D2125"/>
          <w:sz w:val="32"/>
          <w:szCs w:val="32"/>
          <w:shd w:val="clear" w:color="auto" w:fill="FFFFFF"/>
        </w:rPr>
        <w:t xml:space="preserve">Dr Laila </w:t>
      </w:r>
      <w:proofErr w:type="spellStart"/>
      <w:r w:rsidRPr="00CA6468">
        <w:rPr>
          <w:b/>
          <w:color w:val="1D2125"/>
          <w:sz w:val="32"/>
          <w:szCs w:val="32"/>
          <w:shd w:val="clear" w:color="auto" w:fill="FFFFFF"/>
        </w:rPr>
        <w:t>Maazouz</w:t>
      </w:r>
      <w:proofErr w:type="spellEnd"/>
    </w:p>
    <w:p w14:paraId="095AF29C" w14:textId="77777777" w:rsidR="00167BDB" w:rsidRDefault="00167BDB" w:rsidP="00167BDB">
      <w:pPr>
        <w:spacing w:line="360" w:lineRule="auto"/>
        <w:jc w:val="center"/>
        <w:rPr>
          <w:b/>
          <w:color w:val="1D2125"/>
          <w:sz w:val="32"/>
          <w:szCs w:val="32"/>
          <w:shd w:val="clear" w:color="auto" w:fill="FFFFFF"/>
        </w:rPr>
      </w:pPr>
    </w:p>
    <w:p w14:paraId="011A0F9C" w14:textId="77777777" w:rsidR="00167BDB" w:rsidRPr="00CA6468" w:rsidRDefault="00167BDB" w:rsidP="00167BDB">
      <w:pPr>
        <w:spacing w:line="360" w:lineRule="auto"/>
        <w:jc w:val="center"/>
        <w:rPr>
          <w:b/>
          <w:bCs/>
          <w:sz w:val="32"/>
          <w:szCs w:val="32"/>
        </w:rPr>
      </w:pPr>
      <w:r w:rsidRPr="00901613">
        <w:rPr>
          <w:rStyle w:val="Strong"/>
          <w:sz w:val="32"/>
          <w:szCs w:val="32"/>
        </w:rPr>
        <w:t>Lecturer Name</w:t>
      </w:r>
      <w:r w:rsidRPr="00901613">
        <w:rPr>
          <w:rStyle w:val="Strong"/>
        </w:rPr>
        <w:t>:</w:t>
      </w:r>
      <w:r w:rsidRPr="00901613">
        <w:t xml:space="preserve"> </w:t>
      </w:r>
      <w:r w:rsidRPr="00CA6468">
        <w:rPr>
          <w:b/>
          <w:color w:val="1D2125"/>
          <w:sz w:val="32"/>
          <w:szCs w:val="32"/>
          <w:shd w:val="clear" w:color="auto" w:fill="FFFFFF"/>
        </w:rPr>
        <w:t xml:space="preserve">Dr Gladius David </w:t>
      </w:r>
      <w:proofErr w:type="spellStart"/>
      <w:r w:rsidRPr="00CA6468">
        <w:rPr>
          <w:b/>
          <w:color w:val="1D2125"/>
          <w:sz w:val="32"/>
          <w:szCs w:val="32"/>
          <w:shd w:val="clear" w:color="auto" w:fill="FFFFFF"/>
        </w:rPr>
        <w:t>Kulothungan</w:t>
      </w:r>
      <w:proofErr w:type="spellEnd"/>
    </w:p>
    <w:p w14:paraId="5FD58B58" w14:textId="77777777" w:rsidR="00167BDB" w:rsidRDefault="00167BDB" w:rsidP="00167BDB">
      <w:pPr>
        <w:spacing w:line="360" w:lineRule="auto"/>
        <w:jc w:val="center"/>
        <w:rPr>
          <w:b/>
          <w:bCs/>
          <w:sz w:val="32"/>
          <w:szCs w:val="32"/>
        </w:rPr>
      </w:pPr>
    </w:p>
    <w:p w14:paraId="1E4F873D" w14:textId="77777777" w:rsidR="00167BDB" w:rsidRDefault="00167BDB" w:rsidP="00167BDB">
      <w:pPr>
        <w:pStyle w:val="Heading1"/>
        <w:rPr>
          <w:rFonts w:eastAsia="Arial"/>
        </w:rPr>
      </w:pPr>
      <w:bookmarkStart w:id="1" w:name="_Toc214037782"/>
      <w:r>
        <w:rPr>
          <w:rFonts w:eastAsia="Arial"/>
        </w:rPr>
        <w:lastRenderedPageBreak/>
        <w:t>Appendices</w:t>
      </w:r>
      <w:bookmarkEnd w:id="1"/>
    </w:p>
    <w:p w14:paraId="6C03ED0C" w14:textId="77777777" w:rsidR="00167BDB" w:rsidRDefault="00167BDB" w:rsidP="00167BDB">
      <w:pPr>
        <w:pStyle w:val="Heading2"/>
        <w:rPr>
          <w:rFonts w:eastAsia="Arial"/>
        </w:rPr>
      </w:pPr>
      <w:bookmarkStart w:id="2" w:name="_Toc214037783"/>
      <w:r>
        <w:rPr>
          <w:rFonts w:eastAsia="Arial"/>
        </w:rPr>
        <w:t xml:space="preserve">Appendix 1: </w:t>
      </w:r>
      <w:proofErr w:type="spellStart"/>
      <w:r>
        <w:rPr>
          <w:rFonts w:eastAsia="Arial"/>
        </w:rPr>
        <w:t>NutriFuel</w:t>
      </w:r>
      <w:proofErr w:type="spellEnd"/>
      <w:r>
        <w:rPr>
          <w:rFonts w:eastAsia="Arial"/>
        </w:rPr>
        <w:t xml:space="preserve"> Poster</w:t>
      </w:r>
      <w:bookmarkEnd w:id="2"/>
    </w:p>
    <w:p w14:paraId="6DA9E6E8" w14:textId="77777777" w:rsidR="00E675DE" w:rsidRDefault="00167BDB">
      <w:r w:rsidRPr="00167BDB">
        <w:drawing>
          <wp:inline distT="0" distB="0" distL="0" distR="0" wp14:anchorId="005E51DD" wp14:editId="3D774ECC">
            <wp:extent cx="5731510" cy="8108315"/>
            <wp:effectExtent l="0" t="0" r="2540" b="698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8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0C54BC" w14:textId="77777777" w:rsidR="00167BDB" w:rsidRDefault="00167BDB" w:rsidP="00167BDB">
      <w:pPr>
        <w:pStyle w:val="Heading1"/>
        <w:rPr>
          <w:rFonts w:eastAsia="Arial"/>
        </w:rPr>
      </w:pPr>
      <w:bookmarkStart w:id="3" w:name="_Toc214037781"/>
      <w:r>
        <w:lastRenderedPageBreak/>
        <w:t>References</w:t>
      </w:r>
      <w:bookmarkEnd w:id="3"/>
      <w:r>
        <w:t xml:space="preserve"> </w:t>
      </w:r>
    </w:p>
    <w:p w14:paraId="361B6CEA" w14:textId="77777777" w:rsidR="00167BDB" w:rsidRDefault="00167BDB" w:rsidP="00167BDB">
      <w:pPr>
        <w:spacing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Ajibo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C., Van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Griethuysen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A.,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Visram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S. and Lake, A.A. (2024). Consumption of energy drinks by children and young people: A systematic review examining evidence of physical effects and consumer attitudes.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Public Health</w:t>
      </w:r>
      <w:r>
        <w:rPr>
          <w:rFonts w:ascii="Times New Roman" w:eastAsia="Times New Roman" w:hAnsi="Times New Roman" w:cs="Times New Roman"/>
          <w:sz w:val="24"/>
          <w:szCs w:val="24"/>
        </w:rPr>
        <w:t>, [online] 227, pp.274–281. Doi: https://doi.org/10.1016/j.puhe.2023.08.024.</w:t>
      </w:r>
    </w:p>
    <w:p w14:paraId="552E24D3" w14:textId="77777777" w:rsidR="00167BDB" w:rsidRDefault="00167BDB" w:rsidP="00167BDB">
      <w:pPr>
        <w:spacing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Ameyibor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L.E.K.,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Anabila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P. and Saini, Y.K. (2021). Brand positioning and business performance of alcoholic beverage firms in an emerging market context: the mediation effect of brand equity.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International Journal of Wine Business Research</w:t>
      </w:r>
      <w:r>
        <w:rPr>
          <w:rFonts w:ascii="Times New Roman" w:eastAsia="Times New Roman" w:hAnsi="Times New Roman" w:cs="Times New Roman"/>
          <w:sz w:val="24"/>
          <w:szCs w:val="24"/>
        </w:rPr>
        <w:t>, ahead-of-print(ahead-of-print). Doi: https://doi.org/10.1108/ijwbr-11-2020-0056.</w:t>
      </w:r>
    </w:p>
    <w:p w14:paraId="664787FE" w14:textId="77777777" w:rsidR="00167BDB" w:rsidRDefault="00167BDB" w:rsidP="00167BDB">
      <w:pPr>
        <w:spacing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Ariffin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H., Chong, X.Q., Chong, P.N. and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Okechukwu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P.N. (2022). Is the consumption of energy drinks beneficial or detrimental to health: a comprehensive review?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Bulletin of the National Research Centre</w:t>
      </w:r>
      <w:r>
        <w:rPr>
          <w:rFonts w:ascii="Times New Roman" w:eastAsia="Times New Roman" w:hAnsi="Times New Roman" w:cs="Times New Roman"/>
          <w:sz w:val="24"/>
          <w:szCs w:val="24"/>
        </w:rPr>
        <w:t>, 46(1). Doi: https://doi.org/10.1186/s42269-022-00829-6.</w:t>
      </w:r>
    </w:p>
    <w:p w14:paraId="61391734" w14:textId="77777777" w:rsidR="00167BDB" w:rsidRDefault="00167BDB" w:rsidP="00167BDB">
      <w:pPr>
        <w:spacing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Baker, M.T., Lu, P.,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Parrella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J.A. and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Leggette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H.R. (2022). Consumer Acceptance toward Functional Foods: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Scoping Review.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International Journal of Environmental Research and Public Health</w:t>
      </w:r>
      <w:r>
        <w:rPr>
          <w:rFonts w:ascii="Times New Roman" w:eastAsia="Times New Roman" w:hAnsi="Times New Roman" w:cs="Times New Roman"/>
          <w:sz w:val="24"/>
          <w:szCs w:val="24"/>
        </w:rPr>
        <w:t>, [online] 19(3), p.1217. Doi: https://doi.org/10.3390/ijerph19031217.</w:t>
      </w:r>
    </w:p>
    <w:p w14:paraId="663C105D" w14:textId="77777777" w:rsidR="00167BDB" w:rsidRDefault="00167BDB" w:rsidP="00167BDB">
      <w:pPr>
        <w:spacing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Beeson, J. (2024).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Starbucks to launch a range of protein drinks with coffee</w:t>
      </w:r>
      <w:r>
        <w:rPr>
          <w:rFonts w:ascii="Times New Roman" w:eastAsia="Times New Roman" w:hAnsi="Times New Roman" w:cs="Times New Roman"/>
          <w:sz w:val="24"/>
          <w:szCs w:val="24"/>
        </w:rPr>
        <w:t>. [online] The Grocer. Available at: https://www.thegrocer.co.uk/news/starbucks-adds-trio-of-rtd-protein-drinks-with-coffee/692123.article [Accessed 4 Nov. 2025].</w:t>
      </w:r>
    </w:p>
    <w:p w14:paraId="294C9DE6" w14:textId="77777777" w:rsidR="00167BDB" w:rsidRDefault="00167BDB" w:rsidP="00167BDB">
      <w:pPr>
        <w:spacing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Carolina, V. and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Wirawan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C. (2021). Marketing Strategy Proposal for Fresh Beverage Product.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Journal of Management and Energy Business</w:t>
      </w:r>
      <w:r>
        <w:rPr>
          <w:rFonts w:ascii="Times New Roman" w:eastAsia="Times New Roman" w:hAnsi="Times New Roman" w:cs="Times New Roman"/>
          <w:sz w:val="24"/>
          <w:szCs w:val="24"/>
        </w:rPr>
        <w:t>, 1(1), pp.35–50. Doi: https://doi.org/10.54595/jmeb.v1i1.10.</w:t>
      </w:r>
    </w:p>
    <w:p w14:paraId="7B52396C" w14:textId="77777777" w:rsidR="00167BDB" w:rsidRDefault="00167BDB" w:rsidP="00167BDB">
      <w:pPr>
        <w:spacing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Cullumbine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L. (2024).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Next Generation of Coffee Drinkers Seek Functional Blends to Support Wellbeing - Retail Focus Magazine - Retail Design</w:t>
      </w:r>
      <w:r>
        <w:rPr>
          <w:rFonts w:ascii="Times New Roman" w:eastAsia="Times New Roman" w:hAnsi="Times New Roman" w:cs="Times New Roman"/>
          <w:sz w:val="24"/>
          <w:szCs w:val="24"/>
        </w:rPr>
        <w:t>. [online] Retail Focus Magazine - Retail Design. Available at: https://retail-focus.co.uk/next-generation-of-coffee-drinkers-seek-functional-blends-to-support-wellbeing/ [Accessed 4 Nov. 2025].</w:t>
      </w:r>
    </w:p>
    <w:p w14:paraId="1C71DF45" w14:textId="77777777" w:rsidR="00167BDB" w:rsidRDefault="00167BDB" w:rsidP="00167BDB">
      <w:pPr>
        <w:spacing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Dickson, A.,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Gehrsitz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M. and Kemp, J. (2023). Does a Spoonful of Sugar Levy Help the Calories Go Down? An Analysis of the UK Soft Drinks Industry Levy.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The Review of Economics and Statistics</w:t>
      </w:r>
      <w:r>
        <w:rPr>
          <w:rFonts w:ascii="Times New Roman" w:eastAsia="Times New Roman" w:hAnsi="Times New Roman" w:cs="Times New Roman"/>
          <w:sz w:val="24"/>
          <w:szCs w:val="24"/>
        </w:rPr>
        <w:t>, 15(4), pp.1–29. Doi: https://doi.org/10.1162/rest_a_01345.</w:t>
      </w:r>
    </w:p>
    <w:p w14:paraId="578F176E" w14:textId="77777777" w:rsidR="00167BDB" w:rsidRDefault="00167BDB" w:rsidP="00167BDB">
      <w:pPr>
        <w:spacing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Fernandes, J. (2025).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How many Brits are consuming energy drinks, protein shakes, and probiotic beverages regularly?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[online] Yougov.com. Available at: https://yougov.com/en-gb/articles/51615-how-many-brits-are-consuming-energy-drinks-protein-shakes-and-probiotic-beverages-regularly? [Accessed 4 Nov. 2025].</w:t>
      </w:r>
    </w:p>
    <w:p w14:paraId="2782CE19" w14:textId="77777777" w:rsidR="00167BDB" w:rsidRDefault="00167BDB" w:rsidP="00167BDB">
      <w:pPr>
        <w:spacing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Grand View Research (2023).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UK Ready </w:t>
      </w:r>
      <w:proofErr w:type="gram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To</w:t>
      </w:r>
      <w:proofErr w:type="gram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Drink Cocktails Market | Industry Report, 2030</w:t>
      </w:r>
      <w:r>
        <w:rPr>
          <w:rFonts w:ascii="Times New Roman" w:eastAsia="Times New Roman" w:hAnsi="Times New Roman" w:cs="Times New Roman"/>
          <w:sz w:val="24"/>
          <w:szCs w:val="24"/>
        </w:rPr>
        <w:t>. [online] www.grandviewresearch.com. Available at: https://www.grandviewresearch.com/industry-analysis/uk-ready-to-drink-cocktails-market-report [Accessed 4 Nov. 2025].</w:t>
      </w:r>
    </w:p>
    <w:p w14:paraId="60296794" w14:textId="77777777" w:rsidR="00167BDB" w:rsidRDefault="00167BDB" w:rsidP="00167BDB">
      <w:pPr>
        <w:spacing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Grocery Trader (2025).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Energising sales – Sports &amp; energy products are growing, as consumers seek refreshing and healthy options | Grocery Trader</w:t>
      </w:r>
      <w:r>
        <w:rPr>
          <w:rFonts w:ascii="Times New Roman" w:eastAsia="Times New Roman" w:hAnsi="Times New Roman" w:cs="Times New Roman"/>
          <w:sz w:val="24"/>
          <w:szCs w:val="24"/>
        </w:rPr>
        <w:t>. [online] Grocery Trader | Grocer News from Grocery Trader - Latest news and information for the multiple grocery trade in the UK. Available at: https://grocerytrader.co.uk/energising-sales-sports-energy-products-are-growing-as-consumers-seek-refreshing-and-healthy-options/ [Accessed 4 Nov. 2025].</w:t>
      </w:r>
    </w:p>
    <w:p w14:paraId="2F777215" w14:textId="77777777" w:rsidR="00167BDB" w:rsidRDefault="00167BDB" w:rsidP="00167BDB">
      <w:pPr>
        <w:pStyle w:val="NormalWeb"/>
        <w:spacing w:before="0" w:beforeAutospacing="0" w:after="240" w:afterAutospacing="0" w:line="360" w:lineRule="auto"/>
        <w:jc w:val="both"/>
      </w:pPr>
      <w:r>
        <w:t xml:space="preserve">Kotler, P. and Keller, K.L. (2016). </w:t>
      </w:r>
      <w:r>
        <w:rPr>
          <w:i/>
          <w:iCs/>
        </w:rPr>
        <w:t>Marketing Management</w:t>
      </w:r>
      <w:r>
        <w:t>. 15th ed. Harlow: Pearson Education.</w:t>
      </w:r>
    </w:p>
    <w:p w14:paraId="146056E4" w14:textId="77777777" w:rsidR="00167BDB" w:rsidRDefault="00167BDB" w:rsidP="00167BDB">
      <w:pPr>
        <w:spacing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Kowalska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A.,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Leoniak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K. and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Sołowiej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B.G. (2024). Consumers’ attitudes and intentions toward functional beverages: a lesson for producers and retailers.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Decision</w:t>
      </w:r>
      <w:r>
        <w:rPr>
          <w:rFonts w:ascii="Times New Roman" w:eastAsia="Times New Roman" w:hAnsi="Times New Roman" w:cs="Times New Roman"/>
          <w:sz w:val="24"/>
          <w:szCs w:val="24"/>
        </w:rPr>
        <w:t>, 51(3), pp.321–337. Doi: https://doi.org/10.1007/s40622-024-00395-y.</w:t>
      </w:r>
    </w:p>
    <w:p w14:paraId="4EF21256" w14:textId="77777777" w:rsidR="00167BDB" w:rsidRDefault="00167BDB" w:rsidP="00167BDB">
      <w:pPr>
        <w:spacing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Nuss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T., Morley, B., Scully, M. and Wakefield, M. (2021). Energy drink consumption among Australian adolescents is associated with a cluster of unhealthy dietary behaviours and short sleep duration.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Nutrition Journal</w:t>
      </w:r>
      <w:r>
        <w:rPr>
          <w:rFonts w:ascii="Times New Roman" w:eastAsia="Times New Roman" w:hAnsi="Times New Roman" w:cs="Times New Roman"/>
          <w:sz w:val="24"/>
          <w:szCs w:val="24"/>
        </w:rPr>
        <w:t>, [online] 20(1). Doi: https://doi.org/10.1186/s12937-021-00719-z.</w:t>
      </w:r>
    </w:p>
    <w:p w14:paraId="37B65F35" w14:textId="77777777" w:rsidR="00167BDB" w:rsidRDefault="00167BDB" w:rsidP="00167BDB">
      <w:pPr>
        <w:spacing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Qualityfoodawards.com (2025).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Gen Z drives 54% surge in UK functional drinks as health replaces caffeine and alcohol</w:t>
      </w:r>
      <w:r>
        <w:rPr>
          <w:rFonts w:ascii="Times New Roman" w:eastAsia="Times New Roman" w:hAnsi="Times New Roman" w:cs="Times New Roman"/>
          <w:sz w:val="24"/>
          <w:szCs w:val="24"/>
        </w:rPr>
        <w:t>. [online] Qualityfoodawards.com. Available at: https://uk.qualityfoodawards.com/QFA2025/en/node/newsarticle-gen-z-drives-54-surge-in-uk-functional-drinks-as-health-replaces-caffeine-and-alcohol?type=NewsArticle [Accessed 4 Nov. 2025].</w:t>
      </w:r>
    </w:p>
    <w:p w14:paraId="6A6F58A8" w14:textId="77777777" w:rsidR="00167BDB" w:rsidRDefault="00167BDB" w:rsidP="00167BDB">
      <w:pPr>
        <w:pStyle w:val="NormalWeb"/>
        <w:spacing w:before="0" w:beforeAutospacing="0" w:after="240" w:afterAutospacing="0" w:line="360" w:lineRule="auto"/>
        <w:jc w:val="both"/>
      </w:pPr>
      <w:proofErr w:type="spellStart"/>
      <w:r>
        <w:t>Samanta</w:t>
      </w:r>
      <w:proofErr w:type="spellEnd"/>
      <w:r>
        <w:t xml:space="preserve">, I. and </w:t>
      </w:r>
      <w:proofErr w:type="spellStart"/>
      <w:r>
        <w:t>Arkoudis</w:t>
      </w:r>
      <w:proofErr w:type="spellEnd"/>
      <w:r>
        <w:t xml:space="preserve">, N. (2024). The Impact of Modern Lifestyles on Eating Habits and Food Shopping Behaviours: A Case Study of Omnichannel Retail Consumers Aged 25–40 in Athens. </w:t>
      </w:r>
      <w:r>
        <w:rPr>
          <w:i/>
          <w:iCs/>
        </w:rPr>
        <w:t>Sustainability</w:t>
      </w:r>
      <w:r>
        <w:t xml:space="preserve">, [online] 16(17). </w:t>
      </w:r>
      <w:proofErr w:type="spellStart"/>
      <w:proofErr w:type="gramStart"/>
      <w:r>
        <w:t>doi:https</w:t>
      </w:r>
      <w:proofErr w:type="spellEnd"/>
      <w:r>
        <w:t>://doi.org/10.3390/su16177521</w:t>
      </w:r>
      <w:proofErr w:type="gramEnd"/>
      <w:r>
        <w:t>.</w:t>
      </w:r>
    </w:p>
    <w:p w14:paraId="4CA90E28" w14:textId="77777777" w:rsidR="00167BDB" w:rsidRDefault="00167BDB" w:rsidP="00167BDB">
      <w:pPr>
        <w:pStyle w:val="NormalWeb"/>
        <w:spacing w:before="0" w:beforeAutospacing="0" w:after="240" w:afterAutospacing="0" w:line="360" w:lineRule="auto"/>
        <w:jc w:val="both"/>
      </w:pPr>
      <w:r>
        <w:t xml:space="preserve">Sharp, B., Dawes, J. and Victory, K. (2024). The market-based Assets Theory of Brand Competition. </w:t>
      </w:r>
      <w:r>
        <w:rPr>
          <w:i/>
          <w:iCs/>
        </w:rPr>
        <w:t>Journal of Retailing and Consumer Services</w:t>
      </w:r>
      <w:r>
        <w:t xml:space="preserve">, [online] 76(5). </w:t>
      </w:r>
      <w:proofErr w:type="spellStart"/>
      <w:proofErr w:type="gramStart"/>
      <w:r>
        <w:t>doi:https</w:t>
      </w:r>
      <w:proofErr w:type="spellEnd"/>
      <w:r>
        <w:t>://doi.org/10.1016/j.jretconser.2023.103566</w:t>
      </w:r>
      <w:proofErr w:type="gramEnd"/>
      <w:r>
        <w:t>.</w:t>
      </w:r>
    </w:p>
    <w:p w14:paraId="0C90E84E" w14:textId="77777777" w:rsidR="00167BDB" w:rsidRDefault="00167BDB" w:rsidP="00167BDB">
      <w:pPr>
        <w:spacing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Statista (2024).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Health and wellness food trends in the UK</w:t>
      </w:r>
      <w:r>
        <w:rPr>
          <w:rFonts w:ascii="Times New Roman" w:eastAsia="Times New Roman" w:hAnsi="Times New Roman" w:cs="Times New Roman"/>
          <w:sz w:val="24"/>
          <w:szCs w:val="24"/>
        </w:rPr>
        <w:t>. [online] Statista. Available at: https://www.statista.com/topics/6843/health-and-wellness-food-trends-in-the-uk/ [Accessed 4 Nov. 2025].</w:t>
      </w:r>
    </w:p>
    <w:p w14:paraId="2E2CAEA9" w14:textId="77777777" w:rsidR="00167BDB" w:rsidRDefault="00167BDB" w:rsidP="00167BDB">
      <w:pPr>
        <w:spacing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Sudarman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D. and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Lailla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N. (2023). The Influence of Marketing Strategy and Marketing Mix on Marketing Performance of Ready-to-Drink Beverages Through Brand Image.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International Journal of Professional Business Review: Int. J. </w:t>
      </w: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Prof.Bus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. Rev.</w:t>
      </w:r>
      <w:r>
        <w:rPr>
          <w:rFonts w:ascii="Times New Roman" w:eastAsia="Times New Roman" w:hAnsi="Times New Roman" w:cs="Times New Roman"/>
          <w:sz w:val="24"/>
          <w:szCs w:val="24"/>
        </w:rPr>
        <w:t>, [online] 8(9), p.11. Doi: https://dialnet.unirioja.es/descarga/articulo/9070094.pdf.</w:t>
      </w:r>
    </w:p>
    <w:p w14:paraId="03355753" w14:textId="77777777" w:rsidR="00167BDB" w:rsidRDefault="00167BDB" w:rsidP="00167BDB">
      <w:pPr>
        <w:spacing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Sudirjo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F. (2023). Marketing Strategy in Improving Product Competitiveness in the Global Market.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Journal of Contemporary Administration and Management (ADMAN)</w:t>
      </w:r>
      <w:r>
        <w:rPr>
          <w:rFonts w:ascii="Times New Roman" w:eastAsia="Times New Roman" w:hAnsi="Times New Roman" w:cs="Times New Roman"/>
          <w:sz w:val="24"/>
          <w:szCs w:val="24"/>
        </w:rPr>
        <w:t>, 1(2), pp.63–69. Doi: https://doi.org/10.61100/adman/adman.</w:t>
      </w:r>
    </w:p>
    <w:p w14:paraId="3063BB08" w14:textId="77777777" w:rsidR="00167BDB" w:rsidRDefault="00167BDB" w:rsidP="00167BDB">
      <w:pPr>
        <w:spacing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The Grocer (2022).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How retailers can benefit from the success of the energy drinks sector</w:t>
      </w:r>
      <w:r>
        <w:rPr>
          <w:rFonts w:ascii="Times New Roman" w:eastAsia="Times New Roman" w:hAnsi="Times New Roman" w:cs="Times New Roman"/>
          <w:sz w:val="24"/>
          <w:szCs w:val="24"/>
        </w:rPr>
        <w:t>. [online] The Grocer. Available at: https://www.thegrocer.co.uk/promotional-features/how-retailers-can-benefit-from-the-success-of-the-energy-drinks-sector/668282.article [Accessed 4 Nov. 2025].</w:t>
      </w:r>
    </w:p>
    <w:p w14:paraId="7D0AFE5E" w14:textId="77777777" w:rsidR="00167BDB" w:rsidRDefault="00167BDB"/>
    <w:sectPr w:rsidR="00167BDB" w:rsidSect="00167BD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7BDB"/>
    <w:rsid w:val="00167BDB"/>
    <w:rsid w:val="00E67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E810E"/>
  <w15:chartTrackingRefBased/>
  <w15:docId w15:val="{A3CE10F2-87FD-4060-8817-F0D7FA91D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167BDB"/>
    <w:pPr>
      <w:spacing w:after="0" w:line="276" w:lineRule="auto"/>
    </w:pPr>
    <w:rPr>
      <w:rFonts w:ascii="Arial" w:eastAsia="Arial" w:hAnsi="Arial" w:cs="Arial"/>
      <w:lang w:val="en-GB" w:eastAsia="en-GB"/>
    </w:rPr>
  </w:style>
  <w:style w:type="paragraph" w:styleId="Heading1">
    <w:name w:val="heading 1"/>
    <w:basedOn w:val="Normal"/>
    <w:next w:val="Normal"/>
    <w:link w:val="Heading1Char"/>
    <w:qFormat/>
    <w:rsid w:val="00167BDB"/>
    <w:pPr>
      <w:keepNext/>
      <w:keepLines/>
      <w:spacing w:before="400" w:after="120" w:line="360" w:lineRule="auto"/>
      <w:jc w:val="both"/>
      <w:outlineLvl w:val="0"/>
    </w:pPr>
    <w:rPr>
      <w:rFonts w:ascii="Times New Roman" w:eastAsia="Times New Roman" w:hAnsi="Times New Roman"/>
      <w:b/>
      <w:sz w:val="28"/>
      <w:szCs w:val="40"/>
      <w:lang w:val="en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167BDB"/>
    <w:pPr>
      <w:keepNext/>
      <w:keepLines/>
      <w:spacing w:before="360" w:after="120" w:line="360" w:lineRule="auto"/>
      <w:jc w:val="both"/>
      <w:outlineLvl w:val="1"/>
    </w:pPr>
    <w:rPr>
      <w:rFonts w:ascii="Times New Roman" w:eastAsia="Times New Roman" w:hAnsi="Times New Roman"/>
      <w:b/>
      <w:sz w:val="24"/>
      <w:szCs w:val="32"/>
      <w:lang w:val="e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167BDB"/>
    <w:rPr>
      <w:b/>
      <w:bCs/>
    </w:rPr>
  </w:style>
  <w:style w:type="character" w:customStyle="1" w:styleId="Heading1Char">
    <w:name w:val="Heading 1 Char"/>
    <w:basedOn w:val="DefaultParagraphFont"/>
    <w:link w:val="Heading1"/>
    <w:rsid w:val="00167BDB"/>
    <w:rPr>
      <w:rFonts w:ascii="Times New Roman" w:eastAsia="Times New Roman" w:hAnsi="Times New Roman" w:cs="Arial"/>
      <w:b/>
      <w:sz w:val="28"/>
      <w:szCs w:val="40"/>
      <w:lang w:val="en" w:eastAsia="en-GB"/>
    </w:rPr>
  </w:style>
  <w:style w:type="character" w:customStyle="1" w:styleId="Heading2Char">
    <w:name w:val="Heading 2 Char"/>
    <w:basedOn w:val="DefaultParagraphFont"/>
    <w:link w:val="Heading2"/>
    <w:semiHidden/>
    <w:rsid w:val="00167BDB"/>
    <w:rPr>
      <w:rFonts w:ascii="Times New Roman" w:eastAsia="Times New Roman" w:hAnsi="Times New Roman" w:cs="Arial"/>
      <w:b/>
      <w:sz w:val="24"/>
      <w:szCs w:val="32"/>
      <w:lang w:val="en" w:eastAsia="en-GB"/>
    </w:rPr>
  </w:style>
  <w:style w:type="paragraph" w:styleId="NormalWeb">
    <w:name w:val="Normal (Web)"/>
    <w:basedOn w:val="Normal"/>
    <w:uiPriority w:val="99"/>
    <w:semiHidden/>
    <w:unhideWhenUsed/>
    <w:rsid w:val="00167B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153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884</Words>
  <Characters>5042</Characters>
  <Application>Microsoft Office Word</Application>
  <DocSecurity>0</DocSecurity>
  <Lines>42</Lines>
  <Paragraphs>11</Paragraphs>
  <ScaleCrop>false</ScaleCrop>
  <Company/>
  <LinksUpToDate>false</LinksUpToDate>
  <CharactersWithSpaces>5915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1</cp:revision>
  <dcterms:created xsi:type="dcterms:W3CDTF">2025-11-28T23:04:00Z</dcterms:created>
  <dcterms:modified xsi:type="dcterms:W3CDTF">2025-11-28T23:10:00Z</dcterms:modified>
</cp:coreProperties>
</file>