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A7E24" w14:textId="4F977C85" w:rsidR="004146D9" w:rsidRDefault="004146D9" w:rsidP="004146D9">
      <w:pPr>
        <w:rPr>
          <w:b/>
          <w:sz w:val="36"/>
          <w:szCs w:val="36"/>
        </w:rPr>
      </w:pPr>
    </w:p>
    <w:p w14:paraId="33B9E436" w14:textId="77777777" w:rsidR="004146D9" w:rsidRPr="004146D9" w:rsidRDefault="004146D9" w:rsidP="004146D9">
      <w:pPr>
        <w:jc w:val="center"/>
        <w:rPr>
          <w:b/>
          <w:sz w:val="40"/>
          <w:szCs w:val="40"/>
        </w:rPr>
      </w:pPr>
    </w:p>
    <w:p w14:paraId="5ADE5376" w14:textId="77777777" w:rsidR="004146D9" w:rsidRDefault="008B264A" w:rsidP="004146D9">
      <w:pPr>
        <w:jc w:val="center"/>
        <w:rPr>
          <w:sz w:val="40"/>
          <w:szCs w:val="40"/>
        </w:rPr>
      </w:pPr>
      <w:r w:rsidRPr="004146D9">
        <w:rPr>
          <w:b/>
          <w:sz w:val="40"/>
          <w:szCs w:val="40"/>
        </w:rPr>
        <w:t>Module Code and Title:</w:t>
      </w:r>
      <w:r w:rsidRPr="004146D9">
        <w:rPr>
          <w:sz w:val="40"/>
          <w:szCs w:val="40"/>
        </w:rPr>
        <w:t xml:space="preserve"> LCBB4004</w:t>
      </w:r>
    </w:p>
    <w:p w14:paraId="0DD41DBE" w14:textId="173B5952" w:rsidR="006657FA" w:rsidRPr="004146D9" w:rsidRDefault="008B264A" w:rsidP="004146D9">
      <w:pPr>
        <w:jc w:val="center"/>
        <w:rPr>
          <w:sz w:val="40"/>
          <w:szCs w:val="40"/>
        </w:rPr>
      </w:pPr>
      <w:r w:rsidRPr="004146D9">
        <w:rPr>
          <w:sz w:val="40"/>
          <w:szCs w:val="40"/>
        </w:rPr>
        <w:t xml:space="preserve"> MARKETING FUNDAMENTALS</w:t>
      </w:r>
    </w:p>
    <w:p w14:paraId="1D85C204" w14:textId="7021A1B2" w:rsidR="006657FA" w:rsidRPr="004146D9" w:rsidRDefault="008B264A" w:rsidP="004146D9">
      <w:pPr>
        <w:jc w:val="center"/>
        <w:rPr>
          <w:sz w:val="40"/>
          <w:szCs w:val="40"/>
          <w:lang w:val="en-GB"/>
        </w:rPr>
      </w:pPr>
      <w:r w:rsidRPr="004146D9">
        <w:rPr>
          <w:b/>
          <w:sz w:val="40"/>
          <w:szCs w:val="40"/>
        </w:rPr>
        <w:t>Assignment Title:</w:t>
      </w:r>
      <w:r w:rsidRPr="004146D9">
        <w:rPr>
          <w:sz w:val="40"/>
          <w:szCs w:val="40"/>
        </w:rPr>
        <w:t xml:space="preserve"> </w:t>
      </w:r>
      <w:r w:rsidR="004146D9">
        <w:rPr>
          <w:rFonts w:ascii="Arial" w:eastAsia="Arial" w:hAnsi="Arial" w:cs="Arial"/>
          <w:b/>
        </w:rPr>
        <w:t>DIVERSE ADAPTATION STRATEGIES HELPED LOCAL FOOD PRODUCERS COPE WITH INITIAL CHALLENGES OF THE COVID-19 PANDEMIC – LESSONS FROM QUEBEC, CANADA</w:t>
      </w:r>
    </w:p>
    <w:p w14:paraId="2DB4825C" w14:textId="5ADE413C" w:rsidR="004146D9" w:rsidRPr="004146D9" w:rsidRDefault="004146D9" w:rsidP="004146D9">
      <w:pPr>
        <w:jc w:val="center"/>
        <w:rPr>
          <w:sz w:val="40"/>
          <w:szCs w:val="40"/>
        </w:rPr>
      </w:pPr>
      <w:r w:rsidRPr="004146D9">
        <w:rPr>
          <w:b/>
          <w:bCs/>
          <w:sz w:val="40"/>
          <w:szCs w:val="40"/>
        </w:rPr>
        <w:t>Lecturer name :</w:t>
      </w:r>
      <w:r w:rsidRPr="004146D9">
        <w:rPr>
          <w:sz w:val="40"/>
          <w:szCs w:val="40"/>
        </w:rPr>
        <w:t xml:space="preserve"> Umar Saadat</w:t>
      </w:r>
    </w:p>
    <w:p w14:paraId="1CFB08B5" w14:textId="5CECC8F8" w:rsidR="004146D9" w:rsidRPr="004146D9" w:rsidRDefault="004146D9" w:rsidP="004146D9">
      <w:pPr>
        <w:jc w:val="center"/>
        <w:rPr>
          <w:b/>
          <w:bCs/>
          <w:sz w:val="40"/>
          <w:szCs w:val="40"/>
        </w:rPr>
      </w:pPr>
      <w:r w:rsidRPr="004146D9">
        <w:rPr>
          <w:b/>
          <w:bCs/>
          <w:sz w:val="40"/>
          <w:szCs w:val="40"/>
        </w:rPr>
        <w:t xml:space="preserve">Student name: </w:t>
      </w:r>
      <w:r w:rsidRPr="004146D9">
        <w:rPr>
          <w:sz w:val="40"/>
          <w:szCs w:val="40"/>
        </w:rPr>
        <w:t xml:space="preserve">Viorica </w:t>
      </w:r>
      <w:proofErr w:type="spellStart"/>
      <w:r w:rsidRPr="004146D9">
        <w:rPr>
          <w:sz w:val="40"/>
          <w:szCs w:val="40"/>
        </w:rPr>
        <w:t>Birloiu</w:t>
      </w:r>
      <w:proofErr w:type="spellEnd"/>
    </w:p>
    <w:p w14:paraId="67B4D21B" w14:textId="1E0499AE" w:rsidR="004146D9" w:rsidRPr="004146D9" w:rsidRDefault="004146D9" w:rsidP="004146D9">
      <w:pPr>
        <w:jc w:val="center"/>
        <w:rPr>
          <w:b/>
          <w:bCs/>
          <w:sz w:val="40"/>
          <w:szCs w:val="40"/>
        </w:rPr>
      </w:pPr>
      <w:r w:rsidRPr="004146D9">
        <w:rPr>
          <w:b/>
          <w:bCs/>
          <w:sz w:val="40"/>
          <w:szCs w:val="40"/>
        </w:rPr>
        <w:t xml:space="preserve">Student number: </w:t>
      </w:r>
      <w:r w:rsidRPr="004146D9">
        <w:rPr>
          <w:sz w:val="40"/>
          <w:szCs w:val="40"/>
        </w:rPr>
        <w:t>2227895</w:t>
      </w:r>
    </w:p>
    <w:p w14:paraId="2F70CB93" w14:textId="77777777" w:rsidR="006657FA" w:rsidRDefault="006657FA">
      <w:pPr>
        <w:rPr>
          <w:b/>
          <w:sz w:val="36"/>
          <w:szCs w:val="36"/>
        </w:rPr>
      </w:pPr>
    </w:p>
    <w:p w14:paraId="153EA21E" w14:textId="77777777" w:rsidR="006657FA" w:rsidRDefault="008B264A">
      <w:pPr>
        <w:spacing w:line="259" w:lineRule="auto"/>
        <w:jc w:val="left"/>
        <w:rPr>
          <w:sz w:val="36"/>
          <w:szCs w:val="36"/>
        </w:rPr>
        <w:sectPr w:rsidR="006657FA">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08" w:footer="708" w:gutter="0"/>
          <w:pgNumType w:start="1"/>
          <w:cols w:space="720"/>
        </w:sectPr>
      </w:pPr>
      <w:r>
        <w:br w:type="page"/>
      </w:r>
    </w:p>
    <w:p w14:paraId="1EDE18F7" w14:textId="77777777" w:rsidR="006657FA" w:rsidRDefault="008B264A">
      <w:pPr>
        <w:keepNext/>
        <w:keepLines/>
        <w:pBdr>
          <w:top w:val="nil"/>
          <w:left w:val="nil"/>
          <w:bottom w:val="nil"/>
          <w:right w:val="nil"/>
          <w:between w:val="nil"/>
        </w:pBdr>
        <w:spacing w:before="240" w:after="0" w:line="259" w:lineRule="auto"/>
        <w:jc w:val="left"/>
        <w:rPr>
          <w:rFonts w:ascii="Calibri" w:eastAsia="Calibri" w:hAnsi="Calibri" w:cs="Calibri"/>
          <w:color w:val="2E75B5"/>
          <w:sz w:val="32"/>
          <w:szCs w:val="32"/>
        </w:rPr>
      </w:pPr>
      <w:bookmarkStart w:id="0" w:name="_gjdgxs" w:colFirst="0" w:colLast="0"/>
      <w:bookmarkEnd w:id="0"/>
      <w:r>
        <w:rPr>
          <w:rFonts w:ascii="Calibri" w:eastAsia="Calibri" w:hAnsi="Calibri" w:cs="Calibri"/>
          <w:color w:val="2E75B5"/>
          <w:sz w:val="32"/>
          <w:szCs w:val="32"/>
        </w:rPr>
        <w:lastRenderedPageBreak/>
        <w:t>Table of Contents</w:t>
      </w:r>
    </w:p>
    <w:sdt>
      <w:sdtPr>
        <w:id w:val="-2126920810"/>
        <w:docPartObj>
          <w:docPartGallery w:val="Table of Contents"/>
          <w:docPartUnique/>
        </w:docPartObj>
      </w:sdtPr>
      <w:sdtEndPr/>
      <w:sdtContent>
        <w:p w14:paraId="49707AD2" w14:textId="77777777" w:rsidR="006657FA" w:rsidRDefault="008B264A">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30j0zll">
            <w:r>
              <w:rPr>
                <w:color w:val="000000"/>
              </w:rPr>
              <w:t>Introduction</w:t>
            </w:r>
            <w:r>
              <w:rPr>
                <w:color w:val="000000"/>
              </w:rPr>
              <w:tab/>
              <w:t>1</w:t>
            </w:r>
          </w:hyperlink>
        </w:p>
        <w:p w14:paraId="7B24A1E0" w14:textId="77777777" w:rsidR="006657FA" w:rsidRDefault="008B264A">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1fob9te">
            <w:r>
              <w:rPr>
                <w:color w:val="000000"/>
              </w:rPr>
              <w:t>Environmental Scanning and PESTLE Analysis</w:t>
            </w:r>
            <w:r>
              <w:rPr>
                <w:color w:val="000000"/>
              </w:rPr>
              <w:tab/>
              <w:t>1</w:t>
            </w:r>
          </w:hyperlink>
        </w:p>
        <w:p w14:paraId="47631B8A" w14:textId="77777777" w:rsidR="006657FA" w:rsidRDefault="008B264A">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3znysh7">
            <w:r>
              <w:rPr>
                <w:color w:val="000000"/>
              </w:rPr>
              <w:t>PESTLE Analysis</w:t>
            </w:r>
            <w:r>
              <w:rPr>
                <w:color w:val="000000"/>
              </w:rPr>
              <w:tab/>
              <w:t>2</w:t>
            </w:r>
          </w:hyperlink>
        </w:p>
        <w:p w14:paraId="40245F10" w14:textId="77777777" w:rsidR="006657FA" w:rsidRDefault="008B264A">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2et92p0">
            <w:r>
              <w:rPr>
                <w:color w:val="000000"/>
              </w:rPr>
              <w:t>SWOT Analysis</w:t>
            </w:r>
            <w:r>
              <w:rPr>
                <w:color w:val="000000"/>
              </w:rPr>
              <w:tab/>
              <w:t>3</w:t>
            </w:r>
          </w:hyperlink>
        </w:p>
        <w:p w14:paraId="4E5FD229" w14:textId="77777777" w:rsidR="006657FA" w:rsidRDefault="008B264A">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tyjcwt">
            <w:r>
              <w:rPr>
                <w:color w:val="000000"/>
              </w:rPr>
              <w:t>Competitive Analysis and Competitive Strategies</w:t>
            </w:r>
            <w:r>
              <w:rPr>
                <w:color w:val="000000"/>
              </w:rPr>
              <w:tab/>
              <w:t>4</w:t>
            </w:r>
          </w:hyperlink>
        </w:p>
        <w:p w14:paraId="4D0E5792" w14:textId="77777777" w:rsidR="006657FA" w:rsidRDefault="008B264A">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3dy6vkm">
            <w:r>
              <w:rPr>
                <w:color w:val="000000"/>
              </w:rPr>
              <w:t>Adopted Strategies</w:t>
            </w:r>
            <w:r>
              <w:rPr>
                <w:color w:val="000000"/>
              </w:rPr>
              <w:tab/>
              <w:t>4</w:t>
            </w:r>
          </w:hyperlink>
        </w:p>
        <w:p w14:paraId="3A424C5D" w14:textId="77777777" w:rsidR="006657FA" w:rsidRDefault="008B264A">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1t3h5sf">
            <w:r>
              <w:rPr>
                <w:color w:val="000000"/>
              </w:rPr>
              <w:t>Marketing Strategies and ANSOFF Matrix</w:t>
            </w:r>
            <w:r>
              <w:rPr>
                <w:color w:val="000000"/>
              </w:rPr>
              <w:tab/>
              <w:t>5</w:t>
            </w:r>
          </w:hyperlink>
        </w:p>
        <w:p w14:paraId="1C785AD6" w14:textId="77777777" w:rsidR="006657FA" w:rsidRDefault="008B264A">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4d34og8">
            <w:r>
              <w:rPr>
                <w:color w:val="000000"/>
              </w:rPr>
              <w:t>Strategy Implementation</w:t>
            </w:r>
            <w:r>
              <w:rPr>
                <w:color w:val="000000"/>
              </w:rPr>
              <w:tab/>
              <w:t>6</w:t>
            </w:r>
          </w:hyperlink>
        </w:p>
        <w:p w14:paraId="50418F6B" w14:textId="77777777" w:rsidR="006657FA" w:rsidRDefault="008B264A">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2s8eyo1">
            <w:r>
              <w:rPr>
                <w:color w:val="000000"/>
              </w:rPr>
              <w:t>Conclusion</w:t>
            </w:r>
            <w:r>
              <w:rPr>
                <w:color w:val="000000"/>
              </w:rPr>
              <w:tab/>
              <w:t>6</w:t>
            </w:r>
          </w:hyperlink>
        </w:p>
        <w:p w14:paraId="7E27E73D" w14:textId="77777777" w:rsidR="006657FA" w:rsidRDefault="008B264A">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17dp8vu">
            <w:r>
              <w:rPr>
                <w:color w:val="000000"/>
              </w:rPr>
              <w:t>References</w:t>
            </w:r>
            <w:r>
              <w:rPr>
                <w:color w:val="000000"/>
              </w:rPr>
              <w:tab/>
              <w:t>8</w:t>
            </w:r>
          </w:hyperlink>
        </w:p>
        <w:p w14:paraId="5BDF1A87" w14:textId="77777777" w:rsidR="006657FA" w:rsidRDefault="008B264A">
          <w:r>
            <w:fldChar w:fldCharType="end"/>
          </w:r>
        </w:p>
      </w:sdtContent>
    </w:sdt>
    <w:p w14:paraId="19098131" w14:textId="77777777" w:rsidR="006657FA" w:rsidRDefault="008B264A">
      <w:pPr>
        <w:spacing w:line="259" w:lineRule="auto"/>
        <w:jc w:val="left"/>
        <w:rPr>
          <w:b/>
          <w:color w:val="2E75B5"/>
          <w:sz w:val="32"/>
          <w:szCs w:val="32"/>
        </w:rPr>
        <w:sectPr w:rsidR="006657FA">
          <w:headerReference w:type="default" r:id="rId12"/>
          <w:pgSz w:w="12240" w:h="15840"/>
          <w:pgMar w:top="1440" w:right="1440" w:bottom="1440" w:left="1440" w:header="708" w:footer="708" w:gutter="0"/>
          <w:pgNumType w:start="1"/>
          <w:cols w:space="720"/>
        </w:sectPr>
      </w:pPr>
      <w:r>
        <w:br w:type="page"/>
      </w:r>
    </w:p>
    <w:p w14:paraId="1CADE79B" w14:textId="77777777" w:rsidR="006657FA" w:rsidRDefault="008B264A">
      <w:pPr>
        <w:pStyle w:val="Heading1"/>
      </w:pPr>
      <w:bookmarkStart w:id="1" w:name="_30j0zll" w:colFirst="0" w:colLast="0"/>
      <w:bookmarkEnd w:id="1"/>
      <w:r>
        <w:lastRenderedPageBreak/>
        <w:t>Introduction</w:t>
      </w:r>
    </w:p>
    <w:p w14:paraId="569ADEA1" w14:textId="77777777" w:rsidR="006657FA" w:rsidRDefault="008B264A">
      <w:r>
        <w:t xml:space="preserve">In order to address the early difficulties brought on by the COVID-19 epidemic, farmers in Quebec, Canada, used different stages of the marketing process, which are critically </w:t>
      </w:r>
      <w:proofErr w:type="spellStart"/>
      <w:r>
        <w:t>analysed</w:t>
      </w:r>
      <w:proofErr w:type="spellEnd"/>
      <w:r>
        <w:t xml:space="preserve"> and described in this paper. Schreiber et al. (2022) conducted a study </w:t>
      </w:r>
      <w:r>
        <w:t xml:space="preserve">called "Diverse Adaptation Strategies Helped Local Food Producers Cope with Initial Challenges of the COVID-19 Pandemic - Lessons from Quebec, Canada," which offers a rich backdrop for this investigation. The report uses important marketing frameworks and </w:t>
      </w:r>
      <w:r>
        <w:t xml:space="preserve">theories to </w:t>
      </w:r>
      <w:proofErr w:type="spellStart"/>
      <w:r>
        <w:t>analyse</w:t>
      </w:r>
      <w:proofErr w:type="spellEnd"/>
      <w:r>
        <w:t xml:space="preserve"> the marketing process at each level, including SWOT analysis, PESTLE analysis, ANSOFF matrix, environmental scanning, competitive analysis, competitive strategies, and numerous marketing concepts. In order to understand the changing cir</w:t>
      </w:r>
      <w:r>
        <w:t>cumstances, these producers examined their business environment. They then created tactics and controls to track the methods they had executed. These analyses will make it possible to fully comprehend how these regional food producers skillfully handled th</w:t>
      </w:r>
      <w:r>
        <w:t xml:space="preserve">e tumultuous and unusual obstacles posed by the pandemic. </w:t>
      </w:r>
    </w:p>
    <w:p w14:paraId="0E5B9E9B" w14:textId="77777777" w:rsidR="006657FA" w:rsidRDefault="008B264A">
      <w:pPr>
        <w:pStyle w:val="Heading1"/>
      </w:pPr>
      <w:bookmarkStart w:id="2" w:name="_1fob9te" w:colFirst="0" w:colLast="0"/>
      <w:bookmarkEnd w:id="2"/>
      <w:r>
        <w:t>Environmental Scanning and PESTLE Analysis</w:t>
      </w:r>
    </w:p>
    <w:p w14:paraId="6BE06B29" w14:textId="77777777" w:rsidR="006657FA" w:rsidRDefault="008B264A">
      <w:r>
        <w:t>Briske et al. (2015) stated that businesses can detect possible possibilities and risks inside their internal and external surroundings by using the cruci</w:t>
      </w:r>
      <w:r>
        <w:t>al process of environmental scanning. This strategy was crucial in helping Quebec's farmers deal with the problems brought on by the Covid-19 outbreak.</w:t>
      </w:r>
    </w:p>
    <w:p w14:paraId="1B7BEF58" w14:textId="77777777" w:rsidR="006657FA" w:rsidRDefault="008B264A">
      <w:pPr>
        <w:rPr>
          <w:b/>
        </w:rPr>
      </w:pPr>
      <w:r>
        <w:rPr>
          <w:b/>
        </w:rPr>
        <w:t>Primary Challenges</w:t>
      </w:r>
    </w:p>
    <w:p w14:paraId="7C99C8B9" w14:textId="77777777" w:rsidR="006657FA" w:rsidRDefault="008B264A">
      <w:r>
        <w:t>Four main issues were found through environmental scanning: a lack of qualified worke</w:t>
      </w:r>
      <w:r>
        <w:t>rs, changes in the demand-supply equation, modifications to retail locations and channels of advertising, and other operations as well as growth problems (</w:t>
      </w:r>
      <w:proofErr w:type="spellStart"/>
      <w:r>
        <w:t>Benzaghta</w:t>
      </w:r>
      <w:proofErr w:type="spellEnd"/>
      <w:r>
        <w:t xml:space="preserve"> et al., 2021). These challenges served as the main topics for the farmers' adaptation plans</w:t>
      </w:r>
      <w:r>
        <w:t>.</w:t>
      </w:r>
    </w:p>
    <w:p w14:paraId="32B66588" w14:textId="77777777" w:rsidR="006657FA" w:rsidRDefault="008B264A">
      <w:pPr>
        <w:pStyle w:val="Heading2"/>
      </w:pPr>
      <w:bookmarkStart w:id="3" w:name="_3znysh7" w:colFirst="0" w:colLast="0"/>
      <w:bookmarkEnd w:id="3"/>
      <w:r>
        <w:lastRenderedPageBreak/>
        <w:t>PESTLE Analysis</w:t>
      </w:r>
    </w:p>
    <w:p w14:paraId="1A61E3DB" w14:textId="77777777" w:rsidR="006657FA" w:rsidRDefault="008B264A">
      <w:pPr>
        <w:jc w:val="center"/>
      </w:pPr>
      <w:r>
        <w:rPr>
          <w:noProof/>
        </w:rPr>
        <w:drawing>
          <wp:inline distT="0" distB="0" distL="0" distR="0" wp14:anchorId="05AC6043" wp14:editId="40F58CF5">
            <wp:extent cx="3050270" cy="3457779"/>
            <wp:effectExtent l="0" t="0" r="0" b="0"/>
            <wp:docPr id="1" name="image1.png" descr="Scanning the Environment: PESTEL Analysis - Planium Pro"/>
            <wp:cNvGraphicFramePr/>
            <a:graphic xmlns:a="http://schemas.openxmlformats.org/drawingml/2006/main">
              <a:graphicData uri="http://schemas.openxmlformats.org/drawingml/2006/picture">
                <pic:pic xmlns:pic="http://schemas.openxmlformats.org/drawingml/2006/picture">
                  <pic:nvPicPr>
                    <pic:cNvPr id="0" name="image1.png" descr="Scanning the Environment: PESTEL Analysis - Planium Pro"/>
                    <pic:cNvPicPr preferRelativeResize="0"/>
                  </pic:nvPicPr>
                  <pic:blipFill>
                    <a:blip r:embed="rId13"/>
                    <a:srcRect/>
                    <a:stretch>
                      <a:fillRect/>
                    </a:stretch>
                  </pic:blipFill>
                  <pic:spPr>
                    <a:xfrm>
                      <a:off x="0" y="0"/>
                      <a:ext cx="3050270" cy="3457779"/>
                    </a:xfrm>
                    <a:prstGeom prst="rect">
                      <a:avLst/>
                    </a:prstGeom>
                    <a:ln/>
                  </pic:spPr>
                </pic:pic>
              </a:graphicData>
            </a:graphic>
          </wp:inline>
        </w:drawing>
      </w:r>
    </w:p>
    <w:p w14:paraId="386F0D0B" w14:textId="77777777" w:rsidR="006657FA" w:rsidRDefault="008B264A">
      <w:pPr>
        <w:jc w:val="center"/>
      </w:pPr>
      <w:r>
        <w:t>Figure 1: Factors of PESTEL Analysis (Wang, 2007)</w:t>
      </w:r>
    </w:p>
    <w:p w14:paraId="17543996" w14:textId="77777777" w:rsidR="006657FA" w:rsidRDefault="008B264A">
      <w:r>
        <w:rPr>
          <w:b/>
        </w:rPr>
        <w:t xml:space="preserve">Political: </w:t>
      </w:r>
      <w:r>
        <w:t xml:space="preserve">Strict lockdown measures to stop the virus's spread changed the political environment. Movement limitations had a substantial impact on the </w:t>
      </w:r>
      <w:proofErr w:type="spellStart"/>
      <w:r>
        <w:t>labour</w:t>
      </w:r>
      <w:proofErr w:type="spellEnd"/>
      <w:r>
        <w:t xml:space="preserve"> pool, which resulted in a </w:t>
      </w:r>
      <w:proofErr w:type="spellStart"/>
      <w:r>
        <w:t>la</w:t>
      </w:r>
      <w:r>
        <w:t>bour</w:t>
      </w:r>
      <w:proofErr w:type="spellEnd"/>
      <w:r>
        <w:t xml:space="preserve"> shortage.</w:t>
      </w:r>
    </w:p>
    <w:p w14:paraId="1531FA20" w14:textId="77777777" w:rsidR="006657FA" w:rsidRDefault="008B264A">
      <w:r>
        <w:rPr>
          <w:b/>
        </w:rPr>
        <w:t xml:space="preserve">Economic: </w:t>
      </w:r>
      <w:r>
        <w:t xml:space="preserve">Through job loss or reduced hours, many consumers experienced income loss, which affected their purchasing decisions. On the other hand, as a result of decreased imports and shifting consumer preferences towards local foods, there </w:t>
      </w:r>
      <w:r>
        <w:t>was additionally an increase in demand for local items.</w:t>
      </w:r>
    </w:p>
    <w:p w14:paraId="39554DCE" w14:textId="77777777" w:rsidR="006657FA" w:rsidRDefault="008B264A">
      <w:r>
        <w:rPr>
          <w:b/>
        </w:rPr>
        <w:t xml:space="preserve">Socio-Cultural: </w:t>
      </w:r>
      <w:r>
        <w:t xml:space="preserve">The epidemic caused a change in how society views health and safety. The community's increased attention to cleanliness, safety procedures, and food traceability has an impact on </w:t>
      </w:r>
      <w:r>
        <w:t>farming practices.</w:t>
      </w:r>
    </w:p>
    <w:p w14:paraId="1896A9CF" w14:textId="77777777" w:rsidR="006657FA" w:rsidRDefault="008B264A">
      <w:r>
        <w:rPr>
          <w:b/>
        </w:rPr>
        <w:t>Technological</w:t>
      </w:r>
      <w:r>
        <w:t>: During the pandemic, the push for automation and digital platforms intensified. Farmers, who had previously relied on face-to-face selling techniques, were forced to change their sales and marketing channels as a result.</w:t>
      </w:r>
    </w:p>
    <w:p w14:paraId="66FD3919" w14:textId="77777777" w:rsidR="006657FA" w:rsidRDefault="008B264A">
      <w:r>
        <w:rPr>
          <w:b/>
        </w:rPr>
        <w:lastRenderedPageBreak/>
        <w:t>L</w:t>
      </w:r>
      <w:r>
        <w:rPr>
          <w:b/>
        </w:rPr>
        <w:t>egal</w:t>
      </w:r>
      <w:r>
        <w:t>: To battle the virus, the Quebec government enacted new health and safety laws that included physical separation requirements. The farmers had to abide by these rules in every aspect of their business, from farming methods to product marketing.</w:t>
      </w:r>
    </w:p>
    <w:p w14:paraId="1B845830" w14:textId="77777777" w:rsidR="006657FA" w:rsidRDefault="008B264A">
      <w:r>
        <w:rPr>
          <w:b/>
        </w:rPr>
        <w:t>Enviro</w:t>
      </w:r>
      <w:r>
        <w:rPr>
          <w:b/>
        </w:rPr>
        <w:t xml:space="preserve">nmental: </w:t>
      </w:r>
      <w:r>
        <w:t>Due to import restrictions, the pandemic raised the significance of local supply chains and brought environmental problems to the fore. Local farmers were given the chance to highlight their contribution to the sustainable production of local food</w:t>
      </w:r>
      <w:r>
        <w:t>s, which raised the demand for their goods even more.</w:t>
      </w:r>
    </w:p>
    <w:p w14:paraId="3F37F6B0" w14:textId="77777777" w:rsidR="006657FA" w:rsidRDefault="008B264A">
      <w:pPr>
        <w:pStyle w:val="Heading1"/>
      </w:pPr>
      <w:bookmarkStart w:id="4" w:name="_2et92p0" w:colFirst="0" w:colLast="0"/>
      <w:bookmarkEnd w:id="4"/>
      <w:r>
        <w:t>SWOT Analysis</w:t>
      </w:r>
    </w:p>
    <w:p w14:paraId="60FFA231" w14:textId="77777777" w:rsidR="006657FA" w:rsidRDefault="008B264A">
      <w:pPr>
        <w:jc w:val="center"/>
      </w:pPr>
      <w:r>
        <w:rPr>
          <w:noProof/>
        </w:rPr>
        <w:drawing>
          <wp:inline distT="0" distB="0" distL="0" distR="0" wp14:anchorId="272D69B3" wp14:editId="143CB193">
            <wp:extent cx="3092450" cy="3092450"/>
            <wp:effectExtent l="0" t="0" r="0" b="0"/>
            <wp:docPr id="2" name="image2.png" descr="COVID 19 SWOT Analysis"/>
            <wp:cNvGraphicFramePr/>
            <a:graphic xmlns:a="http://schemas.openxmlformats.org/drawingml/2006/main">
              <a:graphicData uri="http://schemas.openxmlformats.org/drawingml/2006/picture">
                <pic:pic xmlns:pic="http://schemas.openxmlformats.org/drawingml/2006/picture">
                  <pic:nvPicPr>
                    <pic:cNvPr id="0" name="image2.png" descr="COVID 19 SWOT Analysis"/>
                    <pic:cNvPicPr preferRelativeResize="0"/>
                  </pic:nvPicPr>
                  <pic:blipFill>
                    <a:blip r:embed="rId14"/>
                    <a:srcRect/>
                    <a:stretch>
                      <a:fillRect/>
                    </a:stretch>
                  </pic:blipFill>
                  <pic:spPr>
                    <a:xfrm>
                      <a:off x="0" y="0"/>
                      <a:ext cx="3092450" cy="3092450"/>
                    </a:xfrm>
                    <a:prstGeom prst="rect">
                      <a:avLst/>
                    </a:prstGeom>
                    <a:ln/>
                  </pic:spPr>
                </pic:pic>
              </a:graphicData>
            </a:graphic>
          </wp:inline>
        </w:drawing>
      </w:r>
    </w:p>
    <w:p w14:paraId="49FE0CFD" w14:textId="77777777" w:rsidR="006657FA" w:rsidRDefault="008B264A">
      <w:pPr>
        <w:jc w:val="center"/>
      </w:pPr>
      <w:r>
        <w:t>Figure 2: Factors of SWOT Analysis (Vlados, 2019)</w:t>
      </w:r>
    </w:p>
    <w:p w14:paraId="324521EC" w14:textId="77777777" w:rsidR="006657FA" w:rsidRDefault="008B264A">
      <w:r>
        <w:t xml:space="preserve">The SWOT analysis was a crucial tool for Quebec farmers throughout the Covid-19 pandemic, which was </w:t>
      </w:r>
      <w:proofErr w:type="spellStart"/>
      <w:r>
        <w:t>utilised</w:t>
      </w:r>
      <w:proofErr w:type="spellEnd"/>
      <w:r>
        <w:t xml:space="preserve"> to assess internal </w:t>
      </w:r>
      <w:r>
        <w:t>strengths and weaknesses as well as external possibilities and threats. Fazey et al. (2010) said that by reducing risks and managing vulnerabilities, this method of strategic planning helped to make the most of the possibilities and resources that were alr</w:t>
      </w:r>
      <w:r>
        <w:t>eady available.</w:t>
      </w:r>
    </w:p>
    <w:p w14:paraId="213336AC" w14:textId="77777777" w:rsidR="006657FA" w:rsidRDefault="008B264A">
      <w:r>
        <w:rPr>
          <w:b/>
        </w:rPr>
        <w:t xml:space="preserve">Strengths: </w:t>
      </w:r>
      <w:r>
        <w:t xml:space="preserve">Local farmers in Quebec were best known for their adaptation and perseverance. They were able to immediately </w:t>
      </w:r>
      <w:proofErr w:type="spellStart"/>
      <w:r>
        <w:t>recognise</w:t>
      </w:r>
      <w:proofErr w:type="spellEnd"/>
      <w:r>
        <w:t xml:space="preserve"> problems and respond to them, changing their operations in reaction to the changing environment. Additionally,</w:t>
      </w:r>
      <w:r>
        <w:t xml:space="preserve"> they were somewhat protected from the </w:t>
      </w:r>
      <w:r>
        <w:lastRenderedPageBreak/>
        <w:t>instability of global supply chains due to their long-standing links within local financial and ecological networks.</w:t>
      </w:r>
    </w:p>
    <w:p w14:paraId="44C53974" w14:textId="77777777" w:rsidR="006657FA" w:rsidRDefault="008B264A">
      <w:r>
        <w:rPr>
          <w:b/>
        </w:rPr>
        <w:t xml:space="preserve">Weaknesses: </w:t>
      </w:r>
      <w:r>
        <w:t xml:space="preserve">The farmers' reliance on conventional </w:t>
      </w:r>
      <w:proofErr w:type="spellStart"/>
      <w:r>
        <w:t>labour</w:t>
      </w:r>
      <w:proofErr w:type="spellEnd"/>
      <w:r>
        <w:t xml:space="preserve"> and distribution methods for their products</w:t>
      </w:r>
      <w:r>
        <w:t xml:space="preserve"> turned out to be limitations in the face of the pandemic. Having a scarcity of </w:t>
      </w:r>
      <w:proofErr w:type="spellStart"/>
      <w:r>
        <w:t>labour</w:t>
      </w:r>
      <w:proofErr w:type="spellEnd"/>
      <w:r>
        <w:t xml:space="preserve"> was difficult because of the limits on migration (Yüksel, 2012).</w:t>
      </w:r>
    </w:p>
    <w:p w14:paraId="5D39F03B" w14:textId="77777777" w:rsidR="006657FA" w:rsidRDefault="008B264A">
      <w:r>
        <w:rPr>
          <w:b/>
        </w:rPr>
        <w:t xml:space="preserve">Opportunities: </w:t>
      </w:r>
      <w:r>
        <w:t>Consumers now have a greater appreciation for regional produce as a result of the pandemi</w:t>
      </w:r>
      <w:r>
        <w:t>c. Local farmers had a great opportunity to increase their market share and deepen their relationships with consumers because of this shift in consumer views. Furthermore, local produce benefited from import restrictions, creating an opportunity for market</w:t>
      </w:r>
      <w:r>
        <w:t xml:space="preserve"> growth.</w:t>
      </w:r>
    </w:p>
    <w:p w14:paraId="12C1E027" w14:textId="77777777" w:rsidR="006657FA" w:rsidRDefault="008B264A">
      <w:r>
        <w:rPr>
          <w:b/>
        </w:rPr>
        <w:t>Threats</w:t>
      </w:r>
      <w:r>
        <w:t xml:space="preserve">: Despite these advantages and qualities, there were still many threats to local farmers. Their operations were made more uncertain by the erratic nature of the global epidemic and constantly evolving restrictions. Loredana (2016) reported </w:t>
      </w:r>
      <w:r>
        <w:t>that planning and strategy execution was made more difficult by variations in demand and supply, worker availability, and a continually changing regulatory environment.</w:t>
      </w:r>
    </w:p>
    <w:p w14:paraId="32C0EE0B" w14:textId="77777777" w:rsidR="006657FA" w:rsidRDefault="008B264A">
      <w:pPr>
        <w:pStyle w:val="Heading1"/>
      </w:pPr>
      <w:bookmarkStart w:id="5" w:name="_tyjcwt" w:colFirst="0" w:colLast="0"/>
      <w:bookmarkEnd w:id="5"/>
      <w:r>
        <w:t>Competitive Analysis and Competitive Strategies</w:t>
      </w:r>
    </w:p>
    <w:p w14:paraId="2E78E67A" w14:textId="77777777" w:rsidR="006657FA" w:rsidRDefault="008B264A">
      <w:r>
        <w:t>The pandemic-related environment made f</w:t>
      </w:r>
      <w:r>
        <w:t>arming in Quebec more competitive. They competed with bigger, frequently industrial food producers who typically have more resources, wider distribution networks, and better scale economies. Global import markets, which provide a variety of frequently less</w:t>
      </w:r>
      <w:r>
        <w:t xml:space="preserve"> expensive goods, also continued to be a continuous rival.</w:t>
      </w:r>
    </w:p>
    <w:p w14:paraId="6F2E9EEC" w14:textId="77777777" w:rsidR="006657FA" w:rsidRDefault="008B264A">
      <w:pPr>
        <w:pStyle w:val="Heading2"/>
      </w:pPr>
      <w:bookmarkStart w:id="6" w:name="_3dy6vkm" w:colFirst="0" w:colLast="0"/>
      <w:bookmarkEnd w:id="6"/>
      <w:r>
        <w:t>Adopted Strategies</w:t>
      </w:r>
    </w:p>
    <w:p w14:paraId="6A93C44F" w14:textId="77777777" w:rsidR="006657FA" w:rsidRDefault="008B264A">
      <w:pPr>
        <w:rPr>
          <w:b/>
        </w:rPr>
      </w:pPr>
      <w:r>
        <w:rPr>
          <w:b/>
        </w:rPr>
        <w:t>Focus on Local Markets</w:t>
      </w:r>
    </w:p>
    <w:p w14:paraId="41DEFF37" w14:textId="77777777" w:rsidR="006657FA" w:rsidRDefault="008B264A">
      <w:r>
        <w:t>Despite these obstacles, Quebec farmers adopted several methods that gave them a competitive edge. Focusing on local markets, which were easier to access a</w:t>
      </w:r>
      <w:r>
        <w:t xml:space="preserve">nd less affected by disruptions in the global supply chain, was an important approach. Farmers </w:t>
      </w:r>
      <w:proofErr w:type="spellStart"/>
      <w:r>
        <w:t>emphasised</w:t>
      </w:r>
      <w:proofErr w:type="spellEnd"/>
      <w:r>
        <w:t xml:space="preserve"> the quality and freshness of their goods, </w:t>
      </w:r>
      <w:proofErr w:type="spellStart"/>
      <w:r>
        <w:t>capitalising</w:t>
      </w:r>
      <w:proofErr w:type="spellEnd"/>
      <w:r>
        <w:t xml:space="preserve"> on the heightened interest among consumers for food from nearby regions during the pandemic by </w:t>
      </w:r>
      <w:r>
        <w:t xml:space="preserve">leveraging their ties to the </w:t>
      </w:r>
      <w:proofErr w:type="spellStart"/>
      <w:r>
        <w:t>neighbourhood</w:t>
      </w:r>
      <w:proofErr w:type="spellEnd"/>
      <w:r>
        <w:t>.</w:t>
      </w:r>
    </w:p>
    <w:p w14:paraId="22F1A5C4" w14:textId="77777777" w:rsidR="006657FA" w:rsidRDefault="008B264A">
      <w:pPr>
        <w:rPr>
          <w:b/>
        </w:rPr>
      </w:pPr>
      <w:r>
        <w:rPr>
          <w:b/>
        </w:rPr>
        <w:t>Digital Platform</w:t>
      </w:r>
    </w:p>
    <w:p w14:paraId="2B71204E" w14:textId="77777777" w:rsidR="006657FA" w:rsidRDefault="008B264A">
      <w:r>
        <w:lastRenderedPageBreak/>
        <w:t>Additionally, they switched from conventional farmers' markets and direct-to-consumer strategies to digital channels for marketing and sales, which allowed them to reach a wider audience. They we</w:t>
      </w:r>
      <w:r>
        <w:t>re able to successfully compete with the major producers and import markets that had previously controlled these channels because of their clever use of technology.</w:t>
      </w:r>
    </w:p>
    <w:p w14:paraId="2DF10A7B" w14:textId="77777777" w:rsidR="006657FA" w:rsidRDefault="008B264A">
      <w:pPr>
        <w:pStyle w:val="Heading1"/>
      </w:pPr>
      <w:bookmarkStart w:id="7" w:name="_1t3h5sf" w:colFirst="0" w:colLast="0"/>
      <w:bookmarkEnd w:id="7"/>
      <w:r>
        <w:t>Marketing Strategies and ANSOFF Matrix</w:t>
      </w:r>
    </w:p>
    <w:p w14:paraId="132BE8BA" w14:textId="77777777" w:rsidR="006657FA" w:rsidRDefault="008B264A">
      <w:r>
        <w:t>Farmers in Quebec employed the Ansoff Matrix, a tact</w:t>
      </w:r>
      <w:r>
        <w:t xml:space="preserve">ical tool for creating expansion strategies, in response to the changing dynamics of the pandemic. According to Hussain et al. (2013), market Penetration, Market Development, Product Development, and Diversification are the four strategies included in the </w:t>
      </w:r>
      <w:r>
        <w:t>matrix.</w:t>
      </w:r>
    </w:p>
    <w:p w14:paraId="168BEB75" w14:textId="77777777" w:rsidR="006657FA" w:rsidRDefault="008B264A">
      <w:r>
        <w:rPr>
          <w:b/>
        </w:rPr>
        <w:t xml:space="preserve">Market Penetration: </w:t>
      </w:r>
      <w:r>
        <w:t xml:space="preserve">This tactic seeks to boost sales in current markets. The result for Quebec farmers was an increase in sales to the same </w:t>
      </w:r>
      <w:proofErr w:type="spellStart"/>
      <w:r>
        <w:t>neighbourhood</w:t>
      </w:r>
      <w:proofErr w:type="spellEnd"/>
      <w:r>
        <w:t xml:space="preserve"> customers. They were able to do this by putting their business online, adjusting to new sales </w:t>
      </w:r>
      <w:r>
        <w:t>channels, and taking advantage of the pandemic's rising desire for regional goods. They were able to reach further into their current customer base thanks to this digital transformation, which somewhat compensated for the losses.</w:t>
      </w:r>
    </w:p>
    <w:p w14:paraId="10D4B0B6" w14:textId="77777777" w:rsidR="006657FA" w:rsidRDefault="008B264A">
      <w:r>
        <w:rPr>
          <w:b/>
        </w:rPr>
        <w:t xml:space="preserve">Market Development: </w:t>
      </w:r>
      <w:r>
        <w:t xml:space="preserve">Dawes </w:t>
      </w:r>
      <w:r>
        <w:t xml:space="preserve">(2018) </w:t>
      </w:r>
      <w:proofErr w:type="spellStart"/>
      <w:r>
        <w:t>emphasised</w:t>
      </w:r>
      <w:proofErr w:type="spellEnd"/>
      <w:r>
        <w:t xml:space="preserve"> that</w:t>
      </w:r>
      <w:r>
        <w:rPr>
          <w:b/>
        </w:rPr>
        <w:t xml:space="preserve"> </w:t>
      </w:r>
      <w:r>
        <w:t>the goal of market development is to take the company into new markets. For farmers, this meant using a variety of marketing tools to reach out to new clients. This might have involved interacting with customers outside of their typi</w:t>
      </w:r>
      <w:r>
        <w:t>cal target markets or introducing themselves to new client groups, such as local-sourcing restaurants or those who had become more interested in cooking as a result of lockdowns.</w:t>
      </w:r>
    </w:p>
    <w:p w14:paraId="4A8BFB5A" w14:textId="77777777" w:rsidR="006657FA" w:rsidRDefault="008B264A">
      <w:r>
        <w:rPr>
          <w:b/>
        </w:rPr>
        <w:t>Product Development</w:t>
      </w:r>
      <w:r>
        <w:t>: According to Ferrell et al. (2021), a key component of p</w:t>
      </w:r>
      <w:r>
        <w:t>roduct development strategy is the innovation of current product offerings in response to shifting consumer needs. For farmers, this can entail providing various product varieties that are in line with current eating habits or packaging and marketing produ</w:t>
      </w:r>
      <w:r>
        <w:t>ce in novel ways, including making ready-to-cook meal kits.</w:t>
      </w:r>
    </w:p>
    <w:p w14:paraId="77367F3D" w14:textId="77777777" w:rsidR="006657FA" w:rsidRDefault="008B264A">
      <w:r>
        <w:rPr>
          <w:b/>
        </w:rPr>
        <w:t xml:space="preserve">Diversification: </w:t>
      </w:r>
      <w:r>
        <w:t>The riskiest growth approach, diversification entails introducing new items into untapped areas (Doole &amp; Lowe, 2012). Full diversification was not possible due to the nature of fa</w:t>
      </w:r>
      <w:r>
        <w:t>rming operations and the pandemic's brief duration of impact. However, other farmers may have dabbled in novel areas like online culinary classes or workshops, offering a second source of income.</w:t>
      </w:r>
    </w:p>
    <w:p w14:paraId="00BC354F" w14:textId="77777777" w:rsidR="006657FA" w:rsidRDefault="008B264A">
      <w:pPr>
        <w:pStyle w:val="Heading1"/>
      </w:pPr>
      <w:bookmarkStart w:id="8" w:name="_4d34og8" w:colFirst="0" w:colLast="0"/>
      <w:bookmarkEnd w:id="8"/>
      <w:r>
        <w:lastRenderedPageBreak/>
        <w:t>Strategy Implementation</w:t>
      </w:r>
    </w:p>
    <w:p w14:paraId="4F55CBC6" w14:textId="77777777" w:rsidR="006657FA" w:rsidRDefault="008B264A">
      <w:r>
        <w:t>In response to the difficulties pose</w:t>
      </w:r>
      <w:r>
        <w:t>d by the pandemic, Quebec farmers implemented several creative adaptation measures during the strategy implementation phase. These tactics, which showed their adaptability and resiliency, comprised:</w:t>
      </w:r>
    </w:p>
    <w:p w14:paraId="29774DFD" w14:textId="77777777" w:rsidR="006657FA" w:rsidRDefault="008B264A">
      <w:r>
        <w:rPr>
          <w:b/>
        </w:rPr>
        <w:t>Redistribution</w:t>
      </w:r>
      <w:r>
        <w:t>: To adapt to the fluctuations in demand, f</w:t>
      </w:r>
      <w:r>
        <w:t>armers shifted their products to new markets (Gordon &amp; Glenn, 2009) .</w:t>
      </w:r>
    </w:p>
    <w:p w14:paraId="60F7A6CB" w14:textId="77777777" w:rsidR="006657FA" w:rsidRDefault="008B264A">
      <w:r>
        <w:rPr>
          <w:b/>
        </w:rPr>
        <w:t>Streamlining</w:t>
      </w:r>
      <w:r>
        <w:t xml:space="preserve">: To better </w:t>
      </w:r>
      <w:proofErr w:type="spellStart"/>
      <w:r>
        <w:t>utilise</w:t>
      </w:r>
      <w:proofErr w:type="spellEnd"/>
      <w:r>
        <w:t xml:space="preserve"> the </w:t>
      </w:r>
      <w:proofErr w:type="spellStart"/>
      <w:r>
        <w:t>labour</w:t>
      </w:r>
      <w:proofErr w:type="spellEnd"/>
      <w:r>
        <w:t xml:space="preserve"> and resources at hand, they reduced their product lines.</w:t>
      </w:r>
    </w:p>
    <w:p w14:paraId="17C6A951" w14:textId="77777777" w:rsidR="006657FA" w:rsidRDefault="008B264A">
      <w:r>
        <w:rPr>
          <w:b/>
        </w:rPr>
        <w:t>Replacement</w:t>
      </w:r>
      <w:r>
        <w:t>: Farmers now reach consumers online instead of through traditional sales c</w:t>
      </w:r>
      <w:r>
        <w:t>hannels.</w:t>
      </w:r>
    </w:p>
    <w:p w14:paraId="3B5A4DA9" w14:textId="77777777" w:rsidR="006657FA" w:rsidRDefault="008B264A">
      <w:r>
        <w:rPr>
          <w:b/>
        </w:rPr>
        <w:t>Collaboration</w:t>
      </w:r>
      <w:r>
        <w:t xml:space="preserve">: To share risks and pool resources, they formed partnerships with other farms or </w:t>
      </w:r>
      <w:proofErr w:type="spellStart"/>
      <w:r>
        <w:t>neighbourhood</w:t>
      </w:r>
      <w:proofErr w:type="spellEnd"/>
      <w:r>
        <w:t xml:space="preserve"> businesses.</w:t>
      </w:r>
    </w:p>
    <w:p w14:paraId="12621FF1" w14:textId="77777777" w:rsidR="006657FA" w:rsidRDefault="008B264A">
      <w:r>
        <w:rPr>
          <w:b/>
        </w:rPr>
        <w:t xml:space="preserve">Farm Adjustment: </w:t>
      </w:r>
      <w:r>
        <w:t>Farming practices were modified to account for changes in supply and demand.</w:t>
      </w:r>
    </w:p>
    <w:p w14:paraId="59702855" w14:textId="77777777" w:rsidR="006657FA" w:rsidRDefault="008B264A">
      <w:r>
        <w:rPr>
          <w:b/>
        </w:rPr>
        <w:t xml:space="preserve">Outlet Adjustment: </w:t>
      </w:r>
      <w:r>
        <w:t>Sales outlets</w:t>
      </w:r>
      <w:r>
        <w:t xml:space="preserve"> had modifications, including increased safety precautions.</w:t>
      </w:r>
    </w:p>
    <w:p w14:paraId="3EC81F2B" w14:textId="77777777" w:rsidR="006657FA" w:rsidRDefault="008B264A">
      <w:r>
        <w:t>About 40% of farmers modified their distribution plans, displaying extraordinary adaptability and toughness.</w:t>
      </w:r>
    </w:p>
    <w:p w14:paraId="1E6089BE" w14:textId="77777777" w:rsidR="006657FA" w:rsidRDefault="008B264A">
      <w:pPr>
        <w:pStyle w:val="Heading1"/>
      </w:pPr>
      <w:bookmarkStart w:id="9" w:name="_2s8eyo1" w:colFirst="0" w:colLast="0"/>
      <w:bookmarkEnd w:id="9"/>
      <w:r>
        <w:t>Conclusion</w:t>
      </w:r>
    </w:p>
    <w:p w14:paraId="7890FEAF" w14:textId="77777777" w:rsidR="006657FA" w:rsidRDefault="008B264A">
      <w:r>
        <w:t xml:space="preserve">In conclusion, a notable case study on resilience and adaptability during a </w:t>
      </w:r>
      <w:r>
        <w:t>crisis may be found in Quebec farmers' strategic response to the risks and challenges posed by the Covid-19 outbreak. It has been feasible to glean many useful insights by applying a variety of marketing frameworks and theories, including the SWOT analysis</w:t>
      </w:r>
      <w:r>
        <w:t>, PESTLE analysis, Ansoff Matrix, and principles of competitive analysis.</w:t>
      </w:r>
    </w:p>
    <w:p w14:paraId="6D877668" w14:textId="77777777" w:rsidR="006657FA" w:rsidRDefault="008B264A">
      <w:r>
        <w:t xml:space="preserve">This analysis </w:t>
      </w:r>
      <w:proofErr w:type="spellStart"/>
      <w:r>
        <w:t>emphasises</w:t>
      </w:r>
      <w:proofErr w:type="spellEnd"/>
      <w:r>
        <w:t xml:space="preserve"> the inherent worth of adaptability and toughness in any firm, particularly in the face of unpredictability. It </w:t>
      </w:r>
      <w:proofErr w:type="spellStart"/>
      <w:r>
        <w:t>emphasises</w:t>
      </w:r>
      <w:proofErr w:type="spellEnd"/>
      <w:r>
        <w:t xml:space="preserve"> how crucial strategic </w:t>
      </w:r>
      <w:r>
        <w:t>planning is for guiding firms through adversity and how it must be supported by a thorough grasp of the internal and external environment.</w:t>
      </w:r>
    </w:p>
    <w:p w14:paraId="00D67749" w14:textId="77777777" w:rsidR="006657FA" w:rsidRDefault="008B264A">
      <w:r>
        <w:lastRenderedPageBreak/>
        <w:t>The results also highlight the potential of technological change as a tactical reaction to market changes, highlighti</w:t>
      </w:r>
      <w:r>
        <w:t>ng its significance as a metric for the future. In short, businesses can learn a lot from the Quebec farmers' perspective on managing crises and creating durable, long-lasting operations.</w:t>
      </w:r>
    </w:p>
    <w:p w14:paraId="3EAAD69B" w14:textId="77777777" w:rsidR="006657FA" w:rsidRDefault="008B264A">
      <w:pPr>
        <w:spacing w:line="259" w:lineRule="auto"/>
        <w:jc w:val="left"/>
      </w:pPr>
      <w:r>
        <w:br w:type="page"/>
      </w:r>
    </w:p>
    <w:p w14:paraId="3AF7BCCB" w14:textId="77777777" w:rsidR="006657FA" w:rsidRDefault="008B264A">
      <w:pPr>
        <w:pStyle w:val="Heading1"/>
      </w:pPr>
      <w:bookmarkStart w:id="10" w:name="_17dp8vu" w:colFirst="0" w:colLast="0"/>
      <w:bookmarkEnd w:id="10"/>
      <w:r>
        <w:lastRenderedPageBreak/>
        <w:t>References</w:t>
      </w:r>
    </w:p>
    <w:p w14:paraId="4D129DCC" w14:textId="77777777" w:rsidR="006657FA" w:rsidRDefault="008B264A">
      <w:pPr>
        <w:ind w:left="720" w:hanging="720"/>
        <w:rPr>
          <w:highlight w:val="white"/>
        </w:rPr>
      </w:pPr>
      <w:proofErr w:type="spellStart"/>
      <w:r>
        <w:rPr>
          <w:highlight w:val="white"/>
        </w:rPr>
        <w:t>Benzaghta</w:t>
      </w:r>
      <w:proofErr w:type="spellEnd"/>
      <w:r>
        <w:rPr>
          <w:highlight w:val="white"/>
        </w:rPr>
        <w:t xml:space="preserve">, M.A., </w:t>
      </w:r>
      <w:proofErr w:type="spellStart"/>
      <w:r>
        <w:rPr>
          <w:highlight w:val="white"/>
        </w:rPr>
        <w:t>Elwalda</w:t>
      </w:r>
      <w:proofErr w:type="spellEnd"/>
      <w:r>
        <w:rPr>
          <w:highlight w:val="white"/>
        </w:rPr>
        <w:t>, A., Mousa, M.M., Erkan, I. an</w:t>
      </w:r>
      <w:r>
        <w:rPr>
          <w:highlight w:val="white"/>
        </w:rPr>
        <w:t>d Rahman, M., 2021. SWOT analysis applications: An integrative literature review. </w:t>
      </w:r>
      <w:r>
        <w:rPr>
          <w:i/>
          <w:highlight w:val="white"/>
        </w:rPr>
        <w:t>Journal of Global Business Insights</w:t>
      </w:r>
      <w:r>
        <w:rPr>
          <w:highlight w:val="white"/>
        </w:rPr>
        <w:t>, </w:t>
      </w:r>
      <w:r>
        <w:rPr>
          <w:i/>
          <w:highlight w:val="white"/>
        </w:rPr>
        <w:t>6</w:t>
      </w:r>
      <w:r>
        <w:rPr>
          <w:highlight w:val="white"/>
        </w:rPr>
        <w:t>(1), pp.55-73.</w:t>
      </w:r>
    </w:p>
    <w:p w14:paraId="5E3C8415" w14:textId="77777777" w:rsidR="006657FA" w:rsidRDefault="008B264A">
      <w:pPr>
        <w:ind w:left="720" w:hanging="720"/>
        <w:rPr>
          <w:highlight w:val="white"/>
        </w:rPr>
      </w:pPr>
      <w:r>
        <w:rPr>
          <w:highlight w:val="white"/>
        </w:rPr>
        <w:t>Briske, D.D., Joyce, L.A., Polley, H.W., Brown, J.R., Wolter, K., Morgan, J.A., McCarl, B.A. and Bailey, D.W., 2015. Clim</w:t>
      </w:r>
      <w:r>
        <w:rPr>
          <w:highlight w:val="white"/>
        </w:rPr>
        <w:t>ate</w:t>
      </w:r>
      <w:r>
        <w:rPr>
          <w:rFonts w:ascii="Cambria Math" w:eastAsia="Cambria Math" w:hAnsi="Cambria Math" w:cs="Cambria Math"/>
          <w:highlight w:val="white"/>
        </w:rPr>
        <w:t>‐</w:t>
      </w:r>
      <w:r>
        <w:rPr>
          <w:highlight w:val="white"/>
        </w:rPr>
        <w:t>change adaptation on rangelands: linking regional exposure with diverse adaptive capacity. </w:t>
      </w:r>
      <w:r>
        <w:rPr>
          <w:i/>
          <w:highlight w:val="white"/>
        </w:rPr>
        <w:t>Frontiers in Ecology and the Environment</w:t>
      </w:r>
      <w:r>
        <w:rPr>
          <w:highlight w:val="white"/>
        </w:rPr>
        <w:t>, </w:t>
      </w:r>
      <w:r>
        <w:rPr>
          <w:i/>
          <w:highlight w:val="white"/>
        </w:rPr>
        <w:t>13</w:t>
      </w:r>
      <w:r>
        <w:rPr>
          <w:highlight w:val="white"/>
        </w:rPr>
        <w:t>(5), pp.249-256.</w:t>
      </w:r>
    </w:p>
    <w:p w14:paraId="52A405D3" w14:textId="77777777" w:rsidR="006657FA" w:rsidRDefault="008B264A">
      <w:pPr>
        <w:ind w:left="720" w:hanging="720"/>
        <w:rPr>
          <w:highlight w:val="white"/>
        </w:rPr>
      </w:pPr>
      <w:r>
        <w:rPr>
          <w:highlight w:val="white"/>
        </w:rPr>
        <w:t>Dawes, J., 2018. The Ansoff matrix: A legendary tool, but with two logical problems. </w:t>
      </w:r>
      <w:r>
        <w:rPr>
          <w:i/>
          <w:highlight w:val="white"/>
        </w:rPr>
        <w:t>But with Two Lo</w:t>
      </w:r>
      <w:r>
        <w:rPr>
          <w:i/>
          <w:highlight w:val="white"/>
        </w:rPr>
        <w:t>gical Problems (February 27, 2018)</w:t>
      </w:r>
      <w:r>
        <w:rPr>
          <w:highlight w:val="white"/>
        </w:rPr>
        <w:t>.</w:t>
      </w:r>
    </w:p>
    <w:p w14:paraId="79805494" w14:textId="77777777" w:rsidR="006657FA" w:rsidRDefault="008B264A">
      <w:pPr>
        <w:ind w:left="720" w:hanging="720"/>
        <w:rPr>
          <w:highlight w:val="white"/>
        </w:rPr>
      </w:pPr>
      <w:r>
        <w:rPr>
          <w:highlight w:val="white"/>
        </w:rPr>
        <w:t>Doole, I. and Lowe, R., 2012. </w:t>
      </w:r>
      <w:r>
        <w:rPr>
          <w:i/>
          <w:highlight w:val="white"/>
        </w:rPr>
        <w:t>International marketing strategy</w:t>
      </w:r>
      <w:r>
        <w:rPr>
          <w:highlight w:val="white"/>
        </w:rPr>
        <w:t> (Vol. 7). Cengage Learning.</w:t>
      </w:r>
    </w:p>
    <w:p w14:paraId="4B39A54E" w14:textId="77777777" w:rsidR="006657FA" w:rsidRDefault="008B264A">
      <w:pPr>
        <w:ind w:left="720" w:hanging="720"/>
        <w:rPr>
          <w:highlight w:val="white"/>
        </w:rPr>
      </w:pPr>
      <w:r>
        <w:rPr>
          <w:highlight w:val="white"/>
        </w:rPr>
        <w:t>Fazey, I., Gamarra, J.G., Fischer, J., Reed, M.S., Stringer, L.C. and Christie, M., 2010. Adaptation strategies for reducing vuln</w:t>
      </w:r>
      <w:r>
        <w:rPr>
          <w:highlight w:val="white"/>
        </w:rPr>
        <w:t>erability to future environmental change. </w:t>
      </w:r>
      <w:r>
        <w:rPr>
          <w:i/>
          <w:highlight w:val="white"/>
        </w:rPr>
        <w:t>Frontiers in Ecology and the Environment</w:t>
      </w:r>
      <w:r>
        <w:rPr>
          <w:highlight w:val="white"/>
        </w:rPr>
        <w:t>, </w:t>
      </w:r>
      <w:r>
        <w:rPr>
          <w:i/>
          <w:highlight w:val="white"/>
        </w:rPr>
        <w:t>8</w:t>
      </w:r>
      <w:r>
        <w:rPr>
          <w:highlight w:val="white"/>
        </w:rPr>
        <w:t>(8), pp.414-422.</w:t>
      </w:r>
    </w:p>
    <w:p w14:paraId="7D877EC5" w14:textId="77777777" w:rsidR="006657FA" w:rsidRDefault="008B264A">
      <w:pPr>
        <w:ind w:left="720" w:hanging="720"/>
        <w:rPr>
          <w:highlight w:val="white"/>
        </w:rPr>
      </w:pPr>
      <w:r w:rsidRPr="004146D9">
        <w:rPr>
          <w:highlight w:val="white"/>
          <w:lang w:val="de-DE"/>
        </w:rPr>
        <w:t>Ferrell, O.C., Hartline, M. and Hochstein, B.W., 2021. </w:t>
      </w:r>
      <w:r>
        <w:rPr>
          <w:i/>
          <w:highlight w:val="white"/>
        </w:rPr>
        <w:t>Marketing strategy</w:t>
      </w:r>
      <w:r>
        <w:rPr>
          <w:highlight w:val="white"/>
        </w:rPr>
        <w:t>. Cengage Learning.</w:t>
      </w:r>
    </w:p>
    <w:p w14:paraId="521738D0" w14:textId="77777777" w:rsidR="006657FA" w:rsidRDefault="008B264A">
      <w:pPr>
        <w:ind w:left="720" w:hanging="720"/>
        <w:rPr>
          <w:highlight w:val="white"/>
        </w:rPr>
      </w:pPr>
      <w:r>
        <w:rPr>
          <w:highlight w:val="white"/>
        </w:rPr>
        <w:t>Gordon, T.J. and Glenn, J.C., 2009. Environmental scanning. </w:t>
      </w:r>
      <w:r>
        <w:rPr>
          <w:i/>
          <w:highlight w:val="white"/>
        </w:rPr>
        <w:t>F</w:t>
      </w:r>
      <w:r>
        <w:rPr>
          <w:i/>
          <w:highlight w:val="white"/>
        </w:rPr>
        <w:t>utures research methodology—version</w:t>
      </w:r>
      <w:r>
        <w:rPr>
          <w:highlight w:val="white"/>
        </w:rPr>
        <w:t>, </w:t>
      </w:r>
      <w:r>
        <w:rPr>
          <w:i/>
          <w:highlight w:val="white"/>
        </w:rPr>
        <w:t>3</w:t>
      </w:r>
      <w:r>
        <w:rPr>
          <w:highlight w:val="white"/>
        </w:rPr>
        <w:t>(3).</w:t>
      </w:r>
    </w:p>
    <w:p w14:paraId="5FEB571B" w14:textId="77777777" w:rsidR="006657FA" w:rsidRDefault="008B264A">
      <w:pPr>
        <w:ind w:left="720" w:hanging="720"/>
        <w:rPr>
          <w:highlight w:val="white"/>
        </w:rPr>
      </w:pPr>
      <w:r>
        <w:rPr>
          <w:highlight w:val="white"/>
        </w:rPr>
        <w:t>Hussain, S., Khattak, J., Rizwan, A. and Latif, M.A., 2013. ANSOFF matrix, environment, and growth-an interactive triangle. </w:t>
      </w:r>
      <w:r>
        <w:rPr>
          <w:i/>
          <w:highlight w:val="white"/>
        </w:rPr>
        <w:t>Management and Administrative Sciences Review</w:t>
      </w:r>
      <w:r>
        <w:rPr>
          <w:highlight w:val="white"/>
        </w:rPr>
        <w:t>, </w:t>
      </w:r>
      <w:r>
        <w:rPr>
          <w:i/>
          <w:highlight w:val="white"/>
        </w:rPr>
        <w:t>2</w:t>
      </w:r>
      <w:r>
        <w:rPr>
          <w:highlight w:val="white"/>
        </w:rPr>
        <w:t>(2), pp.196-206.</w:t>
      </w:r>
    </w:p>
    <w:p w14:paraId="627994F4" w14:textId="77777777" w:rsidR="006657FA" w:rsidRDefault="008B264A">
      <w:pPr>
        <w:ind w:left="720" w:hanging="720"/>
        <w:rPr>
          <w:highlight w:val="white"/>
        </w:rPr>
      </w:pPr>
      <w:r>
        <w:rPr>
          <w:highlight w:val="white"/>
        </w:rPr>
        <w:t>Loredana, E.M., 2016. Th</w:t>
      </w:r>
      <w:r>
        <w:rPr>
          <w:highlight w:val="white"/>
        </w:rPr>
        <w:t>e use of Ansoff matrix in the field of business. In </w:t>
      </w:r>
      <w:r>
        <w:rPr>
          <w:i/>
          <w:highlight w:val="white"/>
        </w:rPr>
        <w:t>MATEC Web of Conferences</w:t>
      </w:r>
      <w:r>
        <w:rPr>
          <w:highlight w:val="white"/>
        </w:rPr>
        <w:t> (Vol. 44, p. 01006).</w:t>
      </w:r>
    </w:p>
    <w:p w14:paraId="6D542EED" w14:textId="77777777" w:rsidR="006657FA" w:rsidRDefault="008B264A">
      <w:pPr>
        <w:ind w:left="720" w:hanging="720"/>
        <w:rPr>
          <w:highlight w:val="white"/>
        </w:rPr>
      </w:pPr>
      <w:r>
        <w:rPr>
          <w:highlight w:val="white"/>
        </w:rPr>
        <w:t xml:space="preserve">Schreiber, K., Soubry, B., Dove-McFalls, C. and MacDonald, G.K., 2022. Diverse adaptation strategies helped local food producers cope with initial challenges </w:t>
      </w:r>
      <w:r>
        <w:rPr>
          <w:highlight w:val="white"/>
        </w:rPr>
        <w:t>of the Covid-19 pandemic: Lessons from Québec, Canada. </w:t>
      </w:r>
      <w:r>
        <w:rPr>
          <w:i/>
          <w:highlight w:val="white"/>
        </w:rPr>
        <w:t>Journal of Rural Studies</w:t>
      </w:r>
      <w:r>
        <w:rPr>
          <w:highlight w:val="white"/>
        </w:rPr>
        <w:t>, </w:t>
      </w:r>
      <w:r>
        <w:rPr>
          <w:i/>
          <w:highlight w:val="white"/>
        </w:rPr>
        <w:t>90</w:t>
      </w:r>
      <w:r>
        <w:rPr>
          <w:highlight w:val="white"/>
        </w:rPr>
        <w:t>, pp.124-133.</w:t>
      </w:r>
    </w:p>
    <w:p w14:paraId="51993594" w14:textId="77777777" w:rsidR="006657FA" w:rsidRDefault="008B264A">
      <w:pPr>
        <w:ind w:left="720" w:hanging="720"/>
      </w:pPr>
      <w:r>
        <w:rPr>
          <w:highlight w:val="white"/>
        </w:rPr>
        <w:t>Vlados, C., 2019. On a correlative and evolutionary SWOT analysis. </w:t>
      </w:r>
      <w:r>
        <w:rPr>
          <w:i/>
          <w:highlight w:val="white"/>
        </w:rPr>
        <w:t>Journal of Strategy and Management</w:t>
      </w:r>
      <w:r>
        <w:rPr>
          <w:highlight w:val="white"/>
        </w:rPr>
        <w:t>, </w:t>
      </w:r>
      <w:r>
        <w:rPr>
          <w:i/>
          <w:highlight w:val="white"/>
        </w:rPr>
        <w:t>12</w:t>
      </w:r>
      <w:r>
        <w:rPr>
          <w:highlight w:val="white"/>
        </w:rPr>
        <w:t>(3), pp.347-363.</w:t>
      </w:r>
    </w:p>
    <w:p w14:paraId="7DA955CA" w14:textId="77777777" w:rsidR="006657FA" w:rsidRDefault="008B264A">
      <w:pPr>
        <w:ind w:left="720" w:hanging="720"/>
        <w:rPr>
          <w:highlight w:val="white"/>
        </w:rPr>
      </w:pPr>
      <w:r>
        <w:rPr>
          <w:highlight w:val="white"/>
        </w:rPr>
        <w:lastRenderedPageBreak/>
        <w:t>Wang, K.C., 2007, July. A process vie</w:t>
      </w:r>
      <w:r>
        <w:rPr>
          <w:highlight w:val="white"/>
        </w:rPr>
        <w:t>w of SWOT analysis. In </w:t>
      </w:r>
      <w:r>
        <w:rPr>
          <w:i/>
          <w:highlight w:val="white"/>
        </w:rPr>
        <w:t>Proceedings of the 51st Annual Meeting of the ISSS-2007, Tokyo, Japan</w:t>
      </w:r>
      <w:r>
        <w:rPr>
          <w:highlight w:val="white"/>
        </w:rPr>
        <w:t>.</w:t>
      </w:r>
    </w:p>
    <w:p w14:paraId="644D1D38" w14:textId="77777777" w:rsidR="006657FA" w:rsidRDefault="008B264A">
      <w:pPr>
        <w:ind w:left="720" w:hanging="720"/>
        <w:rPr>
          <w:highlight w:val="white"/>
        </w:rPr>
      </w:pPr>
      <w:r>
        <w:rPr>
          <w:highlight w:val="white"/>
        </w:rPr>
        <w:t>Yüksel, I., 2012. Developing a multi-criteria decision making model for PESTEL analysis. </w:t>
      </w:r>
      <w:r>
        <w:rPr>
          <w:i/>
          <w:highlight w:val="white"/>
        </w:rPr>
        <w:t>International Journal of Business and Management</w:t>
      </w:r>
      <w:r>
        <w:rPr>
          <w:highlight w:val="white"/>
        </w:rPr>
        <w:t>, </w:t>
      </w:r>
      <w:r>
        <w:rPr>
          <w:i/>
          <w:highlight w:val="white"/>
        </w:rPr>
        <w:t>7</w:t>
      </w:r>
      <w:r>
        <w:rPr>
          <w:highlight w:val="white"/>
        </w:rPr>
        <w:t>(24), p.52.</w:t>
      </w:r>
    </w:p>
    <w:p w14:paraId="7D66CA7A" w14:textId="77777777" w:rsidR="006657FA" w:rsidRDefault="006657FA"/>
    <w:p w14:paraId="6B72A20E" w14:textId="77777777" w:rsidR="006657FA" w:rsidRDefault="006657FA"/>
    <w:p w14:paraId="27BFD71E" w14:textId="77777777" w:rsidR="006657FA" w:rsidRDefault="006657FA"/>
    <w:sectPr w:rsidR="006657FA">
      <w:headerReference w:type="default" r:id="rId15"/>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959AF" w14:textId="77777777" w:rsidR="00B10860" w:rsidRDefault="00B10860">
      <w:pPr>
        <w:spacing w:after="0" w:line="240" w:lineRule="auto"/>
      </w:pPr>
      <w:r>
        <w:separator/>
      </w:r>
    </w:p>
  </w:endnote>
  <w:endnote w:type="continuationSeparator" w:id="0">
    <w:p w14:paraId="732D42FD" w14:textId="77777777" w:rsidR="00B10860" w:rsidRDefault="00B108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81EBFE" w14:textId="77777777" w:rsidR="006657FA" w:rsidRDefault="006657FA">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D9083D" w14:textId="77777777" w:rsidR="006657FA" w:rsidRDefault="006657FA">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98AF1C" w14:textId="77777777" w:rsidR="006657FA" w:rsidRDefault="006657FA">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08DEAA" w14:textId="77777777" w:rsidR="00B10860" w:rsidRDefault="00B10860">
      <w:pPr>
        <w:spacing w:after="0" w:line="240" w:lineRule="auto"/>
      </w:pPr>
      <w:r>
        <w:separator/>
      </w:r>
    </w:p>
  </w:footnote>
  <w:footnote w:type="continuationSeparator" w:id="0">
    <w:p w14:paraId="29B0D823" w14:textId="77777777" w:rsidR="00B10860" w:rsidRDefault="00B108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DF2DC3" w14:textId="77777777" w:rsidR="006657FA" w:rsidRDefault="006657FA">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759317" w14:textId="77777777" w:rsidR="006657FA" w:rsidRDefault="006657FA">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2127BF" w14:textId="77777777" w:rsidR="006657FA" w:rsidRDefault="006657FA">
    <w:pPr>
      <w:pBdr>
        <w:top w:val="nil"/>
        <w:left w:val="nil"/>
        <w:bottom w:val="nil"/>
        <w:right w:val="nil"/>
        <w:between w:val="nil"/>
      </w:pBdr>
      <w:tabs>
        <w:tab w:val="center" w:pos="4680"/>
        <w:tab w:val="right" w:pos="9360"/>
      </w:tabs>
      <w:spacing w:after="0" w:line="240" w:lineRule="auto"/>
      <w:rPr>
        <w:color w:val="000000"/>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D83CB3" w14:textId="77777777" w:rsidR="006657FA" w:rsidRDefault="008B264A">
    <w:pPr>
      <w:pBdr>
        <w:top w:val="nil"/>
        <w:left w:val="nil"/>
        <w:bottom w:val="nil"/>
        <w:right w:val="nil"/>
        <w:between w:val="nil"/>
      </w:pBdr>
      <w:tabs>
        <w:tab w:val="center" w:pos="4680"/>
        <w:tab w:val="right" w:pos="9360"/>
      </w:tabs>
      <w:spacing w:after="0" w:line="240" w:lineRule="auto"/>
      <w:rPr>
        <w:color w:val="000000"/>
      </w:rPr>
    </w:pPr>
    <w:r>
      <w:rPr>
        <w:color w:val="000000"/>
      </w:rPr>
      <w:fldChar w:fldCharType="begin"/>
    </w:r>
    <w:r>
      <w:rPr>
        <w:color w:val="000000"/>
      </w:rPr>
      <w:instrText>PAGE</w:instrText>
    </w:r>
    <w:r>
      <w:rPr>
        <w:color w:val="000000"/>
      </w:rPr>
      <w:fldChar w:fldCharType="separate"/>
    </w:r>
    <w:r w:rsidR="004146D9">
      <w:rPr>
        <w:noProof/>
        <w:color w:val="000000"/>
      </w:rPr>
      <w:t>1</w:t>
    </w:r>
    <w:r>
      <w:rPr>
        <w:color w:val="000000"/>
      </w:rPr>
      <w:fldChar w:fldCharType="end"/>
    </w:r>
  </w:p>
  <w:p w14:paraId="179D5AD3" w14:textId="77777777" w:rsidR="006657FA" w:rsidRDefault="006657FA">
    <w:pPr>
      <w:pBdr>
        <w:top w:val="nil"/>
        <w:left w:val="nil"/>
        <w:bottom w:val="nil"/>
        <w:right w:val="nil"/>
        <w:between w:val="nil"/>
      </w:pBdr>
      <w:tabs>
        <w:tab w:val="center" w:pos="4680"/>
        <w:tab w:val="right" w:pos="9360"/>
      </w:tabs>
      <w:spacing w:after="0" w:line="240" w:lineRule="auto"/>
      <w:rPr>
        <w:color w:val="00000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0A7B05" w14:textId="63B9231C" w:rsidR="006657FA" w:rsidRDefault="008B264A">
    <w:pPr>
      <w:pBdr>
        <w:top w:val="nil"/>
        <w:left w:val="nil"/>
        <w:bottom w:val="nil"/>
        <w:right w:val="nil"/>
        <w:between w:val="nil"/>
      </w:pBdr>
      <w:tabs>
        <w:tab w:val="center" w:pos="4680"/>
        <w:tab w:val="right" w:pos="9360"/>
      </w:tabs>
      <w:spacing w:after="0" w:line="240" w:lineRule="auto"/>
      <w:rPr>
        <w:color w:val="000000"/>
      </w:rPr>
    </w:pPr>
    <w:r>
      <w:rPr>
        <w:color w:val="000000"/>
      </w:rPr>
      <w:fldChar w:fldCharType="begin"/>
    </w:r>
    <w:r>
      <w:rPr>
        <w:color w:val="000000"/>
      </w:rPr>
      <w:instrText>PAGE</w:instrText>
    </w:r>
    <w:r>
      <w:rPr>
        <w:color w:val="000000"/>
      </w:rPr>
      <w:fldChar w:fldCharType="separate"/>
    </w:r>
    <w:r w:rsidR="004146D9">
      <w:rPr>
        <w:noProof/>
        <w:color w:val="000000"/>
      </w:rPr>
      <w:t>1</w:t>
    </w:r>
    <w:r>
      <w:rPr>
        <w:color w:val="000000"/>
      </w:rPr>
      <w:fldChar w:fldCharType="end"/>
    </w:r>
  </w:p>
  <w:p w14:paraId="2F1E66A1" w14:textId="77777777" w:rsidR="006657FA" w:rsidRDefault="006657FA">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57FA"/>
    <w:rsid w:val="004146D9"/>
    <w:rsid w:val="006657FA"/>
    <w:rsid w:val="00671FBE"/>
    <w:rsid w:val="00B10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9BB74"/>
  <w15:docId w15:val="{86FF664C-0E0A-4D6F-A435-AB2D4F7E6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2E75B5"/>
      <w:sz w:val="32"/>
      <w:szCs w:val="32"/>
    </w:rPr>
  </w:style>
  <w:style w:type="paragraph" w:styleId="Heading2">
    <w:name w:val="heading 2"/>
    <w:basedOn w:val="Normal"/>
    <w:next w:val="Normal"/>
    <w:uiPriority w:val="9"/>
    <w:unhideWhenUsed/>
    <w:qFormat/>
    <w:pPr>
      <w:keepNext/>
      <w:keepLines/>
      <w:spacing w:before="40" w:after="0"/>
      <w:outlineLvl w:val="1"/>
    </w:pPr>
    <w:rPr>
      <w:b/>
      <w:color w:val="2E75B5"/>
      <w:sz w:val="28"/>
      <w:szCs w:val="28"/>
    </w:rPr>
  </w:style>
  <w:style w:type="paragraph" w:styleId="Heading3">
    <w:name w:val="heading 3"/>
    <w:basedOn w:val="Normal"/>
    <w:next w:val="Normal"/>
    <w:uiPriority w:val="9"/>
    <w:semiHidden/>
    <w:unhideWhenUsed/>
    <w:qFormat/>
    <w:pPr>
      <w:keepNext/>
      <w:keepLines/>
      <w:spacing w:before="40" w:after="0"/>
      <w:outlineLvl w:val="2"/>
    </w:pPr>
    <w:rPr>
      <w:rFonts w:ascii="Calibri" w:eastAsia="Calibri" w:hAnsi="Calibri" w:cs="Calibri"/>
      <w:b/>
      <w:color w:val="1E4D7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275116">
      <w:bodyDiv w:val="1"/>
      <w:marLeft w:val="0"/>
      <w:marRight w:val="0"/>
      <w:marTop w:val="0"/>
      <w:marBottom w:val="0"/>
      <w:divBdr>
        <w:top w:val="none" w:sz="0" w:space="0" w:color="auto"/>
        <w:left w:val="none" w:sz="0" w:space="0" w:color="auto"/>
        <w:bottom w:val="none" w:sz="0" w:space="0" w:color="auto"/>
        <w:right w:val="none" w:sz="0" w:space="0" w:color="auto"/>
      </w:divBdr>
    </w:div>
    <w:div w:id="16312803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1.png"/><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header" Target="header4.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eader" Target="header5.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2047</Words>
  <Characters>11674</Characters>
  <Application>Microsoft Office Word</Application>
  <DocSecurity>0</DocSecurity>
  <Lines>97</Lines>
  <Paragraphs>27</Paragraphs>
  <ScaleCrop>false</ScaleCrop>
  <Company/>
  <LinksUpToDate>false</LinksUpToDate>
  <CharactersWithSpaces>13694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viori</dc:creator>
  <cp:lastModifiedBy>vioricabirloiu@gmail.com</cp:lastModifiedBy>
  <cp:revision>2</cp:revision>
  <dcterms:created xsi:type="dcterms:W3CDTF">2023-06-24T19:14:00Z</dcterms:created>
  <dcterms:modified xsi:type="dcterms:W3CDTF">2023-06-24T19:14:00Z</dcterms:modified>
</cp:coreProperties>
</file>