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72DA7" w14:textId="77777777" w:rsidR="00CB2D63" w:rsidRDefault="00CB2D63" w:rsidP="00CB2D63">
      <w:pPr>
        <w:jc w:val="center"/>
        <w:rPr>
          <w:b/>
          <w:bCs/>
          <w:szCs w:val="24"/>
        </w:rPr>
      </w:pPr>
    </w:p>
    <w:p w14:paraId="5C20F0AE" w14:textId="77777777" w:rsidR="00CB2D63" w:rsidRPr="00C63657" w:rsidRDefault="00CB2D63" w:rsidP="00C63657">
      <w:pPr>
        <w:jc w:val="center"/>
        <w:rPr>
          <w:rFonts w:ascii="Arial" w:hAnsi="Arial" w:cs="Arial"/>
          <w:b/>
          <w:bCs/>
          <w:sz w:val="28"/>
          <w:szCs w:val="28"/>
        </w:rPr>
      </w:pPr>
    </w:p>
    <w:p w14:paraId="31E0AFAA" w14:textId="74618464" w:rsidR="00CB2D63" w:rsidRPr="00C63657" w:rsidRDefault="00CB2D63" w:rsidP="00C63657">
      <w:pPr>
        <w:jc w:val="center"/>
        <w:rPr>
          <w:rFonts w:ascii="Arial" w:hAnsi="Arial" w:cs="Arial"/>
          <w:b/>
          <w:bCs/>
          <w:sz w:val="28"/>
          <w:szCs w:val="28"/>
        </w:rPr>
      </w:pPr>
      <w:r w:rsidRPr="00C63657">
        <w:rPr>
          <w:rFonts w:ascii="Arial" w:hAnsi="Arial" w:cs="Arial"/>
          <w:b/>
          <w:bCs/>
          <w:sz w:val="28"/>
          <w:szCs w:val="28"/>
        </w:rPr>
        <w:t>University of Wales Trinity Saint David</w:t>
      </w:r>
    </w:p>
    <w:p w14:paraId="13BFE3C1" w14:textId="77777777" w:rsidR="00CB2D63" w:rsidRPr="00C63657" w:rsidRDefault="00CB2D63" w:rsidP="00C63657">
      <w:pPr>
        <w:jc w:val="center"/>
        <w:rPr>
          <w:rFonts w:ascii="Arial" w:hAnsi="Arial" w:cs="Arial"/>
          <w:b/>
          <w:bCs/>
          <w:sz w:val="28"/>
          <w:szCs w:val="28"/>
        </w:rPr>
      </w:pPr>
    </w:p>
    <w:p w14:paraId="4391122B" w14:textId="30F6CA85" w:rsidR="00CB2D63" w:rsidRPr="00C63657" w:rsidRDefault="00CB2D63" w:rsidP="00C63657">
      <w:pPr>
        <w:jc w:val="center"/>
        <w:rPr>
          <w:rFonts w:ascii="Arial" w:hAnsi="Arial" w:cs="Arial"/>
          <w:b/>
          <w:bCs/>
          <w:sz w:val="28"/>
          <w:szCs w:val="28"/>
        </w:rPr>
      </w:pPr>
      <w:r w:rsidRPr="00C63657">
        <w:rPr>
          <w:rFonts w:ascii="Arial" w:hAnsi="Arial" w:cs="Arial"/>
          <w:b/>
          <w:bCs/>
          <w:sz w:val="28"/>
          <w:szCs w:val="28"/>
        </w:rPr>
        <w:t xml:space="preserve">Assignment Title: “Design Thinking and Digital Transformation: A Strategic Innovation Analysis of </w:t>
      </w:r>
      <w:r w:rsidR="00726241" w:rsidRPr="00C63657">
        <w:rPr>
          <w:rFonts w:ascii="Arial" w:hAnsi="Arial" w:cs="Arial"/>
          <w:b/>
          <w:bCs/>
          <w:sz w:val="28"/>
          <w:szCs w:val="28"/>
        </w:rPr>
        <w:t>Greggs</w:t>
      </w:r>
      <w:r w:rsidRPr="00C63657">
        <w:rPr>
          <w:rFonts w:ascii="Arial" w:hAnsi="Arial" w:cs="Arial"/>
          <w:b/>
          <w:bCs/>
          <w:sz w:val="28"/>
          <w:szCs w:val="28"/>
        </w:rPr>
        <w:t>”</w:t>
      </w:r>
    </w:p>
    <w:p w14:paraId="2F72D829" w14:textId="77777777" w:rsidR="00CB2D63" w:rsidRPr="00C63657" w:rsidRDefault="00CB2D63" w:rsidP="00C63657">
      <w:pPr>
        <w:jc w:val="center"/>
        <w:rPr>
          <w:rFonts w:ascii="Arial" w:hAnsi="Arial" w:cs="Arial"/>
          <w:b/>
          <w:bCs/>
          <w:sz w:val="28"/>
          <w:szCs w:val="28"/>
        </w:rPr>
      </w:pPr>
    </w:p>
    <w:p w14:paraId="63DB5CE2" w14:textId="77777777" w:rsidR="00CB2D63" w:rsidRPr="00C63657" w:rsidRDefault="00CB2D63" w:rsidP="00C63657">
      <w:pPr>
        <w:jc w:val="center"/>
        <w:rPr>
          <w:rFonts w:ascii="Arial" w:hAnsi="Arial" w:cs="Arial"/>
          <w:b/>
          <w:bCs/>
          <w:sz w:val="28"/>
          <w:szCs w:val="28"/>
        </w:rPr>
      </w:pPr>
      <w:r w:rsidRPr="00C63657">
        <w:rPr>
          <w:rFonts w:ascii="Arial" w:hAnsi="Arial" w:cs="Arial"/>
          <w:b/>
          <w:bCs/>
          <w:sz w:val="28"/>
          <w:szCs w:val="28"/>
        </w:rPr>
        <w:t>Module: Design Thinking and Innovation - LCLM6002</w:t>
      </w:r>
    </w:p>
    <w:p w14:paraId="71872895" w14:textId="6DC080EA" w:rsidR="00CB2D63" w:rsidRPr="00C63657" w:rsidRDefault="00CB2D63" w:rsidP="00C63657">
      <w:pPr>
        <w:jc w:val="center"/>
        <w:rPr>
          <w:rFonts w:ascii="Arial" w:hAnsi="Arial" w:cs="Arial"/>
          <w:sz w:val="28"/>
          <w:szCs w:val="28"/>
        </w:rPr>
      </w:pPr>
      <w:r w:rsidRPr="00C63657">
        <w:rPr>
          <w:rFonts w:ascii="Arial" w:hAnsi="Arial" w:cs="Arial"/>
          <w:b/>
          <w:bCs/>
          <w:sz w:val="28"/>
          <w:szCs w:val="28"/>
        </w:rPr>
        <w:t>Student Name:</w:t>
      </w:r>
      <w:r w:rsidRPr="00C63657">
        <w:rPr>
          <w:rFonts w:ascii="Arial" w:hAnsi="Arial" w:cs="Arial"/>
          <w:sz w:val="28"/>
          <w:szCs w:val="28"/>
        </w:rPr>
        <w:t xml:space="preserve"> </w:t>
      </w:r>
      <w:r w:rsidR="002D30F3" w:rsidRPr="00C63657">
        <w:rPr>
          <w:rFonts w:ascii="Arial" w:hAnsi="Arial" w:cs="Arial"/>
          <w:sz w:val="28"/>
          <w:szCs w:val="28"/>
        </w:rPr>
        <w:t>Karen Lewis</w:t>
      </w:r>
    </w:p>
    <w:p w14:paraId="692CDE34" w14:textId="4E3028CC" w:rsidR="00CB2D63" w:rsidRPr="00C63657" w:rsidRDefault="00CB2D63" w:rsidP="00C63657">
      <w:pPr>
        <w:jc w:val="center"/>
        <w:rPr>
          <w:rFonts w:ascii="Arial" w:hAnsi="Arial" w:cs="Arial"/>
          <w:sz w:val="28"/>
          <w:szCs w:val="28"/>
        </w:rPr>
      </w:pPr>
      <w:r w:rsidRPr="00C63657">
        <w:rPr>
          <w:rFonts w:ascii="Arial" w:hAnsi="Arial" w:cs="Arial"/>
          <w:b/>
          <w:bCs/>
          <w:sz w:val="28"/>
          <w:szCs w:val="28"/>
        </w:rPr>
        <w:t>Student ID:</w:t>
      </w:r>
      <w:r w:rsidRPr="00C63657">
        <w:rPr>
          <w:rFonts w:ascii="Arial" w:hAnsi="Arial" w:cs="Arial"/>
          <w:sz w:val="28"/>
          <w:szCs w:val="28"/>
        </w:rPr>
        <w:t xml:space="preserve"> </w:t>
      </w:r>
      <w:r w:rsidR="002D30F3" w:rsidRPr="00C63657">
        <w:rPr>
          <w:rFonts w:ascii="Arial" w:hAnsi="Arial" w:cs="Arial"/>
          <w:sz w:val="28"/>
          <w:szCs w:val="28"/>
        </w:rPr>
        <w:t>2310065</w:t>
      </w:r>
    </w:p>
    <w:p w14:paraId="79555750" w14:textId="71BDD8BB" w:rsidR="00CB2D63" w:rsidRPr="00C63657" w:rsidRDefault="00CB2D63" w:rsidP="00C63657">
      <w:pPr>
        <w:jc w:val="center"/>
        <w:rPr>
          <w:rFonts w:ascii="Arial" w:hAnsi="Arial" w:cs="Arial"/>
          <w:sz w:val="28"/>
          <w:szCs w:val="28"/>
        </w:rPr>
      </w:pPr>
      <w:r w:rsidRPr="00C63657">
        <w:rPr>
          <w:rFonts w:ascii="Arial" w:hAnsi="Arial" w:cs="Arial"/>
          <w:b/>
          <w:bCs/>
          <w:sz w:val="28"/>
          <w:szCs w:val="28"/>
        </w:rPr>
        <w:t>Module Leader:</w:t>
      </w:r>
      <w:r w:rsidRPr="00C63657">
        <w:rPr>
          <w:rFonts w:ascii="Arial" w:hAnsi="Arial" w:cs="Arial"/>
          <w:sz w:val="28"/>
          <w:szCs w:val="28"/>
        </w:rPr>
        <w:t xml:space="preserve"> </w:t>
      </w:r>
      <w:r w:rsidR="008C73CE" w:rsidRPr="00C63657">
        <w:rPr>
          <w:rFonts w:ascii="Arial" w:hAnsi="Arial" w:cs="Arial"/>
          <w:sz w:val="28"/>
          <w:szCs w:val="28"/>
        </w:rPr>
        <w:t>A</w:t>
      </w:r>
      <w:r w:rsidR="006373DB" w:rsidRPr="00C63657">
        <w:rPr>
          <w:rFonts w:ascii="Arial" w:hAnsi="Arial" w:cs="Arial"/>
          <w:sz w:val="28"/>
          <w:szCs w:val="28"/>
        </w:rPr>
        <w:t>kash Puranik</w:t>
      </w:r>
    </w:p>
    <w:p w14:paraId="58B2C67A" w14:textId="1A692FE0" w:rsidR="00CB2D63" w:rsidRPr="00C63657" w:rsidRDefault="00CB2D63" w:rsidP="00C63657">
      <w:pPr>
        <w:jc w:val="center"/>
        <w:rPr>
          <w:rFonts w:ascii="Arial" w:hAnsi="Arial" w:cs="Arial"/>
          <w:sz w:val="28"/>
          <w:szCs w:val="28"/>
        </w:rPr>
      </w:pPr>
    </w:p>
    <w:p w14:paraId="6DC132F7" w14:textId="09E561ED" w:rsidR="002560F1" w:rsidRPr="00C63657" w:rsidRDefault="002560F1" w:rsidP="00C63657">
      <w:pPr>
        <w:spacing w:after="160"/>
        <w:jc w:val="left"/>
        <w:rPr>
          <w:rFonts w:ascii="Arial" w:hAnsi="Arial" w:cs="Arial"/>
          <w:sz w:val="28"/>
          <w:szCs w:val="28"/>
        </w:rPr>
      </w:pPr>
      <w:r w:rsidRPr="00C63657">
        <w:rPr>
          <w:rFonts w:ascii="Arial" w:hAnsi="Arial" w:cs="Arial"/>
          <w:sz w:val="28"/>
          <w:szCs w:val="28"/>
        </w:rPr>
        <w:br w:type="page"/>
      </w:r>
    </w:p>
    <w:sdt>
      <w:sdtPr>
        <w:rPr>
          <w:rFonts w:ascii="Arial" w:hAnsi="Arial" w:cs="Arial"/>
          <w:b/>
          <w:bCs/>
          <w:sz w:val="28"/>
          <w:szCs w:val="28"/>
        </w:rPr>
        <w:id w:val="1023278570"/>
        <w:docPartObj>
          <w:docPartGallery w:val="Table of Contents"/>
          <w:docPartUnique/>
        </w:docPartObj>
      </w:sdtPr>
      <w:sdtEndPr>
        <w:rPr>
          <w:noProof/>
        </w:rPr>
      </w:sdtEndPr>
      <w:sdtContent>
        <w:p w14:paraId="2E5C9027" w14:textId="2515739C" w:rsidR="002560F1" w:rsidRPr="00C63657" w:rsidRDefault="002560F1" w:rsidP="00C63657">
          <w:pPr>
            <w:jc w:val="center"/>
            <w:rPr>
              <w:rFonts w:ascii="Arial" w:hAnsi="Arial" w:cs="Arial"/>
              <w:b/>
              <w:bCs/>
              <w:sz w:val="28"/>
              <w:szCs w:val="28"/>
            </w:rPr>
          </w:pPr>
          <w:r w:rsidRPr="00C63657">
            <w:rPr>
              <w:rFonts w:ascii="Arial" w:hAnsi="Arial" w:cs="Arial"/>
              <w:b/>
              <w:bCs/>
              <w:sz w:val="28"/>
              <w:szCs w:val="28"/>
            </w:rPr>
            <w:t>Table of Contents</w:t>
          </w:r>
        </w:p>
        <w:p w14:paraId="77D28341" w14:textId="2CD09098" w:rsidR="002F04D4" w:rsidRPr="00C63657" w:rsidRDefault="002560F1" w:rsidP="00C63657">
          <w:pPr>
            <w:pStyle w:val="TOC1"/>
            <w:tabs>
              <w:tab w:val="right" w:leader="dot" w:pos="9016"/>
            </w:tabs>
            <w:rPr>
              <w:rFonts w:ascii="Arial" w:eastAsiaTheme="minorEastAsia" w:hAnsi="Arial" w:cs="Arial"/>
              <w:noProof/>
              <w:kern w:val="2"/>
              <w:sz w:val="28"/>
              <w:szCs w:val="28"/>
              <w:lang w:eastAsia="en-GB"/>
              <w14:ligatures w14:val="standardContextual"/>
            </w:rPr>
          </w:pPr>
          <w:r w:rsidRPr="00C63657">
            <w:rPr>
              <w:rFonts w:ascii="Arial" w:hAnsi="Arial" w:cs="Arial"/>
              <w:sz w:val="28"/>
              <w:szCs w:val="28"/>
            </w:rPr>
            <w:fldChar w:fldCharType="begin"/>
          </w:r>
          <w:r w:rsidRPr="00C63657">
            <w:rPr>
              <w:rFonts w:ascii="Arial" w:hAnsi="Arial" w:cs="Arial"/>
              <w:sz w:val="28"/>
              <w:szCs w:val="28"/>
            </w:rPr>
            <w:instrText xml:space="preserve"> TOC \o "1-3" \h \z \u </w:instrText>
          </w:r>
          <w:r w:rsidRPr="00C63657">
            <w:rPr>
              <w:rFonts w:ascii="Arial" w:hAnsi="Arial" w:cs="Arial"/>
              <w:sz w:val="28"/>
              <w:szCs w:val="28"/>
            </w:rPr>
            <w:fldChar w:fldCharType="separate"/>
          </w:r>
          <w:hyperlink w:anchor="_Toc212225723" w:history="1">
            <w:r w:rsidR="002F04D4" w:rsidRPr="00C63657">
              <w:rPr>
                <w:rStyle w:val="Hyperlink"/>
                <w:rFonts w:ascii="Arial" w:hAnsi="Arial" w:cs="Arial"/>
                <w:noProof/>
                <w:sz w:val="28"/>
                <w:szCs w:val="28"/>
              </w:rPr>
              <w:t>1. Introduction to the Chosen Organisation</w:t>
            </w:r>
            <w:r w:rsidR="002F04D4" w:rsidRPr="00C63657">
              <w:rPr>
                <w:rFonts w:ascii="Arial" w:hAnsi="Arial" w:cs="Arial"/>
                <w:noProof/>
                <w:webHidden/>
                <w:sz w:val="28"/>
                <w:szCs w:val="28"/>
              </w:rPr>
              <w:tab/>
            </w:r>
            <w:r w:rsidR="002F04D4" w:rsidRPr="00C63657">
              <w:rPr>
                <w:rFonts w:ascii="Arial" w:hAnsi="Arial" w:cs="Arial"/>
                <w:noProof/>
                <w:webHidden/>
                <w:sz w:val="28"/>
                <w:szCs w:val="28"/>
              </w:rPr>
              <w:fldChar w:fldCharType="begin"/>
            </w:r>
            <w:r w:rsidR="002F04D4" w:rsidRPr="00C63657">
              <w:rPr>
                <w:rFonts w:ascii="Arial" w:hAnsi="Arial" w:cs="Arial"/>
                <w:noProof/>
                <w:webHidden/>
                <w:sz w:val="28"/>
                <w:szCs w:val="28"/>
              </w:rPr>
              <w:instrText xml:space="preserve"> PAGEREF _Toc212225723 \h </w:instrText>
            </w:r>
            <w:r w:rsidR="002F04D4" w:rsidRPr="00C63657">
              <w:rPr>
                <w:rFonts w:ascii="Arial" w:hAnsi="Arial" w:cs="Arial"/>
                <w:noProof/>
                <w:webHidden/>
                <w:sz w:val="28"/>
                <w:szCs w:val="28"/>
              </w:rPr>
            </w:r>
            <w:r w:rsidR="002F04D4" w:rsidRPr="00C63657">
              <w:rPr>
                <w:rFonts w:ascii="Arial" w:hAnsi="Arial" w:cs="Arial"/>
                <w:noProof/>
                <w:webHidden/>
                <w:sz w:val="28"/>
                <w:szCs w:val="28"/>
              </w:rPr>
              <w:fldChar w:fldCharType="separate"/>
            </w:r>
            <w:r w:rsidR="00F55398" w:rsidRPr="00C63657">
              <w:rPr>
                <w:rFonts w:ascii="Arial" w:hAnsi="Arial" w:cs="Arial"/>
                <w:noProof/>
                <w:webHidden/>
                <w:sz w:val="28"/>
                <w:szCs w:val="28"/>
              </w:rPr>
              <w:t>4</w:t>
            </w:r>
            <w:r w:rsidR="002F04D4" w:rsidRPr="00C63657">
              <w:rPr>
                <w:rFonts w:ascii="Arial" w:hAnsi="Arial" w:cs="Arial"/>
                <w:noProof/>
                <w:webHidden/>
                <w:sz w:val="28"/>
                <w:szCs w:val="28"/>
              </w:rPr>
              <w:fldChar w:fldCharType="end"/>
            </w:r>
          </w:hyperlink>
        </w:p>
        <w:p w14:paraId="62024CA6" w14:textId="5708ECE0"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24" w:history="1">
            <w:r w:rsidRPr="00C63657">
              <w:rPr>
                <w:rStyle w:val="Hyperlink"/>
                <w:rFonts w:ascii="Arial" w:hAnsi="Arial" w:cs="Arial"/>
                <w:noProof/>
                <w:sz w:val="28"/>
                <w:szCs w:val="28"/>
              </w:rPr>
              <w:t>1.1 Organisational Overview</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_Toc212225724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4</w:t>
            </w:r>
            <w:r w:rsidRPr="00C63657">
              <w:rPr>
                <w:rFonts w:ascii="Arial" w:hAnsi="Arial" w:cs="Arial"/>
                <w:noProof/>
                <w:webHidden/>
                <w:sz w:val="28"/>
                <w:szCs w:val="28"/>
              </w:rPr>
              <w:fldChar w:fldCharType="end"/>
            </w:r>
          </w:hyperlink>
        </w:p>
        <w:p w14:paraId="0D4355D9" w14:textId="6F9AA365"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25" w:history="1">
            <w:r w:rsidRPr="00C63657">
              <w:rPr>
                <w:rStyle w:val="Hyperlink"/>
                <w:rFonts w:ascii="Arial" w:hAnsi="Arial" w:cs="Arial"/>
                <w:noProof/>
                <w:sz w:val="28"/>
                <w:szCs w:val="28"/>
              </w:rPr>
              <w:t>1.2 Core Business Model and Strategic Direction</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_Toc212225725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4</w:t>
            </w:r>
            <w:r w:rsidRPr="00C63657">
              <w:rPr>
                <w:rFonts w:ascii="Arial" w:hAnsi="Arial" w:cs="Arial"/>
                <w:noProof/>
                <w:webHidden/>
                <w:sz w:val="28"/>
                <w:szCs w:val="28"/>
              </w:rPr>
              <w:fldChar w:fldCharType="end"/>
            </w:r>
          </w:hyperlink>
        </w:p>
        <w:p w14:paraId="6B411BA1" w14:textId="3E383B80"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26" w:history="1">
            <w:r w:rsidRPr="00C63657">
              <w:rPr>
                <w:rStyle w:val="Hyperlink"/>
                <w:rFonts w:ascii="Arial" w:hAnsi="Arial" w:cs="Arial"/>
                <w:noProof/>
                <w:sz w:val="28"/>
                <w:szCs w:val="28"/>
              </w:rPr>
              <w:t>1.3 Relevance to Design Thinking and Innovation</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_Toc212225726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4</w:t>
            </w:r>
            <w:r w:rsidRPr="00C63657">
              <w:rPr>
                <w:rFonts w:ascii="Arial" w:hAnsi="Arial" w:cs="Arial"/>
                <w:noProof/>
                <w:webHidden/>
                <w:sz w:val="28"/>
                <w:szCs w:val="28"/>
              </w:rPr>
              <w:fldChar w:fldCharType="end"/>
            </w:r>
          </w:hyperlink>
        </w:p>
        <w:p w14:paraId="3BCDD95D" w14:textId="0B801FBB"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27" w:history="1">
            <w:r w:rsidRPr="00C63657">
              <w:rPr>
                <w:rStyle w:val="Hyperlink"/>
                <w:rFonts w:ascii="Arial" w:hAnsi="Arial" w:cs="Arial"/>
                <w:noProof/>
                <w:sz w:val="28"/>
                <w:szCs w:val="28"/>
              </w:rPr>
              <w:t>1.4 Structure of the Report</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_Toc212225727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5</w:t>
            </w:r>
            <w:r w:rsidRPr="00C63657">
              <w:rPr>
                <w:rFonts w:ascii="Arial" w:hAnsi="Arial" w:cs="Arial"/>
                <w:noProof/>
                <w:webHidden/>
                <w:sz w:val="28"/>
                <w:szCs w:val="28"/>
              </w:rPr>
              <w:fldChar w:fldCharType="end"/>
            </w:r>
          </w:hyperlink>
        </w:p>
        <w:p w14:paraId="63189196" w14:textId="58B35AFF" w:rsidR="002F04D4" w:rsidRPr="00C63657" w:rsidRDefault="002F04D4" w:rsidP="00C63657">
          <w:pPr>
            <w:pStyle w:val="TOC1"/>
            <w:tabs>
              <w:tab w:val="right" w:leader="dot" w:pos="9016"/>
            </w:tabs>
            <w:rPr>
              <w:rFonts w:ascii="Arial" w:eastAsiaTheme="minorEastAsia" w:hAnsi="Arial" w:cs="Arial"/>
              <w:noProof/>
              <w:kern w:val="2"/>
              <w:sz w:val="28"/>
              <w:szCs w:val="28"/>
              <w:lang w:eastAsia="en-GB"/>
              <w14:ligatures w14:val="standardContextual"/>
            </w:rPr>
          </w:pPr>
          <w:hyperlink w:anchor="_Toc212225728" w:history="1">
            <w:r w:rsidRPr="00C63657">
              <w:rPr>
                <w:rStyle w:val="Hyperlink"/>
                <w:rFonts w:ascii="Arial" w:hAnsi="Arial" w:cs="Arial"/>
                <w:noProof/>
                <w:sz w:val="28"/>
                <w:szCs w:val="28"/>
              </w:rPr>
              <w:t>2. Key Consumer and Industry Trends &amp; Data</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_Toc212225728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5</w:t>
            </w:r>
            <w:r w:rsidRPr="00C63657">
              <w:rPr>
                <w:rFonts w:ascii="Arial" w:hAnsi="Arial" w:cs="Arial"/>
                <w:noProof/>
                <w:webHidden/>
                <w:sz w:val="28"/>
                <w:szCs w:val="28"/>
              </w:rPr>
              <w:fldChar w:fldCharType="end"/>
            </w:r>
          </w:hyperlink>
        </w:p>
        <w:p w14:paraId="4096084D" w14:textId="6E649846"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29" w:history="1">
            <w:r w:rsidRPr="00C63657">
              <w:rPr>
                <w:rStyle w:val="Hyperlink"/>
                <w:rFonts w:ascii="Arial" w:hAnsi="Arial" w:cs="Arial"/>
                <w:noProof/>
                <w:sz w:val="28"/>
                <w:szCs w:val="28"/>
              </w:rPr>
              <w:t>2.1 Market Structure and Growth</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_Toc212225729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5</w:t>
            </w:r>
            <w:r w:rsidRPr="00C63657">
              <w:rPr>
                <w:rFonts w:ascii="Arial" w:hAnsi="Arial" w:cs="Arial"/>
                <w:noProof/>
                <w:webHidden/>
                <w:sz w:val="28"/>
                <w:szCs w:val="28"/>
              </w:rPr>
              <w:fldChar w:fldCharType="end"/>
            </w:r>
          </w:hyperlink>
        </w:p>
        <w:p w14:paraId="56C93F86" w14:textId="022CCB64"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0" w:history="1">
            <w:r w:rsidRPr="00C63657">
              <w:rPr>
                <w:rStyle w:val="Hyperlink"/>
                <w:rFonts w:ascii="Arial" w:hAnsi="Arial" w:cs="Arial"/>
                <w:noProof/>
                <w:sz w:val="28"/>
                <w:szCs w:val="28"/>
              </w:rPr>
              <w:t>2.2 Consumer Behaviour Trends</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_Toc212225730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5</w:t>
            </w:r>
            <w:r w:rsidRPr="00C63657">
              <w:rPr>
                <w:rFonts w:ascii="Arial" w:hAnsi="Arial" w:cs="Arial"/>
                <w:noProof/>
                <w:webHidden/>
                <w:sz w:val="28"/>
                <w:szCs w:val="28"/>
              </w:rPr>
              <w:fldChar w:fldCharType="end"/>
            </w:r>
          </w:hyperlink>
        </w:p>
        <w:p w14:paraId="0196D173" w14:textId="4C9D5A71"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1" w:history="1">
            <w:r w:rsidRPr="00C63657">
              <w:rPr>
                <w:rStyle w:val="Hyperlink"/>
                <w:rFonts w:ascii="Arial" w:hAnsi="Arial" w:cs="Arial"/>
                <w:noProof/>
                <w:sz w:val="28"/>
                <w:szCs w:val="28"/>
              </w:rPr>
              <w:t>2.3 Macro Influences Shaping the Market</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_Toc212225731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6</w:t>
            </w:r>
            <w:r w:rsidRPr="00C63657">
              <w:rPr>
                <w:rFonts w:ascii="Arial" w:hAnsi="Arial" w:cs="Arial"/>
                <w:noProof/>
                <w:webHidden/>
                <w:sz w:val="28"/>
                <w:szCs w:val="28"/>
              </w:rPr>
              <w:fldChar w:fldCharType="end"/>
            </w:r>
          </w:hyperlink>
        </w:p>
        <w:p w14:paraId="11EDCD1F" w14:textId="416BB527"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2" w:history="1">
            <w:r w:rsidRPr="00C63657">
              <w:rPr>
                <w:rStyle w:val="Hyperlink"/>
                <w:rFonts w:ascii="Arial" w:hAnsi="Arial" w:cs="Arial"/>
                <w:noProof/>
                <w:sz w:val="28"/>
                <w:szCs w:val="28"/>
              </w:rPr>
              <w:t>2.4 Competitive Environment and Market Positioning</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_Toc212225732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7</w:t>
            </w:r>
            <w:r w:rsidRPr="00C63657">
              <w:rPr>
                <w:rFonts w:ascii="Arial" w:hAnsi="Arial" w:cs="Arial"/>
                <w:noProof/>
                <w:webHidden/>
                <w:sz w:val="28"/>
                <w:szCs w:val="28"/>
              </w:rPr>
              <w:fldChar w:fldCharType="end"/>
            </w:r>
          </w:hyperlink>
        </w:p>
        <w:p w14:paraId="6AE2D568" w14:textId="5AB3D6BB"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3" w:history="1">
            <w:r w:rsidRPr="00C63657">
              <w:rPr>
                <w:rStyle w:val="Hyperlink"/>
                <w:rFonts w:ascii="Arial" w:hAnsi="Arial" w:cs="Arial"/>
                <w:noProof/>
                <w:sz w:val="28"/>
                <w:szCs w:val="28"/>
              </w:rPr>
              <w:t>2.5 Strategic Implications for Innovation</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_Toc212225733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7</w:t>
            </w:r>
            <w:r w:rsidRPr="00C63657">
              <w:rPr>
                <w:rFonts w:ascii="Arial" w:hAnsi="Arial" w:cs="Arial"/>
                <w:noProof/>
                <w:webHidden/>
                <w:sz w:val="28"/>
                <w:szCs w:val="28"/>
              </w:rPr>
              <w:fldChar w:fldCharType="end"/>
            </w:r>
          </w:hyperlink>
        </w:p>
        <w:p w14:paraId="1B21F680" w14:textId="0D2F4E42" w:rsidR="002F04D4" w:rsidRPr="00C63657" w:rsidRDefault="002F04D4" w:rsidP="00C63657">
          <w:pPr>
            <w:pStyle w:val="TOC1"/>
            <w:tabs>
              <w:tab w:val="right" w:leader="dot" w:pos="9016"/>
            </w:tabs>
            <w:rPr>
              <w:rFonts w:ascii="Arial" w:eastAsiaTheme="minorEastAsia" w:hAnsi="Arial" w:cs="Arial"/>
              <w:noProof/>
              <w:kern w:val="2"/>
              <w:sz w:val="28"/>
              <w:szCs w:val="28"/>
              <w:lang w:eastAsia="en-GB"/>
              <w14:ligatures w14:val="standardContextual"/>
            </w:rPr>
          </w:pPr>
          <w:hyperlink w:anchor="_Toc212225734" w:history="1">
            <w:r w:rsidRPr="00C63657">
              <w:rPr>
                <w:rStyle w:val="Hyperlink"/>
                <w:rFonts w:ascii="Arial" w:hAnsi="Arial" w:cs="Arial"/>
                <w:noProof/>
                <w:sz w:val="28"/>
                <w:szCs w:val="28"/>
              </w:rPr>
              <w:t>3. Part 1 — Innovation Analysis</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_Toc212225734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7</w:t>
            </w:r>
            <w:r w:rsidRPr="00C63657">
              <w:rPr>
                <w:rFonts w:ascii="Arial" w:hAnsi="Arial" w:cs="Arial"/>
                <w:noProof/>
                <w:webHidden/>
                <w:sz w:val="28"/>
                <w:szCs w:val="28"/>
              </w:rPr>
              <w:fldChar w:fldCharType="end"/>
            </w:r>
          </w:hyperlink>
        </w:p>
        <w:p w14:paraId="00FA442D" w14:textId="6831E729"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5" w:history="1">
            <w:r w:rsidRPr="00C63657">
              <w:rPr>
                <w:rStyle w:val="Hyperlink"/>
                <w:rFonts w:ascii="Arial" w:hAnsi="Arial" w:cs="Arial"/>
                <w:noProof/>
                <w:sz w:val="28"/>
                <w:szCs w:val="28"/>
              </w:rPr>
              <w:t>3.1 Innovation Ambition Matrix</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_Toc212225735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7</w:t>
            </w:r>
            <w:r w:rsidRPr="00C63657">
              <w:rPr>
                <w:rFonts w:ascii="Arial" w:hAnsi="Arial" w:cs="Arial"/>
                <w:noProof/>
                <w:webHidden/>
                <w:sz w:val="28"/>
                <w:szCs w:val="28"/>
              </w:rPr>
              <w:fldChar w:fldCharType="end"/>
            </w:r>
          </w:hyperlink>
        </w:p>
        <w:p w14:paraId="1C162441" w14:textId="6123125A"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6" w:history="1">
            <w:r w:rsidRPr="00C63657">
              <w:rPr>
                <w:rStyle w:val="Hyperlink"/>
                <w:rFonts w:ascii="Arial" w:hAnsi="Arial" w:cs="Arial"/>
                <w:noProof/>
                <w:sz w:val="28"/>
                <w:szCs w:val="28"/>
              </w:rPr>
              <w:t>3.2 Current Customer Journey Map</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_Toc212225736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10</w:t>
            </w:r>
            <w:r w:rsidRPr="00C63657">
              <w:rPr>
                <w:rFonts w:ascii="Arial" w:hAnsi="Arial" w:cs="Arial"/>
                <w:noProof/>
                <w:webHidden/>
                <w:sz w:val="28"/>
                <w:szCs w:val="28"/>
              </w:rPr>
              <w:fldChar w:fldCharType="end"/>
            </w:r>
          </w:hyperlink>
        </w:p>
        <w:p w14:paraId="1879840B" w14:textId="263BA199" w:rsidR="002F04D4" w:rsidRPr="00C63657" w:rsidRDefault="002F04D4" w:rsidP="00C63657">
          <w:pPr>
            <w:pStyle w:val="TOC1"/>
            <w:tabs>
              <w:tab w:val="right" w:leader="dot" w:pos="9016"/>
            </w:tabs>
            <w:rPr>
              <w:rFonts w:ascii="Arial" w:eastAsiaTheme="minorEastAsia" w:hAnsi="Arial" w:cs="Arial"/>
              <w:noProof/>
              <w:kern w:val="2"/>
              <w:sz w:val="28"/>
              <w:szCs w:val="28"/>
              <w:lang w:eastAsia="en-GB"/>
              <w14:ligatures w14:val="standardContextual"/>
            </w:rPr>
          </w:pPr>
          <w:hyperlink w:anchor="_Toc212225737" w:history="1">
            <w:r w:rsidRPr="00C63657">
              <w:rPr>
                <w:rStyle w:val="Hyperlink"/>
                <w:rFonts w:ascii="Arial" w:hAnsi="Arial" w:cs="Arial"/>
                <w:noProof/>
                <w:sz w:val="28"/>
                <w:szCs w:val="28"/>
              </w:rPr>
              <w:t>4. Part 2 — Proposed Digital Transformation Initiative</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_Toc212225737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12</w:t>
            </w:r>
            <w:r w:rsidRPr="00C63657">
              <w:rPr>
                <w:rFonts w:ascii="Arial" w:hAnsi="Arial" w:cs="Arial"/>
                <w:noProof/>
                <w:webHidden/>
                <w:sz w:val="28"/>
                <w:szCs w:val="28"/>
              </w:rPr>
              <w:fldChar w:fldCharType="end"/>
            </w:r>
          </w:hyperlink>
        </w:p>
        <w:p w14:paraId="08CB6258" w14:textId="51BAAE69"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8" w:history="1">
            <w:r w:rsidRPr="00C63657">
              <w:rPr>
                <w:rStyle w:val="Hyperlink"/>
                <w:rFonts w:ascii="Arial" w:hAnsi="Arial" w:cs="Arial"/>
                <w:noProof/>
                <w:sz w:val="28"/>
                <w:szCs w:val="28"/>
              </w:rPr>
              <w:t>4.1 Identified Challenge</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_Toc212225738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12</w:t>
            </w:r>
            <w:r w:rsidRPr="00C63657">
              <w:rPr>
                <w:rFonts w:ascii="Arial" w:hAnsi="Arial" w:cs="Arial"/>
                <w:noProof/>
                <w:webHidden/>
                <w:sz w:val="28"/>
                <w:szCs w:val="28"/>
              </w:rPr>
              <w:fldChar w:fldCharType="end"/>
            </w:r>
          </w:hyperlink>
        </w:p>
        <w:p w14:paraId="7D88789C" w14:textId="2E5998FE"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39" w:history="1">
            <w:r w:rsidRPr="00C63657">
              <w:rPr>
                <w:rStyle w:val="Hyperlink"/>
                <w:rFonts w:ascii="Arial" w:hAnsi="Arial" w:cs="Arial"/>
                <w:noProof/>
                <w:sz w:val="28"/>
                <w:szCs w:val="28"/>
              </w:rPr>
              <w:t>4.2 Proposed Initiative: Smart Queue &amp; Personalised ETA System</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_Toc212225739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12</w:t>
            </w:r>
            <w:r w:rsidRPr="00C63657">
              <w:rPr>
                <w:rFonts w:ascii="Arial" w:hAnsi="Arial" w:cs="Arial"/>
                <w:noProof/>
                <w:webHidden/>
                <w:sz w:val="28"/>
                <w:szCs w:val="28"/>
              </w:rPr>
              <w:fldChar w:fldCharType="end"/>
            </w:r>
          </w:hyperlink>
        </w:p>
        <w:p w14:paraId="7787E86D" w14:textId="5BDD6F62"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40" w:history="1">
            <w:r w:rsidRPr="00C63657">
              <w:rPr>
                <w:rStyle w:val="Hyperlink"/>
                <w:rFonts w:ascii="Arial" w:hAnsi="Arial" w:cs="Arial"/>
                <w:noProof/>
                <w:sz w:val="28"/>
                <w:szCs w:val="28"/>
              </w:rPr>
              <w:t>4.3 Enhanced Customer Journey Map (Future State)</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_Toc212225740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13</w:t>
            </w:r>
            <w:r w:rsidRPr="00C63657">
              <w:rPr>
                <w:rFonts w:ascii="Arial" w:hAnsi="Arial" w:cs="Arial"/>
                <w:noProof/>
                <w:webHidden/>
                <w:sz w:val="28"/>
                <w:szCs w:val="28"/>
              </w:rPr>
              <w:fldChar w:fldCharType="end"/>
            </w:r>
          </w:hyperlink>
        </w:p>
        <w:p w14:paraId="33EC8779" w14:textId="371A5DFE"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41" w:history="1">
            <w:r w:rsidRPr="00C63657">
              <w:rPr>
                <w:rStyle w:val="Hyperlink"/>
                <w:rFonts w:ascii="Arial" w:hAnsi="Arial" w:cs="Arial"/>
                <w:noProof/>
                <w:sz w:val="28"/>
                <w:szCs w:val="28"/>
              </w:rPr>
              <w:t>4.4 DVF Assessment</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_Toc212225741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14</w:t>
            </w:r>
            <w:r w:rsidRPr="00C63657">
              <w:rPr>
                <w:rFonts w:ascii="Arial" w:hAnsi="Arial" w:cs="Arial"/>
                <w:noProof/>
                <w:webHidden/>
                <w:sz w:val="28"/>
                <w:szCs w:val="28"/>
              </w:rPr>
              <w:fldChar w:fldCharType="end"/>
            </w:r>
          </w:hyperlink>
        </w:p>
        <w:p w14:paraId="1415F9C3" w14:textId="588A05FC" w:rsidR="002F04D4" w:rsidRPr="00C63657" w:rsidRDefault="002F04D4" w:rsidP="00C63657">
          <w:pPr>
            <w:pStyle w:val="TOC2"/>
            <w:tabs>
              <w:tab w:val="right" w:leader="dot" w:pos="9016"/>
            </w:tabs>
            <w:rPr>
              <w:rFonts w:ascii="Arial" w:eastAsiaTheme="minorEastAsia" w:hAnsi="Arial" w:cs="Arial"/>
              <w:noProof/>
              <w:kern w:val="2"/>
              <w:sz w:val="28"/>
              <w:szCs w:val="28"/>
              <w:lang w:eastAsia="en-GB"/>
              <w14:ligatures w14:val="standardContextual"/>
            </w:rPr>
          </w:pPr>
          <w:hyperlink w:anchor="_Toc212225742" w:history="1">
            <w:r w:rsidRPr="00C63657">
              <w:rPr>
                <w:rStyle w:val="Hyperlink"/>
                <w:rFonts w:ascii="Arial" w:hAnsi="Arial" w:cs="Arial"/>
                <w:noProof/>
                <w:sz w:val="28"/>
                <w:szCs w:val="28"/>
              </w:rPr>
              <w:t>4.5 KPIs and Success Measurement</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_Toc212225742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15</w:t>
            </w:r>
            <w:r w:rsidRPr="00C63657">
              <w:rPr>
                <w:rFonts w:ascii="Arial" w:hAnsi="Arial" w:cs="Arial"/>
                <w:noProof/>
                <w:webHidden/>
                <w:sz w:val="28"/>
                <w:szCs w:val="28"/>
              </w:rPr>
              <w:fldChar w:fldCharType="end"/>
            </w:r>
          </w:hyperlink>
        </w:p>
        <w:p w14:paraId="2A1B6849" w14:textId="2AEDE9C9" w:rsidR="002F04D4" w:rsidRPr="00C63657" w:rsidRDefault="002F04D4" w:rsidP="00C63657">
          <w:pPr>
            <w:pStyle w:val="TOC2"/>
            <w:tabs>
              <w:tab w:val="right" w:leader="dot" w:pos="9016"/>
            </w:tabs>
            <w:ind w:left="0"/>
            <w:rPr>
              <w:rFonts w:ascii="Arial" w:eastAsiaTheme="minorEastAsia" w:hAnsi="Arial" w:cs="Arial"/>
              <w:noProof/>
              <w:kern w:val="2"/>
              <w:sz w:val="28"/>
              <w:szCs w:val="28"/>
              <w:lang w:eastAsia="en-GB"/>
              <w14:ligatures w14:val="standardContextual"/>
            </w:rPr>
          </w:pPr>
          <w:hyperlink w:anchor="_Toc212225743" w:history="1">
            <w:r w:rsidRPr="00C63657">
              <w:rPr>
                <w:rStyle w:val="Hyperlink"/>
                <w:rFonts w:ascii="Arial" w:hAnsi="Arial" w:cs="Arial"/>
                <w:noProof/>
                <w:sz w:val="28"/>
                <w:szCs w:val="28"/>
              </w:rPr>
              <w:t>4.6 Strategic Implications</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_Toc212225743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15</w:t>
            </w:r>
            <w:r w:rsidRPr="00C63657">
              <w:rPr>
                <w:rFonts w:ascii="Arial" w:hAnsi="Arial" w:cs="Arial"/>
                <w:noProof/>
                <w:webHidden/>
                <w:sz w:val="28"/>
                <w:szCs w:val="28"/>
              </w:rPr>
              <w:fldChar w:fldCharType="end"/>
            </w:r>
          </w:hyperlink>
        </w:p>
        <w:p w14:paraId="787C8611" w14:textId="23FA27EC" w:rsidR="002F04D4" w:rsidRPr="00C63657" w:rsidRDefault="002F04D4" w:rsidP="00C63657">
          <w:pPr>
            <w:pStyle w:val="TOC1"/>
            <w:tabs>
              <w:tab w:val="right" w:leader="dot" w:pos="9016"/>
            </w:tabs>
            <w:rPr>
              <w:rFonts w:ascii="Arial" w:eastAsiaTheme="minorEastAsia" w:hAnsi="Arial" w:cs="Arial"/>
              <w:noProof/>
              <w:kern w:val="2"/>
              <w:sz w:val="28"/>
              <w:szCs w:val="28"/>
              <w:lang w:eastAsia="en-GB"/>
              <w14:ligatures w14:val="standardContextual"/>
            </w:rPr>
          </w:pPr>
          <w:hyperlink w:anchor="_Toc212225744" w:history="1">
            <w:r w:rsidRPr="00C63657">
              <w:rPr>
                <w:rStyle w:val="Hyperlink"/>
                <w:rFonts w:ascii="Arial" w:hAnsi="Arial" w:cs="Arial"/>
                <w:noProof/>
                <w:sz w:val="28"/>
                <w:szCs w:val="28"/>
              </w:rPr>
              <w:t>5. Conclusion</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_Toc212225744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16</w:t>
            </w:r>
            <w:r w:rsidRPr="00C63657">
              <w:rPr>
                <w:rFonts w:ascii="Arial" w:hAnsi="Arial" w:cs="Arial"/>
                <w:noProof/>
                <w:webHidden/>
                <w:sz w:val="28"/>
                <w:szCs w:val="28"/>
              </w:rPr>
              <w:fldChar w:fldCharType="end"/>
            </w:r>
          </w:hyperlink>
        </w:p>
        <w:p w14:paraId="5C303A4D" w14:textId="5A45350F" w:rsidR="002F04D4" w:rsidRPr="00C63657" w:rsidRDefault="002F04D4" w:rsidP="00C63657">
          <w:pPr>
            <w:pStyle w:val="TOC1"/>
            <w:tabs>
              <w:tab w:val="right" w:leader="dot" w:pos="9016"/>
            </w:tabs>
            <w:rPr>
              <w:rFonts w:ascii="Arial" w:eastAsiaTheme="minorEastAsia" w:hAnsi="Arial" w:cs="Arial"/>
              <w:noProof/>
              <w:kern w:val="2"/>
              <w:sz w:val="28"/>
              <w:szCs w:val="28"/>
              <w:lang w:eastAsia="en-GB"/>
              <w14:ligatures w14:val="standardContextual"/>
            </w:rPr>
          </w:pPr>
          <w:hyperlink w:anchor="_Toc212225745" w:history="1">
            <w:r w:rsidRPr="00C63657">
              <w:rPr>
                <w:rStyle w:val="Hyperlink"/>
                <w:rFonts w:ascii="Arial" w:hAnsi="Arial" w:cs="Arial"/>
                <w:noProof/>
                <w:sz w:val="28"/>
                <w:szCs w:val="28"/>
              </w:rPr>
              <w:t>References</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_Toc212225745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17</w:t>
            </w:r>
            <w:r w:rsidRPr="00C63657">
              <w:rPr>
                <w:rFonts w:ascii="Arial" w:hAnsi="Arial" w:cs="Arial"/>
                <w:noProof/>
                <w:webHidden/>
                <w:sz w:val="28"/>
                <w:szCs w:val="28"/>
              </w:rPr>
              <w:fldChar w:fldCharType="end"/>
            </w:r>
          </w:hyperlink>
        </w:p>
        <w:p w14:paraId="41398D31" w14:textId="21D4B5FF" w:rsidR="002F04D4" w:rsidRPr="00C63657" w:rsidRDefault="002F04D4" w:rsidP="00C63657">
          <w:pPr>
            <w:pStyle w:val="TOC1"/>
            <w:tabs>
              <w:tab w:val="right" w:leader="dot" w:pos="9016"/>
            </w:tabs>
            <w:rPr>
              <w:rFonts w:ascii="Arial" w:eastAsiaTheme="minorEastAsia" w:hAnsi="Arial" w:cs="Arial"/>
              <w:noProof/>
              <w:kern w:val="2"/>
              <w:sz w:val="28"/>
              <w:szCs w:val="28"/>
              <w:lang w:eastAsia="en-GB"/>
              <w14:ligatures w14:val="standardContextual"/>
            </w:rPr>
          </w:pPr>
          <w:hyperlink w:anchor="_Toc212225746" w:history="1">
            <w:r w:rsidRPr="00C63657">
              <w:rPr>
                <w:rStyle w:val="Hyperlink"/>
                <w:rFonts w:ascii="Arial" w:hAnsi="Arial" w:cs="Arial"/>
                <w:noProof/>
                <w:sz w:val="28"/>
                <w:szCs w:val="28"/>
              </w:rPr>
              <w:t>Appendix</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_Toc212225746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20</w:t>
            </w:r>
            <w:r w:rsidRPr="00C63657">
              <w:rPr>
                <w:rFonts w:ascii="Arial" w:hAnsi="Arial" w:cs="Arial"/>
                <w:noProof/>
                <w:webHidden/>
                <w:sz w:val="28"/>
                <w:szCs w:val="28"/>
              </w:rPr>
              <w:fldChar w:fldCharType="end"/>
            </w:r>
          </w:hyperlink>
        </w:p>
        <w:p w14:paraId="57EA55E2" w14:textId="46D45982" w:rsidR="002F04D4" w:rsidRPr="00C63657" w:rsidRDefault="002F04D4" w:rsidP="00C63657">
          <w:pPr>
            <w:pStyle w:val="TOC2"/>
            <w:tabs>
              <w:tab w:val="right" w:leader="dot" w:pos="9016"/>
            </w:tabs>
            <w:ind w:left="0"/>
            <w:rPr>
              <w:rFonts w:ascii="Arial" w:eastAsiaTheme="minorEastAsia" w:hAnsi="Arial" w:cs="Arial"/>
              <w:noProof/>
              <w:kern w:val="2"/>
              <w:sz w:val="28"/>
              <w:szCs w:val="28"/>
              <w:lang w:eastAsia="en-GB"/>
              <w14:ligatures w14:val="standardContextual"/>
            </w:rPr>
          </w:pPr>
          <w:hyperlink w:anchor="_Toc212225747" w:history="1">
            <w:r w:rsidRPr="00C63657">
              <w:rPr>
                <w:rStyle w:val="Hyperlink"/>
                <w:rFonts w:ascii="Arial" w:hAnsi="Arial" w:cs="Arial"/>
                <w:noProof/>
                <w:sz w:val="28"/>
                <w:szCs w:val="28"/>
              </w:rPr>
              <w:t>Greggs Plc Documents</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_Toc212225747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20</w:t>
            </w:r>
            <w:r w:rsidRPr="00C63657">
              <w:rPr>
                <w:rFonts w:ascii="Arial" w:hAnsi="Arial" w:cs="Arial"/>
                <w:noProof/>
                <w:webHidden/>
                <w:sz w:val="28"/>
                <w:szCs w:val="28"/>
              </w:rPr>
              <w:fldChar w:fldCharType="end"/>
            </w:r>
          </w:hyperlink>
        </w:p>
        <w:p w14:paraId="3012FFE9" w14:textId="53EDAB13" w:rsidR="002560F1" w:rsidRPr="00C63657" w:rsidRDefault="002560F1" w:rsidP="00C63657">
          <w:pPr>
            <w:rPr>
              <w:rFonts w:ascii="Arial" w:hAnsi="Arial" w:cs="Arial"/>
              <w:sz w:val="28"/>
              <w:szCs w:val="28"/>
            </w:rPr>
          </w:pPr>
          <w:r w:rsidRPr="00C63657">
            <w:rPr>
              <w:rFonts w:ascii="Arial" w:hAnsi="Arial" w:cs="Arial"/>
              <w:b/>
              <w:bCs/>
              <w:noProof/>
              <w:sz w:val="28"/>
              <w:szCs w:val="28"/>
            </w:rPr>
            <w:fldChar w:fldCharType="end"/>
          </w:r>
        </w:p>
      </w:sdtContent>
    </w:sdt>
    <w:p w14:paraId="6ACC1248" w14:textId="7E93BA37" w:rsidR="002560F1" w:rsidRPr="00C63657" w:rsidRDefault="002560F1" w:rsidP="00C63657">
      <w:pPr>
        <w:spacing w:after="160"/>
        <w:jc w:val="left"/>
        <w:rPr>
          <w:rFonts w:ascii="Arial" w:hAnsi="Arial" w:cs="Arial"/>
          <w:sz w:val="28"/>
          <w:szCs w:val="28"/>
        </w:rPr>
      </w:pPr>
    </w:p>
    <w:p w14:paraId="09DB4278" w14:textId="77777777" w:rsidR="002560F1" w:rsidRPr="00C63657" w:rsidRDefault="002560F1" w:rsidP="00C63657">
      <w:pPr>
        <w:spacing w:after="160"/>
        <w:jc w:val="center"/>
        <w:rPr>
          <w:rFonts w:ascii="Arial" w:hAnsi="Arial" w:cs="Arial"/>
          <w:b/>
          <w:bCs/>
          <w:sz w:val="28"/>
          <w:szCs w:val="28"/>
        </w:rPr>
      </w:pPr>
      <w:r w:rsidRPr="00C63657">
        <w:rPr>
          <w:rFonts w:ascii="Arial" w:hAnsi="Arial" w:cs="Arial"/>
          <w:b/>
          <w:bCs/>
          <w:sz w:val="28"/>
          <w:szCs w:val="28"/>
        </w:rPr>
        <w:t>List of Tables</w:t>
      </w:r>
    </w:p>
    <w:p w14:paraId="3167D05A" w14:textId="3F3FB31B" w:rsidR="002F04D4" w:rsidRPr="00C63657" w:rsidRDefault="002560F1" w:rsidP="00C63657">
      <w:pPr>
        <w:pStyle w:val="TableofFigures"/>
        <w:tabs>
          <w:tab w:val="right" w:leader="dot" w:pos="9016"/>
        </w:tabs>
        <w:rPr>
          <w:rFonts w:ascii="Arial" w:eastAsiaTheme="minorEastAsia" w:hAnsi="Arial" w:cs="Arial"/>
          <w:noProof/>
          <w:kern w:val="2"/>
          <w:sz w:val="28"/>
          <w:szCs w:val="28"/>
          <w:lang w:eastAsia="en-GB"/>
          <w14:ligatures w14:val="standardContextual"/>
        </w:rPr>
      </w:pPr>
      <w:r w:rsidRPr="00C63657">
        <w:rPr>
          <w:rFonts w:ascii="Arial" w:hAnsi="Arial" w:cs="Arial"/>
          <w:sz w:val="28"/>
          <w:szCs w:val="28"/>
        </w:rPr>
        <w:fldChar w:fldCharType="begin"/>
      </w:r>
      <w:r w:rsidRPr="00C63657">
        <w:rPr>
          <w:rFonts w:ascii="Arial" w:hAnsi="Arial" w:cs="Arial"/>
          <w:sz w:val="28"/>
          <w:szCs w:val="28"/>
        </w:rPr>
        <w:instrText xml:space="preserve"> TOC \h \z \c "Table" </w:instrText>
      </w:r>
      <w:r w:rsidRPr="00C63657">
        <w:rPr>
          <w:rFonts w:ascii="Arial" w:hAnsi="Arial" w:cs="Arial"/>
          <w:sz w:val="28"/>
          <w:szCs w:val="28"/>
        </w:rPr>
        <w:fldChar w:fldCharType="separate"/>
      </w:r>
      <w:hyperlink w:anchor="_Toc212225717" w:history="1">
        <w:r w:rsidR="002F04D4" w:rsidRPr="00C63657">
          <w:rPr>
            <w:rStyle w:val="Hyperlink"/>
            <w:rFonts w:ascii="Arial" w:hAnsi="Arial" w:cs="Arial"/>
            <w:noProof/>
            <w:sz w:val="28"/>
            <w:szCs w:val="28"/>
          </w:rPr>
          <w:t>Table 1 Innovation Ambition Matrix</w:t>
        </w:r>
        <w:r w:rsidR="002F04D4" w:rsidRPr="00C63657">
          <w:rPr>
            <w:rFonts w:ascii="Arial" w:hAnsi="Arial" w:cs="Arial"/>
            <w:noProof/>
            <w:webHidden/>
            <w:sz w:val="28"/>
            <w:szCs w:val="28"/>
          </w:rPr>
          <w:tab/>
        </w:r>
        <w:r w:rsidR="002F04D4" w:rsidRPr="00C63657">
          <w:rPr>
            <w:rFonts w:ascii="Arial" w:hAnsi="Arial" w:cs="Arial"/>
            <w:noProof/>
            <w:webHidden/>
            <w:sz w:val="28"/>
            <w:szCs w:val="28"/>
          </w:rPr>
          <w:fldChar w:fldCharType="begin"/>
        </w:r>
        <w:r w:rsidR="002F04D4" w:rsidRPr="00C63657">
          <w:rPr>
            <w:rFonts w:ascii="Arial" w:hAnsi="Arial" w:cs="Arial"/>
            <w:noProof/>
            <w:webHidden/>
            <w:sz w:val="28"/>
            <w:szCs w:val="28"/>
          </w:rPr>
          <w:instrText xml:space="preserve"> PAGEREF _Toc212225717 \h </w:instrText>
        </w:r>
        <w:r w:rsidR="002F04D4" w:rsidRPr="00C63657">
          <w:rPr>
            <w:rFonts w:ascii="Arial" w:hAnsi="Arial" w:cs="Arial"/>
            <w:noProof/>
            <w:webHidden/>
            <w:sz w:val="28"/>
            <w:szCs w:val="28"/>
          </w:rPr>
        </w:r>
        <w:r w:rsidR="002F04D4" w:rsidRPr="00C63657">
          <w:rPr>
            <w:rFonts w:ascii="Arial" w:hAnsi="Arial" w:cs="Arial"/>
            <w:noProof/>
            <w:webHidden/>
            <w:sz w:val="28"/>
            <w:szCs w:val="28"/>
          </w:rPr>
          <w:fldChar w:fldCharType="separate"/>
        </w:r>
        <w:r w:rsidR="00F55398" w:rsidRPr="00C63657">
          <w:rPr>
            <w:rFonts w:ascii="Arial" w:hAnsi="Arial" w:cs="Arial"/>
            <w:noProof/>
            <w:webHidden/>
            <w:sz w:val="28"/>
            <w:szCs w:val="28"/>
          </w:rPr>
          <w:t>9</w:t>
        </w:r>
        <w:r w:rsidR="002F04D4" w:rsidRPr="00C63657">
          <w:rPr>
            <w:rFonts w:ascii="Arial" w:hAnsi="Arial" w:cs="Arial"/>
            <w:noProof/>
            <w:webHidden/>
            <w:sz w:val="28"/>
            <w:szCs w:val="28"/>
          </w:rPr>
          <w:fldChar w:fldCharType="end"/>
        </w:r>
      </w:hyperlink>
    </w:p>
    <w:p w14:paraId="76B0D094" w14:textId="4242AB36" w:rsidR="002F04D4" w:rsidRPr="00C63657" w:rsidRDefault="002F04D4" w:rsidP="00C63657">
      <w:pPr>
        <w:pStyle w:val="TableofFigures"/>
        <w:tabs>
          <w:tab w:val="right" w:leader="dot" w:pos="9016"/>
        </w:tabs>
        <w:rPr>
          <w:rFonts w:ascii="Arial" w:eastAsiaTheme="minorEastAsia" w:hAnsi="Arial" w:cs="Arial"/>
          <w:noProof/>
          <w:kern w:val="2"/>
          <w:sz w:val="28"/>
          <w:szCs w:val="28"/>
          <w:lang w:eastAsia="en-GB"/>
          <w14:ligatures w14:val="standardContextual"/>
        </w:rPr>
      </w:pPr>
      <w:hyperlink w:anchor="_Toc212225718" w:history="1">
        <w:r w:rsidRPr="00C63657">
          <w:rPr>
            <w:rStyle w:val="Hyperlink"/>
            <w:rFonts w:ascii="Arial" w:hAnsi="Arial" w:cs="Arial"/>
            <w:noProof/>
            <w:sz w:val="28"/>
            <w:szCs w:val="28"/>
          </w:rPr>
          <w:t>Table 2 Customer Journey Map</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_Toc212225718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10</w:t>
        </w:r>
        <w:r w:rsidRPr="00C63657">
          <w:rPr>
            <w:rFonts w:ascii="Arial" w:hAnsi="Arial" w:cs="Arial"/>
            <w:noProof/>
            <w:webHidden/>
            <w:sz w:val="28"/>
            <w:szCs w:val="28"/>
          </w:rPr>
          <w:fldChar w:fldCharType="end"/>
        </w:r>
      </w:hyperlink>
    </w:p>
    <w:p w14:paraId="783EAD55" w14:textId="35BB7105" w:rsidR="002F04D4" w:rsidRPr="00C63657" w:rsidRDefault="002F04D4" w:rsidP="00C63657">
      <w:pPr>
        <w:pStyle w:val="TableofFigures"/>
        <w:tabs>
          <w:tab w:val="right" w:leader="dot" w:pos="9016"/>
        </w:tabs>
        <w:rPr>
          <w:rFonts w:ascii="Arial" w:eastAsiaTheme="minorEastAsia" w:hAnsi="Arial" w:cs="Arial"/>
          <w:noProof/>
          <w:kern w:val="2"/>
          <w:sz w:val="28"/>
          <w:szCs w:val="28"/>
          <w:lang w:eastAsia="en-GB"/>
          <w14:ligatures w14:val="standardContextual"/>
        </w:rPr>
      </w:pPr>
      <w:hyperlink w:anchor="_Toc212225719" w:history="1">
        <w:r w:rsidRPr="00C63657">
          <w:rPr>
            <w:rStyle w:val="Hyperlink"/>
            <w:rFonts w:ascii="Arial" w:hAnsi="Arial" w:cs="Arial"/>
            <w:noProof/>
            <w:sz w:val="28"/>
            <w:szCs w:val="28"/>
          </w:rPr>
          <w:t>Table 3 Enhanced Customre Journey Map</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_Toc212225719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13</w:t>
        </w:r>
        <w:r w:rsidRPr="00C63657">
          <w:rPr>
            <w:rFonts w:ascii="Arial" w:hAnsi="Arial" w:cs="Arial"/>
            <w:noProof/>
            <w:webHidden/>
            <w:sz w:val="28"/>
            <w:szCs w:val="28"/>
          </w:rPr>
          <w:fldChar w:fldCharType="end"/>
        </w:r>
      </w:hyperlink>
    </w:p>
    <w:p w14:paraId="178C818E" w14:textId="566E2B97" w:rsidR="002F04D4" w:rsidRPr="00C63657" w:rsidRDefault="002F04D4" w:rsidP="00C63657">
      <w:pPr>
        <w:pStyle w:val="TableofFigures"/>
        <w:tabs>
          <w:tab w:val="right" w:leader="dot" w:pos="9016"/>
        </w:tabs>
        <w:rPr>
          <w:rFonts w:ascii="Arial" w:eastAsiaTheme="minorEastAsia" w:hAnsi="Arial" w:cs="Arial"/>
          <w:noProof/>
          <w:kern w:val="2"/>
          <w:sz w:val="28"/>
          <w:szCs w:val="28"/>
          <w:lang w:eastAsia="en-GB"/>
          <w14:ligatures w14:val="standardContextual"/>
        </w:rPr>
      </w:pPr>
      <w:hyperlink w:anchor="_Toc212225720" w:history="1">
        <w:r w:rsidRPr="00C63657">
          <w:rPr>
            <w:rStyle w:val="Hyperlink"/>
            <w:rFonts w:ascii="Arial" w:hAnsi="Arial" w:cs="Arial"/>
            <w:noProof/>
            <w:sz w:val="28"/>
            <w:szCs w:val="28"/>
          </w:rPr>
          <w:t>Table 4 DVF Assessment of the Proposed Initiative</w:t>
        </w:r>
        <w:r w:rsidRPr="00C63657">
          <w:rPr>
            <w:rFonts w:ascii="Arial" w:hAnsi="Arial" w:cs="Arial"/>
            <w:noProof/>
            <w:webHidden/>
            <w:sz w:val="28"/>
            <w:szCs w:val="28"/>
          </w:rPr>
          <w:tab/>
        </w:r>
        <w:r w:rsidRPr="00C63657">
          <w:rPr>
            <w:rFonts w:ascii="Arial" w:hAnsi="Arial" w:cs="Arial"/>
            <w:noProof/>
            <w:webHidden/>
            <w:sz w:val="28"/>
            <w:szCs w:val="28"/>
          </w:rPr>
          <w:fldChar w:fldCharType="begin"/>
        </w:r>
        <w:r w:rsidRPr="00C63657">
          <w:rPr>
            <w:rFonts w:ascii="Arial" w:hAnsi="Arial" w:cs="Arial"/>
            <w:noProof/>
            <w:webHidden/>
            <w:sz w:val="28"/>
            <w:szCs w:val="28"/>
          </w:rPr>
          <w:instrText xml:space="preserve"> PAGEREF _Toc212225720 \h </w:instrText>
        </w:r>
        <w:r w:rsidRPr="00C63657">
          <w:rPr>
            <w:rFonts w:ascii="Arial" w:hAnsi="Arial" w:cs="Arial"/>
            <w:noProof/>
            <w:webHidden/>
            <w:sz w:val="28"/>
            <w:szCs w:val="28"/>
          </w:rPr>
        </w:r>
        <w:r w:rsidRPr="00C63657">
          <w:rPr>
            <w:rFonts w:ascii="Arial" w:hAnsi="Arial" w:cs="Arial"/>
            <w:noProof/>
            <w:webHidden/>
            <w:sz w:val="28"/>
            <w:szCs w:val="28"/>
          </w:rPr>
          <w:fldChar w:fldCharType="separate"/>
        </w:r>
        <w:r w:rsidR="00F55398" w:rsidRPr="00C63657">
          <w:rPr>
            <w:rFonts w:ascii="Arial" w:hAnsi="Arial" w:cs="Arial"/>
            <w:noProof/>
            <w:webHidden/>
            <w:sz w:val="28"/>
            <w:szCs w:val="28"/>
          </w:rPr>
          <w:t>14</w:t>
        </w:r>
        <w:r w:rsidRPr="00C63657">
          <w:rPr>
            <w:rFonts w:ascii="Arial" w:hAnsi="Arial" w:cs="Arial"/>
            <w:noProof/>
            <w:webHidden/>
            <w:sz w:val="28"/>
            <w:szCs w:val="28"/>
          </w:rPr>
          <w:fldChar w:fldCharType="end"/>
        </w:r>
      </w:hyperlink>
    </w:p>
    <w:p w14:paraId="13EA7EF9" w14:textId="0452D8D1" w:rsidR="00EB6F2F" w:rsidRPr="00C63657" w:rsidRDefault="002560F1" w:rsidP="00C63657">
      <w:pPr>
        <w:spacing w:after="160"/>
        <w:jc w:val="left"/>
        <w:rPr>
          <w:rFonts w:ascii="Arial" w:hAnsi="Arial" w:cs="Arial"/>
          <w:sz w:val="28"/>
          <w:szCs w:val="28"/>
        </w:rPr>
      </w:pPr>
      <w:r w:rsidRPr="00C63657">
        <w:rPr>
          <w:rFonts w:ascii="Arial" w:hAnsi="Arial" w:cs="Arial"/>
          <w:sz w:val="28"/>
          <w:szCs w:val="28"/>
        </w:rPr>
        <w:fldChar w:fldCharType="end"/>
      </w:r>
      <w:r w:rsidR="00EB6F2F" w:rsidRPr="00C63657">
        <w:rPr>
          <w:rFonts w:ascii="Arial" w:hAnsi="Arial" w:cs="Arial"/>
          <w:sz w:val="28"/>
          <w:szCs w:val="28"/>
        </w:rPr>
        <w:br w:type="page"/>
      </w:r>
    </w:p>
    <w:p w14:paraId="29ED01AF" w14:textId="7A96A6E5" w:rsidR="00090D8A" w:rsidRPr="00C63657" w:rsidRDefault="00090D8A" w:rsidP="00C63657">
      <w:pPr>
        <w:pStyle w:val="Heading1"/>
        <w:rPr>
          <w:rFonts w:ascii="Arial" w:hAnsi="Arial" w:cs="Arial"/>
          <w:szCs w:val="28"/>
        </w:rPr>
      </w:pPr>
      <w:bookmarkStart w:id="0" w:name="_Toc212225723"/>
      <w:r w:rsidRPr="00C63657">
        <w:rPr>
          <w:rFonts w:ascii="Arial" w:hAnsi="Arial" w:cs="Arial"/>
          <w:szCs w:val="28"/>
        </w:rPr>
        <w:lastRenderedPageBreak/>
        <w:t>1. Introduction to the Chosen Organisation</w:t>
      </w:r>
      <w:bookmarkEnd w:id="0"/>
    </w:p>
    <w:p w14:paraId="0466578A" w14:textId="77777777" w:rsidR="00090D8A" w:rsidRPr="00C63657" w:rsidRDefault="00090D8A" w:rsidP="00C63657">
      <w:pPr>
        <w:pStyle w:val="Heading2"/>
        <w:rPr>
          <w:rFonts w:ascii="Arial" w:hAnsi="Arial" w:cs="Arial"/>
          <w:sz w:val="28"/>
          <w:szCs w:val="28"/>
        </w:rPr>
      </w:pPr>
      <w:bookmarkStart w:id="1" w:name="_Toc212225724"/>
      <w:r w:rsidRPr="00C63657">
        <w:rPr>
          <w:rFonts w:ascii="Arial" w:hAnsi="Arial" w:cs="Arial"/>
          <w:sz w:val="28"/>
          <w:szCs w:val="28"/>
        </w:rPr>
        <w:t>1.1 Organisational Overview</w:t>
      </w:r>
      <w:bookmarkEnd w:id="1"/>
    </w:p>
    <w:p w14:paraId="65390F1D" w14:textId="40EBF838" w:rsidR="00090D8A" w:rsidRPr="00C63657" w:rsidRDefault="00C63657" w:rsidP="00C63657">
      <w:pPr>
        <w:rPr>
          <w:rFonts w:ascii="Arial" w:hAnsi="Arial" w:cs="Arial"/>
          <w:sz w:val="28"/>
          <w:szCs w:val="28"/>
        </w:rPr>
      </w:pPr>
      <w:r w:rsidRPr="00C63657">
        <w:rPr>
          <w:rFonts w:ascii="Arial" w:hAnsi="Arial" w:cs="Arial"/>
          <w:sz w:val="28"/>
          <w:szCs w:val="28"/>
        </w:rPr>
        <w:t>Gregg’s</w:t>
      </w:r>
      <w:r w:rsidR="00370C26" w:rsidRPr="00C63657">
        <w:rPr>
          <w:rFonts w:ascii="Arial" w:hAnsi="Arial" w:cs="Arial"/>
          <w:sz w:val="28"/>
          <w:szCs w:val="28"/>
        </w:rPr>
        <w:t xml:space="preserve"> plc is one of the leading food-to-go, retail companies in the United Kingdom, which was founded in 1939 and has over 2,600 shops throughout the country (Greggs Annual Report, 2024). Over the years it has positioned itself as a value-led and high-volume retailer and is focused on affordability, convenience and access. Its product range includes bakery goods, savoury snacks, beverages and quick serve meal bundles, which cater to time-sensitive consumers. A defining element of Greggs' operating model is its vertical integration-the company manages the entire manufacturing, distribution, and retail operations </w:t>
      </w:r>
      <w:proofErr w:type="gramStart"/>
      <w:r w:rsidR="00370C26" w:rsidRPr="00C63657">
        <w:rPr>
          <w:rFonts w:ascii="Arial" w:hAnsi="Arial" w:cs="Arial"/>
          <w:sz w:val="28"/>
          <w:szCs w:val="28"/>
        </w:rPr>
        <w:t>in order to</w:t>
      </w:r>
      <w:proofErr w:type="gramEnd"/>
      <w:r w:rsidR="00370C26" w:rsidRPr="00C63657">
        <w:rPr>
          <w:rFonts w:ascii="Arial" w:hAnsi="Arial" w:cs="Arial"/>
          <w:sz w:val="28"/>
          <w:szCs w:val="28"/>
        </w:rPr>
        <w:t xml:space="preserve"> maintain its efficiency and cost leadership (Clark, Trimingham and Wilson, 2020).</w:t>
      </w:r>
    </w:p>
    <w:p w14:paraId="5905BE66" w14:textId="77777777" w:rsidR="00090D8A" w:rsidRPr="00C63657" w:rsidRDefault="00090D8A" w:rsidP="00C63657">
      <w:pPr>
        <w:pStyle w:val="Heading2"/>
        <w:rPr>
          <w:rFonts w:ascii="Arial" w:hAnsi="Arial" w:cs="Arial"/>
          <w:sz w:val="28"/>
          <w:szCs w:val="28"/>
        </w:rPr>
      </w:pPr>
      <w:bookmarkStart w:id="2" w:name="_Toc212225725"/>
      <w:r w:rsidRPr="00C63657">
        <w:rPr>
          <w:rFonts w:ascii="Arial" w:hAnsi="Arial" w:cs="Arial"/>
          <w:sz w:val="28"/>
          <w:szCs w:val="28"/>
        </w:rPr>
        <w:t>1.2 Core Business Model and Strategic Direction</w:t>
      </w:r>
      <w:bookmarkEnd w:id="2"/>
    </w:p>
    <w:p w14:paraId="31BE05E2" w14:textId="77777777" w:rsidR="00FF1A4B" w:rsidRPr="00C63657" w:rsidRDefault="00FF1A4B" w:rsidP="00C63657">
      <w:pPr>
        <w:rPr>
          <w:rFonts w:ascii="Arial" w:hAnsi="Arial" w:cs="Arial"/>
          <w:sz w:val="28"/>
          <w:szCs w:val="28"/>
        </w:rPr>
      </w:pPr>
      <w:r w:rsidRPr="00C63657">
        <w:rPr>
          <w:rFonts w:ascii="Arial" w:hAnsi="Arial" w:cs="Arial"/>
          <w:sz w:val="28"/>
          <w:szCs w:val="28"/>
        </w:rPr>
        <w:t>Greggs has built a successful omnichannel retail model that integrates in-store transactions with mobile app ordering, click &amp; collect, and delivery partnerships. This is the company's response to the changing habits of consumers and increasing demands for convenience and accessibility (Gerea, Gonzalez-Lopez and Herskovic, 2021). Digital transformation is at the core of Gregg's strategy to improve operational resilience and provide an improved customer experience. Such capacity is reflected by the recent investment in the supply chain - including expansion of capacity at Derby and the opening of a new automated National Distribution Centre at Kettering - with total investment announced at GBP15m on 15 February 2024 (Investor Event Supply Plans, 2024).</w:t>
      </w:r>
    </w:p>
    <w:p w14:paraId="08D96CBC" w14:textId="1197CEBB" w:rsidR="00090D8A" w:rsidRPr="00C63657" w:rsidRDefault="00FF1A4B" w:rsidP="00C63657">
      <w:pPr>
        <w:rPr>
          <w:rFonts w:ascii="Arial" w:hAnsi="Arial" w:cs="Arial"/>
          <w:sz w:val="28"/>
          <w:szCs w:val="28"/>
        </w:rPr>
      </w:pPr>
      <w:r w:rsidRPr="00C63657">
        <w:rPr>
          <w:rFonts w:ascii="Arial" w:hAnsi="Arial" w:cs="Arial"/>
          <w:sz w:val="28"/>
          <w:szCs w:val="28"/>
        </w:rPr>
        <w:t xml:space="preserve">In </w:t>
      </w:r>
      <w:r w:rsidR="00DA4604" w:rsidRPr="00C63657">
        <w:rPr>
          <w:rFonts w:ascii="Arial" w:hAnsi="Arial" w:cs="Arial"/>
          <w:sz w:val="28"/>
          <w:szCs w:val="28"/>
        </w:rPr>
        <w:t>addition,</w:t>
      </w:r>
      <w:r w:rsidRPr="00C63657">
        <w:rPr>
          <w:rFonts w:ascii="Arial" w:hAnsi="Arial" w:cs="Arial"/>
          <w:sz w:val="28"/>
          <w:szCs w:val="28"/>
        </w:rPr>
        <w:t xml:space="preserve"> the organisation is expanding its trading model with service extensions in the evening, menu innovations and partnerships with delivery platforms to grab further market share (Greggs Interim Results </w:t>
      </w:r>
      <w:r w:rsidRPr="00C63657">
        <w:rPr>
          <w:rFonts w:ascii="Arial" w:hAnsi="Arial" w:cs="Arial"/>
          <w:sz w:val="28"/>
          <w:szCs w:val="28"/>
        </w:rPr>
        <w:lastRenderedPageBreak/>
        <w:t xml:space="preserve">Presentation, 2023 and Greggs First Half Trading Update, 2025). This a priori strategic orientation is in line with broad sector developments concerning agile, </w:t>
      </w:r>
      <w:r w:rsidR="00746014" w:rsidRPr="00C63657">
        <w:rPr>
          <w:rFonts w:ascii="Arial" w:hAnsi="Arial" w:cs="Arial"/>
          <w:sz w:val="28"/>
          <w:szCs w:val="28"/>
        </w:rPr>
        <w:t>technologically enabled</w:t>
      </w:r>
      <w:r w:rsidRPr="00C63657">
        <w:rPr>
          <w:rFonts w:ascii="Arial" w:hAnsi="Arial" w:cs="Arial"/>
          <w:sz w:val="28"/>
          <w:szCs w:val="28"/>
        </w:rPr>
        <w:t xml:space="preserve"> service delivery in food-to-go retail (Woy, Wilson and Cockbill, 2023).</w:t>
      </w:r>
    </w:p>
    <w:p w14:paraId="182D1A34" w14:textId="77777777" w:rsidR="00090D8A" w:rsidRPr="00C63657" w:rsidRDefault="00090D8A" w:rsidP="00C63657">
      <w:pPr>
        <w:pStyle w:val="Heading2"/>
        <w:rPr>
          <w:rFonts w:ascii="Arial" w:hAnsi="Arial" w:cs="Arial"/>
          <w:sz w:val="28"/>
          <w:szCs w:val="28"/>
        </w:rPr>
      </w:pPr>
      <w:bookmarkStart w:id="3" w:name="_Toc212225726"/>
      <w:r w:rsidRPr="00C63657">
        <w:rPr>
          <w:rFonts w:ascii="Arial" w:hAnsi="Arial" w:cs="Arial"/>
          <w:sz w:val="28"/>
          <w:szCs w:val="28"/>
        </w:rPr>
        <w:t>1.3 Relevance to Design Thinking and Innovation</w:t>
      </w:r>
      <w:bookmarkEnd w:id="3"/>
    </w:p>
    <w:p w14:paraId="1552EF52" w14:textId="6FD83CF1" w:rsidR="00090D8A" w:rsidRPr="00C63657" w:rsidRDefault="003E1BE8" w:rsidP="00C63657">
      <w:pPr>
        <w:rPr>
          <w:rFonts w:ascii="Arial" w:hAnsi="Arial" w:cs="Arial"/>
          <w:sz w:val="28"/>
          <w:szCs w:val="28"/>
        </w:rPr>
      </w:pPr>
      <w:r w:rsidRPr="00C63657">
        <w:rPr>
          <w:rFonts w:ascii="Arial" w:hAnsi="Arial" w:cs="Arial"/>
          <w:sz w:val="28"/>
          <w:szCs w:val="28"/>
        </w:rPr>
        <w:t xml:space="preserve">Greggs is a perfect case study for implementing design thinking principles as its service ecosystem is multi-touchpoint. Giant has a cross-sell strategy for all channels which allows for Customer Journey Mapping and Innovation Ambition Matrix analysis as it encompasses offline stores, mobile apps, and digital channels. These frameworks allow to understand where it is possible to </w:t>
      </w:r>
      <w:r w:rsidR="009C30C7" w:rsidRPr="00C63657">
        <w:rPr>
          <w:rFonts w:ascii="Arial" w:hAnsi="Arial" w:cs="Arial"/>
          <w:sz w:val="28"/>
          <w:szCs w:val="28"/>
        </w:rPr>
        <w:t>volumize</w:t>
      </w:r>
      <w:r w:rsidRPr="00C63657">
        <w:rPr>
          <w:rFonts w:ascii="Arial" w:hAnsi="Arial" w:cs="Arial"/>
          <w:sz w:val="28"/>
          <w:szCs w:val="28"/>
        </w:rPr>
        <w:t xml:space="preserve"> the user-</w:t>
      </w:r>
      <w:r w:rsidR="009C30C7" w:rsidRPr="00C63657">
        <w:rPr>
          <w:rFonts w:ascii="Arial" w:hAnsi="Arial" w:cs="Arial"/>
          <w:sz w:val="28"/>
          <w:szCs w:val="28"/>
        </w:rPr>
        <w:t>cantered</w:t>
      </w:r>
      <w:r w:rsidRPr="00C63657">
        <w:rPr>
          <w:rFonts w:ascii="Arial" w:hAnsi="Arial" w:cs="Arial"/>
          <w:sz w:val="28"/>
          <w:szCs w:val="28"/>
        </w:rPr>
        <w:t xml:space="preserve"> innovation, extend the desirability, and sustain the growth (Sirinanda and Balota, 2024). The size and multiple </w:t>
      </w:r>
      <w:r w:rsidR="009C30C7" w:rsidRPr="00C63657">
        <w:rPr>
          <w:rFonts w:ascii="Arial" w:hAnsi="Arial" w:cs="Arial"/>
          <w:sz w:val="28"/>
          <w:szCs w:val="28"/>
        </w:rPr>
        <w:t>elements</w:t>
      </w:r>
      <w:r w:rsidRPr="00C63657">
        <w:rPr>
          <w:rFonts w:ascii="Arial" w:hAnsi="Arial" w:cs="Arial"/>
          <w:sz w:val="28"/>
          <w:szCs w:val="28"/>
        </w:rPr>
        <w:t xml:space="preserve"> of Greggs' business also </w:t>
      </w:r>
      <w:r w:rsidR="009C30C7" w:rsidRPr="00C63657">
        <w:rPr>
          <w:rFonts w:ascii="Arial" w:hAnsi="Arial" w:cs="Arial"/>
          <w:sz w:val="28"/>
          <w:szCs w:val="28"/>
        </w:rPr>
        <w:t>present</w:t>
      </w:r>
      <w:r w:rsidRPr="00C63657">
        <w:rPr>
          <w:rFonts w:ascii="Arial" w:hAnsi="Arial" w:cs="Arial"/>
          <w:sz w:val="28"/>
          <w:szCs w:val="28"/>
        </w:rPr>
        <w:t xml:space="preserve"> opportunities to develop innovation in aspects such as service design, personalisation of the experience and integration of operations.</w:t>
      </w:r>
    </w:p>
    <w:p w14:paraId="29B3D9A2" w14:textId="77777777" w:rsidR="00090D8A" w:rsidRPr="00C63657" w:rsidRDefault="00090D8A" w:rsidP="00C63657">
      <w:pPr>
        <w:pStyle w:val="Heading2"/>
        <w:rPr>
          <w:rFonts w:ascii="Arial" w:hAnsi="Arial" w:cs="Arial"/>
          <w:sz w:val="28"/>
          <w:szCs w:val="28"/>
        </w:rPr>
      </w:pPr>
      <w:bookmarkStart w:id="4" w:name="_Toc212225727"/>
      <w:r w:rsidRPr="00C63657">
        <w:rPr>
          <w:rFonts w:ascii="Arial" w:hAnsi="Arial" w:cs="Arial"/>
          <w:sz w:val="28"/>
          <w:szCs w:val="28"/>
        </w:rPr>
        <w:t>1.4 Structure of the Report</w:t>
      </w:r>
      <w:bookmarkEnd w:id="4"/>
    </w:p>
    <w:p w14:paraId="73B0E235" w14:textId="4E86EF44" w:rsidR="00090D8A" w:rsidRPr="00C63657" w:rsidRDefault="00660738" w:rsidP="00C63657">
      <w:pPr>
        <w:rPr>
          <w:rFonts w:ascii="Arial" w:hAnsi="Arial" w:cs="Arial"/>
          <w:sz w:val="28"/>
          <w:szCs w:val="28"/>
        </w:rPr>
      </w:pPr>
      <w:r w:rsidRPr="00C63657">
        <w:rPr>
          <w:rFonts w:ascii="Arial" w:hAnsi="Arial" w:cs="Arial"/>
          <w:sz w:val="28"/>
          <w:szCs w:val="28"/>
        </w:rPr>
        <w:t xml:space="preserve">This report starts by looking at the consumer and industry trends that affect Greggs' operating environment. It then critically reviews the company's existing innovation strategy and customer experience </w:t>
      </w:r>
      <w:r w:rsidR="009C30C7" w:rsidRPr="00C63657">
        <w:rPr>
          <w:rFonts w:ascii="Arial" w:hAnsi="Arial" w:cs="Arial"/>
          <w:sz w:val="28"/>
          <w:szCs w:val="28"/>
        </w:rPr>
        <w:t>journey and</w:t>
      </w:r>
      <w:r w:rsidRPr="00C63657">
        <w:rPr>
          <w:rFonts w:ascii="Arial" w:hAnsi="Arial" w:cs="Arial"/>
          <w:sz w:val="28"/>
          <w:szCs w:val="28"/>
        </w:rPr>
        <w:t xml:space="preserve"> then proposes a digital transformation program of work that aims to </w:t>
      </w:r>
      <w:r w:rsidR="003A17AB" w:rsidRPr="00C63657">
        <w:rPr>
          <w:rFonts w:ascii="Arial" w:hAnsi="Arial" w:cs="Arial"/>
          <w:sz w:val="28"/>
          <w:szCs w:val="28"/>
        </w:rPr>
        <w:t>act</w:t>
      </w:r>
      <w:r w:rsidRPr="00C63657">
        <w:rPr>
          <w:rFonts w:ascii="Arial" w:hAnsi="Arial" w:cs="Arial"/>
          <w:sz w:val="28"/>
          <w:szCs w:val="28"/>
        </w:rPr>
        <w:t xml:space="preserve"> on key operational pain points and enhance customer experience. Finally, the conclusions generated a synthesis of the findings with strategic implications for Greggs' future innovation direction.</w:t>
      </w:r>
    </w:p>
    <w:p w14:paraId="69D56B18" w14:textId="77777777" w:rsidR="00EB6F2F" w:rsidRPr="00C63657" w:rsidRDefault="00EB6F2F" w:rsidP="00C63657">
      <w:pPr>
        <w:pStyle w:val="Heading1"/>
        <w:rPr>
          <w:rFonts w:ascii="Arial" w:hAnsi="Arial" w:cs="Arial"/>
          <w:szCs w:val="28"/>
        </w:rPr>
      </w:pPr>
      <w:bookmarkStart w:id="5" w:name="_Toc212225728"/>
      <w:r w:rsidRPr="00C63657">
        <w:rPr>
          <w:rFonts w:ascii="Arial" w:hAnsi="Arial" w:cs="Arial"/>
          <w:szCs w:val="28"/>
        </w:rPr>
        <w:t>2. Key Consumer and Industry Trends &amp; Data</w:t>
      </w:r>
      <w:bookmarkEnd w:id="5"/>
    </w:p>
    <w:p w14:paraId="3B7A6989" w14:textId="77777777" w:rsidR="00EB6F2F" w:rsidRPr="00C63657" w:rsidRDefault="00EB6F2F" w:rsidP="00C63657">
      <w:pPr>
        <w:pStyle w:val="Heading2"/>
        <w:rPr>
          <w:rFonts w:ascii="Arial" w:hAnsi="Arial" w:cs="Arial"/>
          <w:sz w:val="28"/>
          <w:szCs w:val="28"/>
        </w:rPr>
      </w:pPr>
      <w:bookmarkStart w:id="6" w:name="_Toc212225729"/>
      <w:r w:rsidRPr="00C63657">
        <w:rPr>
          <w:rFonts w:ascii="Arial" w:hAnsi="Arial" w:cs="Arial"/>
          <w:sz w:val="28"/>
          <w:szCs w:val="28"/>
        </w:rPr>
        <w:t>2.1 Market Structure and Growth</w:t>
      </w:r>
      <w:bookmarkEnd w:id="6"/>
    </w:p>
    <w:p w14:paraId="3892B293" w14:textId="33E86FFE" w:rsidR="00683BF7" w:rsidRPr="00C63657" w:rsidRDefault="009C30C7" w:rsidP="00C63657">
      <w:pPr>
        <w:rPr>
          <w:rFonts w:ascii="Arial" w:hAnsi="Arial" w:cs="Arial"/>
          <w:sz w:val="28"/>
          <w:szCs w:val="28"/>
        </w:rPr>
      </w:pPr>
      <w:r w:rsidRPr="00C63657">
        <w:rPr>
          <w:rFonts w:ascii="Arial" w:hAnsi="Arial" w:cs="Arial"/>
          <w:sz w:val="28"/>
          <w:szCs w:val="28"/>
        </w:rPr>
        <w:t>Gregg’s</w:t>
      </w:r>
      <w:r w:rsidR="006D5129" w:rsidRPr="00C63657">
        <w:rPr>
          <w:rFonts w:ascii="Arial" w:hAnsi="Arial" w:cs="Arial"/>
          <w:sz w:val="28"/>
          <w:szCs w:val="28"/>
        </w:rPr>
        <w:t xml:space="preserve"> plc has had strong market performance, exceeding sales of GBP2 billion in the 2024 financial year, with a 5.5% like-for-like growth </w:t>
      </w:r>
      <w:r w:rsidR="006D5129" w:rsidRPr="00C63657">
        <w:rPr>
          <w:rFonts w:ascii="Arial" w:hAnsi="Arial" w:cs="Arial"/>
          <w:sz w:val="28"/>
          <w:szCs w:val="28"/>
        </w:rPr>
        <w:lastRenderedPageBreak/>
        <w:t xml:space="preserve">and consistent growth throughout the UK (Greggs Annual Report and Accounts, 2024). </w:t>
      </w:r>
      <w:r w:rsidR="00683BF7" w:rsidRPr="00C63657">
        <w:rPr>
          <w:rFonts w:ascii="Arial" w:hAnsi="Arial" w:cs="Arial"/>
          <w:sz w:val="28"/>
          <w:szCs w:val="28"/>
        </w:rPr>
        <w:t>The growth provided by Greggs' abilities to accommodate changing consumer preferences and remain competitive on price through its ability to adapt operational model. The company is still expanding the physical footprint with 140-150 net shop launches being added per annum which is supported by focusing its strategy on high footfall locations and new market segments (Greggs Interim Results Presentation, 2025; Greggs First Half Trading Update, 2025). As well as store expansion Greggs have been successful in diversifying its evening trade and delivery services and positioning themselves in a more competitive position within the quick service restaurant (QSR) market.</w:t>
      </w:r>
    </w:p>
    <w:p w14:paraId="53CA862A" w14:textId="37C9D2B1" w:rsidR="00EB6F2F" w:rsidRPr="00C63657" w:rsidRDefault="00683BF7" w:rsidP="00C63657">
      <w:pPr>
        <w:rPr>
          <w:rFonts w:ascii="Arial" w:hAnsi="Arial" w:cs="Arial"/>
          <w:sz w:val="28"/>
          <w:szCs w:val="28"/>
        </w:rPr>
      </w:pPr>
      <w:r w:rsidRPr="00C63657">
        <w:rPr>
          <w:rFonts w:ascii="Arial" w:hAnsi="Arial" w:cs="Arial"/>
          <w:sz w:val="28"/>
          <w:szCs w:val="28"/>
        </w:rPr>
        <w:t xml:space="preserve">This sharp trend to achieving commendable patterns of growth </w:t>
      </w:r>
      <w:r w:rsidR="009C30C7" w:rsidRPr="00C63657">
        <w:rPr>
          <w:rFonts w:ascii="Arial" w:hAnsi="Arial" w:cs="Arial"/>
          <w:sz w:val="28"/>
          <w:szCs w:val="28"/>
        </w:rPr>
        <w:t>is</w:t>
      </w:r>
      <w:r w:rsidRPr="00C63657">
        <w:rPr>
          <w:rFonts w:ascii="Arial" w:hAnsi="Arial" w:cs="Arial"/>
          <w:sz w:val="28"/>
          <w:szCs w:val="28"/>
        </w:rPr>
        <w:t xml:space="preserve"> reflective of wider structural changes within UK convenience food retail where the placing of emphasis is increasingly being put on scale and velocity being a differentiator.</w:t>
      </w:r>
      <w:r w:rsidR="006D5129" w:rsidRPr="00C63657">
        <w:rPr>
          <w:rFonts w:ascii="Arial" w:hAnsi="Arial" w:cs="Arial"/>
          <w:sz w:val="28"/>
          <w:szCs w:val="28"/>
        </w:rPr>
        <w:t xml:space="preserve"> The combination of delivery channels and expanded trading hours enables Greggs to capture consumption beyond the breakfast and lunch peak occasions in ways that are keeping pace with shifting lifestyles and work patterns (Khan, Alroomi and Nikolopoulos, 2022).</w:t>
      </w:r>
    </w:p>
    <w:p w14:paraId="106EA387" w14:textId="77777777" w:rsidR="00EB6F2F" w:rsidRPr="00C63657" w:rsidRDefault="00EB6F2F" w:rsidP="00C63657">
      <w:pPr>
        <w:pStyle w:val="Heading2"/>
        <w:rPr>
          <w:rFonts w:ascii="Arial" w:hAnsi="Arial" w:cs="Arial"/>
          <w:sz w:val="28"/>
          <w:szCs w:val="28"/>
        </w:rPr>
      </w:pPr>
      <w:bookmarkStart w:id="7" w:name="_Toc212225730"/>
      <w:r w:rsidRPr="00C63657">
        <w:rPr>
          <w:rFonts w:ascii="Arial" w:hAnsi="Arial" w:cs="Arial"/>
          <w:sz w:val="28"/>
          <w:szCs w:val="28"/>
        </w:rPr>
        <w:t>2.2 Consumer Behaviour Trends</w:t>
      </w:r>
      <w:bookmarkEnd w:id="7"/>
    </w:p>
    <w:p w14:paraId="50E38493" w14:textId="77777777" w:rsidR="00B67A9F" w:rsidRPr="00C63657" w:rsidRDefault="00B67A9F" w:rsidP="00C63657">
      <w:pPr>
        <w:rPr>
          <w:rFonts w:ascii="Arial" w:hAnsi="Arial" w:cs="Arial"/>
          <w:sz w:val="28"/>
          <w:szCs w:val="28"/>
        </w:rPr>
      </w:pPr>
      <w:r w:rsidRPr="00C63657">
        <w:rPr>
          <w:rFonts w:ascii="Arial" w:hAnsi="Arial" w:cs="Arial"/>
          <w:sz w:val="28"/>
          <w:szCs w:val="28"/>
        </w:rPr>
        <w:t xml:space="preserve">Over the past five years we have seen UK consumers drastically change their behavioural trends towards digital adoption and omnichannel retail journeys. Greggs has shown a 10.6% involvement in company-managed transactions compared to 5.2% from 2022 to 2023 (Greggs Interim Results Presentation, 2023). This surged represents a growing taste for convenience-enhancing technologies, such as mobile ordering, loyalty integrations and touchless transactions. Digital touchpoints are no longer </w:t>
      </w:r>
      <w:r w:rsidRPr="00C63657">
        <w:rPr>
          <w:rFonts w:ascii="Arial" w:hAnsi="Arial" w:cs="Arial"/>
          <w:sz w:val="28"/>
          <w:szCs w:val="28"/>
        </w:rPr>
        <w:lastRenderedPageBreak/>
        <w:t>the periphery - they've now become more central to the way that customers interact with food-to-go brands (Lashgari and Shahab, 2022).</w:t>
      </w:r>
    </w:p>
    <w:p w14:paraId="4361ECB2" w14:textId="77777777" w:rsidR="00B67A9F" w:rsidRPr="00C63657" w:rsidRDefault="00B67A9F" w:rsidP="00C63657">
      <w:pPr>
        <w:rPr>
          <w:rFonts w:ascii="Arial" w:hAnsi="Arial" w:cs="Arial"/>
          <w:sz w:val="28"/>
          <w:szCs w:val="28"/>
        </w:rPr>
      </w:pPr>
      <w:r w:rsidRPr="00C63657">
        <w:rPr>
          <w:rFonts w:ascii="Arial" w:hAnsi="Arial" w:cs="Arial"/>
          <w:sz w:val="28"/>
          <w:szCs w:val="28"/>
        </w:rPr>
        <w:t>Moreover, the consumers are increasingly value conscious due to inflationary pressures. Value-seeking behavior can be observed in the high demand for bundle offers and loyalty rewards that are a significant source of basket size. Seasonal and drinks ranges have also been introduced as an accelerator of demand with the introduction of iced drinks which were set up into a total of 1175 shops to adjust to customer trends (Greggs Annual Report and Accounts, 2024). These behavioural patterns are in line with the wider UK food service trends, where convenience, affordability, and speed are the primary drivers in buying choices (Yeoman and McMahon-Beattie, 2024).</w:t>
      </w:r>
    </w:p>
    <w:p w14:paraId="7C3C269A" w14:textId="1EC234B8" w:rsidR="00EB6F2F" w:rsidRPr="00C63657" w:rsidRDefault="00B67A9F" w:rsidP="00C63657">
      <w:pPr>
        <w:rPr>
          <w:rFonts w:ascii="Arial" w:hAnsi="Arial" w:cs="Arial"/>
          <w:sz w:val="28"/>
          <w:szCs w:val="28"/>
        </w:rPr>
      </w:pPr>
      <w:r w:rsidRPr="00C63657">
        <w:rPr>
          <w:rFonts w:ascii="Arial" w:hAnsi="Arial" w:cs="Arial"/>
          <w:sz w:val="28"/>
          <w:szCs w:val="28"/>
        </w:rPr>
        <w:t>Another trend is increasingly on the go, time-sensitive consumption. Customers increasingly expect food service to be part of their everyday lives, leading to the success of business that provide friction less ordering and fast fulfilment. This has led to retailers having to focus on operational efficiency and innovation of digital services (Fouad and Mokhtar, 2025).</w:t>
      </w:r>
    </w:p>
    <w:p w14:paraId="1DB01186" w14:textId="77777777" w:rsidR="00EB6F2F" w:rsidRPr="00C63657" w:rsidRDefault="00EB6F2F" w:rsidP="00C63657">
      <w:pPr>
        <w:pStyle w:val="Heading2"/>
        <w:rPr>
          <w:rFonts w:ascii="Arial" w:hAnsi="Arial" w:cs="Arial"/>
          <w:sz w:val="28"/>
          <w:szCs w:val="28"/>
        </w:rPr>
      </w:pPr>
      <w:bookmarkStart w:id="8" w:name="_Toc212225731"/>
      <w:r w:rsidRPr="00C63657">
        <w:rPr>
          <w:rFonts w:ascii="Arial" w:hAnsi="Arial" w:cs="Arial"/>
          <w:sz w:val="28"/>
          <w:szCs w:val="28"/>
        </w:rPr>
        <w:t>2.3 Macro Influences Shaping the Market</w:t>
      </w:r>
      <w:bookmarkEnd w:id="8"/>
    </w:p>
    <w:p w14:paraId="0BE7CAA8" w14:textId="77777777" w:rsidR="0001576A" w:rsidRPr="00C63657" w:rsidRDefault="003D3441" w:rsidP="00C63657">
      <w:pPr>
        <w:rPr>
          <w:rFonts w:ascii="Arial" w:hAnsi="Arial" w:cs="Arial"/>
          <w:sz w:val="28"/>
          <w:szCs w:val="28"/>
        </w:rPr>
      </w:pPr>
      <w:r w:rsidRPr="00C63657">
        <w:rPr>
          <w:rFonts w:ascii="Arial" w:hAnsi="Arial" w:cs="Arial"/>
          <w:sz w:val="28"/>
          <w:szCs w:val="28"/>
        </w:rPr>
        <w:t xml:space="preserve">The UK food retail environment has been heavily influenced by macroeconomic pressures, specifically cost of living pressures, food inflation and energy cost volatility. Greggs has been experiencing increasing input costs for aspects like packaging, labour and energy (Greggs Annual Report and Accounts, 2024). </w:t>
      </w:r>
      <w:r w:rsidR="0001576A" w:rsidRPr="00C63657">
        <w:rPr>
          <w:rFonts w:ascii="Arial" w:hAnsi="Arial" w:cs="Arial"/>
          <w:sz w:val="28"/>
          <w:szCs w:val="28"/>
        </w:rPr>
        <w:t>As a result of this, it has had to go out and impose changes in pricing and operational measures to keep them affordable and try to protect margins. These economic forces have also impacted the buying behavior of consumers, leading to a rise in sensitivity toward price points and promotions.</w:t>
      </w:r>
    </w:p>
    <w:p w14:paraId="5221C6EA" w14:textId="56564727" w:rsidR="00EB6F2F" w:rsidRPr="00C63657" w:rsidRDefault="0001576A" w:rsidP="00C63657">
      <w:pPr>
        <w:rPr>
          <w:rFonts w:ascii="Arial" w:hAnsi="Arial" w:cs="Arial"/>
          <w:sz w:val="28"/>
          <w:szCs w:val="28"/>
        </w:rPr>
      </w:pPr>
      <w:r w:rsidRPr="00C63657">
        <w:rPr>
          <w:rFonts w:ascii="Arial" w:hAnsi="Arial" w:cs="Arial"/>
          <w:sz w:val="28"/>
          <w:szCs w:val="28"/>
        </w:rPr>
        <w:lastRenderedPageBreak/>
        <w:t>Sustainability is becoming another structuring macro driver. Greggs has a pledge of being net zero by 2040 and the company has worked put efficiency into their supply chain (Greggs Interim Results Presentation, 2023). Such a commitment is well aligned with the societal pressures towards environmental responsibility and transiting to a circular economy, which also has implications for packaging design and energy management (Clark, Trimingham and Wilson, 2020).</w:t>
      </w:r>
    </w:p>
    <w:p w14:paraId="3D37B7B0" w14:textId="77777777" w:rsidR="00EB6F2F" w:rsidRPr="00C63657" w:rsidRDefault="00EB6F2F" w:rsidP="00C63657">
      <w:pPr>
        <w:pStyle w:val="Heading2"/>
        <w:rPr>
          <w:rFonts w:ascii="Arial" w:hAnsi="Arial" w:cs="Arial"/>
          <w:sz w:val="28"/>
          <w:szCs w:val="28"/>
        </w:rPr>
      </w:pPr>
      <w:bookmarkStart w:id="9" w:name="_Toc212225732"/>
      <w:r w:rsidRPr="00C63657">
        <w:rPr>
          <w:rFonts w:ascii="Arial" w:hAnsi="Arial" w:cs="Arial"/>
          <w:sz w:val="28"/>
          <w:szCs w:val="28"/>
        </w:rPr>
        <w:t>2.4 Competitive Environment and Market Positioning</w:t>
      </w:r>
      <w:bookmarkEnd w:id="9"/>
    </w:p>
    <w:p w14:paraId="3BEB32B3" w14:textId="77777777" w:rsidR="0056536C" w:rsidRPr="00C63657" w:rsidRDefault="0056536C" w:rsidP="00C63657">
      <w:pPr>
        <w:rPr>
          <w:rFonts w:ascii="Arial" w:hAnsi="Arial" w:cs="Arial"/>
          <w:sz w:val="28"/>
          <w:szCs w:val="28"/>
        </w:rPr>
      </w:pPr>
      <w:r w:rsidRPr="00C63657">
        <w:rPr>
          <w:rFonts w:ascii="Arial" w:hAnsi="Arial" w:cs="Arial"/>
          <w:sz w:val="28"/>
          <w:szCs w:val="28"/>
        </w:rPr>
        <w:t>Greggs operates in a highly competitive sector, its direct competitors being coffee chains, Quick Service Restaurant (QSR) brands and from convenience retailers. Its competitive advantage lies in its high brand perception, which was the number one brand for value in the YouGov Index (Greggs Annual Report and Accounts, 2024). Unlike many competitors, Greggs has a vertically integrated supply chain with both affordability and operational efficiency at its core, which further cements its position to achieve and scale cost effectively.</w:t>
      </w:r>
    </w:p>
    <w:p w14:paraId="0486A151" w14:textId="10F4AEE4" w:rsidR="00EB6F2F" w:rsidRPr="00C63657" w:rsidRDefault="0056536C" w:rsidP="00C63657">
      <w:pPr>
        <w:rPr>
          <w:rFonts w:ascii="Arial" w:hAnsi="Arial" w:cs="Arial"/>
          <w:sz w:val="28"/>
          <w:szCs w:val="28"/>
        </w:rPr>
      </w:pPr>
      <w:r w:rsidRPr="00C63657">
        <w:rPr>
          <w:rFonts w:ascii="Arial" w:hAnsi="Arial" w:cs="Arial"/>
          <w:sz w:val="28"/>
          <w:szCs w:val="28"/>
        </w:rPr>
        <w:t xml:space="preserve">Competitors are investing massive sums in delivery services, in-store </w:t>
      </w:r>
      <w:r w:rsidR="001D7FA4" w:rsidRPr="00C63657">
        <w:rPr>
          <w:rFonts w:ascii="Arial" w:hAnsi="Arial" w:cs="Arial"/>
          <w:sz w:val="28"/>
          <w:szCs w:val="28"/>
        </w:rPr>
        <w:t>retails capes</w:t>
      </w:r>
      <w:r w:rsidRPr="00C63657">
        <w:rPr>
          <w:rFonts w:ascii="Arial" w:hAnsi="Arial" w:cs="Arial"/>
          <w:sz w:val="28"/>
          <w:szCs w:val="28"/>
        </w:rPr>
        <w:t xml:space="preserve">, mobile loyalty programs, and more. To ensure it continues to compete, Greggs has invested in digital integration and growth into the evening trade, which will enable it to maintain its status as a significant player in the market </w:t>
      </w:r>
      <w:proofErr w:type="gramStart"/>
      <w:r w:rsidRPr="00C63657">
        <w:rPr>
          <w:rFonts w:ascii="Arial" w:hAnsi="Arial" w:cs="Arial"/>
          <w:sz w:val="28"/>
          <w:szCs w:val="28"/>
        </w:rPr>
        <w:t>and also</w:t>
      </w:r>
      <w:proofErr w:type="gramEnd"/>
      <w:r w:rsidRPr="00C63657">
        <w:rPr>
          <w:rFonts w:ascii="Arial" w:hAnsi="Arial" w:cs="Arial"/>
          <w:sz w:val="28"/>
          <w:szCs w:val="28"/>
        </w:rPr>
        <w:t xml:space="preserve"> increase its market share for discretionary meal occasions. This type of competitive positioning is a deliberate commitment to continuous value delivery while steadily enhancing the customer experience (Woy, Wilson and Cockbill, 2023).</w:t>
      </w:r>
    </w:p>
    <w:p w14:paraId="34C9D3BF" w14:textId="77777777" w:rsidR="00EB6F2F" w:rsidRPr="00C63657" w:rsidRDefault="00EB6F2F" w:rsidP="00C63657">
      <w:pPr>
        <w:pStyle w:val="Heading2"/>
        <w:rPr>
          <w:rFonts w:ascii="Arial" w:hAnsi="Arial" w:cs="Arial"/>
          <w:sz w:val="28"/>
          <w:szCs w:val="28"/>
        </w:rPr>
      </w:pPr>
      <w:bookmarkStart w:id="10" w:name="_Toc212225733"/>
      <w:r w:rsidRPr="00C63657">
        <w:rPr>
          <w:rFonts w:ascii="Arial" w:hAnsi="Arial" w:cs="Arial"/>
          <w:sz w:val="28"/>
          <w:szCs w:val="28"/>
        </w:rPr>
        <w:t>2.5 Strategic Implications for Innovation</w:t>
      </w:r>
      <w:bookmarkEnd w:id="10"/>
    </w:p>
    <w:p w14:paraId="313CF333" w14:textId="77777777" w:rsidR="00EC507B" w:rsidRPr="00C63657" w:rsidRDefault="00EC507B" w:rsidP="00C63657">
      <w:pPr>
        <w:rPr>
          <w:rFonts w:ascii="Arial" w:hAnsi="Arial" w:cs="Arial"/>
          <w:sz w:val="28"/>
          <w:szCs w:val="28"/>
        </w:rPr>
      </w:pPr>
      <w:r w:rsidRPr="00C63657">
        <w:rPr>
          <w:rFonts w:ascii="Arial" w:hAnsi="Arial" w:cs="Arial"/>
          <w:sz w:val="28"/>
          <w:szCs w:val="28"/>
        </w:rPr>
        <w:t xml:space="preserve">The external environment has both risks and opportunities for Greggs. Still, given the larger than ever digitalization in customer service and new </w:t>
      </w:r>
      <w:r w:rsidRPr="00C63657">
        <w:rPr>
          <w:rFonts w:ascii="Arial" w:hAnsi="Arial" w:cs="Arial"/>
          <w:sz w:val="28"/>
          <w:szCs w:val="28"/>
        </w:rPr>
        <w:lastRenderedPageBreak/>
        <w:t>unexplored consumer value, it leaves room for service innovation in terms of personalization, queue management, and real-time communication. At the same time there is pressure on inflation and sustainability concerns and the imperative to have operational flexibility and invest in lean systems.</w:t>
      </w:r>
    </w:p>
    <w:p w14:paraId="7F323B92" w14:textId="0A4AAD51" w:rsidR="00EB6F2F" w:rsidRPr="00C63657" w:rsidRDefault="00EC507B" w:rsidP="00C63657">
      <w:pPr>
        <w:rPr>
          <w:rFonts w:ascii="Arial" w:hAnsi="Arial" w:cs="Arial"/>
          <w:sz w:val="28"/>
          <w:szCs w:val="28"/>
        </w:rPr>
      </w:pPr>
      <w:r w:rsidRPr="00C63657">
        <w:rPr>
          <w:rFonts w:ascii="Arial" w:hAnsi="Arial" w:cs="Arial"/>
          <w:sz w:val="28"/>
          <w:szCs w:val="28"/>
        </w:rPr>
        <w:t xml:space="preserve">For Greggs, from a strategy point of view, this is a challenge and an opportunity of digital channels. Although they offer scalability, they also introduce an additional dimension of capacity management and customer experience management complexity to the equation. addressing these pressures through purposeful innovation is a natural complement to the principles of design thinking, in which a user-centric experience takes </w:t>
      </w:r>
      <w:proofErr w:type="spellStart"/>
      <w:r w:rsidRPr="00C63657">
        <w:rPr>
          <w:rFonts w:ascii="Arial" w:hAnsi="Arial" w:cs="Arial"/>
          <w:sz w:val="28"/>
          <w:szCs w:val="28"/>
        </w:rPr>
        <w:t>center</w:t>
      </w:r>
      <w:proofErr w:type="spellEnd"/>
      <w:r w:rsidRPr="00C63657">
        <w:rPr>
          <w:rFonts w:ascii="Arial" w:hAnsi="Arial" w:cs="Arial"/>
          <w:sz w:val="28"/>
          <w:szCs w:val="28"/>
        </w:rPr>
        <w:t xml:space="preserve"> stage, with the careful balancing of the operational needs of the design to do so (Sirinanda and Balota, 2024).</w:t>
      </w:r>
    </w:p>
    <w:p w14:paraId="18A47549" w14:textId="77777777" w:rsidR="0070247B" w:rsidRPr="00C63657" w:rsidRDefault="0070247B" w:rsidP="00C63657">
      <w:pPr>
        <w:pStyle w:val="Heading1"/>
        <w:rPr>
          <w:rFonts w:ascii="Arial" w:hAnsi="Arial" w:cs="Arial"/>
          <w:szCs w:val="28"/>
        </w:rPr>
      </w:pPr>
      <w:bookmarkStart w:id="11" w:name="_Toc212225734"/>
      <w:r w:rsidRPr="00C63657">
        <w:rPr>
          <w:rFonts w:ascii="Arial" w:hAnsi="Arial" w:cs="Arial"/>
          <w:szCs w:val="28"/>
        </w:rPr>
        <w:t>3. Part 1 — Innovation Analysis</w:t>
      </w:r>
      <w:bookmarkEnd w:id="11"/>
    </w:p>
    <w:p w14:paraId="78343D32" w14:textId="77777777" w:rsidR="0070247B" w:rsidRPr="00C63657" w:rsidRDefault="0070247B" w:rsidP="00C63657">
      <w:pPr>
        <w:pStyle w:val="Heading2"/>
        <w:rPr>
          <w:rFonts w:ascii="Arial" w:hAnsi="Arial" w:cs="Arial"/>
          <w:sz w:val="28"/>
          <w:szCs w:val="28"/>
        </w:rPr>
      </w:pPr>
      <w:bookmarkStart w:id="12" w:name="_Toc212225735"/>
      <w:r w:rsidRPr="00C63657">
        <w:rPr>
          <w:rFonts w:ascii="Arial" w:hAnsi="Arial" w:cs="Arial"/>
          <w:sz w:val="28"/>
          <w:szCs w:val="28"/>
        </w:rPr>
        <w:t>3.1 Innovation Ambition Matrix</w:t>
      </w:r>
      <w:bookmarkEnd w:id="12"/>
    </w:p>
    <w:p w14:paraId="705F44D9" w14:textId="78D54531" w:rsidR="00622999" w:rsidRPr="00C63657" w:rsidRDefault="000D7648" w:rsidP="00C63657">
      <w:pPr>
        <w:rPr>
          <w:rFonts w:ascii="Arial" w:hAnsi="Arial" w:cs="Arial"/>
          <w:sz w:val="28"/>
          <w:szCs w:val="28"/>
        </w:rPr>
      </w:pPr>
      <w:r w:rsidRPr="00C63657">
        <w:rPr>
          <w:rFonts w:ascii="Arial" w:hAnsi="Arial" w:cs="Arial"/>
          <w:sz w:val="28"/>
          <w:szCs w:val="28"/>
        </w:rPr>
        <w:t xml:space="preserve">As part of Greggs plc's growth therapy, innovation has been a fundamental driver that has been broken down into core, adjacent and transformational innovation </w:t>
      </w:r>
      <w:proofErr w:type="gramStart"/>
      <w:r w:rsidRPr="00C63657">
        <w:rPr>
          <w:rFonts w:ascii="Arial" w:hAnsi="Arial" w:cs="Arial"/>
          <w:sz w:val="28"/>
          <w:szCs w:val="28"/>
        </w:rPr>
        <w:t>in order to</w:t>
      </w:r>
      <w:proofErr w:type="gramEnd"/>
      <w:r w:rsidRPr="00C63657">
        <w:rPr>
          <w:rFonts w:ascii="Arial" w:hAnsi="Arial" w:cs="Arial"/>
          <w:sz w:val="28"/>
          <w:szCs w:val="28"/>
        </w:rPr>
        <w:t xml:space="preserve"> meet ever-changing market and consumer demands. Such a multi-tiered perspective can help the company to make the </w:t>
      </w:r>
      <w:r w:rsidR="001D7FA4" w:rsidRPr="00C63657">
        <w:rPr>
          <w:rFonts w:ascii="Arial" w:hAnsi="Arial" w:cs="Arial"/>
          <w:sz w:val="28"/>
          <w:szCs w:val="28"/>
        </w:rPr>
        <w:t>trade-off</w:t>
      </w:r>
      <w:r w:rsidRPr="00C63657">
        <w:rPr>
          <w:rFonts w:ascii="Arial" w:hAnsi="Arial" w:cs="Arial"/>
          <w:sz w:val="28"/>
          <w:szCs w:val="28"/>
        </w:rPr>
        <w:t xml:space="preserve"> between short-term service innovation and operation transformation in the long term (Yang, Kim, and Choi, 2022).</w:t>
      </w:r>
    </w:p>
    <w:p w14:paraId="11E128DA" w14:textId="77777777" w:rsidR="00622999" w:rsidRPr="00C63657" w:rsidRDefault="00622999" w:rsidP="00C63657">
      <w:pPr>
        <w:rPr>
          <w:rFonts w:ascii="Arial" w:hAnsi="Arial" w:cs="Arial"/>
          <w:b/>
          <w:bCs/>
          <w:sz w:val="28"/>
          <w:szCs w:val="28"/>
        </w:rPr>
      </w:pPr>
      <w:r w:rsidRPr="00C63657">
        <w:rPr>
          <w:rFonts w:ascii="Arial" w:hAnsi="Arial" w:cs="Arial"/>
          <w:b/>
          <w:bCs/>
          <w:sz w:val="28"/>
          <w:szCs w:val="28"/>
        </w:rPr>
        <w:t>Core Innovations</w:t>
      </w:r>
    </w:p>
    <w:p w14:paraId="05E8FBF4" w14:textId="77777777" w:rsidR="00622999" w:rsidRPr="00C63657" w:rsidRDefault="00622999" w:rsidP="00C63657">
      <w:pPr>
        <w:rPr>
          <w:rFonts w:ascii="Arial" w:hAnsi="Arial" w:cs="Arial"/>
          <w:sz w:val="28"/>
          <w:szCs w:val="28"/>
        </w:rPr>
      </w:pPr>
      <w:r w:rsidRPr="00C63657">
        <w:rPr>
          <w:rFonts w:ascii="Arial" w:hAnsi="Arial" w:cs="Arial"/>
          <w:sz w:val="28"/>
          <w:szCs w:val="28"/>
        </w:rPr>
        <w:t xml:space="preserve">On a more fundamental level, Greggs has been very focused on improving customer convenience with the loyalty app and click &amp; collect service. These new innovations target the importance of speed, accessibility and seamless transactions which have become pivotal to food to go retail (Paredes, Ritzen, and Roese, 2023). The loyalty app </w:t>
      </w:r>
      <w:r w:rsidRPr="00C63657">
        <w:rPr>
          <w:rFonts w:ascii="Arial" w:hAnsi="Arial" w:cs="Arial"/>
          <w:sz w:val="28"/>
          <w:szCs w:val="28"/>
        </w:rPr>
        <w:lastRenderedPageBreak/>
        <w:t>helps keep customers by incorporating promotions, rewards, and payment, and click &amp; collect enables customers to pre-order and hold off from waiting in lines at peak hours.</w:t>
      </w:r>
    </w:p>
    <w:p w14:paraId="5616816D" w14:textId="77777777" w:rsidR="00622999" w:rsidRPr="00C63657" w:rsidRDefault="00622999" w:rsidP="00C63657">
      <w:pPr>
        <w:rPr>
          <w:rFonts w:ascii="Arial" w:hAnsi="Arial" w:cs="Arial"/>
          <w:sz w:val="28"/>
          <w:szCs w:val="28"/>
        </w:rPr>
      </w:pPr>
      <w:r w:rsidRPr="00C63657">
        <w:rPr>
          <w:rFonts w:ascii="Arial" w:hAnsi="Arial" w:cs="Arial"/>
          <w:sz w:val="28"/>
          <w:szCs w:val="28"/>
        </w:rPr>
        <w:t>The operational impact of such initiatives was clear with the number of app orders being scanned increasing dramatically between 2022 and 2023 with 10.6% of company-managed transactions scanned through the Greggs app (Greggs Interim Results Presentation, 2023). In addition to decreasing the friction between the user and the money trail, these innovations secure further customer loyalty and hence increase transaction volumes (Debnath Munshi and Podder, 2025).</w:t>
      </w:r>
    </w:p>
    <w:p w14:paraId="38701EDF" w14:textId="77777777" w:rsidR="00622999" w:rsidRPr="00C63657" w:rsidRDefault="00622999" w:rsidP="00C63657">
      <w:pPr>
        <w:rPr>
          <w:rFonts w:ascii="Arial" w:hAnsi="Arial" w:cs="Arial"/>
          <w:b/>
          <w:bCs/>
          <w:sz w:val="28"/>
          <w:szCs w:val="28"/>
        </w:rPr>
      </w:pPr>
      <w:r w:rsidRPr="00C63657">
        <w:rPr>
          <w:rFonts w:ascii="Arial" w:hAnsi="Arial" w:cs="Arial"/>
          <w:b/>
          <w:bCs/>
          <w:sz w:val="28"/>
          <w:szCs w:val="28"/>
        </w:rPr>
        <w:t>Adjacent Innovations</w:t>
      </w:r>
    </w:p>
    <w:p w14:paraId="405D168C" w14:textId="77777777" w:rsidR="00622999" w:rsidRPr="00C63657" w:rsidRDefault="00622999" w:rsidP="00C63657">
      <w:pPr>
        <w:rPr>
          <w:rFonts w:ascii="Arial" w:hAnsi="Arial" w:cs="Arial"/>
          <w:sz w:val="28"/>
          <w:szCs w:val="28"/>
        </w:rPr>
      </w:pPr>
      <w:r w:rsidRPr="00C63657">
        <w:rPr>
          <w:rFonts w:ascii="Arial" w:hAnsi="Arial" w:cs="Arial"/>
          <w:sz w:val="28"/>
          <w:szCs w:val="28"/>
        </w:rPr>
        <w:t>Greggs has also extended its innovation into adjacent consumption options and has allowed the company to extend its customer base by introducing iced drinks and evening trading. Such a strategic move has been influenced by the brand's objective to expand its presence beyond the conventional breakfast and lunch dayparts in line with the changing consumer lifestyles (Hickman, Kharouf and Sekhon, 2019).</w:t>
      </w:r>
    </w:p>
    <w:p w14:paraId="4E36C1EA" w14:textId="40E8AAF2" w:rsidR="00622999" w:rsidRPr="00C63657" w:rsidRDefault="00622999" w:rsidP="00C63657">
      <w:pPr>
        <w:rPr>
          <w:rFonts w:ascii="Arial" w:hAnsi="Arial" w:cs="Arial"/>
          <w:sz w:val="28"/>
          <w:szCs w:val="28"/>
        </w:rPr>
      </w:pPr>
      <w:r w:rsidRPr="00C63657">
        <w:rPr>
          <w:rFonts w:ascii="Arial" w:hAnsi="Arial" w:cs="Arial"/>
          <w:sz w:val="28"/>
          <w:szCs w:val="28"/>
        </w:rPr>
        <w:t xml:space="preserve">Evening trade has now reached 8.3% of company managed sales, and product diversification, via seasonal and drinks offering, has enabled Greggs to add value to previously </w:t>
      </w:r>
      <w:r w:rsidR="001D7FA4" w:rsidRPr="00C63657">
        <w:rPr>
          <w:rFonts w:ascii="Arial" w:hAnsi="Arial" w:cs="Arial"/>
          <w:sz w:val="28"/>
          <w:szCs w:val="28"/>
        </w:rPr>
        <w:t>underutilised</w:t>
      </w:r>
      <w:r w:rsidRPr="00C63657">
        <w:rPr>
          <w:rFonts w:ascii="Arial" w:hAnsi="Arial" w:cs="Arial"/>
          <w:sz w:val="28"/>
          <w:szCs w:val="28"/>
        </w:rPr>
        <w:t xml:space="preserve"> time slots (Greggs Interim Results Presentation, 2023). The latter type of innovation involves the use of existing assets, such as shop formats, menu flexibility, and delivery partners to generate incremental revenue streams (Fainshtein et al., 2023).</w:t>
      </w:r>
    </w:p>
    <w:p w14:paraId="25BA0BAC" w14:textId="77777777" w:rsidR="00622999" w:rsidRPr="00C63657" w:rsidRDefault="00622999" w:rsidP="00C63657">
      <w:pPr>
        <w:rPr>
          <w:rFonts w:ascii="Arial" w:hAnsi="Arial" w:cs="Arial"/>
          <w:b/>
          <w:bCs/>
          <w:sz w:val="28"/>
          <w:szCs w:val="28"/>
        </w:rPr>
      </w:pPr>
      <w:r w:rsidRPr="00C63657">
        <w:rPr>
          <w:rFonts w:ascii="Arial" w:hAnsi="Arial" w:cs="Arial"/>
          <w:b/>
          <w:bCs/>
          <w:sz w:val="28"/>
          <w:szCs w:val="28"/>
        </w:rPr>
        <w:t>Transformational Innovations</w:t>
      </w:r>
    </w:p>
    <w:p w14:paraId="6D5E7AE8" w14:textId="77777777" w:rsidR="00622999" w:rsidRPr="00C63657" w:rsidRDefault="00622999" w:rsidP="00C63657">
      <w:pPr>
        <w:rPr>
          <w:rFonts w:ascii="Arial" w:hAnsi="Arial" w:cs="Arial"/>
          <w:sz w:val="28"/>
          <w:szCs w:val="28"/>
        </w:rPr>
      </w:pPr>
      <w:r w:rsidRPr="00C63657">
        <w:rPr>
          <w:rFonts w:ascii="Arial" w:hAnsi="Arial" w:cs="Arial"/>
          <w:sz w:val="28"/>
          <w:szCs w:val="28"/>
        </w:rPr>
        <w:lastRenderedPageBreak/>
        <w:t>At the transformational level, Greggs is making significant investments in the automation of the supply chain enabling flexible national delivery and driving long-term capacity growth. Central to this ambition is the progress at Derby and the new automated National Distribution Centre at Kettering that will form the basis for a future estate capacity of up to 4,300 shops (Investor Event Supply Plans 2024). This involves a significant change within the business from a food retailer that is very optimized for operations to a digital-focused and logistics-enabled service ecosystem (Gouveia and Mamede, 2022).</w:t>
      </w:r>
    </w:p>
    <w:p w14:paraId="1E310EFA" w14:textId="5C9E03AD" w:rsidR="0070247B" w:rsidRPr="00C63657" w:rsidRDefault="00622999" w:rsidP="00C63657">
      <w:pPr>
        <w:rPr>
          <w:rFonts w:ascii="Arial" w:hAnsi="Arial" w:cs="Arial"/>
          <w:sz w:val="28"/>
          <w:szCs w:val="28"/>
        </w:rPr>
      </w:pPr>
      <w:r w:rsidRPr="00C63657">
        <w:rPr>
          <w:rFonts w:ascii="Arial" w:hAnsi="Arial" w:cs="Arial"/>
          <w:sz w:val="28"/>
          <w:szCs w:val="28"/>
        </w:rPr>
        <w:t>This level of innovation is capital intensive with a need for strategic investment, technological integration and collaboration of partners. However, it sets up the foundation for generalizing the delivery service to other regions and for its future growth (Jin 2021).</w:t>
      </w:r>
    </w:p>
    <w:p w14:paraId="6B0D76D6" w14:textId="2B55B9C1" w:rsidR="0070247B" w:rsidRPr="00C63657" w:rsidRDefault="0070247B" w:rsidP="00C63657">
      <w:pPr>
        <w:pStyle w:val="Caption"/>
        <w:keepNext/>
        <w:spacing w:line="360" w:lineRule="auto"/>
        <w:jc w:val="center"/>
        <w:rPr>
          <w:rFonts w:ascii="Arial" w:hAnsi="Arial" w:cs="Arial"/>
          <w:sz w:val="28"/>
          <w:szCs w:val="28"/>
        </w:rPr>
      </w:pPr>
      <w:bookmarkStart w:id="13" w:name="_Toc212225717"/>
      <w:r w:rsidRPr="00C63657">
        <w:rPr>
          <w:rFonts w:ascii="Arial" w:hAnsi="Arial" w:cs="Arial"/>
          <w:sz w:val="28"/>
          <w:szCs w:val="28"/>
        </w:rPr>
        <w:t xml:space="preserve">Table </w:t>
      </w:r>
      <w:r w:rsidR="00E7020C" w:rsidRPr="00C63657">
        <w:rPr>
          <w:rFonts w:ascii="Arial" w:hAnsi="Arial" w:cs="Arial"/>
          <w:sz w:val="28"/>
          <w:szCs w:val="28"/>
        </w:rPr>
        <w:fldChar w:fldCharType="begin"/>
      </w:r>
      <w:r w:rsidR="00E7020C" w:rsidRPr="00C63657">
        <w:rPr>
          <w:rFonts w:ascii="Arial" w:hAnsi="Arial" w:cs="Arial"/>
          <w:sz w:val="28"/>
          <w:szCs w:val="28"/>
        </w:rPr>
        <w:instrText xml:space="preserve"> SEQ Table \* ARABIC </w:instrText>
      </w:r>
      <w:r w:rsidR="00E7020C" w:rsidRPr="00C63657">
        <w:rPr>
          <w:rFonts w:ascii="Arial" w:hAnsi="Arial" w:cs="Arial"/>
          <w:sz w:val="28"/>
          <w:szCs w:val="28"/>
        </w:rPr>
        <w:fldChar w:fldCharType="separate"/>
      </w:r>
      <w:r w:rsidR="00E7020C" w:rsidRPr="00C63657">
        <w:rPr>
          <w:rFonts w:ascii="Arial" w:hAnsi="Arial" w:cs="Arial"/>
          <w:noProof/>
          <w:sz w:val="28"/>
          <w:szCs w:val="28"/>
        </w:rPr>
        <w:t>1</w:t>
      </w:r>
      <w:r w:rsidR="00E7020C" w:rsidRPr="00C63657">
        <w:rPr>
          <w:rFonts w:ascii="Arial" w:hAnsi="Arial" w:cs="Arial"/>
          <w:noProof/>
          <w:sz w:val="28"/>
          <w:szCs w:val="28"/>
        </w:rPr>
        <w:fldChar w:fldCharType="end"/>
      </w:r>
      <w:r w:rsidRPr="00C63657">
        <w:rPr>
          <w:rFonts w:ascii="Arial" w:hAnsi="Arial" w:cs="Arial"/>
          <w:sz w:val="28"/>
          <w:szCs w:val="28"/>
        </w:rPr>
        <w:t xml:space="preserve"> Innovation Ambition Matrix</w:t>
      </w:r>
      <w:bookmarkEnd w:id="13"/>
    </w:p>
    <w:tbl>
      <w:tblPr>
        <w:tblStyle w:val="TableGrid"/>
        <w:tblW w:w="0" w:type="auto"/>
        <w:jc w:val="center"/>
        <w:tblLook w:val="04A0" w:firstRow="1" w:lastRow="0" w:firstColumn="1" w:lastColumn="0" w:noHBand="0" w:noVBand="1"/>
      </w:tblPr>
      <w:tblGrid>
        <w:gridCol w:w="1931"/>
        <w:gridCol w:w="1255"/>
        <w:gridCol w:w="1395"/>
        <w:gridCol w:w="1138"/>
        <w:gridCol w:w="1079"/>
        <w:gridCol w:w="1232"/>
        <w:gridCol w:w="986"/>
      </w:tblGrid>
      <w:tr w:rsidR="0070247B" w:rsidRPr="00C63657" w14:paraId="4E114C9E" w14:textId="77777777" w:rsidTr="0070247B">
        <w:trPr>
          <w:jc w:val="center"/>
        </w:trPr>
        <w:tc>
          <w:tcPr>
            <w:tcW w:w="1891" w:type="dxa"/>
            <w:hideMark/>
          </w:tcPr>
          <w:p w14:paraId="5B185C78"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Ambition Tier</w:t>
            </w:r>
          </w:p>
        </w:tc>
        <w:tc>
          <w:tcPr>
            <w:tcW w:w="1215" w:type="dxa"/>
            <w:hideMark/>
          </w:tcPr>
          <w:p w14:paraId="50A044A7"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Initiative</w:t>
            </w:r>
          </w:p>
        </w:tc>
        <w:tc>
          <w:tcPr>
            <w:tcW w:w="1316" w:type="dxa"/>
            <w:hideMark/>
          </w:tcPr>
          <w:p w14:paraId="2F76AB70"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Customer Job Targeted</w:t>
            </w:r>
          </w:p>
        </w:tc>
        <w:tc>
          <w:tcPr>
            <w:tcW w:w="1087" w:type="dxa"/>
            <w:hideMark/>
          </w:tcPr>
          <w:p w14:paraId="769BA952"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Source &amp; Evidence</w:t>
            </w:r>
          </w:p>
        </w:tc>
        <w:tc>
          <w:tcPr>
            <w:tcW w:w="1106" w:type="dxa"/>
            <w:hideMark/>
          </w:tcPr>
          <w:p w14:paraId="4CBBB37D"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Value Logic</w:t>
            </w:r>
          </w:p>
        </w:tc>
        <w:tc>
          <w:tcPr>
            <w:tcW w:w="1194" w:type="dxa"/>
            <w:hideMark/>
          </w:tcPr>
          <w:p w14:paraId="57E19042"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Enablers</w:t>
            </w:r>
          </w:p>
        </w:tc>
        <w:tc>
          <w:tcPr>
            <w:tcW w:w="833" w:type="dxa"/>
            <w:hideMark/>
          </w:tcPr>
          <w:p w14:paraId="0368299E"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KPI Signals</w:t>
            </w:r>
          </w:p>
        </w:tc>
      </w:tr>
      <w:tr w:rsidR="0070247B" w:rsidRPr="00C63657" w14:paraId="1565801B" w14:textId="77777777" w:rsidTr="0070247B">
        <w:trPr>
          <w:jc w:val="center"/>
        </w:trPr>
        <w:tc>
          <w:tcPr>
            <w:tcW w:w="1891" w:type="dxa"/>
            <w:hideMark/>
          </w:tcPr>
          <w:p w14:paraId="08B52869"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Core</w:t>
            </w:r>
          </w:p>
        </w:tc>
        <w:tc>
          <w:tcPr>
            <w:tcW w:w="1215" w:type="dxa"/>
            <w:hideMark/>
          </w:tcPr>
          <w:p w14:paraId="28DC03E9"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Loyalty app, Click &amp; Collect</w:t>
            </w:r>
          </w:p>
        </w:tc>
        <w:tc>
          <w:tcPr>
            <w:tcW w:w="1316" w:type="dxa"/>
            <w:hideMark/>
          </w:tcPr>
          <w:p w14:paraId="1B8ECB3A"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Speed &amp; convenience</w:t>
            </w:r>
          </w:p>
        </w:tc>
        <w:tc>
          <w:tcPr>
            <w:tcW w:w="1087" w:type="dxa"/>
            <w:hideMark/>
          </w:tcPr>
          <w:p w14:paraId="501731C8"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Annual Report 2024</w:t>
            </w:r>
          </w:p>
        </w:tc>
        <w:tc>
          <w:tcPr>
            <w:tcW w:w="1106" w:type="dxa"/>
            <w:hideMark/>
          </w:tcPr>
          <w:p w14:paraId="24DDAAF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Faster service, improved retention</w:t>
            </w:r>
          </w:p>
        </w:tc>
        <w:tc>
          <w:tcPr>
            <w:tcW w:w="1194" w:type="dxa"/>
            <w:hideMark/>
          </w:tcPr>
          <w:p w14:paraId="66F46905"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App, CRM</w:t>
            </w:r>
          </w:p>
        </w:tc>
        <w:tc>
          <w:tcPr>
            <w:tcW w:w="833" w:type="dxa"/>
            <w:hideMark/>
          </w:tcPr>
          <w:p w14:paraId="496DD3DC"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App scans ↑ 10.6%</w:t>
            </w:r>
          </w:p>
        </w:tc>
      </w:tr>
      <w:tr w:rsidR="0070247B" w:rsidRPr="00C63657" w14:paraId="3C1FDA61" w14:textId="77777777" w:rsidTr="0070247B">
        <w:trPr>
          <w:jc w:val="center"/>
        </w:trPr>
        <w:tc>
          <w:tcPr>
            <w:tcW w:w="1891" w:type="dxa"/>
            <w:hideMark/>
          </w:tcPr>
          <w:p w14:paraId="71F055D6"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lastRenderedPageBreak/>
              <w:t>Adjacent</w:t>
            </w:r>
          </w:p>
        </w:tc>
        <w:tc>
          <w:tcPr>
            <w:tcW w:w="1215" w:type="dxa"/>
            <w:hideMark/>
          </w:tcPr>
          <w:p w14:paraId="2C19DE44"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Evening trading, iced drinks range</w:t>
            </w:r>
          </w:p>
        </w:tc>
        <w:tc>
          <w:tcPr>
            <w:tcW w:w="1316" w:type="dxa"/>
            <w:hideMark/>
          </w:tcPr>
          <w:p w14:paraId="7770A35A"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Extending daily usage occasions</w:t>
            </w:r>
          </w:p>
        </w:tc>
        <w:tc>
          <w:tcPr>
            <w:tcW w:w="1087" w:type="dxa"/>
            <w:hideMark/>
          </w:tcPr>
          <w:p w14:paraId="3737ACEE"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Interim &amp; strategy reports</w:t>
            </w:r>
          </w:p>
        </w:tc>
        <w:tc>
          <w:tcPr>
            <w:tcW w:w="1106" w:type="dxa"/>
            <w:hideMark/>
          </w:tcPr>
          <w:p w14:paraId="6DF1FC67"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Daypart growth</w:t>
            </w:r>
          </w:p>
        </w:tc>
        <w:tc>
          <w:tcPr>
            <w:tcW w:w="1194" w:type="dxa"/>
            <w:hideMark/>
          </w:tcPr>
          <w:p w14:paraId="776CE25E"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Extended opening hours, menu</w:t>
            </w:r>
          </w:p>
        </w:tc>
        <w:tc>
          <w:tcPr>
            <w:tcW w:w="833" w:type="dxa"/>
            <w:hideMark/>
          </w:tcPr>
          <w:p w14:paraId="2735202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8.3% evening sales</w:t>
            </w:r>
          </w:p>
        </w:tc>
      </w:tr>
      <w:tr w:rsidR="0070247B" w:rsidRPr="00C63657" w14:paraId="20159F9A" w14:textId="77777777" w:rsidTr="0070247B">
        <w:trPr>
          <w:jc w:val="center"/>
        </w:trPr>
        <w:tc>
          <w:tcPr>
            <w:tcW w:w="1891" w:type="dxa"/>
            <w:hideMark/>
          </w:tcPr>
          <w:p w14:paraId="2D097D07"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Transformational</w:t>
            </w:r>
          </w:p>
        </w:tc>
        <w:tc>
          <w:tcPr>
            <w:tcW w:w="1215" w:type="dxa"/>
            <w:hideMark/>
          </w:tcPr>
          <w:p w14:paraId="600E3B73"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Supply chain automation (Derby NDC, Kettering NDC)</w:t>
            </w:r>
          </w:p>
        </w:tc>
        <w:tc>
          <w:tcPr>
            <w:tcW w:w="1316" w:type="dxa"/>
            <w:hideMark/>
          </w:tcPr>
          <w:p w14:paraId="1D0B96AD"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National delivery &amp; flexible capacity</w:t>
            </w:r>
          </w:p>
        </w:tc>
        <w:tc>
          <w:tcPr>
            <w:tcW w:w="1087" w:type="dxa"/>
            <w:hideMark/>
          </w:tcPr>
          <w:p w14:paraId="60A033E7"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Supply Chain Strategy 2024</w:t>
            </w:r>
          </w:p>
        </w:tc>
        <w:tc>
          <w:tcPr>
            <w:tcW w:w="1106" w:type="dxa"/>
            <w:hideMark/>
          </w:tcPr>
          <w:p w14:paraId="7CF40293"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Network capacity for growth</w:t>
            </w:r>
          </w:p>
        </w:tc>
        <w:tc>
          <w:tcPr>
            <w:tcW w:w="1194" w:type="dxa"/>
            <w:hideMark/>
          </w:tcPr>
          <w:p w14:paraId="3813C38E"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Automated NDCs, robotics</w:t>
            </w:r>
          </w:p>
        </w:tc>
        <w:tc>
          <w:tcPr>
            <w:tcW w:w="833" w:type="dxa"/>
            <w:hideMark/>
          </w:tcPr>
          <w:p w14:paraId="6941E5B1"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4,300 shops long-term capacity</w:t>
            </w:r>
          </w:p>
        </w:tc>
      </w:tr>
    </w:tbl>
    <w:p w14:paraId="7898AAC9" w14:textId="77777777" w:rsidR="0070247B" w:rsidRPr="00C63657" w:rsidRDefault="0070247B" w:rsidP="00C63657">
      <w:pPr>
        <w:spacing w:after="160"/>
        <w:jc w:val="left"/>
        <w:rPr>
          <w:rFonts w:ascii="Arial" w:hAnsi="Arial" w:cs="Arial"/>
          <w:b/>
          <w:bCs/>
          <w:sz w:val="28"/>
          <w:szCs w:val="28"/>
        </w:rPr>
      </w:pPr>
      <w:r w:rsidRPr="00C63657">
        <w:rPr>
          <w:rFonts w:ascii="Arial" w:hAnsi="Arial" w:cs="Arial"/>
          <w:b/>
          <w:bCs/>
          <w:sz w:val="28"/>
          <w:szCs w:val="28"/>
        </w:rPr>
        <w:t>Analytical Interpretation</w:t>
      </w:r>
    </w:p>
    <w:p w14:paraId="43940585" w14:textId="77777777" w:rsidR="009D451E" w:rsidRPr="00C63657" w:rsidRDefault="009D451E" w:rsidP="00C63657">
      <w:pPr>
        <w:rPr>
          <w:rFonts w:ascii="Arial" w:hAnsi="Arial" w:cs="Arial"/>
          <w:sz w:val="28"/>
          <w:szCs w:val="28"/>
        </w:rPr>
      </w:pPr>
      <w:r w:rsidRPr="00C63657">
        <w:rPr>
          <w:rFonts w:ascii="Arial" w:hAnsi="Arial" w:cs="Arial"/>
          <w:sz w:val="28"/>
          <w:szCs w:val="28"/>
        </w:rPr>
        <w:t>Greggs' innovation portfolio is heavily biased towards core and adjacent, offering predictable incremental change towards the customer experience and operational efficiency on a predictable basis. These innovations are less risky, have minor capital investment and have a direct link with consumer behavior trends (Yang, Kim and Choi, 2022).</w:t>
      </w:r>
    </w:p>
    <w:p w14:paraId="1D31A897" w14:textId="20A49A95" w:rsidR="0070247B" w:rsidRPr="00C63657" w:rsidRDefault="009D451E" w:rsidP="00C63657">
      <w:pPr>
        <w:rPr>
          <w:rFonts w:ascii="Arial" w:hAnsi="Arial" w:cs="Arial"/>
          <w:sz w:val="28"/>
          <w:szCs w:val="28"/>
        </w:rPr>
      </w:pPr>
      <w:r w:rsidRPr="00C63657">
        <w:rPr>
          <w:rFonts w:ascii="Arial" w:hAnsi="Arial" w:cs="Arial"/>
          <w:sz w:val="28"/>
          <w:szCs w:val="28"/>
        </w:rPr>
        <w:t>In contrast, transformational technologies like supply chain automation are a long-term strategic move. Although these require greater initial investment and ecosystem engagement, they are associated with an exponential capacity and service improvement potential (Gouveia and Mamede, 2022). The well-balanced portfolio of innovation helps ensure both a healthy balance of short-term respectable returns and scale-ability.</w:t>
      </w:r>
    </w:p>
    <w:p w14:paraId="2407080F" w14:textId="77777777" w:rsidR="0070247B" w:rsidRPr="00C63657" w:rsidRDefault="0070247B" w:rsidP="00C63657">
      <w:pPr>
        <w:pStyle w:val="Heading2"/>
        <w:rPr>
          <w:rFonts w:ascii="Arial" w:hAnsi="Arial" w:cs="Arial"/>
          <w:sz w:val="28"/>
          <w:szCs w:val="28"/>
        </w:rPr>
      </w:pPr>
      <w:bookmarkStart w:id="14" w:name="_Toc212225736"/>
      <w:r w:rsidRPr="00C63657">
        <w:rPr>
          <w:rFonts w:ascii="Arial" w:hAnsi="Arial" w:cs="Arial"/>
          <w:sz w:val="28"/>
          <w:szCs w:val="28"/>
        </w:rPr>
        <w:lastRenderedPageBreak/>
        <w:t>3.2 Current Customer Journey Map</w:t>
      </w:r>
      <w:bookmarkEnd w:id="14"/>
    </w:p>
    <w:p w14:paraId="3CCCF2FA" w14:textId="5E2C01D2" w:rsidR="0070247B" w:rsidRPr="00C63657" w:rsidRDefault="00E13951" w:rsidP="00C63657">
      <w:pPr>
        <w:rPr>
          <w:rFonts w:ascii="Arial" w:hAnsi="Arial" w:cs="Arial"/>
          <w:sz w:val="28"/>
          <w:szCs w:val="28"/>
        </w:rPr>
      </w:pPr>
      <w:r w:rsidRPr="00C63657">
        <w:rPr>
          <w:rFonts w:ascii="Arial" w:hAnsi="Arial" w:cs="Arial"/>
          <w:sz w:val="28"/>
          <w:szCs w:val="28"/>
        </w:rPr>
        <w:t xml:space="preserve">Mapping the current customer journey helps us to gain insight into the way that Greggs delivers value through multiple customer touchpoints from awareness through to advocacy. The journey is well-established, through a combination of digital and in-store interactions, but </w:t>
      </w:r>
      <w:proofErr w:type="gramStart"/>
      <w:r w:rsidRPr="00C63657">
        <w:rPr>
          <w:rFonts w:ascii="Arial" w:hAnsi="Arial" w:cs="Arial"/>
          <w:sz w:val="28"/>
          <w:szCs w:val="28"/>
        </w:rPr>
        <w:t>a number of</w:t>
      </w:r>
      <w:proofErr w:type="gramEnd"/>
      <w:r w:rsidRPr="00C63657">
        <w:rPr>
          <w:rFonts w:ascii="Arial" w:hAnsi="Arial" w:cs="Arial"/>
          <w:sz w:val="28"/>
          <w:szCs w:val="28"/>
        </w:rPr>
        <w:t xml:space="preserve"> experience gaps and innovation opportunities remain (Jin, 2021).</w:t>
      </w:r>
    </w:p>
    <w:p w14:paraId="57AA2F4E" w14:textId="4AB055CC" w:rsidR="0070247B" w:rsidRPr="00C63657" w:rsidRDefault="0070247B" w:rsidP="00C63657">
      <w:pPr>
        <w:pStyle w:val="Caption"/>
        <w:keepNext/>
        <w:spacing w:line="360" w:lineRule="auto"/>
        <w:jc w:val="center"/>
        <w:rPr>
          <w:rFonts w:ascii="Arial" w:hAnsi="Arial" w:cs="Arial"/>
          <w:sz w:val="28"/>
          <w:szCs w:val="28"/>
        </w:rPr>
      </w:pPr>
      <w:bookmarkStart w:id="15" w:name="_Toc212225718"/>
      <w:r w:rsidRPr="00C63657">
        <w:rPr>
          <w:rFonts w:ascii="Arial" w:hAnsi="Arial" w:cs="Arial"/>
          <w:sz w:val="28"/>
          <w:szCs w:val="28"/>
        </w:rPr>
        <w:t xml:space="preserve">Table </w:t>
      </w:r>
      <w:r w:rsidR="00E7020C" w:rsidRPr="00C63657">
        <w:rPr>
          <w:rFonts w:ascii="Arial" w:hAnsi="Arial" w:cs="Arial"/>
          <w:sz w:val="28"/>
          <w:szCs w:val="28"/>
        </w:rPr>
        <w:fldChar w:fldCharType="begin"/>
      </w:r>
      <w:r w:rsidR="00E7020C" w:rsidRPr="00C63657">
        <w:rPr>
          <w:rFonts w:ascii="Arial" w:hAnsi="Arial" w:cs="Arial"/>
          <w:sz w:val="28"/>
          <w:szCs w:val="28"/>
        </w:rPr>
        <w:instrText xml:space="preserve"> SEQ Table \* ARABIC </w:instrText>
      </w:r>
      <w:r w:rsidR="00E7020C" w:rsidRPr="00C63657">
        <w:rPr>
          <w:rFonts w:ascii="Arial" w:hAnsi="Arial" w:cs="Arial"/>
          <w:sz w:val="28"/>
          <w:szCs w:val="28"/>
        </w:rPr>
        <w:fldChar w:fldCharType="separate"/>
      </w:r>
      <w:r w:rsidR="00E7020C" w:rsidRPr="00C63657">
        <w:rPr>
          <w:rFonts w:ascii="Arial" w:hAnsi="Arial" w:cs="Arial"/>
          <w:noProof/>
          <w:sz w:val="28"/>
          <w:szCs w:val="28"/>
        </w:rPr>
        <w:t>2</w:t>
      </w:r>
      <w:r w:rsidR="00E7020C" w:rsidRPr="00C63657">
        <w:rPr>
          <w:rFonts w:ascii="Arial" w:hAnsi="Arial" w:cs="Arial"/>
          <w:noProof/>
          <w:sz w:val="28"/>
          <w:szCs w:val="28"/>
        </w:rPr>
        <w:fldChar w:fldCharType="end"/>
      </w:r>
      <w:r w:rsidRPr="00C63657">
        <w:rPr>
          <w:rFonts w:ascii="Arial" w:hAnsi="Arial" w:cs="Arial"/>
          <w:sz w:val="28"/>
          <w:szCs w:val="28"/>
        </w:rPr>
        <w:t xml:space="preserve"> Customer Journey Map</w:t>
      </w:r>
      <w:bookmarkEnd w:id="15"/>
    </w:p>
    <w:tbl>
      <w:tblPr>
        <w:tblStyle w:val="TableGrid"/>
        <w:tblW w:w="0" w:type="auto"/>
        <w:jc w:val="center"/>
        <w:tblLook w:val="04A0" w:firstRow="1" w:lastRow="0" w:firstColumn="1" w:lastColumn="0" w:noHBand="0" w:noVBand="1"/>
      </w:tblPr>
      <w:tblGrid>
        <w:gridCol w:w="1427"/>
        <w:gridCol w:w="1167"/>
        <w:gridCol w:w="1296"/>
        <w:gridCol w:w="1036"/>
        <w:gridCol w:w="1427"/>
        <w:gridCol w:w="1267"/>
        <w:gridCol w:w="1396"/>
      </w:tblGrid>
      <w:tr w:rsidR="0070247B" w:rsidRPr="00C63657" w14:paraId="5F7990A7" w14:textId="77777777" w:rsidTr="0070247B">
        <w:trPr>
          <w:jc w:val="center"/>
        </w:trPr>
        <w:tc>
          <w:tcPr>
            <w:tcW w:w="1421" w:type="dxa"/>
            <w:hideMark/>
          </w:tcPr>
          <w:p w14:paraId="1D923E42"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Stage</w:t>
            </w:r>
          </w:p>
        </w:tc>
        <w:tc>
          <w:tcPr>
            <w:tcW w:w="1210" w:type="dxa"/>
            <w:hideMark/>
          </w:tcPr>
          <w:p w14:paraId="0E6B30DD"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Customer Actions</w:t>
            </w:r>
          </w:p>
        </w:tc>
        <w:tc>
          <w:tcPr>
            <w:tcW w:w="1277" w:type="dxa"/>
            <w:hideMark/>
          </w:tcPr>
          <w:p w14:paraId="413E3B51"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Touchpoints</w:t>
            </w:r>
          </w:p>
        </w:tc>
        <w:tc>
          <w:tcPr>
            <w:tcW w:w="1023" w:type="dxa"/>
            <w:hideMark/>
          </w:tcPr>
          <w:p w14:paraId="0B7672A3"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Emotions</w:t>
            </w:r>
          </w:p>
        </w:tc>
        <w:tc>
          <w:tcPr>
            <w:tcW w:w="1421" w:type="dxa"/>
            <w:hideMark/>
          </w:tcPr>
          <w:p w14:paraId="5A189362"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Pain Points</w:t>
            </w:r>
          </w:p>
        </w:tc>
        <w:tc>
          <w:tcPr>
            <w:tcW w:w="1254" w:type="dxa"/>
            <w:hideMark/>
          </w:tcPr>
          <w:p w14:paraId="7BDAEAF8"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Gains</w:t>
            </w:r>
          </w:p>
        </w:tc>
        <w:tc>
          <w:tcPr>
            <w:tcW w:w="1178" w:type="dxa"/>
            <w:hideMark/>
          </w:tcPr>
          <w:p w14:paraId="18751A2B"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Opportunities</w:t>
            </w:r>
          </w:p>
        </w:tc>
      </w:tr>
      <w:tr w:rsidR="0070247B" w:rsidRPr="00C63657" w14:paraId="707BB088" w14:textId="77777777" w:rsidTr="0070247B">
        <w:trPr>
          <w:jc w:val="center"/>
        </w:trPr>
        <w:tc>
          <w:tcPr>
            <w:tcW w:w="1421" w:type="dxa"/>
            <w:hideMark/>
          </w:tcPr>
          <w:p w14:paraId="55AF36E0"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Awareness</w:t>
            </w:r>
          </w:p>
        </w:tc>
        <w:tc>
          <w:tcPr>
            <w:tcW w:w="1210" w:type="dxa"/>
            <w:hideMark/>
          </w:tcPr>
          <w:p w14:paraId="3DD911E8"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Sees ad, social media, loyalty notifications</w:t>
            </w:r>
          </w:p>
        </w:tc>
        <w:tc>
          <w:tcPr>
            <w:tcW w:w="1277" w:type="dxa"/>
            <w:hideMark/>
          </w:tcPr>
          <w:p w14:paraId="4B90C5A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App, store signage, delivery partners</w:t>
            </w:r>
          </w:p>
        </w:tc>
        <w:tc>
          <w:tcPr>
            <w:tcW w:w="1023" w:type="dxa"/>
            <w:hideMark/>
          </w:tcPr>
          <w:p w14:paraId="0BFB5F61"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High</w:t>
            </w:r>
          </w:p>
        </w:tc>
        <w:tc>
          <w:tcPr>
            <w:tcW w:w="1421" w:type="dxa"/>
            <w:hideMark/>
          </w:tcPr>
          <w:p w14:paraId="4586B932"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Ad clutter, limited personalisation</w:t>
            </w:r>
          </w:p>
        </w:tc>
        <w:tc>
          <w:tcPr>
            <w:tcW w:w="1254" w:type="dxa"/>
            <w:hideMark/>
          </w:tcPr>
          <w:p w14:paraId="5C7B8C67"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Brand familiarity</w:t>
            </w:r>
          </w:p>
        </w:tc>
        <w:tc>
          <w:tcPr>
            <w:tcW w:w="1178" w:type="dxa"/>
            <w:hideMark/>
          </w:tcPr>
          <w:p w14:paraId="0AC63213"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Better targeting</w:t>
            </w:r>
          </w:p>
        </w:tc>
      </w:tr>
      <w:tr w:rsidR="0070247B" w:rsidRPr="00C63657" w14:paraId="48254B33" w14:textId="77777777" w:rsidTr="0070247B">
        <w:trPr>
          <w:jc w:val="center"/>
        </w:trPr>
        <w:tc>
          <w:tcPr>
            <w:tcW w:w="1421" w:type="dxa"/>
            <w:hideMark/>
          </w:tcPr>
          <w:p w14:paraId="543042FF"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Consideration</w:t>
            </w:r>
          </w:p>
        </w:tc>
        <w:tc>
          <w:tcPr>
            <w:tcW w:w="1210" w:type="dxa"/>
            <w:hideMark/>
          </w:tcPr>
          <w:p w14:paraId="5A871890"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Checks menu, offers, store location</w:t>
            </w:r>
          </w:p>
        </w:tc>
        <w:tc>
          <w:tcPr>
            <w:tcW w:w="1277" w:type="dxa"/>
            <w:hideMark/>
          </w:tcPr>
          <w:p w14:paraId="0BC623AF"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Website, app, delivery apps</w:t>
            </w:r>
          </w:p>
        </w:tc>
        <w:tc>
          <w:tcPr>
            <w:tcW w:w="1023" w:type="dxa"/>
            <w:hideMark/>
          </w:tcPr>
          <w:p w14:paraId="4B539C1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Moderate</w:t>
            </w:r>
          </w:p>
        </w:tc>
        <w:tc>
          <w:tcPr>
            <w:tcW w:w="1421" w:type="dxa"/>
            <w:hideMark/>
          </w:tcPr>
          <w:p w14:paraId="6198A61A"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Limited customisation options</w:t>
            </w:r>
          </w:p>
        </w:tc>
        <w:tc>
          <w:tcPr>
            <w:tcW w:w="1254" w:type="dxa"/>
            <w:hideMark/>
          </w:tcPr>
          <w:p w14:paraId="38291BAC"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Menu clarity</w:t>
            </w:r>
          </w:p>
        </w:tc>
        <w:tc>
          <w:tcPr>
            <w:tcW w:w="1178" w:type="dxa"/>
            <w:hideMark/>
          </w:tcPr>
          <w:p w14:paraId="1C17625D"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Personalised UX</w:t>
            </w:r>
          </w:p>
        </w:tc>
      </w:tr>
      <w:tr w:rsidR="0070247B" w:rsidRPr="00C63657" w14:paraId="55F0C9F5" w14:textId="77777777" w:rsidTr="0070247B">
        <w:trPr>
          <w:jc w:val="center"/>
        </w:trPr>
        <w:tc>
          <w:tcPr>
            <w:tcW w:w="1421" w:type="dxa"/>
            <w:hideMark/>
          </w:tcPr>
          <w:p w14:paraId="59C2ACF5"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lastRenderedPageBreak/>
              <w:t>Purchase</w:t>
            </w:r>
          </w:p>
        </w:tc>
        <w:tc>
          <w:tcPr>
            <w:tcW w:w="1210" w:type="dxa"/>
            <w:hideMark/>
          </w:tcPr>
          <w:p w14:paraId="1C720D25"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Orders via app / walks in</w:t>
            </w:r>
          </w:p>
        </w:tc>
        <w:tc>
          <w:tcPr>
            <w:tcW w:w="1277" w:type="dxa"/>
            <w:hideMark/>
          </w:tcPr>
          <w:p w14:paraId="5E6F0B9F"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POS, app, delivery</w:t>
            </w:r>
          </w:p>
        </w:tc>
        <w:tc>
          <w:tcPr>
            <w:tcW w:w="1023" w:type="dxa"/>
            <w:hideMark/>
          </w:tcPr>
          <w:p w14:paraId="651DC207"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High</w:t>
            </w:r>
          </w:p>
        </w:tc>
        <w:tc>
          <w:tcPr>
            <w:tcW w:w="1421" w:type="dxa"/>
            <w:hideMark/>
          </w:tcPr>
          <w:p w14:paraId="41A97CA1"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Queueing, delivery wait time</w:t>
            </w:r>
          </w:p>
        </w:tc>
        <w:tc>
          <w:tcPr>
            <w:tcW w:w="1254" w:type="dxa"/>
            <w:hideMark/>
          </w:tcPr>
          <w:p w14:paraId="1E1F1085"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Fast service</w:t>
            </w:r>
          </w:p>
        </w:tc>
        <w:tc>
          <w:tcPr>
            <w:tcW w:w="1178" w:type="dxa"/>
            <w:hideMark/>
          </w:tcPr>
          <w:p w14:paraId="28C9849A"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Seamless checkout</w:t>
            </w:r>
          </w:p>
        </w:tc>
      </w:tr>
      <w:tr w:rsidR="0070247B" w:rsidRPr="00C63657" w14:paraId="4B85E820" w14:textId="77777777" w:rsidTr="0070247B">
        <w:trPr>
          <w:jc w:val="center"/>
        </w:trPr>
        <w:tc>
          <w:tcPr>
            <w:tcW w:w="1421" w:type="dxa"/>
            <w:hideMark/>
          </w:tcPr>
          <w:p w14:paraId="118096D2"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Fulfilment</w:t>
            </w:r>
          </w:p>
        </w:tc>
        <w:tc>
          <w:tcPr>
            <w:tcW w:w="1210" w:type="dxa"/>
            <w:hideMark/>
          </w:tcPr>
          <w:p w14:paraId="0D26AF7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Collects / receives</w:t>
            </w:r>
          </w:p>
        </w:tc>
        <w:tc>
          <w:tcPr>
            <w:tcW w:w="1277" w:type="dxa"/>
            <w:hideMark/>
          </w:tcPr>
          <w:p w14:paraId="20260C0C"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Store / rider delivery</w:t>
            </w:r>
          </w:p>
        </w:tc>
        <w:tc>
          <w:tcPr>
            <w:tcW w:w="1023" w:type="dxa"/>
            <w:hideMark/>
          </w:tcPr>
          <w:p w14:paraId="6EA8FB74"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Variable</w:t>
            </w:r>
          </w:p>
        </w:tc>
        <w:tc>
          <w:tcPr>
            <w:tcW w:w="1421" w:type="dxa"/>
            <w:hideMark/>
          </w:tcPr>
          <w:p w14:paraId="63C37BD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Late delivery, inaccurate ETAs</w:t>
            </w:r>
          </w:p>
        </w:tc>
        <w:tc>
          <w:tcPr>
            <w:tcW w:w="1254" w:type="dxa"/>
            <w:hideMark/>
          </w:tcPr>
          <w:p w14:paraId="5D72B3C1"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Convenience</w:t>
            </w:r>
          </w:p>
        </w:tc>
        <w:tc>
          <w:tcPr>
            <w:tcW w:w="1178" w:type="dxa"/>
            <w:hideMark/>
          </w:tcPr>
          <w:p w14:paraId="1466EC5A"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Real-time tracking</w:t>
            </w:r>
          </w:p>
        </w:tc>
      </w:tr>
      <w:tr w:rsidR="0070247B" w:rsidRPr="00C63657" w14:paraId="0963BD80" w14:textId="77777777" w:rsidTr="0070247B">
        <w:trPr>
          <w:jc w:val="center"/>
        </w:trPr>
        <w:tc>
          <w:tcPr>
            <w:tcW w:w="1421" w:type="dxa"/>
            <w:hideMark/>
          </w:tcPr>
          <w:p w14:paraId="6B26ECA3"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Use</w:t>
            </w:r>
          </w:p>
        </w:tc>
        <w:tc>
          <w:tcPr>
            <w:tcW w:w="1210" w:type="dxa"/>
            <w:hideMark/>
          </w:tcPr>
          <w:p w14:paraId="4F512153"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Consumes product</w:t>
            </w:r>
          </w:p>
        </w:tc>
        <w:tc>
          <w:tcPr>
            <w:tcW w:w="1277" w:type="dxa"/>
            <w:hideMark/>
          </w:tcPr>
          <w:p w14:paraId="76784D95"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N/A</w:t>
            </w:r>
          </w:p>
        </w:tc>
        <w:tc>
          <w:tcPr>
            <w:tcW w:w="1023" w:type="dxa"/>
            <w:hideMark/>
          </w:tcPr>
          <w:p w14:paraId="00454492"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High</w:t>
            </w:r>
          </w:p>
        </w:tc>
        <w:tc>
          <w:tcPr>
            <w:tcW w:w="1421" w:type="dxa"/>
            <w:hideMark/>
          </w:tcPr>
          <w:p w14:paraId="7C6436D4" w14:textId="77777777" w:rsidR="0070247B" w:rsidRPr="00C63657" w:rsidRDefault="0070247B" w:rsidP="00C63657">
            <w:pPr>
              <w:spacing w:after="160"/>
              <w:jc w:val="center"/>
              <w:rPr>
                <w:rFonts w:ascii="Arial" w:hAnsi="Arial" w:cs="Arial"/>
                <w:sz w:val="28"/>
                <w:szCs w:val="28"/>
              </w:rPr>
            </w:pPr>
            <w:proofErr w:type="gramStart"/>
            <w:r w:rsidRPr="00C63657">
              <w:rPr>
                <w:rFonts w:ascii="Arial" w:hAnsi="Arial" w:cs="Arial"/>
                <w:sz w:val="28"/>
                <w:szCs w:val="28"/>
              </w:rPr>
              <w:t>None major</w:t>
            </w:r>
            <w:proofErr w:type="gramEnd"/>
          </w:p>
        </w:tc>
        <w:tc>
          <w:tcPr>
            <w:tcW w:w="1254" w:type="dxa"/>
            <w:hideMark/>
          </w:tcPr>
          <w:p w14:paraId="2B98602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Product satisfaction</w:t>
            </w:r>
          </w:p>
        </w:tc>
        <w:tc>
          <w:tcPr>
            <w:tcW w:w="1178" w:type="dxa"/>
            <w:hideMark/>
          </w:tcPr>
          <w:p w14:paraId="0FAD60B5"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Value bundling</w:t>
            </w:r>
          </w:p>
        </w:tc>
      </w:tr>
      <w:tr w:rsidR="0070247B" w:rsidRPr="00C63657" w14:paraId="74EA0B0B" w14:textId="77777777" w:rsidTr="0070247B">
        <w:trPr>
          <w:jc w:val="center"/>
        </w:trPr>
        <w:tc>
          <w:tcPr>
            <w:tcW w:w="1421" w:type="dxa"/>
            <w:hideMark/>
          </w:tcPr>
          <w:p w14:paraId="52697E63"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After-use</w:t>
            </w:r>
          </w:p>
        </w:tc>
        <w:tc>
          <w:tcPr>
            <w:tcW w:w="1210" w:type="dxa"/>
            <w:hideMark/>
          </w:tcPr>
          <w:p w14:paraId="34228038"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Loyalty accrues</w:t>
            </w:r>
          </w:p>
        </w:tc>
        <w:tc>
          <w:tcPr>
            <w:tcW w:w="1277" w:type="dxa"/>
            <w:hideMark/>
          </w:tcPr>
          <w:p w14:paraId="2A9DBF88"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App CRM</w:t>
            </w:r>
          </w:p>
        </w:tc>
        <w:tc>
          <w:tcPr>
            <w:tcW w:w="1023" w:type="dxa"/>
            <w:hideMark/>
          </w:tcPr>
          <w:p w14:paraId="00C9A06C"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Moderate</w:t>
            </w:r>
          </w:p>
        </w:tc>
        <w:tc>
          <w:tcPr>
            <w:tcW w:w="1421" w:type="dxa"/>
            <w:hideMark/>
          </w:tcPr>
          <w:p w14:paraId="521C04CF"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Generic offers</w:t>
            </w:r>
          </w:p>
        </w:tc>
        <w:tc>
          <w:tcPr>
            <w:tcW w:w="1254" w:type="dxa"/>
            <w:hideMark/>
          </w:tcPr>
          <w:p w14:paraId="17F14E2C"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Rewards</w:t>
            </w:r>
          </w:p>
        </w:tc>
        <w:tc>
          <w:tcPr>
            <w:tcW w:w="1178" w:type="dxa"/>
            <w:hideMark/>
          </w:tcPr>
          <w:p w14:paraId="1F50AC2D"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Tailored loyalty</w:t>
            </w:r>
          </w:p>
        </w:tc>
      </w:tr>
      <w:tr w:rsidR="0070247B" w:rsidRPr="00C63657" w14:paraId="2EB47347" w14:textId="77777777" w:rsidTr="0070247B">
        <w:trPr>
          <w:jc w:val="center"/>
        </w:trPr>
        <w:tc>
          <w:tcPr>
            <w:tcW w:w="1421" w:type="dxa"/>
            <w:hideMark/>
          </w:tcPr>
          <w:p w14:paraId="51B696E3"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Advocacy</w:t>
            </w:r>
          </w:p>
        </w:tc>
        <w:tc>
          <w:tcPr>
            <w:tcW w:w="1210" w:type="dxa"/>
            <w:hideMark/>
          </w:tcPr>
          <w:p w14:paraId="64C75FE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Word of mouth</w:t>
            </w:r>
          </w:p>
        </w:tc>
        <w:tc>
          <w:tcPr>
            <w:tcW w:w="1277" w:type="dxa"/>
            <w:hideMark/>
          </w:tcPr>
          <w:p w14:paraId="4FB6E7CD"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Social media, review</w:t>
            </w:r>
          </w:p>
        </w:tc>
        <w:tc>
          <w:tcPr>
            <w:tcW w:w="1023" w:type="dxa"/>
            <w:hideMark/>
          </w:tcPr>
          <w:p w14:paraId="36E776DE"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Moderate</w:t>
            </w:r>
          </w:p>
        </w:tc>
        <w:tc>
          <w:tcPr>
            <w:tcW w:w="1421" w:type="dxa"/>
            <w:hideMark/>
          </w:tcPr>
          <w:p w14:paraId="68C802D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Not leveraged</w:t>
            </w:r>
          </w:p>
        </w:tc>
        <w:tc>
          <w:tcPr>
            <w:tcW w:w="1254" w:type="dxa"/>
            <w:hideMark/>
          </w:tcPr>
          <w:p w14:paraId="5C226E17"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Brand advocacy</w:t>
            </w:r>
          </w:p>
        </w:tc>
        <w:tc>
          <w:tcPr>
            <w:tcW w:w="1178" w:type="dxa"/>
            <w:hideMark/>
          </w:tcPr>
          <w:p w14:paraId="2FE63CBA"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Social amplification</w:t>
            </w:r>
          </w:p>
        </w:tc>
      </w:tr>
    </w:tbl>
    <w:p w14:paraId="5BB73E1D" w14:textId="77777777" w:rsidR="0070247B" w:rsidRPr="00C63657" w:rsidRDefault="0070247B" w:rsidP="00C63657">
      <w:pPr>
        <w:spacing w:after="160"/>
        <w:jc w:val="left"/>
        <w:rPr>
          <w:rFonts w:ascii="Arial" w:hAnsi="Arial" w:cs="Arial"/>
          <w:b/>
          <w:bCs/>
          <w:sz w:val="28"/>
          <w:szCs w:val="28"/>
        </w:rPr>
      </w:pPr>
      <w:r w:rsidRPr="00C63657">
        <w:rPr>
          <w:rFonts w:ascii="Arial" w:hAnsi="Arial" w:cs="Arial"/>
          <w:b/>
          <w:bCs/>
          <w:sz w:val="28"/>
          <w:szCs w:val="28"/>
        </w:rPr>
        <w:t>Awareness to Consideration</w:t>
      </w:r>
    </w:p>
    <w:p w14:paraId="1827EF0F" w14:textId="77777777" w:rsidR="007052A9" w:rsidRPr="00C63657" w:rsidRDefault="007052A9" w:rsidP="00C63657">
      <w:pPr>
        <w:rPr>
          <w:rFonts w:ascii="Arial" w:hAnsi="Arial" w:cs="Arial"/>
          <w:sz w:val="28"/>
          <w:szCs w:val="28"/>
        </w:rPr>
      </w:pPr>
      <w:r w:rsidRPr="00C63657">
        <w:rPr>
          <w:rFonts w:ascii="Arial" w:hAnsi="Arial" w:cs="Arial"/>
          <w:sz w:val="28"/>
          <w:szCs w:val="28"/>
        </w:rPr>
        <w:t xml:space="preserve">Customers usually get their knowledge about Greggs by advertising, notification on their loyalty and through delivery platforms which result in a strong initial emotional engagement but have another drawback which is the absence of personalised targeting </w:t>
      </w:r>
      <w:proofErr w:type="gramStart"/>
      <w:r w:rsidRPr="00C63657">
        <w:rPr>
          <w:rFonts w:ascii="Arial" w:hAnsi="Arial" w:cs="Arial"/>
          <w:sz w:val="28"/>
          <w:szCs w:val="28"/>
        </w:rPr>
        <w:t>( Greggs</w:t>
      </w:r>
      <w:proofErr w:type="gramEnd"/>
      <w:r w:rsidRPr="00C63657">
        <w:rPr>
          <w:rFonts w:ascii="Arial" w:hAnsi="Arial" w:cs="Arial"/>
          <w:sz w:val="28"/>
          <w:szCs w:val="28"/>
        </w:rPr>
        <w:t xml:space="preserve"> Interim Results Presentation 2023). In the consideration stage, customers use app and website interfaces to navigate menu choices, however, a lack of customisation features can reduce perceived value of digital engagement (Hickman, Kharouf and Sekhon, 2019).</w:t>
      </w:r>
    </w:p>
    <w:p w14:paraId="4F0ACBB2" w14:textId="77777777" w:rsidR="007052A9" w:rsidRPr="00C63657" w:rsidRDefault="007052A9" w:rsidP="00C63657">
      <w:pPr>
        <w:rPr>
          <w:rFonts w:ascii="Arial" w:hAnsi="Arial" w:cs="Arial"/>
          <w:b/>
          <w:bCs/>
          <w:sz w:val="28"/>
          <w:szCs w:val="28"/>
        </w:rPr>
      </w:pPr>
      <w:r w:rsidRPr="00C63657">
        <w:rPr>
          <w:rFonts w:ascii="Arial" w:hAnsi="Arial" w:cs="Arial"/>
          <w:b/>
          <w:bCs/>
          <w:sz w:val="28"/>
          <w:szCs w:val="28"/>
        </w:rPr>
        <w:lastRenderedPageBreak/>
        <w:t>Purchase to Fulfilment</w:t>
      </w:r>
    </w:p>
    <w:p w14:paraId="6C353CCF" w14:textId="77777777" w:rsidR="007052A9" w:rsidRPr="00C63657" w:rsidRDefault="007052A9" w:rsidP="00C63657">
      <w:pPr>
        <w:rPr>
          <w:rFonts w:ascii="Arial" w:hAnsi="Arial" w:cs="Arial"/>
          <w:sz w:val="28"/>
          <w:szCs w:val="28"/>
        </w:rPr>
      </w:pPr>
      <w:r w:rsidRPr="00C63657">
        <w:rPr>
          <w:rFonts w:ascii="Arial" w:hAnsi="Arial" w:cs="Arial"/>
          <w:sz w:val="28"/>
          <w:szCs w:val="28"/>
        </w:rPr>
        <w:t>The purchase stage is characterised by a high degree of transactional efficiency which still suffers from issues such as queueing and wait time during peak trading hours (Fainshtein et al., 2023). This friction has been occurring among the in-store and app-based customers, especially when demand surges during breakfast and lunch. During the fulfilment phase, late delivery and inaccurate ETAs can cause break down in the overall service perception, despite the reliability of order processing otherwise (Greggs Interim Results Presentation, 2023).</w:t>
      </w:r>
    </w:p>
    <w:p w14:paraId="516AC689" w14:textId="77777777" w:rsidR="007052A9" w:rsidRPr="00C63657" w:rsidRDefault="007052A9" w:rsidP="00C63657">
      <w:pPr>
        <w:rPr>
          <w:rFonts w:ascii="Arial" w:hAnsi="Arial" w:cs="Arial"/>
          <w:b/>
          <w:bCs/>
          <w:sz w:val="28"/>
          <w:szCs w:val="28"/>
        </w:rPr>
      </w:pPr>
      <w:r w:rsidRPr="00C63657">
        <w:rPr>
          <w:rFonts w:ascii="Arial" w:hAnsi="Arial" w:cs="Arial"/>
          <w:b/>
          <w:bCs/>
          <w:sz w:val="28"/>
          <w:szCs w:val="28"/>
        </w:rPr>
        <w:t>Use to Advocacy</w:t>
      </w:r>
    </w:p>
    <w:p w14:paraId="084F60FF" w14:textId="1AB1E670" w:rsidR="007052A9" w:rsidRPr="00C63657" w:rsidRDefault="007052A9" w:rsidP="00C63657">
      <w:pPr>
        <w:rPr>
          <w:rFonts w:ascii="Arial" w:hAnsi="Arial" w:cs="Arial"/>
          <w:sz w:val="28"/>
          <w:szCs w:val="28"/>
        </w:rPr>
      </w:pPr>
      <w:r w:rsidRPr="00C63657">
        <w:rPr>
          <w:rFonts w:ascii="Arial" w:hAnsi="Arial" w:cs="Arial"/>
          <w:sz w:val="28"/>
          <w:szCs w:val="28"/>
        </w:rPr>
        <w:t xml:space="preserve">Once the customers eat the product, there is usually a high emotional satisfaction based on the consistency of Greggs and the value proposition (Debnath Munshi and Podder, 2025). However, in the after-use stage, personalisation proves to have gaps; loyalty offers are one-size-fits-all, discouraging a deeper level of engagement and subsequent frequent returns (Paredes, Ritzén and Roese, 2023). Advocacy in the current situation is under-leveraged with few </w:t>
      </w:r>
      <w:r w:rsidR="007A7C4D" w:rsidRPr="00C63657">
        <w:rPr>
          <w:rFonts w:ascii="Arial" w:hAnsi="Arial" w:cs="Arial"/>
          <w:sz w:val="28"/>
          <w:szCs w:val="28"/>
        </w:rPr>
        <w:t>uses</w:t>
      </w:r>
      <w:r w:rsidRPr="00C63657">
        <w:rPr>
          <w:rFonts w:ascii="Arial" w:hAnsi="Arial" w:cs="Arial"/>
          <w:sz w:val="28"/>
          <w:szCs w:val="28"/>
        </w:rPr>
        <w:t xml:space="preserve"> of user-generated content integration as well as referral incentives via digital channels (Yang, Kim and Choi, 2022).</w:t>
      </w:r>
    </w:p>
    <w:p w14:paraId="6848C757" w14:textId="77777777" w:rsidR="007052A9" w:rsidRPr="00C63657" w:rsidRDefault="007052A9" w:rsidP="00C63657">
      <w:pPr>
        <w:rPr>
          <w:rFonts w:ascii="Arial" w:hAnsi="Arial" w:cs="Arial"/>
          <w:b/>
          <w:bCs/>
          <w:sz w:val="28"/>
          <w:szCs w:val="28"/>
        </w:rPr>
      </w:pPr>
      <w:r w:rsidRPr="00C63657">
        <w:rPr>
          <w:rFonts w:ascii="Arial" w:hAnsi="Arial" w:cs="Arial"/>
          <w:b/>
          <w:bCs/>
          <w:sz w:val="28"/>
          <w:szCs w:val="28"/>
        </w:rPr>
        <w:t>Journey Interpretation</w:t>
      </w:r>
    </w:p>
    <w:p w14:paraId="4B1430FE" w14:textId="77777777" w:rsidR="007052A9" w:rsidRPr="00C63657" w:rsidRDefault="007052A9" w:rsidP="00C63657">
      <w:pPr>
        <w:rPr>
          <w:rFonts w:ascii="Arial" w:hAnsi="Arial" w:cs="Arial"/>
          <w:sz w:val="28"/>
          <w:szCs w:val="28"/>
        </w:rPr>
      </w:pPr>
      <w:r w:rsidRPr="00C63657">
        <w:rPr>
          <w:rFonts w:ascii="Arial" w:hAnsi="Arial" w:cs="Arial"/>
          <w:sz w:val="28"/>
          <w:szCs w:val="28"/>
        </w:rPr>
        <w:t>Greggs' customer journey is efficient at its core but is something that could be massively improved by improving personalisation and operational real-time visibility. Addressing points of pain for purchases and delivery would help alleviate congestion and deliver more reliability, while personalisation at the point of considerance of purchase and loyalty points could drive retention and advocacy (Gouveia and Mamede, 2022).</w:t>
      </w:r>
    </w:p>
    <w:p w14:paraId="70F585F8" w14:textId="60A858B0" w:rsidR="0070247B" w:rsidRPr="00C63657" w:rsidRDefault="007052A9" w:rsidP="00C63657">
      <w:pPr>
        <w:rPr>
          <w:rFonts w:ascii="Arial" w:hAnsi="Arial" w:cs="Arial"/>
          <w:sz w:val="28"/>
          <w:szCs w:val="28"/>
        </w:rPr>
      </w:pPr>
      <w:r w:rsidRPr="00C63657">
        <w:rPr>
          <w:rFonts w:ascii="Arial" w:hAnsi="Arial" w:cs="Arial"/>
          <w:sz w:val="28"/>
          <w:szCs w:val="28"/>
        </w:rPr>
        <w:lastRenderedPageBreak/>
        <w:t>These insights have a direct applied relevance for the further digital transformation initiative, which aims to close these gaps and derive new levels of value through predictive and customer-centred technologies.</w:t>
      </w:r>
    </w:p>
    <w:p w14:paraId="76093D11" w14:textId="77777777" w:rsidR="0070247B" w:rsidRPr="00C63657" w:rsidRDefault="0070247B" w:rsidP="00C63657">
      <w:pPr>
        <w:pStyle w:val="Heading1"/>
        <w:rPr>
          <w:rFonts w:ascii="Arial" w:hAnsi="Arial" w:cs="Arial"/>
          <w:szCs w:val="28"/>
        </w:rPr>
      </w:pPr>
      <w:bookmarkStart w:id="16" w:name="_Toc212225737"/>
      <w:r w:rsidRPr="00C63657">
        <w:rPr>
          <w:rFonts w:ascii="Arial" w:hAnsi="Arial" w:cs="Arial"/>
          <w:szCs w:val="28"/>
        </w:rPr>
        <w:t>4. Part 2 — Proposed Digital Transformation Initiative</w:t>
      </w:r>
      <w:bookmarkEnd w:id="16"/>
    </w:p>
    <w:p w14:paraId="5B78A647" w14:textId="77777777" w:rsidR="0070247B" w:rsidRPr="00C63657" w:rsidRDefault="0070247B" w:rsidP="00C63657">
      <w:pPr>
        <w:pStyle w:val="Heading2"/>
        <w:rPr>
          <w:rFonts w:ascii="Arial" w:hAnsi="Arial" w:cs="Arial"/>
          <w:sz w:val="28"/>
          <w:szCs w:val="28"/>
        </w:rPr>
      </w:pPr>
      <w:bookmarkStart w:id="17" w:name="_Toc212225738"/>
      <w:r w:rsidRPr="00C63657">
        <w:rPr>
          <w:rFonts w:ascii="Arial" w:hAnsi="Arial" w:cs="Arial"/>
          <w:sz w:val="28"/>
          <w:szCs w:val="28"/>
        </w:rPr>
        <w:t>4.1 Identified Challenge</w:t>
      </w:r>
      <w:bookmarkEnd w:id="17"/>
    </w:p>
    <w:p w14:paraId="478A19A7" w14:textId="2600F733" w:rsidR="00951F0D" w:rsidRPr="00C63657" w:rsidRDefault="007A7C4D" w:rsidP="00C63657">
      <w:pPr>
        <w:rPr>
          <w:rFonts w:ascii="Arial" w:hAnsi="Arial" w:cs="Arial"/>
          <w:sz w:val="28"/>
          <w:szCs w:val="28"/>
        </w:rPr>
      </w:pPr>
      <w:r w:rsidRPr="00C63657">
        <w:rPr>
          <w:rFonts w:ascii="Arial" w:hAnsi="Arial" w:cs="Arial"/>
          <w:sz w:val="28"/>
          <w:szCs w:val="28"/>
        </w:rPr>
        <w:t>Gregg’s</w:t>
      </w:r>
      <w:r w:rsidR="00951F0D" w:rsidRPr="00C63657">
        <w:rPr>
          <w:rFonts w:ascii="Arial" w:hAnsi="Arial" w:cs="Arial"/>
          <w:sz w:val="28"/>
          <w:szCs w:val="28"/>
        </w:rPr>
        <w:t xml:space="preserve"> plc has undergone a great deal of operational efficiency and digital adoption, however the operational pressure on this transactional process is felt during peak trading periods. Coastline also highlighted that high congestion at the checkout during breakfast and lunch resulted in customers waiting and waiting, which negatively affected their satisfaction levels (Greggs Interim Results Presentation, 2023). This congestion is further amplified by the increasing volume of delivery orders which cause capacity planning strain and impact ETA reliability.</w:t>
      </w:r>
    </w:p>
    <w:p w14:paraId="2E081193" w14:textId="1806F68F" w:rsidR="0070247B" w:rsidRPr="00C63657" w:rsidRDefault="00951F0D" w:rsidP="00C63657">
      <w:pPr>
        <w:rPr>
          <w:rFonts w:ascii="Arial" w:hAnsi="Arial" w:cs="Arial"/>
          <w:sz w:val="28"/>
          <w:szCs w:val="28"/>
        </w:rPr>
      </w:pPr>
      <w:r w:rsidRPr="00C63657">
        <w:rPr>
          <w:rFonts w:ascii="Arial" w:hAnsi="Arial" w:cs="Arial"/>
          <w:sz w:val="28"/>
          <w:szCs w:val="28"/>
        </w:rPr>
        <w:t>At the same time, loyalty personalization is still limited and the promotional messaging and offers distributed in a relatively generic format (Serrasqueiro, 2020). These service gaps are strategic anomalies for growth as the consumer base requires a level of transparency, predictive analytics and engaging experiences in real-time and personalization (Kalisetty, 2025). To do so is important in improving throughput, boosting customer satisfaction, and sustaining Greggs' value-based positioning in the QSR sector (Mandala, 2025).</w:t>
      </w:r>
    </w:p>
    <w:p w14:paraId="6C4F2F17" w14:textId="77777777" w:rsidR="0070247B" w:rsidRPr="00C63657" w:rsidRDefault="0070247B" w:rsidP="00C63657">
      <w:pPr>
        <w:pStyle w:val="Heading2"/>
        <w:rPr>
          <w:rFonts w:ascii="Arial" w:hAnsi="Arial" w:cs="Arial"/>
          <w:sz w:val="28"/>
          <w:szCs w:val="28"/>
        </w:rPr>
      </w:pPr>
      <w:bookmarkStart w:id="18" w:name="_Toc212225739"/>
      <w:r w:rsidRPr="00C63657">
        <w:rPr>
          <w:rFonts w:ascii="Arial" w:hAnsi="Arial" w:cs="Arial"/>
          <w:sz w:val="28"/>
          <w:szCs w:val="28"/>
        </w:rPr>
        <w:t>4.2 Proposed Initiative: Smart Queue &amp; Personalised ETA System</w:t>
      </w:r>
      <w:bookmarkEnd w:id="18"/>
    </w:p>
    <w:p w14:paraId="44B39EF1" w14:textId="77777777" w:rsidR="00DE7A9A" w:rsidRPr="00C63657" w:rsidRDefault="00DE7A9A" w:rsidP="00C63657">
      <w:pPr>
        <w:rPr>
          <w:rFonts w:ascii="Arial" w:hAnsi="Arial" w:cs="Arial"/>
          <w:sz w:val="28"/>
          <w:szCs w:val="28"/>
        </w:rPr>
      </w:pPr>
      <w:r w:rsidRPr="00C63657">
        <w:rPr>
          <w:rFonts w:ascii="Arial" w:hAnsi="Arial" w:cs="Arial"/>
          <w:sz w:val="28"/>
          <w:szCs w:val="28"/>
        </w:rPr>
        <w:t>To fill these operational and experiential gaps, Greggs can move to a "Smart Queue &amp; Personalised ETA System". This initiative combines the power of AI dull, predictive order, combination order alternative real-time queue visibility and personalised offers to be introduced via the Greggs App / delivery partner platforms.</w:t>
      </w:r>
    </w:p>
    <w:p w14:paraId="39E5554C" w14:textId="77777777" w:rsidR="00DE7A9A" w:rsidRPr="00C63657" w:rsidRDefault="00DE7A9A" w:rsidP="00C63657">
      <w:pPr>
        <w:rPr>
          <w:rFonts w:ascii="Arial" w:hAnsi="Arial" w:cs="Arial"/>
          <w:sz w:val="28"/>
          <w:szCs w:val="28"/>
        </w:rPr>
      </w:pPr>
      <w:r w:rsidRPr="00C63657">
        <w:rPr>
          <w:rFonts w:ascii="Arial" w:hAnsi="Arial" w:cs="Arial"/>
          <w:sz w:val="28"/>
          <w:szCs w:val="28"/>
        </w:rPr>
        <w:lastRenderedPageBreak/>
        <w:t>The system's key function is to allow customers to see in real-time the size of queues and the expected fulfillment times before making an order. Dynamic ETAs would be assigned considering the availability of delivery capacity, shop volume and the historical throughput of all services (Ahamed, 2025). This offers transparency and control to the customers over the ordering experience directly targeting pain points identified in the current ordering experience.</w:t>
      </w:r>
    </w:p>
    <w:p w14:paraId="2E0624F8" w14:textId="77777777" w:rsidR="00DE7A9A" w:rsidRPr="00C63657" w:rsidRDefault="00DE7A9A" w:rsidP="00C63657">
      <w:pPr>
        <w:rPr>
          <w:rFonts w:ascii="Arial" w:hAnsi="Arial" w:cs="Arial"/>
          <w:sz w:val="28"/>
          <w:szCs w:val="28"/>
        </w:rPr>
      </w:pPr>
      <w:r w:rsidRPr="00C63657">
        <w:rPr>
          <w:rFonts w:ascii="Arial" w:hAnsi="Arial" w:cs="Arial"/>
          <w:sz w:val="28"/>
          <w:szCs w:val="28"/>
        </w:rPr>
        <w:t>From a business logic viewpoint, this initiative will allow the peak hour experience to gain throughput by spreading the order flow more evenly across time slots. It also helps to improve conversion and the loyalty retention rate by personalizing the promotional prompts during crucial decision points (Patil, 2025). Importantly, the system takes advantage of existing digital foundations in the Greggs app and investments currently being made in supply chain automation in Derby and Kettering, making the operations operable (Investor Event Supply Plans, 2024).</w:t>
      </w:r>
    </w:p>
    <w:p w14:paraId="09AA5C0D" w14:textId="3CC50833" w:rsidR="0070247B" w:rsidRPr="00C63657" w:rsidRDefault="00DE7A9A" w:rsidP="00C63657">
      <w:pPr>
        <w:rPr>
          <w:rFonts w:ascii="Arial" w:hAnsi="Arial" w:cs="Arial"/>
          <w:sz w:val="28"/>
          <w:szCs w:val="28"/>
        </w:rPr>
      </w:pPr>
      <w:r w:rsidRPr="00C63657">
        <w:rPr>
          <w:rFonts w:ascii="Arial" w:hAnsi="Arial" w:cs="Arial"/>
          <w:sz w:val="28"/>
          <w:szCs w:val="28"/>
        </w:rPr>
        <w:t>The project is in line with the digital transformation strategy of the organisation and responds to the trends of modern consumers for speed, predictability and personalisation of experiences (Vitsentzatou, Tsoulfas and Mihiotis, 2022).</w:t>
      </w:r>
    </w:p>
    <w:p w14:paraId="1ED28805" w14:textId="77777777" w:rsidR="0070247B" w:rsidRPr="00C63657" w:rsidRDefault="0070247B" w:rsidP="00C63657">
      <w:pPr>
        <w:pStyle w:val="Heading2"/>
        <w:rPr>
          <w:rFonts w:ascii="Arial" w:hAnsi="Arial" w:cs="Arial"/>
          <w:sz w:val="28"/>
          <w:szCs w:val="28"/>
        </w:rPr>
      </w:pPr>
      <w:bookmarkStart w:id="19" w:name="_Toc212225740"/>
      <w:r w:rsidRPr="00C63657">
        <w:rPr>
          <w:rFonts w:ascii="Arial" w:hAnsi="Arial" w:cs="Arial"/>
          <w:sz w:val="28"/>
          <w:szCs w:val="28"/>
        </w:rPr>
        <w:t>4.3 Enhanced Customer Journey Map (Future State)</w:t>
      </w:r>
      <w:bookmarkEnd w:id="19"/>
    </w:p>
    <w:p w14:paraId="2D3489A6" w14:textId="7740180B" w:rsidR="0070247B" w:rsidRPr="00C63657" w:rsidRDefault="0070247B" w:rsidP="00C63657">
      <w:pPr>
        <w:pStyle w:val="Caption"/>
        <w:keepNext/>
        <w:spacing w:line="360" w:lineRule="auto"/>
        <w:jc w:val="center"/>
        <w:rPr>
          <w:rFonts w:ascii="Arial" w:hAnsi="Arial" w:cs="Arial"/>
          <w:sz w:val="28"/>
          <w:szCs w:val="28"/>
        </w:rPr>
      </w:pPr>
    </w:p>
    <w:tbl>
      <w:tblPr>
        <w:tblStyle w:val="TableGrid"/>
        <w:tblW w:w="0" w:type="auto"/>
        <w:jc w:val="center"/>
        <w:tblLayout w:type="fixed"/>
        <w:tblLook w:val="04A0" w:firstRow="1" w:lastRow="0" w:firstColumn="1" w:lastColumn="0" w:noHBand="0" w:noVBand="1"/>
      </w:tblPr>
      <w:tblGrid>
        <w:gridCol w:w="1555"/>
        <w:gridCol w:w="1417"/>
        <w:gridCol w:w="1843"/>
        <w:gridCol w:w="1984"/>
        <w:gridCol w:w="1843"/>
      </w:tblGrid>
      <w:tr w:rsidR="0070247B" w:rsidRPr="00C63657" w14:paraId="7E24B935" w14:textId="77777777" w:rsidTr="0070247B">
        <w:trPr>
          <w:jc w:val="center"/>
        </w:trPr>
        <w:tc>
          <w:tcPr>
            <w:tcW w:w="1555" w:type="dxa"/>
            <w:hideMark/>
          </w:tcPr>
          <w:p w14:paraId="0DB8D779"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Stage</w:t>
            </w:r>
          </w:p>
        </w:tc>
        <w:tc>
          <w:tcPr>
            <w:tcW w:w="1417" w:type="dxa"/>
            <w:hideMark/>
          </w:tcPr>
          <w:p w14:paraId="072F0484"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Before (Baseline Metric)</w:t>
            </w:r>
          </w:p>
        </w:tc>
        <w:tc>
          <w:tcPr>
            <w:tcW w:w="1843" w:type="dxa"/>
            <w:hideMark/>
          </w:tcPr>
          <w:p w14:paraId="31CD0157"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After (Target Metric)</w:t>
            </w:r>
          </w:p>
        </w:tc>
        <w:tc>
          <w:tcPr>
            <w:tcW w:w="1984" w:type="dxa"/>
            <w:hideMark/>
          </w:tcPr>
          <w:p w14:paraId="20B921BA"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Change (Feature/Process)</w:t>
            </w:r>
          </w:p>
        </w:tc>
        <w:tc>
          <w:tcPr>
            <w:tcW w:w="1843" w:type="dxa"/>
            <w:hideMark/>
          </w:tcPr>
          <w:p w14:paraId="794F9C1B" w14:textId="77777777" w:rsidR="0070247B" w:rsidRPr="00C63657" w:rsidRDefault="0070247B" w:rsidP="00C63657">
            <w:pPr>
              <w:spacing w:after="160"/>
              <w:jc w:val="center"/>
              <w:rPr>
                <w:rFonts w:ascii="Arial" w:hAnsi="Arial" w:cs="Arial"/>
                <w:b/>
                <w:bCs/>
                <w:sz w:val="28"/>
                <w:szCs w:val="28"/>
              </w:rPr>
            </w:pPr>
            <w:r w:rsidRPr="00C63657">
              <w:rPr>
                <w:rFonts w:ascii="Arial" w:hAnsi="Arial" w:cs="Arial"/>
                <w:b/>
                <w:bCs/>
                <w:sz w:val="28"/>
                <w:szCs w:val="28"/>
              </w:rPr>
              <w:t>Risk &amp; Mitigation</w:t>
            </w:r>
          </w:p>
        </w:tc>
      </w:tr>
      <w:tr w:rsidR="0070247B" w:rsidRPr="00C63657" w14:paraId="50D06D28" w14:textId="77777777" w:rsidTr="0070247B">
        <w:trPr>
          <w:jc w:val="center"/>
        </w:trPr>
        <w:tc>
          <w:tcPr>
            <w:tcW w:w="1555" w:type="dxa"/>
            <w:hideMark/>
          </w:tcPr>
          <w:p w14:paraId="61E21AC4"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lastRenderedPageBreak/>
              <w:t>Awareness</w:t>
            </w:r>
          </w:p>
        </w:tc>
        <w:tc>
          <w:tcPr>
            <w:tcW w:w="1417" w:type="dxa"/>
            <w:hideMark/>
          </w:tcPr>
          <w:p w14:paraId="3A29BC6D"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Generic promo</w:t>
            </w:r>
          </w:p>
        </w:tc>
        <w:tc>
          <w:tcPr>
            <w:tcW w:w="1843" w:type="dxa"/>
            <w:hideMark/>
          </w:tcPr>
          <w:p w14:paraId="6E2E78A9"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Personalised push offer</w:t>
            </w:r>
          </w:p>
        </w:tc>
        <w:tc>
          <w:tcPr>
            <w:tcW w:w="1984" w:type="dxa"/>
            <w:hideMark/>
          </w:tcPr>
          <w:p w14:paraId="07D7EE2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CRM personalisation</w:t>
            </w:r>
          </w:p>
        </w:tc>
        <w:tc>
          <w:tcPr>
            <w:tcW w:w="1843" w:type="dxa"/>
            <w:hideMark/>
          </w:tcPr>
          <w:p w14:paraId="01D7D9F0"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Data governance</w:t>
            </w:r>
          </w:p>
        </w:tc>
      </w:tr>
      <w:tr w:rsidR="0070247B" w:rsidRPr="00C63657" w14:paraId="75187FFA" w14:textId="77777777" w:rsidTr="0070247B">
        <w:trPr>
          <w:jc w:val="center"/>
        </w:trPr>
        <w:tc>
          <w:tcPr>
            <w:tcW w:w="1555" w:type="dxa"/>
            <w:hideMark/>
          </w:tcPr>
          <w:p w14:paraId="66F86E60"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Consideration</w:t>
            </w:r>
          </w:p>
        </w:tc>
        <w:tc>
          <w:tcPr>
            <w:tcW w:w="1417" w:type="dxa"/>
            <w:hideMark/>
          </w:tcPr>
          <w:p w14:paraId="63AF375C"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Manual store check</w:t>
            </w:r>
          </w:p>
        </w:tc>
        <w:tc>
          <w:tcPr>
            <w:tcW w:w="1843" w:type="dxa"/>
            <w:hideMark/>
          </w:tcPr>
          <w:p w14:paraId="53EBA022"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Predictive wait times</w:t>
            </w:r>
          </w:p>
        </w:tc>
        <w:tc>
          <w:tcPr>
            <w:tcW w:w="1984" w:type="dxa"/>
            <w:hideMark/>
          </w:tcPr>
          <w:p w14:paraId="116B1EC8"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AI queue prediction</w:t>
            </w:r>
          </w:p>
        </w:tc>
        <w:tc>
          <w:tcPr>
            <w:tcW w:w="1843" w:type="dxa"/>
            <w:hideMark/>
          </w:tcPr>
          <w:p w14:paraId="55889DBF"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Overload risk</w:t>
            </w:r>
          </w:p>
        </w:tc>
      </w:tr>
      <w:tr w:rsidR="0070247B" w:rsidRPr="00C63657" w14:paraId="78BD3B25" w14:textId="77777777" w:rsidTr="0070247B">
        <w:trPr>
          <w:jc w:val="center"/>
        </w:trPr>
        <w:tc>
          <w:tcPr>
            <w:tcW w:w="1555" w:type="dxa"/>
            <w:hideMark/>
          </w:tcPr>
          <w:p w14:paraId="47F2809F"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Purchase</w:t>
            </w:r>
          </w:p>
        </w:tc>
        <w:tc>
          <w:tcPr>
            <w:tcW w:w="1417" w:type="dxa"/>
            <w:hideMark/>
          </w:tcPr>
          <w:p w14:paraId="3D3D35B2"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10+ min avg queue</w:t>
            </w:r>
          </w:p>
        </w:tc>
        <w:tc>
          <w:tcPr>
            <w:tcW w:w="1843" w:type="dxa"/>
            <w:hideMark/>
          </w:tcPr>
          <w:p w14:paraId="7041B0A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≤3 min</w:t>
            </w:r>
          </w:p>
        </w:tc>
        <w:tc>
          <w:tcPr>
            <w:tcW w:w="1984" w:type="dxa"/>
            <w:hideMark/>
          </w:tcPr>
          <w:p w14:paraId="2322B8F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Smart queue reservation</w:t>
            </w:r>
          </w:p>
        </w:tc>
        <w:tc>
          <w:tcPr>
            <w:tcW w:w="1843" w:type="dxa"/>
            <w:hideMark/>
          </w:tcPr>
          <w:p w14:paraId="061F4596"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System reliability</w:t>
            </w:r>
          </w:p>
        </w:tc>
      </w:tr>
      <w:tr w:rsidR="0070247B" w:rsidRPr="00C63657" w14:paraId="11CE3DF6" w14:textId="77777777" w:rsidTr="0070247B">
        <w:trPr>
          <w:jc w:val="center"/>
        </w:trPr>
        <w:tc>
          <w:tcPr>
            <w:tcW w:w="1555" w:type="dxa"/>
            <w:hideMark/>
          </w:tcPr>
          <w:p w14:paraId="0E92E85D"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Fulfilment</w:t>
            </w:r>
          </w:p>
        </w:tc>
        <w:tc>
          <w:tcPr>
            <w:tcW w:w="1417" w:type="dxa"/>
            <w:hideMark/>
          </w:tcPr>
          <w:p w14:paraId="34E8FD3F"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Variable delivery</w:t>
            </w:r>
          </w:p>
        </w:tc>
        <w:tc>
          <w:tcPr>
            <w:tcW w:w="1843" w:type="dxa"/>
            <w:hideMark/>
          </w:tcPr>
          <w:p w14:paraId="69481BF9"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90% accurate ETA</w:t>
            </w:r>
          </w:p>
        </w:tc>
        <w:tc>
          <w:tcPr>
            <w:tcW w:w="1984" w:type="dxa"/>
            <w:hideMark/>
          </w:tcPr>
          <w:p w14:paraId="0E66013E"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Real-time tracking</w:t>
            </w:r>
          </w:p>
        </w:tc>
        <w:tc>
          <w:tcPr>
            <w:tcW w:w="1843" w:type="dxa"/>
            <w:hideMark/>
          </w:tcPr>
          <w:p w14:paraId="7A4A5C92"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Delivery partner SLAs</w:t>
            </w:r>
          </w:p>
        </w:tc>
      </w:tr>
      <w:tr w:rsidR="0070247B" w:rsidRPr="00C63657" w14:paraId="44CE16C6" w14:textId="77777777" w:rsidTr="0070247B">
        <w:trPr>
          <w:jc w:val="center"/>
        </w:trPr>
        <w:tc>
          <w:tcPr>
            <w:tcW w:w="1555" w:type="dxa"/>
            <w:hideMark/>
          </w:tcPr>
          <w:p w14:paraId="302BAFA7"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Use</w:t>
            </w:r>
          </w:p>
        </w:tc>
        <w:tc>
          <w:tcPr>
            <w:tcW w:w="1417" w:type="dxa"/>
            <w:hideMark/>
          </w:tcPr>
          <w:p w14:paraId="16FE76B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Single purchase</w:t>
            </w:r>
          </w:p>
        </w:tc>
        <w:tc>
          <w:tcPr>
            <w:tcW w:w="1843" w:type="dxa"/>
            <w:hideMark/>
          </w:tcPr>
          <w:p w14:paraId="3B1DAE57"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 basket size</w:t>
            </w:r>
          </w:p>
        </w:tc>
        <w:tc>
          <w:tcPr>
            <w:tcW w:w="1984" w:type="dxa"/>
            <w:hideMark/>
          </w:tcPr>
          <w:p w14:paraId="7CB6013D"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Value bundles via app</w:t>
            </w:r>
          </w:p>
        </w:tc>
        <w:tc>
          <w:tcPr>
            <w:tcW w:w="1843" w:type="dxa"/>
            <w:hideMark/>
          </w:tcPr>
          <w:p w14:paraId="6D5A85D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Offer fatigue</w:t>
            </w:r>
          </w:p>
        </w:tc>
      </w:tr>
      <w:tr w:rsidR="0070247B" w:rsidRPr="00C63657" w14:paraId="2EF0077C" w14:textId="77777777" w:rsidTr="0070247B">
        <w:trPr>
          <w:jc w:val="center"/>
        </w:trPr>
        <w:tc>
          <w:tcPr>
            <w:tcW w:w="1555" w:type="dxa"/>
            <w:hideMark/>
          </w:tcPr>
          <w:p w14:paraId="314C7948" w14:textId="77777777" w:rsidR="0070247B" w:rsidRPr="00C63657" w:rsidRDefault="0070247B" w:rsidP="00C63657">
            <w:pPr>
              <w:spacing w:after="160"/>
              <w:jc w:val="center"/>
              <w:rPr>
                <w:rFonts w:ascii="Arial" w:hAnsi="Arial" w:cs="Arial"/>
                <w:sz w:val="28"/>
                <w:szCs w:val="28"/>
              </w:rPr>
            </w:pPr>
            <w:r w:rsidRPr="00C63657">
              <w:rPr>
                <w:rFonts w:ascii="Arial" w:hAnsi="Arial" w:cs="Arial"/>
                <w:b/>
                <w:bCs/>
                <w:sz w:val="28"/>
                <w:szCs w:val="28"/>
              </w:rPr>
              <w:t>Post-use</w:t>
            </w:r>
          </w:p>
        </w:tc>
        <w:tc>
          <w:tcPr>
            <w:tcW w:w="1417" w:type="dxa"/>
            <w:hideMark/>
          </w:tcPr>
          <w:p w14:paraId="5DD58058"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Generic loyalty</w:t>
            </w:r>
          </w:p>
        </w:tc>
        <w:tc>
          <w:tcPr>
            <w:tcW w:w="1843" w:type="dxa"/>
            <w:hideMark/>
          </w:tcPr>
          <w:p w14:paraId="62A98ADB"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Tailored rewards</w:t>
            </w:r>
          </w:p>
        </w:tc>
        <w:tc>
          <w:tcPr>
            <w:tcW w:w="1984" w:type="dxa"/>
            <w:hideMark/>
          </w:tcPr>
          <w:p w14:paraId="1D40DA10"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Behavioural loyalty engine</w:t>
            </w:r>
          </w:p>
        </w:tc>
        <w:tc>
          <w:tcPr>
            <w:tcW w:w="1843" w:type="dxa"/>
            <w:hideMark/>
          </w:tcPr>
          <w:p w14:paraId="5BFA5DDE" w14:textId="77777777" w:rsidR="0070247B" w:rsidRPr="00C63657" w:rsidRDefault="0070247B" w:rsidP="00C63657">
            <w:pPr>
              <w:spacing w:after="160"/>
              <w:jc w:val="center"/>
              <w:rPr>
                <w:rFonts w:ascii="Arial" w:hAnsi="Arial" w:cs="Arial"/>
                <w:sz w:val="28"/>
                <w:szCs w:val="28"/>
              </w:rPr>
            </w:pPr>
            <w:r w:rsidRPr="00C63657">
              <w:rPr>
                <w:rFonts w:ascii="Arial" w:hAnsi="Arial" w:cs="Arial"/>
                <w:sz w:val="28"/>
                <w:szCs w:val="28"/>
              </w:rPr>
              <w:t>Privacy compliance</w:t>
            </w:r>
          </w:p>
        </w:tc>
      </w:tr>
    </w:tbl>
    <w:p w14:paraId="495BE0DC" w14:textId="77777777" w:rsidR="0070247B" w:rsidRPr="00C63657" w:rsidRDefault="0070247B" w:rsidP="00C63657">
      <w:pPr>
        <w:rPr>
          <w:rFonts w:ascii="Arial" w:hAnsi="Arial" w:cs="Arial"/>
          <w:b/>
          <w:bCs/>
          <w:sz w:val="28"/>
          <w:szCs w:val="28"/>
        </w:rPr>
      </w:pPr>
      <w:r w:rsidRPr="00C63657">
        <w:rPr>
          <w:rFonts w:ascii="Arial" w:hAnsi="Arial" w:cs="Arial"/>
          <w:b/>
          <w:bCs/>
          <w:sz w:val="28"/>
          <w:szCs w:val="28"/>
        </w:rPr>
        <w:t>Journey Interpretation</w:t>
      </w:r>
    </w:p>
    <w:p w14:paraId="6FB53724" w14:textId="77777777" w:rsidR="0074236A" w:rsidRPr="00C63657" w:rsidRDefault="0074236A" w:rsidP="00C63657">
      <w:pPr>
        <w:rPr>
          <w:rFonts w:ascii="Arial" w:hAnsi="Arial" w:cs="Arial"/>
          <w:sz w:val="28"/>
          <w:szCs w:val="28"/>
        </w:rPr>
      </w:pPr>
      <w:r w:rsidRPr="00C63657">
        <w:rPr>
          <w:rFonts w:ascii="Arial" w:hAnsi="Arial" w:cs="Arial"/>
          <w:sz w:val="28"/>
          <w:szCs w:val="28"/>
        </w:rPr>
        <w:t>The awareness and the consideration stage respond beneficially to personalisation, wherein CRM-driven push notifications and predictive waits are enablers for increasing the relevance of engagement (Khan et al., 2025). By lowering the friction points in decision making, Greggs can ensure a higher conversion rate along with a smooth customer flow.</w:t>
      </w:r>
    </w:p>
    <w:p w14:paraId="16114ADB" w14:textId="77777777" w:rsidR="0074236A" w:rsidRPr="00C63657" w:rsidRDefault="0074236A" w:rsidP="00C63657">
      <w:pPr>
        <w:rPr>
          <w:rFonts w:ascii="Arial" w:hAnsi="Arial" w:cs="Arial"/>
          <w:sz w:val="28"/>
          <w:szCs w:val="28"/>
        </w:rPr>
      </w:pPr>
      <w:r w:rsidRPr="00C63657">
        <w:rPr>
          <w:rFonts w:ascii="Arial" w:hAnsi="Arial" w:cs="Arial"/>
          <w:sz w:val="28"/>
          <w:szCs w:val="28"/>
        </w:rPr>
        <w:t xml:space="preserve">At purchase stage: Implementation of smart queue reservation system decreases the average queue time from more than ten minutes to less than three minutes, which improves the perceived and actual service </w:t>
      </w:r>
      <w:r w:rsidRPr="00C63657">
        <w:rPr>
          <w:rFonts w:ascii="Arial" w:hAnsi="Arial" w:cs="Arial"/>
          <w:sz w:val="28"/>
          <w:szCs w:val="28"/>
        </w:rPr>
        <w:lastRenderedPageBreak/>
        <w:t>speed (Ahamed, 2025). In the fulfillment stage, moving from delivery times to ETAs and real-time prediction, one of the biggest pain points in operations - flexible delivery times - is being addressed when it currently affects both customer satisfaction and throughput (Greggs Interim Results Presentation, 2023).</w:t>
      </w:r>
    </w:p>
    <w:p w14:paraId="6CBAD14F" w14:textId="6990FA42" w:rsidR="0070247B" w:rsidRPr="00C63657" w:rsidRDefault="0074236A" w:rsidP="00C63657">
      <w:pPr>
        <w:rPr>
          <w:rFonts w:ascii="Arial" w:hAnsi="Arial" w:cs="Arial"/>
          <w:sz w:val="28"/>
          <w:szCs w:val="28"/>
        </w:rPr>
      </w:pPr>
      <w:r w:rsidRPr="00C63657">
        <w:rPr>
          <w:rFonts w:ascii="Arial" w:hAnsi="Arial" w:cs="Arial"/>
          <w:sz w:val="28"/>
          <w:szCs w:val="28"/>
        </w:rPr>
        <w:t xml:space="preserve">Personalized rewards and dynamic Theo value bundles for </w:t>
      </w:r>
      <w:r w:rsidR="004944B1" w:rsidRPr="00C63657">
        <w:rPr>
          <w:rFonts w:ascii="Arial" w:hAnsi="Arial" w:cs="Arial"/>
          <w:sz w:val="28"/>
          <w:szCs w:val="28"/>
        </w:rPr>
        <w:t>pre-</w:t>
      </w:r>
      <w:r w:rsidRPr="00C63657">
        <w:rPr>
          <w:rFonts w:ascii="Arial" w:hAnsi="Arial" w:cs="Arial"/>
          <w:sz w:val="28"/>
          <w:szCs w:val="28"/>
        </w:rPr>
        <w:t xml:space="preserve"> and post-purchase to higher basket size and reengage customers with loyalty ecosystem (Ncrew MathTHEO). Not only do these changes streamline the customer journey but will also resonate with Greggs' brand promise - affordable, fast, and reliable service.</w:t>
      </w:r>
    </w:p>
    <w:p w14:paraId="58E3B57B" w14:textId="77777777" w:rsidR="0070247B" w:rsidRPr="00C63657" w:rsidRDefault="0070247B" w:rsidP="00C63657">
      <w:pPr>
        <w:pStyle w:val="Heading2"/>
        <w:rPr>
          <w:rFonts w:ascii="Arial" w:hAnsi="Arial" w:cs="Arial"/>
          <w:sz w:val="28"/>
          <w:szCs w:val="28"/>
        </w:rPr>
      </w:pPr>
      <w:bookmarkStart w:id="20" w:name="_Toc212225741"/>
      <w:r w:rsidRPr="00C63657">
        <w:rPr>
          <w:rFonts w:ascii="Arial" w:hAnsi="Arial" w:cs="Arial"/>
          <w:sz w:val="28"/>
          <w:szCs w:val="28"/>
        </w:rPr>
        <w:t>4.4 DVF Assessment</w:t>
      </w:r>
      <w:bookmarkEnd w:id="20"/>
    </w:p>
    <w:p w14:paraId="39E75D67" w14:textId="06FD9887" w:rsidR="00E7020C" w:rsidRPr="00C63657" w:rsidRDefault="00E7020C" w:rsidP="00C63657">
      <w:pPr>
        <w:pStyle w:val="Caption"/>
        <w:keepNext/>
        <w:spacing w:line="360" w:lineRule="auto"/>
        <w:jc w:val="center"/>
        <w:rPr>
          <w:rFonts w:ascii="Arial" w:hAnsi="Arial" w:cs="Arial"/>
          <w:sz w:val="28"/>
          <w:szCs w:val="28"/>
        </w:rPr>
      </w:pPr>
    </w:p>
    <w:tbl>
      <w:tblPr>
        <w:tblStyle w:val="TableGrid"/>
        <w:tblW w:w="0" w:type="auto"/>
        <w:jc w:val="center"/>
        <w:tblLook w:val="04A0" w:firstRow="1" w:lastRow="0" w:firstColumn="1" w:lastColumn="0" w:noHBand="0" w:noVBand="1"/>
      </w:tblPr>
      <w:tblGrid>
        <w:gridCol w:w="1757"/>
        <w:gridCol w:w="2486"/>
        <w:gridCol w:w="2410"/>
        <w:gridCol w:w="2268"/>
      </w:tblGrid>
      <w:tr w:rsidR="0070247B" w:rsidRPr="00C63657" w14:paraId="08BF64CD" w14:textId="77777777" w:rsidTr="002560F1">
        <w:trPr>
          <w:jc w:val="center"/>
        </w:trPr>
        <w:tc>
          <w:tcPr>
            <w:tcW w:w="0" w:type="auto"/>
            <w:hideMark/>
          </w:tcPr>
          <w:p w14:paraId="32B60BB2"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Dimension</w:t>
            </w:r>
          </w:p>
        </w:tc>
        <w:tc>
          <w:tcPr>
            <w:tcW w:w="2486" w:type="dxa"/>
            <w:hideMark/>
          </w:tcPr>
          <w:p w14:paraId="0CEB879B"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Desirability</w:t>
            </w:r>
          </w:p>
        </w:tc>
        <w:tc>
          <w:tcPr>
            <w:tcW w:w="2410" w:type="dxa"/>
            <w:hideMark/>
          </w:tcPr>
          <w:p w14:paraId="42BDF3EA"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Viability</w:t>
            </w:r>
          </w:p>
        </w:tc>
        <w:tc>
          <w:tcPr>
            <w:tcW w:w="2268" w:type="dxa"/>
            <w:hideMark/>
          </w:tcPr>
          <w:p w14:paraId="0C43311A"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Feasibility</w:t>
            </w:r>
          </w:p>
        </w:tc>
      </w:tr>
      <w:tr w:rsidR="0070247B" w:rsidRPr="00C63657" w14:paraId="79D0B4E4" w14:textId="77777777" w:rsidTr="002560F1">
        <w:trPr>
          <w:jc w:val="center"/>
        </w:trPr>
        <w:tc>
          <w:tcPr>
            <w:tcW w:w="0" w:type="auto"/>
            <w:hideMark/>
          </w:tcPr>
          <w:p w14:paraId="318AC259"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Description</w:t>
            </w:r>
          </w:p>
        </w:tc>
        <w:tc>
          <w:tcPr>
            <w:tcW w:w="2486" w:type="dxa"/>
            <w:hideMark/>
          </w:tcPr>
          <w:p w14:paraId="334E9AD0"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Strong customer demand for reduced waiting times and delivery certainty</w:t>
            </w:r>
          </w:p>
        </w:tc>
        <w:tc>
          <w:tcPr>
            <w:tcW w:w="2410" w:type="dxa"/>
            <w:hideMark/>
          </w:tcPr>
          <w:p w14:paraId="6995E62A"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Improves basket size, throughput, and operational efficiency</w:t>
            </w:r>
          </w:p>
        </w:tc>
        <w:tc>
          <w:tcPr>
            <w:tcW w:w="2268" w:type="dxa"/>
            <w:hideMark/>
          </w:tcPr>
          <w:p w14:paraId="36ABD9D6"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Builds on existing app infrastructure and supply chain investment</w:t>
            </w:r>
          </w:p>
        </w:tc>
      </w:tr>
      <w:tr w:rsidR="0070247B" w:rsidRPr="00C63657" w14:paraId="139F45B2" w14:textId="77777777" w:rsidTr="002560F1">
        <w:trPr>
          <w:jc w:val="center"/>
        </w:trPr>
        <w:tc>
          <w:tcPr>
            <w:tcW w:w="0" w:type="auto"/>
            <w:hideMark/>
          </w:tcPr>
          <w:p w14:paraId="56B879F9"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Evidence</w:t>
            </w:r>
          </w:p>
        </w:tc>
        <w:tc>
          <w:tcPr>
            <w:tcW w:w="2486" w:type="dxa"/>
            <w:hideMark/>
          </w:tcPr>
          <w:p w14:paraId="7A1B005B" w14:textId="77777777" w:rsidR="002560F1" w:rsidRPr="00C63657" w:rsidRDefault="0070247B" w:rsidP="00C63657">
            <w:pPr>
              <w:jc w:val="center"/>
              <w:rPr>
                <w:rFonts w:ascii="Arial" w:hAnsi="Arial" w:cs="Arial"/>
                <w:sz w:val="28"/>
                <w:szCs w:val="28"/>
              </w:rPr>
            </w:pPr>
            <w:r w:rsidRPr="00C63657">
              <w:rPr>
                <w:rFonts w:ascii="Arial" w:hAnsi="Arial" w:cs="Arial"/>
                <w:sz w:val="28"/>
                <w:szCs w:val="28"/>
              </w:rPr>
              <w:t>App usage ↑, evening/delivery sales growth</w:t>
            </w:r>
            <w:r w:rsidR="002560F1" w:rsidRPr="00C63657">
              <w:rPr>
                <w:rFonts w:ascii="Arial" w:hAnsi="Arial" w:cs="Arial"/>
                <w:sz w:val="28"/>
                <w:szCs w:val="28"/>
              </w:rPr>
              <w:t xml:space="preserve"> (Greggs Interim Results Presentation, 2023)</w:t>
            </w:r>
          </w:p>
          <w:p w14:paraId="7E2C3C11" w14:textId="78E9AA27" w:rsidR="0070247B" w:rsidRPr="00C63657" w:rsidRDefault="0070247B" w:rsidP="00C63657">
            <w:pPr>
              <w:jc w:val="center"/>
              <w:rPr>
                <w:rFonts w:ascii="Arial" w:hAnsi="Arial" w:cs="Arial"/>
                <w:sz w:val="28"/>
                <w:szCs w:val="28"/>
              </w:rPr>
            </w:pPr>
          </w:p>
        </w:tc>
        <w:tc>
          <w:tcPr>
            <w:tcW w:w="2410" w:type="dxa"/>
            <w:hideMark/>
          </w:tcPr>
          <w:p w14:paraId="21046BA6" w14:textId="4AC66E5C" w:rsidR="002560F1" w:rsidRPr="00C63657" w:rsidRDefault="0070247B" w:rsidP="00C63657">
            <w:pPr>
              <w:jc w:val="center"/>
              <w:rPr>
                <w:rFonts w:ascii="Arial" w:hAnsi="Arial" w:cs="Arial"/>
                <w:sz w:val="28"/>
                <w:szCs w:val="28"/>
              </w:rPr>
            </w:pPr>
            <w:r w:rsidRPr="00C63657">
              <w:rPr>
                <w:rFonts w:ascii="Arial" w:hAnsi="Arial" w:cs="Arial"/>
                <w:sz w:val="28"/>
                <w:szCs w:val="28"/>
              </w:rPr>
              <w:t>LFL and gross margin resilience</w:t>
            </w:r>
            <w:r w:rsidR="002560F1" w:rsidRPr="00C63657">
              <w:rPr>
                <w:rFonts w:ascii="Arial" w:hAnsi="Arial" w:cs="Arial"/>
                <w:sz w:val="28"/>
                <w:szCs w:val="28"/>
              </w:rPr>
              <w:t xml:space="preserve"> (Greggs Interim Results Presentation, 2025; Greggs </w:t>
            </w:r>
            <w:r w:rsidR="002560F1" w:rsidRPr="00C63657">
              <w:rPr>
                <w:rFonts w:ascii="Arial" w:hAnsi="Arial" w:cs="Arial"/>
                <w:sz w:val="28"/>
                <w:szCs w:val="28"/>
              </w:rPr>
              <w:lastRenderedPageBreak/>
              <w:t>First Half Trading Update, 2025)</w:t>
            </w:r>
          </w:p>
          <w:p w14:paraId="020946A0" w14:textId="41A29027" w:rsidR="0070247B" w:rsidRPr="00C63657" w:rsidRDefault="0070247B" w:rsidP="00C63657">
            <w:pPr>
              <w:jc w:val="center"/>
              <w:rPr>
                <w:rFonts w:ascii="Arial" w:hAnsi="Arial" w:cs="Arial"/>
                <w:sz w:val="28"/>
                <w:szCs w:val="28"/>
              </w:rPr>
            </w:pPr>
          </w:p>
        </w:tc>
        <w:tc>
          <w:tcPr>
            <w:tcW w:w="2268" w:type="dxa"/>
            <w:hideMark/>
          </w:tcPr>
          <w:p w14:paraId="42D570B0" w14:textId="77777777" w:rsidR="002560F1" w:rsidRPr="00C63657" w:rsidRDefault="0070247B" w:rsidP="00C63657">
            <w:pPr>
              <w:jc w:val="center"/>
              <w:rPr>
                <w:rFonts w:ascii="Arial" w:hAnsi="Arial" w:cs="Arial"/>
                <w:sz w:val="28"/>
                <w:szCs w:val="28"/>
              </w:rPr>
            </w:pPr>
            <w:r w:rsidRPr="00C63657">
              <w:rPr>
                <w:rFonts w:ascii="Arial" w:hAnsi="Arial" w:cs="Arial"/>
                <w:sz w:val="28"/>
                <w:szCs w:val="28"/>
              </w:rPr>
              <w:lastRenderedPageBreak/>
              <w:t>Kettering/Derby NDC automation</w:t>
            </w:r>
            <w:r w:rsidR="002560F1" w:rsidRPr="00C63657">
              <w:rPr>
                <w:rFonts w:ascii="Arial" w:hAnsi="Arial" w:cs="Arial"/>
                <w:sz w:val="28"/>
                <w:szCs w:val="28"/>
              </w:rPr>
              <w:t xml:space="preserve"> (Investor Event Supply Plans, 2024)</w:t>
            </w:r>
          </w:p>
          <w:p w14:paraId="38E711B6" w14:textId="1150DE8A" w:rsidR="0070247B" w:rsidRPr="00C63657" w:rsidRDefault="0070247B" w:rsidP="00C63657">
            <w:pPr>
              <w:jc w:val="center"/>
              <w:rPr>
                <w:rFonts w:ascii="Arial" w:hAnsi="Arial" w:cs="Arial"/>
                <w:sz w:val="28"/>
                <w:szCs w:val="28"/>
              </w:rPr>
            </w:pPr>
          </w:p>
        </w:tc>
      </w:tr>
      <w:tr w:rsidR="0070247B" w:rsidRPr="00C63657" w14:paraId="0C030C2E" w14:textId="77777777" w:rsidTr="002560F1">
        <w:trPr>
          <w:jc w:val="center"/>
        </w:trPr>
        <w:tc>
          <w:tcPr>
            <w:tcW w:w="0" w:type="auto"/>
            <w:hideMark/>
          </w:tcPr>
          <w:p w14:paraId="60416839"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Risks</w:t>
            </w:r>
          </w:p>
        </w:tc>
        <w:tc>
          <w:tcPr>
            <w:tcW w:w="2486" w:type="dxa"/>
            <w:hideMark/>
          </w:tcPr>
          <w:p w14:paraId="48483324"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Data management, partner dependency</w:t>
            </w:r>
          </w:p>
        </w:tc>
        <w:tc>
          <w:tcPr>
            <w:tcW w:w="2410" w:type="dxa"/>
            <w:hideMark/>
          </w:tcPr>
          <w:p w14:paraId="14DEBD27"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Capex on digital infrastructure</w:t>
            </w:r>
          </w:p>
        </w:tc>
        <w:tc>
          <w:tcPr>
            <w:tcW w:w="2268" w:type="dxa"/>
            <w:hideMark/>
          </w:tcPr>
          <w:p w14:paraId="400B492D"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Technical integration</w:t>
            </w:r>
          </w:p>
        </w:tc>
      </w:tr>
      <w:tr w:rsidR="0070247B" w:rsidRPr="00C63657" w14:paraId="762F9A54" w14:textId="77777777" w:rsidTr="002560F1">
        <w:trPr>
          <w:jc w:val="center"/>
        </w:trPr>
        <w:tc>
          <w:tcPr>
            <w:tcW w:w="0" w:type="auto"/>
            <w:hideMark/>
          </w:tcPr>
          <w:p w14:paraId="6BF70977" w14:textId="77777777" w:rsidR="0070247B" w:rsidRPr="00C63657" w:rsidRDefault="0070247B" w:rsidP="00C63657">
            <w:pPr>
              <w:jc w:val="center"/>
              <w:rPr>
                <w:rFonts w:ascii="Arial" w:hAnsi="Arial" w:cs="Arial"/>
                <w:b/>
                <w:bCs/>
                <w:sz w:val="28"/>
                <w:szCs w:val="28"/>
              </w:rPr>
            </w:pPr>
            <w:r w:rsidRPr="00C63657">
              <w:rPr>
                <w:rFonts w:ascii="Arial" w:hAnsi="Arial" w:cs="Arial"/>
                <w:b/>
                <w:bCs/>
                <w:sz w:val="28"/>
                <w:szCs w:val="28"/>
              </w:rPr>
              <w:t>Mitigation</w:t>
            </w:r>
          </w:p>
        </w:tc>
        <w:tc>
          <w:tcPr>
            <w:tcW w:w="2486" w:type="dxa"/>
            <w:hideMark/>
          </w:tcPr>
          <w:p w14:paraId="7F330261"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Clear data governance</w:t>
            </w:r>
          </w:p>
        </w:tc>
        <w:tc>
          <w:tcPr>
            <w:tcW w:w="2410" w:type="dxa"/>
            <w:hideMark/>
          </w:tcPr>
          <w:p w14:paraId="62EF2FA8"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Phased roll-out</w:t>
            </w:r>
          </w:p>
        </w:tc>
        <w:tc>
          <w:tcPr>
            <w:tcW w:w="2268" w:type="dxa"/>
            <w:hideMark/>
          </w:tcPr>
          <w:p w14:paraId="0D0439F1" w14:textId="77777777" w:rsidR="0070247B" w:rsidRPr="00C63657" w:rsidRDefault="0070247B" w:rsidP="00C63657">
            <w:pPr>
              <w:jc w:val="center"/>
              <w:rPr>
                <w:rFonts w:ascii="Arial" w:hAnsi="Arial" w:cs="Arial"/>
                <w:sz w:val="28"/>
                <w:szCs w:val="28"/>
              </w:rPr>
            </w:pPr>
            <w:r w:rsidRPr="00C63657">
              <w:rPr>
                <w:rFonts w:ascii="Arial" w:hAnsi="Arial" w:cs="Arial"/>
                <w:sz w:val="28"/>
                <w:szCs w:val="28"/>
              </w:rPr>
              <w:t>Vendor partnerships</w:t>
            </w:r>
          </w:p>
        </w:tc>
      </w:tr>
    </w:tbl>
    <w:p w14:paraId="1B40892C" w14:textId="77777777" w:rsidR="0070247B" w:rsidRPr="00C63657" w:rsidRDefault="0070247B" w:rsidP="00C63657">
      <w:pPr>
        <w:rPr>
          <w:rFonts w:ascii="Arial" w:hAnsi="Arial" w:cs="Arial"/>
          <w:b/>
          <w:bCs/>
          <w:sz w:val="28"/>
          <w:szCs w:val="28"/>
        </w:rPr>
      </w:pPr>
      <w:r w:rsidRPr="00C63657">
        <w:rPr>
          <w:rFonts w:ascii="Arial" w:hAnsi="Arial" w:cs="Arial"/>
          <w:b/>
          <w:bCs/>
          <w:sz w:val="28"/>
          <w:szCs w:val="28"/>
        </w:rPr>
        <w:t>Desirability</w:t>
      </w:r>
    </w:p>
    <w:p w14:paraId="3467C271" w14:textId="77777777" w:rsidR="009A62E5" w:rsidRPr="00C63657" w:rsidRDefault="009A62E5" w:rsidP="00C63657">
      <w:pPr>
        <w:rPr>
          <w:rFonts w:ascii="Arial" w:hAnsi="Arial" w:cs="Arial"/>
          <w:sz w:val="28"/>
          <w:szCs w:val="28"/>
        </w:rPr>
      </w:pPr>
      <w:r w:rsidRPr="00C63657">
        <w:rPr>
          <w:rFonts w:ascii="Arial" w:hAnsi="Arial" w:cs="Arial"/>
          <w:sz w:val="28"/>
          <w:szCs w:val="28"/>
        </w:rPr>
        <w:t>Consumer behaviour has become more favourable to predictable, fast and personalised experience, making this initiative highly desirable in the operational context of Greggs (Serrasqueiro, 2020). With the loyalty app already responsible for 10.6% of transactions, integrating the queue and ETA visibility is a logical next step to further engagement (Kalisetty, 2025).</w:t>
      </w:r>
    </w:p>
    <w:p w14:paraId="0B9B36AE" w14:textId="77777777" w:rsidR="009A62E5" w:rsidRPr="00C63657" w:rsidRDefault="009A62E5" w:rsidP="00C63657">
      <w:pPr>
        <w:rPr>
          <w:rFonts w:ascii="Arial" w:hAnsi="Arial" w:cs="Arial"/>
          <w:b/>
          <w:bCs/>
          <w:sz w:val="28"/>
          <w:szCs w:val="28"/>
        </w:rPr>
      </w:pPr>
      <w:r w:rsidRPr="00C63657">
        <w:rPr>
          <w:rFonts w:ascii="Arial" w:hAnsi="Arial" w:cs="Arial"/>
          <w:b/>
          <w:bCs/>
          <w:sz w:val="28"/>
          <w:szCs w:val="28"/>
        </w:rPr>
        <w:t>Viability</w:t>
      </w:r>
    </w:p>
    <w:p w14:paraId="5C8D6B94" w14:textId="77777777" w:rsidR="009A62E5" w:rsidRPr="00C63657" w:rsidRDefault="009A62E5" w:rsidP="00C63657">
      <w:pPr>
        <w:rPr>
          <w:rFonts w:ascii="Arial" w:hAnsi="Arial" w:cs="Arial"/>
          <w:sz w:val="28"/>
          <w:szCs w:val="28"/>
        </w:rPr>
      </w:pPr>
      <w:r w:rsidRPr="00C63657">
        <w:rPr>
          <w:rFonts w:ascii="Arial" w:hAnsi="Arial" w:cs="Arial"/>
          <w:sz w:val="28"/>
          <w:szCs w:val="28"/>
        </w:rPr>
        <w:t xml:space="preserve">The initiative improves throughput and acts as a de-friction and an opportunity for upselling via personalised bundles and promotions. It also fits </w:t>
      </w:r>
      <w:proofErr w:type="gramStart"/>
      <w:r w:rsidRPr="00C63657">
        <w:rPr>
          <w:rFonts w:ascii="Arial" w:hAnsi="Arial" w:cs="Arial"/>
          <w:sz w:val="28"/>
          <w:szCs w:val="28"/>
        </w:rPr>
        <w:t>Greggs</w:t>
      </w:r>
      <w:proofErr w:type="gramEnd"/>
      <w:r w:rsidRPr="00C63657">
        <w:rPr>
          <w:rFonts w:ascii="Arial" w:hAnsi="Arial" w:cs="Arial"/>
          <w:sz w:val="28"/>
          <w:szCs w:val="28"/>
        </w:rPr>
        <w:t xml:space="preserve"> growth strategy in terms of delivery and evening time trade segments, which still show good performance (Greggs First Half Trading Update, 2025). Better queue management is projected to manifest with a higher level of loyalty retention and NPS leading to sustainable revenue growth (Mandala, 2025).</w:t>
      </w:r>
    </w:p>
    <w:p w14:paraId="3864F9B6" w14:textId="77777777" w:rsidR="009A62E5" w:rsidRPr="00C63657" w:rsidRDefault="009A62E5" w:rsidP="00C63657">
      <w:pPr>
        <w:rPr>
          <w:rFonts w:ascii="Arial" w:hAnsi="Arial" w:cs="Arial"/>
          <w:b/>
          <w:bCs/>
          <w:sz w:val="28"/>
          <w:szCs w:val="28"/>
        </w:rPr>
      </w:pPr>
      <w:r w:rsidRPr="00C63657">
        <w:rPr>
          <w:rFonts w:ascii="Arial" w:hAnsi="Arial" w:cs="Arial"/>
          <w:b/>
          <w:bCs/>
          <w:sz w:val="28"/>
          <w:szCs w:val="28"/>
        </w:rPr>
        <w:t>Feasibility</w:t>
      </w:r>
    </w:p>
    <w:p w14:paraId="5A981028" w14:textId="2C242759" w:rsidR="0070247B" w:rsidRPr="00C63657" w:rsidRDefault="009A62E5" w:rsidP="00C63657">
      <w:pPr>
        <w:rPr>
          <w:rFonts w:ascii="Arial" w:hAnsi="Arial" w:cs="Arial"/>
          <w:sz w:val="28"/>
          <w:szCs w:val="28"/>
        </w:rPr>
      </w:pPr>
      <w:r w:rsidRPr="00C63657">
        <w:rPr>
          <w:rFonts w:ascii="Arial" w:hAnsi="Arial" w:cs="Arial"/>
          <w:sz w:val="28"/>
          <w:szCs w:val="28"/>
        </w:rPr>
        <w:t xml:space="preserve">This initiative benefits from existing </w:t>
      </w:r>
      <w:r w:rsidR="00030AA1" w:rsidRPr="00C63657">
        <w:rPr>
          <w:rFonts w:ascii="Arial" w:hAnsi="Arial" w:cs="Arial"/>
          <w:sz w:val="28"/>
          <w:szCs w:val="28"/>
        </w:rPr>
        <w:t>Gregg’s</w:t>
      </w:r>
      <w:r w:rsidRPr="00C63657">
        <w:rPr>
          <w:rFonts w:ascii="Arial" w:hAnsi="Arial" w:cs="Arial"/>
          <w:sz w:val="28"/>
          <w:szCs w:val="28"/>
        </w:rPr>
        <w:t xml:space="preserve"> infrastructure in the App, as well as proposed supply chain developments, which serve as the technical </w:t>
      </w:r>
      <w:r w:rsidRPr="00C63657">
        <w:rPr>
          <w:rFonts w:ascii="Arial" w:hAnsi="Arial" w:cs="Arial"/>
          <w:sz w:val="28"/>
          <w:szCs w:val="28"/>
        </w:rPr>
        <w:lastRenderedPageBreak/>
        <w:t>and operational platform to support this activity (Supply Plans for Investor Event 2024). The AI-based queue prediction models are not unlike the digital transformation trends in the QSR and retail sectors (Vitsentzatou, Tsoulfas and Mihiotis, 2022).</w:t>
      </w:r>
    </w:p>
    <w:p w14:paraId="11DEFA32" w14:textId="77777777" w:rsidR="0070247B" w:rsidRPr="00C63657" w:rsidRDefault="0070247B" w:rsidP="00C63657">
      <w:pPr>
        <w:pStyle w:val="Heading2"/>
        <w:rPr>
          <w:rFonts w:ascii="Arial" w:hAnsi="Arial" w:cs="Arial"/>
          <w:sz w:val="28"/>
          <w:szCs w:val="28"/>
        </w:rPr>
      </w:pPr>
      <w:bookmarkStart w:id="21" w:name="_Toc212225742"/>
      <w:r w:rsidRPr="00C63657">
        <w:rPr>
          <w:rFonts w:ascii="Arial" w:hAnsi="Arial" w:cs="Arial"/>
          <w:sz w:val="28"/>
          <w:szCs w:val="28"/>
        </w:rPr>
        <w:t>4.5 KPIs and Success Measurement</w:t>
      </w:r>
      <w:bookmarkEnd w:id="21"/>
    </w:p>
    <w:p w14:paraId="6A39B654" w14:textId="77777777" w:rsidR="00152309" w:rsidRPr="00C63657" w:rsidRDefault="00152309" w:rsidP="00C63657">
      <w:pPr>
        <w:rPr>
          <w:rFonts w:ascii="Arial" w:hAnsi="Arial" w:cs="Arial"/>
          <w:sz w:val="28"/>
          <w:szCs w:val="28"/>
        </w:rPr>
      </w:pPr>
      <w:r w:rsidRPr="00C63657">
        <w:rPr>
          <w:rFonts w:ascii="Arial" w:hAnsi="Arial" w:cs="Arial"/>
          <w:sz w:val="28"/>
          <w:szCs w:val="28"/>
        </w:rPr>
        <w:t>To measure the effectiveness of the Smart Queue &amp; Personalised ETA System, a combination of leading and lagging indicators should be tracked by Greggs.</w:t>
      </w:r>
    </w:p>
    <w:p w14:paraId="43149F4A" w14:textId="77777777" w:rsidR="00152309" w:rsidRPr="00C63657" w:rsidRDefault="00152309" w:rsidP="00C63657">
      <w:pPr>
        <w:pStyle w:val="ListParagraph"/>
        <w:numPr>
          <w:ilvl w:val="0"/>
          <w:numId w:val="3"/>
        </w:numPr>
        <w:rPr>
          <w:rFonts w:ascii="Arial" w:hAnsi="Arial" w:cs="Arial"/>
          <w:sz w:val="28"/>
          <w:szCs w:val="28"/>
        </w:rPr>
      </w:pPr>
      <w:r w:rsidRPr="00C63657">
        <w:rPr>
          <w:rFonts w:ascii="Arial" w:hAnsi="Arial" w:cs="Arial"/>
          <w:sz w:val="28"/>
          <w:szCs w:val="28"/>
        </w:rPr>
        <w:t>Leading Indicators: Reduction percentage of queue time, ETA accuracy rate, engagement rate of apps, personalisation of offer response rate (Ahamed, 2025).</w:t>
      </w:r>
    </w:p>
    <w:p w14:paraId="092FAD82" w14:textId="77777777" w:rsidR="00152309" w:rsidRPr="00C63657" w:rsidRDefault="00152309" w:rsidP="00C63657">
      <w:pPr>
        <w:pStyle w:val="ListParagraph"/>
        <w:numPr>
          <w:ilvl w:val="0"/>
          <w:numId w:val="3"/>
        </w:numPr>
        <w:rPr>
          <w:rFonts w:ascii="Arial" w:hAnsi="Arial" w:cs="Arial"/>
          <w:sz w:val="28"/>
          <w:szCs w:val="28"/>
        </w:rPr>
      </w:pPr>
      <w:r w:rsidRPr="00C63657">
        <w:rPr>
          <w:rFonts w:ascii="Arial" w:hAnsi="Arial" w:cs="Arial"/>
          <w:sz w:val="28"/>
          <w:szCs w:val="28"/>
        </w:rPr>
        <w:t>Lagging Indicators: For example, for-like-for (LFL) sales increase in delivery and evening trade, Net Promoter Score (NPS) increase and loyalty redemption rate (Patil, 2025).</w:t>
      </w:r>
    </w:p>
    <w:p w14:paraId="65BD7EDA" w14:textId="051FFC9E" w:rsidR="0070247B" w:rsidRPr="00C63657" w:rsidRDefault="00152309" w:rsidP="00C63657">
      <w:pPr>
        <w:rPr>
          <w:rFonts w:ascii="Arial" w:hAnsi="Arial" w:cs="Arial"/>
          <w:sz w:val="28"/>
          <w:szCs w:val="28"/>
        </w:rPr>
      </w:pPr>
      <w:r w:rsidRPr="00C63657">
        <w:rPr>
          <w:rFonts w:ascii="Arial" w:hAnsi="Arial" w:cs="Arial"/>
          <w:sz w:val="28"/>
          <w:szCs w:val="28"/>
        </w:rPr>
        <w:t>These KPIs offer both operational and simultaneous strategic feedback. Reduced queueing times and more accurate ETAs would indicate short-term gains in efficiency; whilst NPS growth and engagement in loyalty programmes would indicate long term customer value creation.</w:t>
      </w:r>
    </w:p>
    <w:p w14:paraId="09FD5D96" w14:textId="77777777" w:rsidR="0070247B" w:rsidRPr="00C63657" w:rsidRDefault="0070247B" w:rsidP="00C63657">
      <w:pPr>
        <w:pStyle w:val="Heading2"/>
        <w:rPr>
          <w:rFonts w:ascii="Arial" w:hAnsi="Arial" w:cs="Arial"/>
          <w:sz w:val="28"/>
          <w:szCs w:val="28"/>
        </w:rPr>
      </w:pPr>
      <w:bookmarkStart w:id="22" w:name="_Toc212225743"/>
      <w:r w:rsidRPr="00C63657">
        <w:rPr>
          <w:rFonts w:ascii="Arial" w:hAnsi="Arial" w:cs="Arial"/>
          <w:sz w:val="28"/>
          <w:szCs w:val="28"/>
        </w:rPr>
        <w:t>4.6 Strategic Implications</w:t>
      </w:r>
      <w:bookmarkEnd w:id="22"/>
    </w:p>
    <w:p w14:paraId="42A4EFC9" w14:textId="77777777" w:rsidR="001C4E77" w:rsidRPr="00C63657" w:rsidRDefault="001C4E77" w:rsidP="00C63657">
      <w:pPr>
        <w:rPr>
          <w:rFonts w:ascii="Arial" w:hAnsi="Arial" w:cs="Arial"/>
          <w:sz w:val="28"/>
          <w:szCs w:val="28"/>
        </w:rPr>
      </w:pPr>
      <w:r w:rsidRPr="00C63657">
        <w:rPr>
          <w:rFonts w:ascii="Arial" w:hAnsi="Arial" w:cs="Arial"/>
          <w:sz w:val="28"/>
          <w:szCs w:val="28"/>
        </w:rPr>
        <w:t>This digital transformation project is a direct solution to its operational bottlenecks at Greggs, while concurrently creating new strategic benefits for the organization. By reducing friction from the purchase and fulfilment stage it contributes to building customer experience, brand loyalty and operational capacity. In addition, the system allows Greggs to further grow their evening and delivery trade, keeping them competitive in an already dense QSR market (Bocken, Harsch and Weissbrod, 2022).</w:t>
      </w:r>
    </w:p>
    <w:p w14:paraId="79103052" w14:textId="6275589C" w:rsidR="0070247B" w:rsidRPr="00C63657" w:rsidRDefault="001C4E77" w:rsidP="00C63657">
      <w:pPr>
        <w:rPr>
          <w:rFonts w:ascii="Arial" w:hAnsi="Arial" w:cs="Arial"/>
          <w:sz w:val="28"/>
          <w:szCs w:val="28"/>
        </w:rPr>
      </w:pPr>
      <w:r w:rsidRPr="00C63657">
        <w:rPr>
          <w:rFonts w:ascii="Arial" w:hAnsi="Arial" w:cs="Arial"/>
          <w:sz w:val="28"/>
          <w:szCs w:val="28"/>
        </w:rPr>
        <w:lastRenderedPageBreak/>
        <w:t xml:space="preserve">In the longer term, the use of this system </w:t>
      </w:r>
      <w:r w:rsidR="00030AA1" w:rsidRPr="00C63657">
        <w:rPr>
          <w:rFonts w:ascii="Arial" w:hAnsi="Arial" w:cs="Arial"/>
          <w:sz w:val="28"/>
          <w:szCs w:val="28"/>
        </w:rPr>
        <w:t>seeds</w:t>
      </w:r>
      <w:r w:rsidRPr="00C63657">
        <w:rPr>
          <w:rFonts w:ascii="Arial" w:hAnsi="Arial" w:cs="Arial"/>
          <w:sz w:val="28"/>
          <w:szCs w:val="28"/>
        </w:rPr>
        <w:t xml:space="preserve"> the wider innovation around data will allow Greggs to get closer to a greater integrated and intelligent service network. This is in line with its design thinking objectives of desirability, viability and feasibility placing the organisation in a strong position for future growth in an extremely volatile market.</w:t>
      </w:r>
    </w:p>
    <w:p w14:paraId="1D103E59" w14:textId="77777777" w:rsidR="002560F1" w:rsidRPr="00C63657" w:rsidRDefault="002560F1" w:rsidP="00C63657">
      <w:pPr>
        <w:pStyle w:val="Heading1"/>
        <w:rPr>
          <w:rFonts w:ascii="Arial" w:hAnsi="Arial" w:cs="Arial"/>
          <w:szCs w:val="28"/>
        </w:rPr>
      </w:pPr>
      <w:bookmarkStart w:id="23" w:name="_Toc212225744"/>
      <w:r w:rsidRPr="00C63657">
        <w:rPr>
          <w:rFonts w:ascii="Arial" w:hAnsi="Arial" w:cs="Arial"/>
          <w:szCs w:val="28"/>
        </w:rPr>
        <w:t>5. Conclusion</w:t>
      </w:r>
      <w:bookmarkEnd w:id="23"/>
    </w:p>
    <w:p w14:paraId="456F85B1" w14:textId="228E6F0C" w:rsidR="009C00F3" w:rsidRPr="00C63657" w:rsidRDefault="00030AA1" w:rsidP="00C63657">
      <w:pPr>
        <w:rPr>
          <w:rFonts w:ascii="Arial" w:hAnsi="Arial" w:cs="Arial"/>
          <w:sz w:val="28"/>
          <w:szCs w:val="28"/>
        </w:rPr>
      </w:pPr>
      <w:r w:rsidRPr="00C63657">
        <w:rPr>
          <w:rFonts w:ascii="Arial" w:hAnsi="Arial" w:cs="Arial"/>
          <w:sz w:val="28"/>
          <w:szCs w:val="28"/>
        </w:rPr>
        <w:t>Gregg’s</w:t>
      </w:r>
      <w:r w:rsidR="00B856F5" w:rsidRPr="00C63657">
        <w:rPr>
          <w:rFonts w:ascii="Arial" w:hAnsi="Arial" w:cs="Arial"/>
          <w:sz w:val="28"/>
          <w:szCs w:val="28"/>
        </w:rPr>
        <w:t xml:space="preserve"> plc is growing incrementally from the integration of the loyalty app, improved click and collect services and the extension of evening trade, which proves that Greggs' core and Edge businesses have access to substantial innovation capacity. At the same time, the company has been investing in transformational infrastructural capabilities such as automated supply chain facilities to offer long-term scalability. Collectively, these activities would make Greggs a future-minded retailer with an evenly balanced innovation factory.</w:t>
      </w:r>
    </w:p>
    <w:p w14:paraId="6268A7C6" w14:textId="77777777" w:rsidR="009C00F3" w:rsidRPr="00C63657" w:rsidRDefault="009C00F3" w:rsidP="00C63657">
      <w:pPr>
        <w:rPr>
          <w:rFonts w:ascii="Arial" w:hAnsi="Arial" w:cs="Arial"/>
          <w:sz w:val="28"/>
          <w:szCs w:val="28"/>
        </w:rPr>
      </w:pPr>
      <w:r w:rsidRPr="00C63657">
        <w:rPr>
          <w:rFonts w:ascii="Arial" w:hAnsi="Arial" w:cs="Arial"/>
          <w:sz w:val="28"/>
          <w:szCs w:val="28"/>
        </w:rPr>
        <w:t>The increasing development in digital adoption, immediate convenience behaviour and expansion of the delivery channels create a compelling case for improving the digital customer experience. Issues such as queue congestion and ETA inaccuracy are at the heart of operational excellence and customer loyalty.</w:t>
      </w:r>
    </w:p>
    <w:p w14:paraId="63F933EA" w14:textId="77777777" w:rsidR="009C00F3" w:rsidRPr="00C63657" w:rsidRDefault="009C00F3" w:rsidP="00C63657">
      <w:pPr>
        <w:rPr>
          <w:rFonts w:ascii="Arial" w:hAnsi="Arial" w:cs="Arial"/>
          <w:sz w:val="28"/>
          <w:szCs w:val="28"/>
        </w:rPr>
      </w:pPr>
      <w:r w:rsidRPr="00C63657">
        <w:rPr>
          <w:rFonts w:ascii="Arial" w:hAnsi="Arial" w:cs="Arial"/>
          <w:sz w:val="28"/>
          <w:szCs w:val="28"/>
        </w:rPr>
        <w:t>The proposed project "Smart Queue &amp; Personalised ETA" is closely related to the desirability-viability-feasibility framework. It increases customer desirability by minimizing friction and having increased transparency, boosts viability by increasing throughput and reducing customer churn, and takes advantage of existing infrastructure to ensure feasibility.</w:t>
      </w:r>
    </w:p>
    <w:p w14:paraId="291E4D2C" w14:textId="6A4981CE" w:rsidR="002560F1" w:rsidRPr="00C63657" w:rsidRDefault="009C00F3" w:rsidP="00C63657">
      <w:pPr>
        <w:rPr>
          <w:rFonts w:ascii="Arial" w:hAnsi="Arial" w:cs="Arial"/>
          <w:sz w:val="28"/>
          <w:szCs w:val="28"/>
        </w:rPr>
      </w:pPr>
      <w:r w:rsidRPr="00C63657">
        <w:rPr>
          <w:rFonts w:ascii="Arial" w:hAnsi="Arial" w:cs="Arial"/>
          <w:sz w:val="28"/>
          <w:szCs w:val="28"/>
        </w:rPr>
        <w:t xml:space="preserve">This process is an example of design thinking: iterative, user-centred and scalable innovation. Incorporating predictive technologies into its </w:t>
      </w:r>
      <w:r w:rsidRPr="00C63657">
        <w:rPr>
          <w:rFonts w:ascii="Arial" w:hAnsi="Arial" w:cs="Arial"/>
          <w:sz w:val="28"/>
          <w:szCs w:val="28"/>
        </w:rPr>
        <w:lastRenderedPageBreak/>
        <w:t>personalised engagement can help Greggs enhance its service offer. With the UK's most digitally integrated food-to-go brand already within reach of the Greggs plc, this initiative takes Greggs on the path to realizing its vision of being the most digitally integrated food-to-go brand, merging operational excellence with human-centric principles.</w:t>
      </w:r>
    </w:p>
    <w:p w14:paraId="6673756A" w14:textId="5CC97EDC" w:rsidR="00090D8A" w:rsidRPr="00C63657" w:rsidRDefault="00090D8A" w:rsidP="00C63657">
      <w:pPr>
        <w:spacing w:after="160"/>
        <w:jc w:val="left"/>
        <w:rPr>
          <w:rFonts w:ascii="Arial" w:hAnsi="Arial" w:cs="Arial"/>
          <w:sz w:val="28"/>
          <w:szCs w:val="28"/>
        </w:rPr>
      </w:pPr>
      <w:r w:rsidRPr="00C63657">
        <w:rPr>
          <w:rFonts w:ascii="Arial" w:hAnsi="Arial" w:cs="Arial"/>
          <w:sz w:val="28"/>
          <w:szCs w:val="28"/>
        </w:rPr>
        <w:br w:type="page"/>
      </w:r>
    </w:p>
    <w:p w14:paraId="57B75460" w14:textId="2F2CD851" w:rsidR="00090D8A" w:rsidRPr="00C63657" w:rsidRDefault="00090D8A" w:rsidP="00C63657">
      <w:pPr>
        <w:pStyle w:val="Heading1"/>
        <w:rPr>
          <w:rFonts w:ascii="Arial" w:hAnsi="Arial" w:cs="Arial"/>
          <w:szCs w:val="28"/>
        </w:rPr>
      </w:pPr>
      <w:bookmarkStart w:id="24" w:name="_Toc212225745"/>
      <w:r w:rsidRPr="00C63657">
        <w:rPr>
          <w:rFonts w:ascii="Arial" w:hAnsi="Arial" w:cs="Arial"/>
          <w:szCs w:val="28"/>
        </w:rPr>
        <w:lastRenderedPageBreak/>
        <w:t>References</w:t>
      </w:r>
      <w:bookmarkEnd w:id="24"/>
    </w:p>
    <w:p w14:paraId="53B31E30"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Ahamed, N.F.I. (2025) 'Revolutionizing Retail: How Artificial Intelligence is Transforming the Customer Experience,' Journal of Computer Science and Technology Studies, 7(2), pp. 357–367. </w:t>
      </w:r>
      <w:hyperlink r:id="rId8" w:history="1">
        <w:r w:rsidRPr="00C63657">
          <w:rPr>
            <w:rStyle w:val="Hyperlink"/>
            <w:rFonts w:ascii="Arial" w:hAnsi="Arial" w:cs="Arial"/>
            <w:sz w:val="28"/>
            <w:szCs w:val="28"/>
          </w:rPr>
          <w:t>https://doi.org/10.32996/jcsts.2025.7.2.37</w:t>
        </w:r>
      </w:hyperlink>
      <w:r w:rsidRPr="00C63657">
        <w:rPr>
          <w:rFonts w:ascii="Arial" w:hAnsi="Arial" w:cs="Arial"/>
          <w:sz w:val="28"/>
          <w:szCs w:val="28"/>
        </w:rPr>
        <w:t>.</w:t>
      </w:r>
    </w:p>
    <w:p w14:paraId="1999F3C0"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Bocken, N.M.P., Harsch, A. and Weissbrod, I. (2022) 'Circular business models for the fastmoving consumer goods industry: Desirability, feasibility, and viability,' Sustainable Production and Consumption, 30, pp. 799–814. </w:t>
      </w:r>
      <w:hyperlink r:id="rId9" w:history="1">
        <w:r w:rsidRPr="00C63657">
          <w:rPr>
            <w:rStyle w:val="Hyperlink"/>
            <w:rFonts w:ascii="Arial" w:hAnsi="Arial" w:cs="Arial"/>
            <w:sz w:val="28"/>
            <w:szCs w:val="28"/>
          </w:rPr>
          <w:t>https://doi.org/10.1016/j.spc.2022.01.012</w:t>
        </w:r>
      </w:hyperlink>
      <w:r w:rsidRPr="00C63657">
        <w:rPr>
          <w:rFonts w:ascii="Arial" w:hAnsi="Arial" w:cs="Arial"/>
          <w:sz w:val="28"/>
          <w:szCs w:val="28"/>
        </w:rPr>
        <w:t>.</w:t>
      </w:r>
    </w:p>
    <w:p w14:paraId="4228DE32"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Clark, N., Trimingham, R. and Wilson, G.T. (2020) 'Incorporating Consumer Insights into the UK Food Packaging Supply Chain in the Transition to a Circular Economy,' Sustainability, 12(15), p. 6106. </w:t>
      </w:r>
      <w:hyperlink r:id="rId10" w:history="1">
        <w:r w:rsidRPr="00C63657">
          <w:rPr>
            <w:rStyle w:val="Hyperlink"/>
            <w:rFonts w:ascii="Arial" w:hAnsi="Arial" w:cs="Arial"/>
            <w:sz w:val="28"/>
            <w:szCs w:val="28"/>
          </w:rPr>
          <w:t>https://doi.org/10.3390/su12156106</w:t>
        </w:r>
      </w:hyperlink>
      <w:r w:rsidRPr="00C63657">
        <w:rPr>
          <w:rFonts w:ascii="Arial" w:hAnsi="Arial" w:cs="Arial"/>
          <w:sz w:val="28"/>
          <w:szCs w:val="28"/>
        </w:rPr>
        <w:t>.</w:t>
      </w:r>
    </w:p>
    <w:p w14:paraId="34E10F03"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Debnath Munshi, J. and Podder, D. (2025). Leveraging Design Thinking for Optimised Retail Store Layouts: Addressing Marketing Challenges Through Consumer-Centric Solutions. International Journal of Engineering and Information Management, [online] 1(3), pp.21–33. </w:t>
      </w:r>
      <w:proofErr w:type="spellStart"/>
      <w:r w:rsidRPr="00C63657">
        <w:rPr>
          <w:rFonts w:ascii="Arial" w:hAnsi="Arial" w:cs="Arial"/>
          <w:sz w:val="28"/>
          <w:szCs w:val="28"/>
        </w:rPr>
        <w:t>doi</w:t>
      </w:r>
      <w:proofErr w:type="spellEnd"/>
      <w:r w:rsidRPr="00C63657">
        <w:rPr>
          <w:rFonts w:ascii="Arial" w:hAnsi="Arial" w:cs="Arial"/>
          <w:sz w:val="28"/>
          <w:szCs w:val="28"/>
        </w:rPr>
        <w:t xml:space="preserve">: </w:t>
      </w:r>
      <w:hyperlink r:id="rId11" w:history="1">
        <w:r w:rsidRPr="00C63657">
          <w:rPr>
            <w:rStyle w:val="Hyperlink"/>
            <w:rFonts w:ascii="Arial" w:hAnsi="Arial" w:cs="Arial"/>
            <w:sz w:val="28"/>
            <w:szCs w:val="28"/>
          </w:rPr>
          <w:t>https://doi.org/10.52756/ijeim.2025.v01.i03.002</w:t>
        </w:r>
      </w:hyperlink>
    </w:p>
    <w:p w14:paraId="3909C0AE"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Fainshtein, E. et al. (2023) 'Sustainable Social Systems: Innovative Service Implications in the Restaurant Business in the Post-COVID Era with Digital Transformation Strategies,' Sustainability, 15(19), p. 14539. </w:t>
      </w:r>
      <w:hyperlink r:id="rId12" w:history="1">
        <w:r w:rsidRPr="00C63657">
          <w:rPr>
            <w:rStyle w:val="Hyperlink"/>
            <w:rFonts w:ascii="Arial" w:hAnsi="Arial" w:cs="Arial"/>
            <w:sz w:val="28"/>
            <w:szCs w:val="28"/>
          </w:rPr>
          <w:t>https://doi.org/10.3390/su151914539</w:t>
        </w:r>
      </w:hyperlink>
      <w:r w:rsidRPr="00C63657">
        <w:rPr>
          <w:rFonts w:ascii="Arial" w:hAnsi="Arial" w:cs="Arial"/>
          <w:sz w:val="28"/>
          <w:szCs w:val="28"/>
        </w:rPr>
        <w:t>.</w:t>
      </w:r>
    </w:p>
    <w:p w14:paraId="46319DD7"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Fouad, R.S. and Mokhtar, R.R. (2025) 'The role of generational traits in shaping service practices and customer perceptions: a case study in QSRs,' Journal of Association of Arab Universities for Tourism and Hospitality, 28(1), pp. 124–140. </w:t>
      </w:r>
      <w:hyperlink r:id="rId13" w:history="1">
        <w:r w:rsidRPr="00C63657">
          <w:rPr>
            <w:rStyle w:val="Hyperlink"/>
            <w:rFonts w:ascii="Arial" w:hAnsi="Arial" w:cs="Arial"/>
            <w:sz w:val="28"/>
            <w:szCs w:val="28"/>
          </w:rPr>
          <w:t>https://doi.org/10.21608/jaauth.2025.360395.1666</w:t>
        </w:r>
      </w:hyperlink>
      <w:r w:rsidRPr="00C63657">
        <w:rPr>
          <w:rFonts w:ascii="Arial" w:hAnsi="Arial" w:cs="Arial"/>
          <w:sz w:val="28"/>
          <w:szCs w:val="28"/>
        </w:rPr>
        <w:t>.</w:t>
      </w:r>
    </w:p>
    <w:p w14:paraId="788117A5"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lastRenderedPageBreak/>
        <w:t xml:space="preserve">Gerea, C., Gonzalez-Lopez, F. and Herskovic, V. (2021) 'Omnichannel Customer Experience and Management: An Integrative review and research agenda,' Sustainability, 13(5), p. 2824. </w:t>
      </w:r>
      <w:hyperlink r:id="rId14" w:history="1">
        <w:r w:rsidRPr="00C63657">
          <w:rPr>
            <w:rStyle w:val="Hyperlink"/>
            <w:rFonts w:ascii="Arial" w:hAnsi="Arial" w:cs="Arial"/>
            <w:sz w:val="28"/>
            <w:szCs w:val="28"/>
          </w:rPr>
          <w:t>https://doi.org/10.3390/su13052824</w:t>
        </w:r>
      </w:hyperlink>
      <w:r w:rsidRPr="00C63657">
        <w:rPr>
          <w:rFonts w:ascii="Arial" w:hAnsi="Arial" w:cs="Arial"/>
          <w:sz w:val="28"/>
          <w:szCs w:val="28"/>
        </w:rPr>
        <w:t>.</w:t>
      </w:r>
    </w:p>
    <w:p w14:paraId="0B750D48"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Gouveia, F.D. and Mamede, H.S. (2022) 'Digital transformation for SMES in the retail industry,' Procedia Computer Science, 204, pp. 671–681. </w:t>
      </w:r>
      <w:hyperlink r:id="rId15" w:history="1">
        <w:r w:rsidRPr="00C63657">
          <w:rPr>
            <w:rStyle w:val="Hyperlink"/>
            <w:rFonts w:ascii="Arial" w:hAnsi="Arial" w:cs="Arial"/>
            <w:sz w:val="28"/>
            <w:szCs w:val="28"/>
          </w:rPr>
          <w:t>https://doi.org/10.1016/j.procs.2022.08.081</w:t>
        </w:r>
      </w:hyperlink>
      <w:r w:rsidRPr="00C63657">
        <w:rPr>
          <w:rFonts w:ascii="Arial" w:hAnsi="Arial" w:cs="Arial"/>
          <w:sz w:val="28"/>
          <w:szCs w:val="28"/>
        </w:rPr>
        <w:t>.</w:t>
      </w:r>
    </w:p>
    <w:p w14:paraId="248B2BD8"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Hickman, E., Kharouf, H. and Sekhon, H. (2019) 'An omnichannel approach to retailing: demystifying and identifying the factors influencing an omnichannel experience,' The International Review of Retail Distribution and Consumer Research, 30(3), pp. 266–288. </w:t>
      </w:r>
      <w:hyperlink r:id="rId16" w:history="1">
        <w:r w:rsidRPr="00C63657">
          <w:rPr>
            <w:rStyle w:val="Hyperlink"/>
            <w:rFonts w:ascii="Arial" w:hAnsi="Arial" w:cs="Arial"/>
            <w:sz w:val="28"/>
            <w:szCs w:val="28"/>
          </w:rPr>
          <w:t>https://doi.org/10.1080/09593969.2019.1694562</w:t>
        </w:r>
      </w:hyperlink>
      <w:r w:rsidRPr="00C63657">
        <w:rPr>
          <w:rFonts w:ascii="Arial" w:hAnsi="Arial" w:cs="Arial"/>
          <w:sz w:val="28"/>
          <w:szCs w:val="28"/>
        </w:rPr>
        <w:t>.</w:t>
      </w:r>
    </w:p>
    <w:p w14:paraId="0A1DC926"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Jin, D. (2021) Positioning Customer Service through Customer Journey Mapping in Service Consumption and Recovery - ProQuest. </w:t>
      </w:r>
      <w:hyperlink r:id="rId17" w:history="1">
        <w:r w:rsidRPr="00C63657">
          <w:rPr>
            <w:rStyle w:val="Hyperlink"/>
            <w:rFonts w:ascii="Arial" w:hAnsi="Arial" w:cs="Arial"/>
            <w:sz w:val="28"/>
            <w:szCs w:val="28"/>
          </w:rPr>
          <w:t>https://www.proquest.com/openview/fb5218d1c9e307e46073e0511d53d1d9/1?pq-origsite=gscholar&amp;cbl=18750&amp;diss=y</w:t>
        </w:r>
      </w:hyperlink>
      <w:r w:rsidRPr="00C63657">
        <w:rPr>
          <w:rFonts w:ascii="Arial" w:hAnsi="Arial" w:cs="Arial"/>
          <w:sz w:val="28"/>
          <w:szCs w:val="28"/>
        </w:rPr>
        <w:t>.</w:t>
      </w:r>
    </w:p>
    <w:p w14:paraId="33BA7BD1"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Kalisetty, S. (2025) 'Revolutionizing Retail operations: Srinivas’s AI-Driven approach to demand forecasting and seamless supply chain management,' SSRN Electronic Journal [Preprint]. </w:t>
      </w:r>
      <w:hyperlink r:id="rId18" w:history="1">
        <w:r w:rsidRPr="00C63657">
          <w:rPr>
            <w:rStyle w:val="Hyperlink"/>
            <w:rFonts w:ascii="Arial" w:hAnsi="Arial" w:cs="Arial"/>
            <w:sz w:val="28"/>
            <w:szCs w:val="28"/>
          </w:rPr>
          <w:t>https://doi.org/10.2139/ssrn.5203708</w:t>
        </w:r>
      </w:hyperlink>
      <w:r w:rsidRPr="00C63657">
        <w:rPr>
          <w:rFonts w:ascii="Arial" w:hAnsi="Arial" w:cs="Arial"/>
          <w:sz w:val="28"/>
          <w:szCs w:val="28"/>
        </w:rPr>
        <w:t>.</w:t>
      </w:r>
    </w:p>
    <w:p w14:paraId="142CBF92"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Khan, M., Alroomi, A. and Nikolopoulos, K. (2022) 'Supply Chain Disruptions and Consumer Behavior Change from COVID-19: Empirical Evidence and Long-Term Implications for Supermarkets in the UK,' Journal of Humanities Arts and Social Science, 6(1), pp. 28–42. </w:t>
      </w:r>
      <w:hyperlink r:id="rId19" w:history="1">
        <w:r w:rsidRPr="00C63657">
          <w:rPr>
            <w:rStyle w:val="Hyperlink"/>
            <w:rFonts w:ascii="Arial" w:hAnsi="Arial" w:cs="Arial"/>
            <w:sz w:val="28"/>
            <w:szCs w:val="28"/>
          </w:rPr>
          <w:t>https://doi.org/10.26855/jhass.2022.01.003</w:t>
        </w:r>
      </w:hyperlink>
      <w:r w:rsidRPr="00C63657">
        <w:rPr>
          <w:rFonts w:ascii="Arial" w:hAnsi="Arial" w:cs="Arial"/>
          <w:sz w:val="28"/>
          <w:szCs w:val="28"/>
        </w:rPr>
        <w:t>.</w:t>
      </w:r>
    </w:p>
    <w:p w14:paraId="13BDF1D3"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lastRenderedPageBreak/>
        <w:t xml:space="preserve">Khan, M.H. et al. (2025) 'CONSUMER CHALLENGES IN OMNI-CHANNEL FOOD ORDERING: a STUDY OF QUICK SERVICE RESTAURANTS IN INDIA,' Institute for Local Self-Government and Public Procurement [Preprint]. </w:t>
      </w:r>
      <w:hyperlink r:id="rId20" w:history="1">
        <w:r w:rsidRPr="00C63657">
          <w:rPr>
            <w:rStyle w:val="Hyperlink"/>
            <w:rFonts w:ascii="Arial" w:hAnsi="Arial" w:cs="Arial"/>
            <w:sz w:val="28"/>
            <w:szCs w:val="28"/>
          </w:rPr>
          <w:t>https://doi.org/10.52152/801187</w:t>
        </w:r>
      </w:hyperlink>
      <w:r w:rsidRPr="00C63657">
        <w:rPr>
          <w:rFonts w:ascii="Arial" w:hAnsi="Arial" w:cs="Arial"/>
          <w:sz w:val="28"/>
          <w:szCs w:val="28"/>
        </w:rPr>
        <w:t>.</w:t>
      </w:r>
    </w:p>
    <w:p w14:paraId="78F2DE73"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Lashgari, Y.S. and Shahab, S. (2022) 'The impact of the COVID-19 pandemic on retail in city centres,' Sustainability, 14(18), p. 11463. </w:t>
      </w:r>
      <w:hyperlink r:id="rId21" w:history="1">
        <w:r w:rsidRPr="00C63657">
          <w:rPr>
            <w:rStyle w:val="Hyperlink"/>
            <w:rFonts w:ascii="Arial" w:hAnsi="Arial" w:cs="Arial"/>
            <w:sz w:val="28"/>
            <w:szCs w:val="28"/>
          </w:rPr>
          <w:t>https://doi.org/10.3390/su141811463</w:t>
        </w:r>
      </w:hyperlink>
      <w:r w:rsidRPr="00C63657">
        <w:rPr>
          <w:rFonts w:ascii="Arial" w:hAnsi="Arial" w:cs="Arial"/>
          <w:sz w:val="28"/>
          <w:szCs w:val="28"/>
        </w:rPr>
        <w:t>.</w:t>
      </w:r>
    </w:p>
    <w:p w14:paraId="184CE7D4"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Mandala, V. (2025). Optimizing Retail Demand Forecasting: Big Data-Driven AI Models for Enhanced Customer Experience and Operational Efficiency. [online] </w:t>
      </w:r>
      <w:proofErr w:type="spellStart"/>
      <w:r w:rsidRPr="00C63657">
        <w:rPr>
          <w:rFonts w:ascii="Arial" w:hAnsi="Arial" w:cs="Arial"/>
          <w:sz w:val="28"/>
          <w:szCs w:val="28"/>
        </w:rPr>
        <w:t>doi</w:t>
      </w:r>
      <w:proofErr w:type="spellEnd"/>
      <w:r w:rsidRPr="00C63657">
        <w:rPr>
          <w:rFonts w:ascii="Arial" w:hAnsi="Arial" w:cs="Arial"/>
          <w:sz w:val="28"/>
          <w:szCs w:val="28"/>
        </w:rPr>
        <w:t xml:space="preserve">: </w:t>
      </w:r>
      <w:hyperlink r:id="rId22" w:history="1">
        <w:r w:rsidRPr="00C63657">
          <w:rPr>
            <w:rStyle w:val="Hyperlink"/>
            <w:rFonts w:ascii="Arial" w:hAnsi="Arial" w:cs="Arial"/>
            <w:sz w:val="28"/>
            <w:szCs w:val="28"/>
          </w:rPr>
          <w:t>https://doi.org/10.70179/0z418572</w:t>
        </w:r>
      </w:hyperlink>
      <w:r w:rsidRPr="00C63657">
        <w:rPr>
          <w:rFonts w:ascii="Arial" w:hAnsi="Arial" w:cs="Arial"/>
          <w:sz w:val="28"/>
          <w:szCs w:val="28"/>
        </w:rPr>
        <w:t>.</w:t>
      </w:r>
    </w:p>
    <w:p w14:paraId="596661D7"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Paredes, K.M.B., Ritzén, S. and Roese, M.O. (2023) 'Exploring the use of innovation measurement in retail organisations: a multiple case study,' The International Review of Retail Distribution and Consumer Research, 34(3), pp. 361–380. </w:t>
      </w:r>
      <w:hyperlink r:id="rId23" w:history="1">
        <w:r w:rsidRPr="00C63657">
          <w:rPr>
            <w:rStyle w:val="Hyperlink"/>
            <w:rFonts w:ascii="Arial" w:hAnsi="Arial" w:cs="Arial"/>
            <w:sz w:val="28"/>
            <w:szCs w:val="28"/>
          </w:rPr>
          <w:t>https://doi.org/10.1080/09593969.2023.2264542</w:t>
        </w:r>
      </w:hyperlink>
      <w:r w:rsidRPr="00C63657">
        <w:rPr>
          <w:rFonts w:ascii="Arial" w:hAnsi="Arial" w:cs="Arial"/>
          <w:sz w:val="28"/>
          <w:szCs w:val="28"/>
        </w:rPr>
        <w:t>.</w:t>
      </w:r>
    </w:p>
    <w:p w14:paraId="47C46D4A"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Patil, D. (2025). Artificial Intelligence </w:t>
      </w:r>
      <w:proofErr w:type="gramStart"/>
      <w:r w:rsidRPr="00C63657">
        <w:rPr>
          <w:rFonts w:ascii="Arial" w:hAnsi="Arial" w:cs="Arial"/>
          <w:sz w:val="28"/>
          <w:szCs w:val="28"/>
        </w:rPr>
        <w:t>In</w:t>
      </w:r>
      <w:proofErr w:type="gramEnd"/>
      <w:r w:rsidRPr="00C63657">
        <w:rPr>
          <w:rFonts w:ascii="Arial" w:hAnsi="Arial" w:cs="Arial"/>
          <w:sz w:val="28"/>
          <w:szCs w:val="28"/>
        </w:rPr>
        <w:t xml:space="preserve"> Retail </w:t>
      </w:r>
      <w:proofErr w:type="gramStart"/>
      <w:r w:rsidRPr="00C63657">
        <w:rPr>
          <w:rFonts w:ascii="Arial" w:hAnsi="Arial" w:cs="Arial"/>
          <w:sz w:val="28"/>
          <w:szCs w:val="28"/>
        </w:rPr>
        <w:t>And</w:t>
      </w:r>
      <w:proofErr w:type="gramEnd"/>
      <w:r w:rsidRPr="00C63657">
        <w:rPr>
          <w:rFonts w:ascii="Arial" w:hAnsi="Arial" w:cs="Arial"/>
          <w:sz w:val="28"/>
          <w:szCs w:val="28"/>
        </w:rPr>
        <w:t xml:space="preserve"> E-Commerce: Enhancing Customer Experience Through Personalization, Predictive Analytics, And Real-Time Engagement. [online] </w:t>
      </w:r>
      <w:proofErr w:type="spellStart"/>
      <w:r w:rsidRPr="00C63657">
        <w:rPr>
          <w:rFonts w:ascii="Arial" w:hAnsi="Arial" w:cs="Arial"/>
          <w:sz w:val="28"/>
          <w:szCs w:val="28"/>
        </w:rPr>
        <w:t>doi</w:t>
      </w:r>
      <w:proofErr w:type="spellEnd"/>
      <w:r w:rsidRPr="00C63657">
        <w:rPr>
          <w:rFonts w:ascii="Arial" w:hAnsi="Arial" w:cs="Arial"/>
          <w:sz w:val="28"/>
          <w:szCs w:val="28"/>
        </w:rPr>
        <w:t xml:space="preserve">: </w:t>
      </w:r>
      <w:hyperlink r:id="rId24" w:history="1">
        <w:r w:rsidRPr="00C63657">
          <w:rPr>
            <w:rStyle w:val="Hyperlink"/>
            <w:rFonts w:ascii="Arial" w:hAnsi="Arial" w:cs="Arial"/>
            <w:sz w:val="28"/>
            <w:szCs w:val="28"/>
          </w:rPr>
          <w:t>https://doi.org/10.2139/ssrn.5057420</w:t>
        </w:r>
      </w:hyperlink>
      <w:r w:rsidRPr="00C63657">
        <w:rPr>
          <w:rFonts w:ascii="Arial" w:hAnsi="Arial" w:cs="Arial"/>
          <w:sz w:val="28"/>
          <w:szCs w:val="28"/>
        </w:rPr>
        <w:t>.</w:t>
      </w:r>
    </w:p>
    <w:p w14:paraId="55A19735"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Serrasqueiro, D.S.C.B.J. (2020) How to influence the customer journey: The role of information on mobile food ordering Applications - ProQuest. </w:t>
      </w:r>
      <w:hyperlink r:id="rId25" w:history="1">
        <w:r w:rsidRPr="00C63657">
          <w:rPr>
            <w:rStyle w:val="Hyperlink"/>
            <w:rFonts w:ascii="Arial" w:hAnsi="Arial" w:cs="Arial"/>
            <w:sz w:val="28"/>
            <w:szCs w:val="28"/>
          </w:rPr>
          <w:t>https://www.proquest.com/openview/32a6b24b98be8fa1b3a6695bc2c5e09f/1?pq-origsite=gscholar&amp;cbl=2026366&amp;diss=y</w:t>
        </w:r>
      </w:hyperlink>
      <w:r w:rsidRPr="00C63657">
        <w:rPr>
          <w:rFonts w:ascii="Arial" w:hAnsi="Arial" w:cs="Arial"/>
          <w:sz w:val="28"/>
          <w:szCs w:val="28"/>
        </w:rPr>
        <w:t>.</w:t>
      </w:r>
    </w:p>
    <w:p w14:paraId="3332B89A"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lastRenderedPageBreak/>
        <w:t xml:space="preserve">Sirinanda, M.D. and Balota, J.E. (2024). Practical Digital Transformation Framework for Small and Medium-Sized Enterprises in the UK. 2024 IEEE International Conference on e-Business Engineering (ICEBE), [online] pp.168–174. </w:t>
      </w:r>
      <w:proofErr w:type="spellStart"/>
      <w:r w:rsidRPr="00C63657">
        <w:rPr>
          <w:rFonts w:ascii="Arial" w:hAnsi="Arial" w:cs="Arial"/>
          <w:sz w:val="28"/>
          <w:szCs w:val="28"/>
        </w:rPr>
        <w:t>doi</w:t>
      </w:r>
      <w:proofErr w:type="spellEnd"/>
      <w:r w:rsidRPr="00C63657">
        <w:rPr>
          <w:rFonts w:ascii="Arial" w:hAnsi="Arial" w:cs="Arial"/>
          <w:sz w:val="28"/>
          <w:szCs w:val="28"/>
        </w:rPr>
        <w:t xml:space="preserve">: </w:t>
      </w:r>
      <w:hyperlink r:id="rId26" w:history="1">
        <w:r w:rsidRPr="00C63657">
          <w:rPr>
            <w:rStyle w:val="Hyperlink"/>
            <w:rFonts w:ascii="Arial" w:hAnsi="Arial" w:cs="Arial"/>
            <w:sz w:val="28"/>
            <w:szCs w:val="28"/>
          </w:rPr>
          <w:t>https://doi.org/10.1109/icebe62490.2024.00034</w:t>
        </w:r>
      </w:hyperlink>
      <w:r w:rsidRPr="00C63657">
        <w:rPr>
          <w:rFonts w:ascii="Arial" w:hAnsi="Arial" w:cs="Arial"/>
          <w:sz w:val="28"/>
          <w:szCs w:val="28"/>
        </w:rPr>
        <w:t>.</w:t>
      </w:r>
    </w:p>
    <w:p w14:paraId="3BE0B873"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Vitsentzatou, E., Tsoulfas, G.T. and Mihiotis, A.N. (2022) 'The digital transformation of the marketing mix in the food and beverage service supply chain: A Grey DEMATEL approach,' Sustainability, 14(22), p. 15228. </w:t>
      </w:r>
      <w:hyperlink r:id="rId27" w:history="1">
        <w:r w:rsidRPr="00C63657">
          <w:rPr>
            <w:rStyle w:val="Hyperlink"/>
            <w:rFonts w:ascii="Arial" w:hAnsi="Arial" w:cs="Arial"/>
            <w:sz w:val="28"/>
            <w:szCs w:val="28"/>
          </w:rPr>
          <w:t>https://doi.org/10.3390/su142215228</w:t>
        </w:r>
      </w:hyperlink>
      <w:r w:rsidRPr="00C63657">
        <w:rPr>
          <w:rFonts w:ascii="Arial" w:hAnsi="Arial" w:cs="Arial"/>
          <w:sz w:val="28"/>
          <w:szCs w:val="28"/>
        </w:rPr>
        <w:t>.</w:t>
      </w:r>
    </w:p>
    <w:p w14:paraId="3710D8B6"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Woy, P., Wilson, G. and Cockbill, S. (2023) Identifying opportunities to increase food-to-go packaging lifetimes based on the current conceptualisation of food-to-go. </w:t>
      </w:r>
      <w:hyperlink r:id="rId28" w:history="1">
        <w:r w:rsidRPr="00C63657">
          <w:rPr>
            <w:rStyle w:val="Hyperlink"/>
            <w:rFonts w:ascii="Arial" w:hAnsi="Arial" w:cs="Arial"/>
            <w:sz w:val="28"/>
            <w:szCs w:val="28"/>
          </w:rPr>
          <w:t>https://repository.lboro.ac.uk/articles/conference_contribution/Identifying_opportunities_to_increase_food-to-go_packaging_lifetimes_based_on_the_current_conceptualisation_of_food-to-go/24119265</w:t>
        </w:r>
      </w:hyperlink>
      <w:r w:rsidRPr="00C63657">
        <w:rPr>
          <w:rFonts w:ascii="Arial" w:hAnsi="Arial" w:cs="Arial"/>
          <w:sz w:val="28"/>
          <w:szCs w:val="28"/>
        </w:rPr>
        <w:t>.</w:t>
      </w:r>
    </w:p>
    <w:p w14:paraId="1C569C28"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Yang, S., Kim, Y. and Choi, S. (2022) 'How to respond to disruptive innovation in online retail platforms,' Journal of Open Innovation Technology Market and Complexity, 8(3), p. 130. </w:t>
      </w:r>
      <w:hyperlink r:id="rId29" w:history="1">
        <w:r w:rsidRPr="00C63657">
          <w:rPr>
            <w:rStyle w:val="Hyperlink"/>
            <w:rFonts w:ascii="Arial" w:hAnsi="Arial" w:cs="Arial"/>
            <w:sz w:val="28"/>
            <w:szCs w:val="28"/>
          </w:rPr>
          <w:t>https://doi.org/10.3390/joitmc8030130</w:t>
        </w:r>
      </w:hyperlink>
      <w:r w:rsidRPr="00C63657">
        <w:rPr>
          <w:rFonts w:ascii="Arial" w:hAnsi="Arial" w:cs="Arial"/>
          <w:sz w:val="28"/>
          <w:szCs w:val="28"/>
        </w:rPr>
        <w:t>.</w:t>
      </w:r>
    </w:p>
    <w:p w14:paraId="41B15C6F" w14:textId="77777777" w:rsidR="00E7020C" w:rsidRPr="00C63657" w:rsidRDefault="00E7020C" w:rsidP="00C63657">
      <w:pPr>
        <w:ind w:left="720" w:hanging="720"/>
        <w:rPr>
          <w:rFonts w:ascii="Arial" w:hAnsi="Arial" w:cs="Arial"/>
          <w:sz w:val="28"/>
          <w:szCs w:val="28"/>
        </w:rPr>
      </w:pPr>
      <w:r w:rsidRPr="00C63657">
        <w:rPr>
          <w:rFonts w:ascii="Arial" w:hAnsi="Arial" w:cs="Arial"/>
          <w:sz w:val="28"/>
          <w:szCs w:val="28"/>
        </w:rPr>
        <w:t xml:space="preserve">Yeoman, I. and McMahon-Beattie, U. (2024) Signals of change: eating trends shaping the future of food service. </w:t>
      </w:r>
      <w:hyperlink r:id="rId30" w:history="1">
        <w:r w:rsidRPr="00C63657">
          <w:rPr>
            <w:rStyle w:val="Hyperlink"/>
            <w:rFonts w:ascii="Arial" w:hAnsi="Arial" w:cs="Arial"/>
            <w:sz w:val="28"/>
            <w:szCs w:val="28"/>
          </w:rPr>
          <w:t>https://www.ajol.info/index.php/rhm/article/view/284761</w:t>
        </w:r>
      </w:hyperlink>
      <w:r w:rsidRPr="00C63657">
        <w:rPr>
          <w:rFonts w:ascii="Arial" w:hAnsi="Arial" w:cs="Arial"/>
          <w:sz w:val="28"/>
          <w:szCs w:val="28"/>
        </w:rPr>
        <w:t>.</w:t>
      </w:r>
    </w:p>
    <w:p w14:paraId="6B3D11F4" w14:textId="66431053" w:rsidR="00090D8A" w:rsidRPr="00090D8A" w:rsidRDefault="00090D8A" w:rsidP="00090D8A"/>
    <w:p w14:paraId="3756D246" w14:textId="18CD9B47" w:rsidR="00AD151B" w:rsidRDefault="00AD151B">
      <w:pPr>
        <w:spacing w:after="160" w:line="259" w:lineRule="auto"/>
        <w:jc w:val="left"/>
      </w:pPr>
      <w:r>
        <w:br w:type="page"/>
      </w:r>
    </w:p>
    <w:p w14:paraId="1D4888AB" w14:textId="77777777" w:rsidR="00AD151B" w:rsidRDefault="00AD151B" w:rsidP="00AD151B">
      <w:pPr>
        <w:pStyle w:val="Heading1"/>
      </w:pPr>
      <w:bookmarkStart w:id="25" w:name="_Toc212225746"/>
      <w:r>
        <w:lastRenderedPageBreak/>
        <w:t>Appendix</w:t>
      </w:r>
      <w:bookmarkEnd w:id="25"/>
    </w:p>
    <w:p w14:paraId="28E9A2A2" w14:textId="66E7C5E3" w:rsidR="00AD151B" w:rsidRDefault="00E7020C" w:rsidP="00AD151B">
      <w:pPr>
        <w:pStyle w:val="Heading2"/>
      </w:pPr>
      <w:bookmarkStart w:id="26" w:name="_Toc212225747"/>
      <w:r>
        <w:t>Greggs Plc</w:t>
      </w:r>
      <w:r w:rsidR="00AD151B">
        <w:t xml:space="preserve"> Documents</w:t>
      </w:r>
      <w:bookmarkEnd w:id="26"/>
    </w:p>
    <w:p w14:paraId="32B740C7" w14:textId="6B68A75E" w:rsidR="00AD151B" w:rsidRPr="00AD151B" w:rsidRDefault="00AD151B" w:rsidP="00AD151B">
      <w:r w:rsidRPr="00AD151B">
        <w:t xml:space="preserve">(Greggs Annual Report and Accounts, 2024) </w:t>
      </w:r>
    </w:p>
    <w:p w14:paraId="3B3CF161" w14:textId="77777777" w:rsidR="00AD151B" w:rsidRPr="00AD151B" w:rsidRDefault="00AD151B" w:rsidP="00AD151B">
      <w:r w:rsidRPr="00AD151B">
        <w:t xml:space="preserve">(Investor Event Supply Plans, 2024) </w:t>
      </w:r>
    </w:p>
    <w:p w14:paraId="2C04DCF9" w14:textId="77777777" w:rsidR="00AD151B" w:rsidRPr="00AD151B" w:rsidRDefault="00AD151B" w:rsidP="00AD151B">
      <w:r w:rsidRPr="00AD151B">
        <w:t xml:space="preserve">(Greggs Interim Results Presentation, 2023) </w:t>
      </w:r>
    </w:p>
    <w:p w14:paraId="519E01EA" w14:textId="77777777" w:rsidR="00AD151B" w:rsidRPr="00AD151B" w:rsidRDefault="00AD151B" w:rsidP="00AD151B">
      <w:r w:rsidRPr="00AD151B">
        <w:t xml:space="preserve">(Greggs Interim Results Presentation, 2025) </w:t>
      </w:r>
    </w:p>
    <w:p w14:paraId="35BC5675" w14:textId="77777777" w:rsidR="00AD151B" w:rsidRPr="00AD151B" w:rsidRDefault="00AD151B" w:rsidP="00AD151B">
      <w:r w:rsidRPr="00AD151B">
        <w:t xml:space="preserve">(Greggs First Half Trading Update, 2025) </w:t>
      </w:r>
    </w:p>
    <w:p w14:paraId="3E9F1E58" w14:textId="369035B9" w:rsidR="00513C22" w:rsidRDefault="00E7020C" w:rsidP="00513C22">
      <w:r>
        <w:t>Note: All attached in email.</w:t>
      </w:r>
    </w:p>
    <w:sectPr w:rsidR="00513C22" w:rsidSect="00603E8B">
      <w:headerReference w:type="default" r:id="rId3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14F14" w14:textId="77777777" w:rsidR="00984177" w:rsidRDefault="00984177" w:rsidP="00603E8B">
      <w:pPr>
        <w:spacing w:after="0" w:line="240" w:lineRule="auto"/>
      </w:pPr>
      <w:r>
        <w:separator/>
      </w:r>
    </w:p>
  </w:endnote>
  <w:endnote w:type="continuationSeparator" w:id="0">
    <w:p w14:paraId="26FFC90F" w14:textId="77777777" w:rsidR="00984177" w:rsidRDefault="00984177" w:rsidP="00603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CC90B" w14:textId="77777777" w:rsidR="00984177" w:rsidRDefault="00984177" w:rsidP="00603E8B">
      <w:pPr>
        <w:spacing w:after="0" w:line="240" w:lineRule="auto"/>
      </w:pPr>
      <w:r>
        <w:separator/>
      </w:r>
    </w:p>
  </w:footnote>
  <w:footnote w:type="continuationSeparator" w:id="0">
    <w:p w14:paraId="40518ED3" w14:textId="77777777" w:rsidR="00984177" w:rsidRDefault="00984177" w:rsidP="00603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541205"/>
      <w:docPartObj>
        <w:docPartGallery w:val="Page Numbers (Top of Page)"/>
        <w:docPartUnique/>
      </w:docPartObj>
    </w:sdtPr>
    <w:sdtEndPr>
      <w:rPr>
        <w:noProof/>
      </w:rPr>
    </w:sdtEndPr>
    <w:sdtContent>
      <w:p w14:paraId="6C176411" w14:textId="7CE7B13F" w:rsidR="00603E8B" w:rsidRDefault="00603E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20E3DC" w14:textId="77777777" w:rsidR="00603E8B" w:rsidRDefault="00603E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52434C"/>
    <w:multiLevelType w:val="hybridMultilevel"/>
    <w:tmpl w:val="EA488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15148"/>
    <w:multiLevelType w:val="multilevel"/>
    <w:tmpl w:val="D5B66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E0118E"/>
    <w:multiLevelType w:val="hybridMultilevel"/>
    <w:tmpl w:val="4FFCE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2358078">
    <w:abstractNumId w:val="1"/>
  </w:num>
  <w:num w:numId="2" w16cid:durableId="1538080006">
    <w:abstractNumId w:val="0"/>
  </w:num>
  <w:num w:numId="3" w16cid:durableId="920943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E2F"/>
    <w:rsid w:val="0001576A"/>
    <w:rsid w:val="00030AA1"/>
    <w:rsid w:val="00080448"/>
    <w:rsid w:val="00090D8A"/>
    <w:rsid w:val="000A7363"/>
    <w:rsid w:val="000B7E0D"/>
    <w:rsid w:val="000C4EC7"/>
    <w:rsid w:val="000D7648"/>
    <w:rsid w:val="00137835"/>
    <w:rsid w:val="00152309"/>
    <w:rsid w:val="001A02F1"/>
    <w:rsid w:val="001A0E4F"/>
    <w:rsid w:val="001C4E77"/>
    <w:rsid w:val="001D1045"/>
    <w:rsid w:val="001D7FA4"/>
    <w:rsid w:val="001F4DDA"/>
    <w:rsid w:val="002356A0"/>
    <w:rsid w:val="00235744"/>
    <w:rsid w:val="002560F1"/>
    <w:rsid w:val="002D30F3"/>
    <w:rsid w:val="002D49DD"/>
    <w:rsid w:val="002F04D4"/>
    <w:rsid w:val="00302B5F"/>
    <w:rsid w:val="00311FD5"/>
    <w:rsid w:val="003449CB"/>
    <w:rsid w:val="00370C26"/>
    <w:rsid w:val="00394CCC"/>
    <w:rsid w:val="003A17AB"/>
    <w:rsid w:val="003D3441"/>
    <w:rsid w:val="003E1BE8"/>
    <w:rsid w:val="003E31B6"/>
    <w:rsid w:val="004350DC"/>
    <w:rsid w:val="004944B1"/>
    <w:rsid w:val="00513C22"/>
    <w:rsid w:val="00524201"/>
    <w:rsid w:val="005417CA"/>
    <w:rsid w:val="0056536C"/>
    <w:rsid w:val="005C486B"/>
    <w:rsid w:val="005E5D11"/>
    <w:rsid w:val="00603E8B"/>
    <w:rsid w:val="00622999"/>
    <w:rsid w:val="006373DB"/>
    <w:rsid w:val="00654C99"/>
    <w:rsid w:val="00660738"/>
    <w:rsid w:val="00683BF7"/>
    <w:rsid w:val="006D5129"/>
    <w:rsid w:val="006E45B5"/>
    <w:rsid w:val="0070247B"/>
    <w:rsid w:val="007052A9"/>
    <w:rsid w:val="00712273"/>
    <w:rsid w:val="00726241"/>
    <w:rsid w:val="0074236A"/>
    <w:rsid w:val="00746014"/>
    <w:rsid w:val="00784A8E"/>
    <w:rsid w:val="007A7C4D"/>
    <w:rsid w:val="00815543"/>
    <w:rsid w:val="008258C3"/>
    <w:rsid w:val="0087493E"/>
    <w:rsid w:val="008C5FC5"/>
    <w:rsid w:val="008C73CE"/>
    <w:rsid w:val="008E0743"/>
    <w:rsid w:val="008E7890"/>
    <w:rsid w:val="00934822"/>
    <w:rsid w:val="00944618"/>
    <w:rsid w:val="00951F0D"/>
    <w:rsid w:val="00984177"/>
    <w:rsid w:val="009A62E5"/>
    <w:rsid w:val="009C00F3"/>
    <w:rsid w:val="009C30C7"/>
    <w:rsid w:val="009D451E"/>
    <w:rsid w:val="009E4399"/>
    <w:rsid w:val="00A4562A"/>
    <w:rsid w:val="00AA1DFC"/>
    <w:rsid w:val="00AC5361"/>
    <w:rsid w:val="00AD151B"/>
    <w:rsid w:val="00B67A9F"/>
    <w:rsid w:val="00B74746"/>
    <w:rsid w:val="00B856F5"/>
    <w:rsid w:val="00BA14D6"/>
    <w:rsid w:val="00C25147"/>
    <w:rsid w:val="00C35E2F"/>
    <w:rsid w:val="00C63657"/>
    <w:rsid w:val="00C74D33"/>
    <w:rsid w:val="00CA4CBC"/>
    <w:rsid w:val="00CB2D63"/>
    <w:rsid w:val="00CC4B4D"/>
    <w:rsid w:val="00D05681"/>
    <w:rsid w:val="00D71F8F"/>
    <w:rsid w:val="00DA4604"/>
    <w:rsid w:val="00DE7A9A"/>
    <w:rsid w:val="00E113EB"/>
    <w:rsid w:val="00E13951"/>
    <w:rsid w:val="00E57EE8"/>
    <w:rsid w:val="00E66777"/>
    <w:rsid w:val="00E7020C"/>
    <w:rsid w:val="00EB6F2F"/>
    <w:rsid w:val="00EC2EAD"/>
    <w:rsid w:val="00EC507B"/>
    <w:rsid w:val="00F05848"/>
    <w:rsid w:val="00F073C2"/>
    <w:rsid w:val="00F17F49"/>
    <w:rsid w:val="00F43A04"/>
    <w:rsid w:val="00F55398"/>
    <w:rsid w:val="00F621ED"/>
    <w:rsid w:val="00F70F2A"/>
    <w:rsid w:val="00FF1A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6B6446"/>
  <w15:chartTrackingRefBased/>
  <w15:docId w15:val="{173D9B4A-E93A-48EE-9CF7-6C43061E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F2F"/>
    <w:pPr>
      <w:spacing w:after="20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70247B"/>
    <w:pPr>
      <w:keepNext/>
      <w:keepLines/>
      <w:spacing w:before="240" w:after="0"/>
      <w:outlineLvl w:val="0"/>
    </w:pPr>
    <w:rPr>
      <w:rFonts w:eastAsiaTheme="majorEastAsia" w:cstheme="majorBidi"/>
      <w:b/>
      <w:sz w:val="28"/>
      <w:szCs w:val="32"/>
      <w14:ligatures w14:val="standardContextual"/>
    </w:rPr>
  </w:style>
  <w:style w:type="paragraph" w:styleId="Heading2">
    <w:name w:val="heading 2"/>
    <w:basedOn w:val="Normal"/>
    <w:next w:val="Normal"/>
    <w:link w:val="Heading2Char"/>
    <w:uiPriority w:val="9"/>
    <w:unhideWhenUsed/>
    <w:qFormat/>
    <w:rsid w:val="0070247B"/>
    <w:pPr>
      <w:keepNext/>
      <w:keepLines/>
      <w:spacing w:before="40" w:after="0"/>
      <w:outlineLvl w:val="1"/>
    </w:pPr>
    <w:rPr>
      <w:rFonts w:eastAsiaTheme="majorEastAsia" w:cstheme="majorBidi"/>
      <w:b/>
      <w:szCs w:val="26"/>
      <w14:ligatures w14:val="standardContextual"/>
    </w:rPr>
  </w:style>
  <w:style w:type="paragraph" w:styleId="Heading3">
    <w:name w:val="heading 3"/>
    <w:basedOn w:val="Normal"/>
    <w:next w:val="Normal"/>
    <w:link w:val="Heading3Char"/>
    <w:uiPriority w:val="9"/>
    <w:unhideWhenUsed/>
    <w:qFormat/>
    <w:rsid w:val="003449CB"/>
    <w:pPr>
      <w:keepNext/>
      <w:keepLines/>
      <w:spacing w:before="40" w:after="0"/>
      <w:outlineLvl w:val="2"/>
    </w:pPr>
    <w:rPr>
      <w:rFonts w:eastAsiaTheme="majorEastAsia" w:cstheme="majorBidi"/>
      <w:b/>
      <w:szCs w:val="24"/>
      <w14:ligatures w14:val="standardContextual"/>
    </w:rPr>
  </w:style>
  <w:style w:type="paragraph" w:styleId="Heading4">
    <w:name w:val="heading 4"/>
    <w:basedOn w:val="Normal"/>
    <w:next w:val="Normal"/>
    <w:link w:val="Heading4Char"/>
    <w:uiPriority w:val="9"/>
    <w:semiHidden/>
    <w:unhideWhenUsed/>
    <w:qFormat/>
    <w:rsid w:val="00C35E2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35E2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35E2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35E2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35E2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35E2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47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0247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3449C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C35E2F"/>
    <w:rPr>
      <w:rFonts w:eastAsiaTheme="majorEastAsia" w:cstheme="majorBidi"/>
      <w:i/>
      <w:iCs/>
      <w:color w:val="2F5496" w:themeColor="accent1" w:themeShade="BF"/>
      <w:sz w:val="24"/>
      <w14:ligatures w14:val="none"/>
    </w:rPr>
  </w:style>
  <w:style w:type="character" w:customStyle="1" w:styleId="Heading5Char">
    <w:name w:val="Heading 5 Char"/>
    <w:basedOn w:val="DefaultParagraphFont"/>
    <w:link w:val="Heading5"/>
    <w:uiPriority w:val="9"/>
    <w:semiHidden/>
    <w:rsid w:val="00C35E2F"/>
    <w:rPr>
      <w:rFonts w:eastAsiaTheme="majorEastAsia" w:cstheme="majorBidi"/>
      <w:color w:val="2F5496" w:themeColor="accent1" w:themeShade="BF"/>
      <w:sz w:val="24"/>
      <w14:ligatures w14:val="none"/>
    </w:rPr>
  </w:style>
  <w:style w:type="character" w:customStyle="1" w:styleId="Heading6Char">
    <w:name w:val="Heading 6 Char"/>
    <w:basedOn w:val="DefaultParagraphFont"/>
    <w:link w:val="Heading6"/>
    <w:uiPriority w:val="9"/>
    <w:semiHidden/>
    <w:rsid w:val="00C35E2F"/>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C35E2F"/>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C35E2F"/>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C35E2F"/>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C35E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E2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35E2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E2F"/>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C35E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5E2F"/>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C35E2F"/>
    <w:pPr>
      <w:ind w:left="720"/>
      <w:contextualSpacing/>
    </w:pPr>
  </w:style>
  <w:style w:type="character" w:styleId="IntenseEmphasis">
    <w:name w:val="Intense Emphasis"/>
    <w:basedOn w:val="DefaultParagraphFont"/>
    <w:uiPriority w:val="21"/>
    <w:qFormat/>
    <w:rsid w:val="00C35E2F"/>
    <w:rPr>
      <w:i/>
      <w:iCs/>
      <w:color w:val="2F5496" w:themeColor="accent1" w:themeShade="BF"/>
    </w:rPr>
  </w:style>
  <w:style w:type="paragraph" w:styleId="IntenseQuote">
    <w:name w:val="Intense Quote"/>
    <w:basedOn w:val="Normal"/>
    <w:next w:val="Normal"/>
    <w:link w:val="IntenseQuoteChar"/>
    <w:uiPriority w:val="30"/>
    <w:qFormat/>
    <w:rsid w:val="00C35E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5E2F"/>
    <w:rPr>
      <w:rFonts w:ascii="Times New Roman" w:hAnsi="Times New Roman"/>
      <w:i/>
      <w:iCs/>
      <w:color w:val="2F5496" w:themeColor="accent1" w:themeShade="BF"/>
      <w:sz w:val="24"/>
      <w14:ligatures w14:val="none"/>
    </w:rPr>
  </w:style>
  <w:style w:type="character" w:styleId="IntenseReference">
    <w:name w:val="Intense Reference"/>
    <w:basedOn w:val="DefaultParagraphFont"/>
    <w:uiPriority w:val="32"/>
    <w:qFormat/>
    <w:rsid w:val="00C35E2F"/>
    <w:rPr>
      <w:b/>
      <w:bCs/>
      <w:smallCaps/>
      <w:color w:val="2F5496" w:themeColor="accent1" w:themeShade="BF"/>
      <w:spacing w:val="5"/>
    </w:rPr>
  </w:style>
  <w:style w:type="character" w:styleId="Hyperlink">
    <w:name w:val="Hyperlink"/>
    <w:basedOn w:val="DefaultParagraphFont"/>
    <w:uiPriority w:val="99"/>
    <w:unhideWhenUsed/>
    <w:rsid w:val="00C35E2F"/>
    <w:rPr>
      <w:color w:val="0563C1" w:themeColor="hyperlink"/>
      <w:u w:val="single"/>
    </w:rPr>
  </w:style>
  <w:style w:type="character" w:styleId="UnresolvedMention">
    <w:name w:val="Unresolved Mention"/>
    <w:basedOn w:val="DefaultParagraphFont"/>
    <w:uiPriority w:val="99"/>
    <w:semiHidden/>
    <w:unhideWhenUsed/>
    <w:rsid w:val="00C35E2F"/>
    <w:rPr>
      <w:color w:val="605E5C"/>
      <w:shd w:val="clear" w:color="auto" w:fill="E1DFDD"/>
    </w:rPr>
  </w:style>
  <w:style w:type="table" w:styleId="TableGrid">
    <w:name w:val="Table Grid"/>
    <w:basedOn w:val="TableNormal"/>
    <w:uiPriority w:val="39"/>
    <w:rsid w:val="007024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247B"/>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2560F1"/>
    <w:pPr>
      <w:spacing w:line="259" w:lineRule="auto"/>
      <w:jc w:val="left"/>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2560F1"/>
    <w:pPr>
      <w:spacing w:after="100"/>
    </w:pPr>
  </w:style>
  <w:style w:type="paragraph" w:styleId="TOC2">
    <w:name w:val="toc 2"/>
    <w:basedOn w:val="Normal"/>
    <w:next w:val="Normal"/>
    <w:autoRedefine/>
    <w:uiPriority w:val="39"/>
    <w:unhideWhenUsed/>
    <w:rsid w:val="002560F1"/>
    <w:pPr>
      <w:spacing w:after="100"/>
      <w:ind w:left="240"/>
    </w:pPr>
  </w:style>
  <w:style w:type="paragraph" w:styleId="TableofFigures">
    <w:name w:val="table of figures"/>
    <w:basedOn w:val="Normal"/>
    <w:next w:val="Normal"/>
    <w:uiPriority w:val="99"/>
    <w:unhideWhenUsed/>
    <w:rsid w:val="002560F1"/>
    <w:pPr>
      <w:spacing w:after="0"/>
    </w:pPr>
  </w:style>
  <w:style w:type="paragraph" w:styleId="NormalWeb">
    <w:name w:val="Normal (Web)"/>
    <w:basedOn w:val="Normal"/>
    <w:uiPriority w:val="99"/>
    <w:semiHidden/>
    <w:unhideWhenUsed/>
    <w:rsid w:val="002560F1"/>
    <w:rPr>
      <w:rFonts w:cs="Times New Roman"/>
      <w:szCs w:val="24"/>
    </w:rPr>
  </w:style>
  <w:style w:type="paragraph" w:styleId="Header">
    <w:name w:val="header"/>
    <w:basedOn w:val="Normal"/>
    <w:link w:val="HeaderChar"/>
    <w:uiPriority w:val="99"/>
    <w:unhideWhenUsed/>
    <w:rsid w:val="00603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E8B"/>
    <w:rPr>
      <w:rFonts w:ascii="Times New Roman" w:hAnsi="Times New Roman"/>
      <w:sz w:val="24"/>
      <w14:ligatures w14:val="none"/>
    </w:rPr>
  </w:style>
  <w:style w:type="paragraph" w:styleId="Footer">
    <w:name w:val="footer"/>
    <w:basedOn w:val="Normal"/>
    <w:link w:val="FooterChar"/>
    <w:uiPriority w:val="99"/>
    <w:unhideWhenUsed/>
    <w:rsid w:val="00603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E8B"/>
    <w:rPr>
      <w:rFonts w:ascii="Times New Roman" w:hAnsi="Times New Roman"/>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608/jaauth.2025.360395.1666" TargetMode="External"/><Relationship Id="rId18" Type="http://schemas.openxmlformats.org/officeDocument/2006/relationships/hyperlink" Target="https://doi.org/10.2139/ssrn.5203708" TargetMode="External"/><Relationship Id="rId26" Type="http://schemas.openxmlformats.org/officeDocument/2006/relationships/hyperlink" Target="https://doi.org/10.1109/icebe62490.2024.00034" TargetMode="External"/><Relationship Id="rId3" Type="http://schemas.openxmlformats.org/officeDocument/2006/relationships/styles" Target="styles.xml"/><Relationship Id="rId21" Type="http://schemas.openxmlformats.org/officeDocument/2006/relationships/hyperlink" Target="https://doi.org/10.3390/su141811463" TargetMode="External"/><Relationship Id="rId7" Type="http://schemas.openxmlformats.org/officeDocument/2006/relationships/endnotes" Target="endnotes.xml"/><Relationship Id="rId12" Type="http://schemas.openxmlformats.org/officeDocument/2006/relationships/hyperlink" Target="https://doi.org/10.3390/su151914539" TargetMode="External"/><Relationship Id="rId17" Type="http://schemas.openxmlformats.org/officeDocument/2006/relationships/hyperlink" Target="https://www.proquest.com/openview/fb5218d1c9e307e46073e0511d53d1d9/1?pq-origsite=gscholar&amp;cbl=18750&amp;diss=y" TargetMode="External"/><Relationship Id="rId25" Type="http://schemas.openxmlformats.org/officeDocument/2006/relationships/hyperlink" Target="https://www.proquest.com/openview/32a6b24b98be8fa1b3a6695bc2c5e09f/1?pq-origsite=gscholar&amp;cbl=2026366&amp;diss=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9593969.2019.1694562" TargetMode="External"/><Relationship Id="rId20" Type="http://schemas.openxmlformats.org/officeDocument/2006/relationships/hyperlink" Target="https://doi.org/10.52152/801187" TargetMode="External"/><Relationship Id="rId29" Type="http://schemas.openxmlformats.org/officeDocument/2006/relationships/hyperlink" Target="https://doi.org/10.3390/joitmc80301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756/ijeim.2025.v01.i03.002" TargetMode="External"/><Relationship Id="rId24" Type="http://schemas.openxmlformats.org/officeDocument/2006/relationships/hyperlink" Target="https://doi.org/10.2139/ssrn.505742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procs.2022.08.081" TargetMode="External"/><Relationship Id="rId23" Type="http://schemas.openxmlformats.org/officeDocument/2006/relationships/hyperlink" Target="https://doi.org/10.1080/09593969.2023.2264542" TargetMode="External"/><Relationship Id="rId28" Type="http://schemas.openxmlformats.org/officeDocument/2006/relationships/hyperlink" Target="https://repository.lboro.ac.uk/articles/conference_contribution/Identifying_opportunities_to_increase_food-to-go_packaging_lifetimes_based_on_the_current_conceptualisation_of_food-to-go/24119265" TargetMode="External"/><Relationship Id="rId10" Type="http://schemas.openxmlformats.org/officeDocument/2006/relationships/hyperlink" Target="https://doi.org/10.3390/su12156106" TargetMode="External"/><Relationship Id="rId19" Type="http://schemas.openxmlformats.org/officeDocument/2006/relationships/hyperlink" Target="https://doi.org/10.26855/jhass.2022.01.003"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spc.2022.01.012" TargetMode="External"/><Relationship Id="rId14" Type="http://schemas.openxmlformats.org/officeDocument/2006/relationships/hyperlink" Target="https://doi.org/10.3390/su13052824" TargetMode="External"/><Relationship Id="rId22" Type="http://schemas.openxmlformats.org/officeDocument/2006/relationships/hyperlink" Target="https://doi.org/10.70179/0z418572" TargetMode="External"/><Relationship Id="rId27" Type="http://schemas.openxmlformats.org/officeDocument/2006/relationships/hyperlink" Target="https://doi.org/10.3390/su142215228" TargetMode="External"/><Relationship Id="rId30" Type="http://schemas.openxmlformats.org/officeDocument/2006/relationships/hyperlink" Target="https://www.ajol.info/index.php/rhm/article/view/284761" TargetMode="External"/><Relationship Id="rId8" Type="http://schemas.openxmlformats.org/officeDocument/2006/relationships/hyperlink" Target="https://doi.org/10.32996/jcsts.2025.7.2.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4FB695-6402-42F7-918A-C7E2F2509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5827</Words>
  <Characters>33217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MT_Prod-05</dc:creator>
  <cp:keywords/>
  <dc:description/>
  <cp:lastModifiedBy>Karen Lewis</cp:lastModifiedBy>
  <cp:revision>2</cp:revision>
  <dcterms:created xsi:type="dcterms:W3CDTF">2025-11-09T11:49:00Z</dcterms:created>
  <dcterms:modified xsi:type="dcterms:W3CDTF">2025-11-09T11:49:00Z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ca2aecc6-36ff-4c7b-87cf-20b195d17fd6</vt:lpwstr>
  </property>
</Properties>
</file>