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0F3FE" w14:textId="45422E5F"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b/>
          <w:bCs/>
          <w:sz w:val="24"/>
          <w:szCs w:val="24"/>
          <w:u w:val="single"/>
          <w:lang w:eastAsia="en-GB"/>
        </w:rPr>
        <w:t>Critical Evaluation of Two Policies in Wales that Claim to Enable Inclusive Leadership in Early Years Provision</w:t>
      </w:r>
    </w:p>
    <w:p w14:paraId="211D45DF" w14:textId="1EE1A4EE" w:rsid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Inclusive leadership is central to Welsh education policy, shaped by a commitment to social justice and equality. In early years, leadership goes beyond administration; it is a moral and relational practice. Such leadership shapes inclusive experiences for children and families. Policy both guides and limits leaders. As Baldock</w:t>
      </w:r>
      <w:r w:rsidR="00BA2334">
        <w:rPr>
          <w:rFonts w:eastAsia="Times New Roman" w:cstheme="minorHAnsi"/>
          <w:sz w:val="24"/>
          <w:szCs w:val="24"/>
          <w:lang w:eastAsia="en-GB"/>
        </w:rPr>
        <w:t xml:space="preserve"> et al</w:t>
      </w:r>
      <w:r w:rsidRPr="007A45A4">
        <w:rPr>
          <w:rFonts w:eastAsia="Times New Roman" w:cstheme="minorHAnsi"/>
          <w:sz w:val="24"/>
          <w:szCs w:val="24"/>
          <w:lang w:eastAsia="en-GB"/>
        </w:rPr>
        <w:t xml:space="preserve"> (2013</w:t>
      </w:r>
      <w:r w:rsidR="00401FCF">
        <w:rPr>
          <w:rFonts w:eastAsia="Times New Roman" w:cstheme="minorHAnsi"/>
          <w:sz w:val="24"/>
          <w:szCs w:val="24"/>
          <w:lang w:eastAsia="en-GB"/>
        </w:rPr>
        <w:t>,</w:t>
      </w:r>
      <w:r w:rsidRPr="007A45A4">
        <w:rPr>
          <w:rFonts w:eastAsia="Times New Roman" w:cstheme="minorHAnsi"/>
          <w:sz w:val="24"/>
          <w:szCs w:val="24"/>
          <w:lang w:eastAsia="en-GB"/>
        </w:rPr>
        <w:t>) note, policy is intention and intervention</w:t>
      </w:r>
      <w:r>
        <w:rPr>
          <w:rFonts w:eastAsia="Times New Roman" w:cstheme="minorHAnsi"/>
          <w:sz w:val="24"/>
          <w:szCs w:val="24"/>
          <w:lang w:eastAsia="en-GB"/>
        </w:rPr>
        <w:t xml:space="preserve">, </w:t>
      </w:r>
      <w:r w:rsidRPr="007A45A4">
        <w:rPr>
          <w:rFonts w:eastAsia="Times New Roman" w:cstheme="minorHAnsi"/>
          <w:sz w:val="24"/>
          <w:szCs w:val="24"/>
          <w:lang w:eastAsia="en-GB"/>
        </w:rPr>
        <w:t>a set of expectations shaped by politics and culture. In Wales, inclusion fits into a national moral framework guided by the Well-being of Future Generations (Wales) Act 2015. This Act establishes collaboration, prevention, and participation as public service principles (WCVA, 2018). Since devolution, Welsh Governments have aimed to create a bilingual, rights-based education system that is equitable, cohesive, and community-focused. This context frames two key policies: the Additional Learning Needs and Education Tribunal (Wales) Act 2018 (ALNET) and the Curriculum for Wales 2022 (including guidance for Funded Non-Maintained Nursery Settings). These policies offer different paths to inclusion</w:t>
      </w:r>
      <w:r>
        <w:rPr>
          <w:rFonts w:eastAsia="Times New Roman" w:cstheme="minorHAnsi"/>
          <w:sz w:val="24"/>
          <w:szCs w:val="24"/>
          <w:lang w:eastAsia="en-GB"/>
        </w:rPr>
        <w:t xml:space="preserve">, </w:t>
      </w:r>
      <w:r w:rsidRPr="007A45A4">
        <w:rPr>
          <w:rFonts w:eastAsia="Times New Roman" w:cstheme="minorHAnsi"/>
          <w:sz w:val="24"/>
          <w:szCs w:val="24"/>
          <w:lang w:eastAsia="en-GB"/>
        </w:rPr>
        <w:t>one through legal accountability, the other through pedagogical freedom. This section evaluates how these policies enable and limit inclusive leadership, highlighting ongoing tensions between aspiration and practice.</w:t>
      </w:r>
    </w:p>
    <w:p w14:paraId="7DB597E2" w14:textId="77777777" w:rsidR="007A45A4" w:rsidRPr="007A45A4" w:rsidRDefault="007A45A4" w:rsidP="00C636DF">
      <w:pPr>
        <w:spacing w:after="120" w:line="360" w:lineRule="auto"/>
        <w:rPr>
          <w:rFonts w:eastAsia="Times New Roman" w:cstheme="minorHAnsi"/>
          <w:sz w:val="24"/>
          <w:szCs w:val="24"/>
          <w:lang w:eastAsia="en-GB"/>
        </w:rPr>
      </w:pPr>
    </w:p>
    <w:p w14:paraId="7B0E3361" w14:textId="77777777"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b/>
          <w:bCs/>
          <w:sz w:val="24"/>
          <w:szCs w:val="24"/>
          <w:u w:val="single"/>
          <w:lang w:eastAsia="en-GB"/>
        </w:rPr>
        <w:t>The Additional Learning Needs and Education Tribunal (Wales) Act 2018</w:t>
      </w:r>
    </w:p>
    <w:p w14:paraId="6AD6195B" w14:textId="13113565"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The ALNET Act represents a significant reform of Wales’s previous Special Educational Needs (SEN) system. Designed to simplify processes and ensure fairness, the Act replaces the binary division between “special” and “mainstream” provision with a single framework that embraces the full continuum of need (Welsh Government, 2018</w:t>
      </w:r>
      <w:r w:rsidR="00920FAC">
        <w:rPr>
          <w:rFonts w:eastAsia="Times New Roman" w:cstheme="minorHAnsi"/>
          <w:sz w:val="24"/>
          <w:szCs w:val="24"/>
          <w:lang w:eastAsia="en-GB"/>
        </w:rPr>
        <w:t>, p.2</w:t>
      </w:r>
      <w:r w:rsidRPr="007A45A4">
        <w:rPr>
          <w:rFonts w:eastAsia="Times New Roman" w:cstheme="minorHAnsi"/>
          <w:sz w:val="24"/>
          <w:szCs w:val="24"/>
          <w:lang w:eastAsia="en-GB"/>
        </w:rPr>
        <w:t xml:space="preserve">). It also creates a unified age range of 0–25 years, </w:t>
      </w:r>
      <w:r w:rsidR="00BA2334" w:rsidRPr="007A45A4">
        <w:rPr>
          <w:rFonts w:eastAsia="Times New Roman" w:cstheme="minorHAnsi"/>
          <w:sz w:val="24"/>
          <w:szCs w:val="24"/>
          <w:lang w:eastAsia="en-GB"/>
        </w:rPr>
        <w:t>signalling</w:t>
      </w:r>
      <w:r w:rsidRPr="007A45A4">
        <w:rPr>
          <w:rFonts w:eastAsia="Times New Roman" w:cstheme="minorHAnsi"/>
          <w:sz w:val="24"/>
          <w:szCs w:val="24"/>
          <w:lang w:eastAsia="en-GB"/>
        </w:rPr>
        <w:t xml:space="preserve"> that inclusion begins in the early years and continues into adulthood. Its central mechanism, the Individual Development Plan (IDP), embodies rights-based personalisation by requiring the child, parents, and relevant professionals to plan support collectively.</w:t>
      </w:r>
    </w:p>
    <w:p w14:paraId="3297A17C" w14:textId="12CA26DB"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This participatory focus echoes Dallymore’s (2019b) vision of early</w:t>
      </w:r>
      <w:r w:rsidRPr="007A45A4">
        <w:rPr>
          <w:rFonts w:eastAsia="Times New Roman" w:cstheme="minorHAnsi"/>
          <w:sz w:val="24"/>
          <w:szCs w:val="24"/>
          <w:lang w:eastAsia="en-GB"/>
        </w:rPr>
        <w:noBreakHyphen/>
        <w:t xml:space="preserve">childhood education and care in Wales as an integrated system in which welfare, learning, and play converge. Through this design, ALNET requires leaders to establish forums of collaboration and </w:t>
      </w:r>
      <w:r w:rsidRPr="007A45A4">
        <w:rPr>
          <w:rFonts w:eastAsia="Times New Roman" w:cstheme="minorHAnsi"/>
          <w:sz w:val="24"/>
          <w:szCs w:val="24"/>
          <w:lang w:eastAsia="en-GB"/>
        </w:rPr>
        <w:lastRenderedPageBreak/>
        <w:t>reflection, transforming organisational culture into one of shared accountability. The statutory role of the Additional Learning Needs Coordinator (ALNCo) exemplifies this expectation. Evans (2022</w:t>
      </w:r>
      <w:r w:rsidR="00920FAC">
        <w:rPr>
          <w:rFonts w:eastAsia="Times New Roman" w:cstheme="minorHAnsi"/>
          <w:sz w:val="24"/>
          <w:szCs w:val="24"/>
          <w:lang w:eastAsia="en-GB"/>
        </w:rPr>
        <w:t>, p.14</w:t>
      </w:r>
      <w:r w:rsidRPr="007A45A4">
        <w:rPr>
          <w:rFonts w:eastAsia="Times New Roman" w:cstheme="minorHAnsi"/>
          <w:sz w:val="24"/>
          <w:szCs w:val="24"/>
          <w:lang w:eastAsia="en-GB"/>
        </w:rPr>
        <w:t>) defines the ALNCo as a “broker” of partnerships</w:t>
      </w:r>
      <w:r>
        <w:rPr>
          <w:rFonts w:eastAsia="Times New Roman" w:cstheme="minorHAnsi"/>
          <w:sz w:val="24"/>
          <w:szCs w:val="24"/>
          <w:lang w:eastAsia="en-GB"/>
        </w:rPr>
        <w:t xml:space="preserve">, </w:t>
      </w:r>
      <w:r w:rsidRPr="007A45A4">
        <w:rPr>
          <w:rFonts w:eastAsia="Times New Roman" w:cstheme="minorHAnsi"/>
          <w:sz w:val="24"/>
          <w:szCs w:val="24"/>
          <w:lang w:eastAsia="en-GB"/>
        </w:rPr>
        <w:t>an inclusive leader who coordinates expertise across disciplines and advocates for both children and families. Such distributed responsibility supports Spillane’s (2012) argument that effective leadership is collective rather than positional. It challenges hierarchical structures by dispersing power across professional networks.</w:t>
      </w:r>
    </w:p>
    <w:p w14:paraId="7E1ADB66" w14:textId="2BFA6E0E"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However, translating this statutory architecture into day</w:t>
      </w:r>
      <w:r w:rsidRPr="007A45A4">
        <w:rPr>
          <w:rFonts w:eastAsia="Times New Roman" w:cstheme="minorHAnsi"/>
          <w:sz w:val="24"/>
          <w:szCs w:val="24"/>
          <w:lang w:eastAsia="en-GB"/>
        </w:rPr>
        <w:noBreakHyphen/>
        <w:t>to</w:t>
      </w:r>
      <w:r w:rsidRPr="007A45A4">
        <w:rPr>
          <w:rFonts w:eastAsia="Times New Roman" w:cstheme="minorHAnsi"/>
          <w:sz w:val="24"/>
          <w:szCs w:val="24"/>
          <w:lang w:eastAsia="en-GB"/>
        </w:rPr>
        <w:noBreakHyphen/>
        <w:t>day practice has proven complex. A recurrent theme in research is the gap between legislative ambition and operational capacity. ALNCo posts are frequently under</w:t>
      </w:r>
      <w:r w:rsidRPr="007A45A4">
        <w:rPr>
          <w:rFonts w:eastAsia="Times New Roman" w:cstheme="minorHAnsi"/>
          <w:sz w:val="24"/>
          <w:szCs w:val="24"/>
          <w:lang w:eastAsia="en-GB"/>
        </w:rPr>
        <w:noBreakHyphen/>
        <w:t>resourced, and many coordinators combine the role with full teaching duties or large caseloads (Cann, 2023). Without protected time for reflection and strategic planning, leadership risks becoming managerial rather than transformative. Furthermore, the Additional Learning Needs Code for Wales (Welsh Government, 2021</w:t>
      </w:r>
      <w:r w:rsidR="00920FAC">
        <w:rPr>
          <w:rFonts w:eastAsia="Times New Roman" w:cstheme="minorHAnsi"/>
          <w:sz w:val="24"/>
          <w:szCs w:val="24"/>
          <w:lang w:eastAsia="en-GB"/>
        </w:rPr>
        <w:t>, p.26</w:t>
      </w:r>
      <w:r w:rsidRPr="007A45A4">
        <w:rPr>
          <w:rFonts w:eastAsia="Times New Roman" w:cstheme="minorHAnsi"/>
          <w:sz w:val="24"/>
          <w:szCs w:val="24"/>
          <w:lang w:eastAsia="en-GB"/>
        </w:rPr>
        <w:t>) repeatedly tempers obligations with the phrase “as far as reasonably practicable.” Garwood and McAlister (2021) contend this exposes a fundamental contradiction</w:t>
      </w:r>
      <w:r w:rsidR="00155604">
        <w:rPr>
          <w:rFonts w:eastAsia="Times New Roman" w:cstheme="minorHAnsi"/>
          <w:sz w:val="24"/>
          <w:szCs w:val="24"/>
          <w:lang w:eastAsia="en-GB"/>
        </w:rPr>
        <w:t>,</w:t>
      </w:r>
      <w:r w:rsidRPr="007A45A4">
        <w:rPr>
          <w:rFonts w:eastAsia="Times New Roman" w:cstheme="minorHAnsi"/>
          <w:sz w:val="24"/>
          <w:szCs w:val="24"/>
          <w:lang w:eastAsia="en-GB"/>
        </w:rPr>
        <w:t xml:space="preserve"> inclusion is framed as an entitlement, yet its delivery is conditional on local resources. Leaders, therefore, face moral dilemmas about how far they can stretch finite budgets while remaining compliant.</w:t>
      </w:r>
    </w:p>
    <w:p w14:paraId="675FD196" w14:textId="0AF850D6"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Knight and Criock (2021) identify this paradox as a broader feature of Welsh inclusion discourse, oscillating between moral appeal and managerial realism. Policy texts celebrate empathy and equity, but implementation depends on bureaucratic compliance. The ALN Code’s emphasis on documentation reinforces accountability but risks fostering what Osgood (2019</w:t>
      </w:r>
      <w:r w:rsidR="00C80A5A">
        <w:rPr>
          <w:rFonts w:eastAsia="Times New Roman" w:cstheme="minorHAnsi"/>
          <w:sz w:val="24"/>
          <w:szCs w:val="24"/>
          <w:lang w:eastAsia="en-GB"/>
        </w:rPr>
        <w:t>, p.53</w:t>
      </w:r>
      <w:r w:rsidRPr="007A45A4">
        <w:rPr>
          <w:rFonts w:eastAsia="Times New Roman" w:cstheme="minorHAnsi"/>
          <w:sz w:val="24"/>
          <w:szCs w:val="24"/>
          <w:lang w:eastAsia="en-GB"/>
        </w:rPr>
        <w:t>) calls “paperwork cultures,” in which the emotional and relational labour of inclusion is eclipsed by administration. Inclusive leadership in such contexts requires what Goleman</w:t>
      </w:r>
      <w:r w:rsidR="00BA2334">
        <w:rPr>
          <w:rFonts w:eastAsia="Times New Roman" w:cstheme="minorHAnsi"/>
          <w:sz w:val="24"/>
          <w:szCs w:val="24"/>
          <w:lang w:eastAsia="en-GB"/>
        </w:rPr>
        <w:t xml:space="preserve"> et al</w:t>
      </w:r>
      <w:r w:rsidRPr="007A45A4">
        <w:rPr>
          <w:rFonts w:eastAsia="Times New Roman" w:cstheme="minorHAnsi"/>
          <w:sz w:val="24"/>
          <w:szCs w:val="24"/>
          <w:lang w:eastAsia="en-GB"/>
        </w:rPr>
        <w:t xml:space="preserve"> (2013) term emotional intelligence</w:t>
      </w:r>
      <w:r>
        <w:rPr>
          <w:rFonts w:eastAsia="Times New Roman" w:cstheme="minorHAnsi"/>
          <w:sz w:val="24"/>
          <w:szCs w:val="24"/>
          <w:lang w:eastAsia="en-GB"/>
        </w:rPr>
        <w:t>, t</w:t>
      </w:r>
      <w:r w:rsidRPr="007A45A4">
        <w:rPr>
          <w:rFonts w:eastAsia="Times New Roman" w:cstheme="minorHAnsi"/>
          <w:sz w:val="24"/>
          <w:szCs w:val="24"/>
          <w:lang w:eastAsia="en-GB"/>
        </w:rPr>
        <w:t>he ability to remain empathetic and reflective within systems that reward efficiency.</w:t>
      </w:r>
    </w:p>
    <w:p w14:paraId="61F8594E" w14:textId="77777777"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Workforce conditions further constrain inclusive leadership. Boyd and Hordern (2022) show that persistent low pay, inconsistent qualifications, and recruitment difficulties across early</w:t>
      </w:r>
      <w:r w:rsidRPr="007A45A4">
        <w:rPr>
          <w:rFonts w:eastAsia="Times New Roman" w:cstheme="minorHAnsi"/>
          <w:sz w:val="24"/>
          <w:szCs w:val="24"/>
          <w:lang w:eastAsia="en-GB"/>
        </w:rPr>
        <w:noBreakHyphen/>
        <w:t>years settings erode team stability, making collaboration fragile. These structural inequities transform ALNET’s aspiration for partnership into a considerable workload for leaders already managing high expectations. Liasidou (2015) argues that inter</w:t>
      </w:r>
      <w:r w:rsidRPr="007A45A4">
        <w:rPr>
          <w:rFonts w:eastAsia="Times New Roman" w:cstheme="minorHAnsi"/>
          <w:sz w:val="24"/>
          <w:szCs w:val="24"/>
          <w:lang w:eastAsia="en-GB"/>
        </w:rPr>
        <w:noBreakHyphen/>
        <w:t xml:space="preserve">agency </w:t>
      </w:r>
      <w:r w:rsidRPr="007A45A4">
        <w:rPr>
          <w:rFonts w:eastAsia="Times New Roman" w:cstheme="minorHAnsi"/>
          <w:sz w:val="24"/>
          <w:szCs w:val="24"/>
          <w:lang w:eastAsia="en-GB"/>
        </w:rPr>
        <w:lastRenderedPageBreak/>
        <w:t>cooperation cannot rely solely on goodwill but requires built</w:t>
      </w:r>
      <w:r w:rsidRPr="007A45A4">
        <w:rPr>
          <w:rFonts w:eastAsia="Times New Roman" w:cstheme="minorHAnsi"/>
          <w:sz w:val="24"/>
          <w:szCs w:val="24"/>
          <w:lang w:eastAsia="en-GB"/>
        </w:rPr>
        <w:noBreakHyphen/>
        <w:t>in infrastructure for dialogue. Without dedicated inter</w:t>
      </w:r>
      <w:r w:rsidRPr="007A45A4">
        <w:rPr>
          <w:rFonts w:eastAsia="Times New Roman" w:cstheme="minorHAnsi"/>
          <w:sz w:val="24"/>
          <w:szCs w:val="24"/>
          <w:lang w:eastAsia="en-GB"/>
        </w:rPr>
        <w:noBreakHyphen/>
        <w:t>professional planning time, collaboration becomes symbolic rather than substantive. OECD (2021) similarly concludes that effective inclusion can only be achieved when administrative systems and professional</w:t>
      </w:r>
      <w:r w:rsidRPr="007A45A4">
        <w:rPr>
          <w:rFonts w:eastAsia="Times New Roman" w:cstheme="minorHAnsi"/>
          <w:sz w:val="24"/>
          <w:szCs w:val="24"/>
          <w:lang w:eastAsia="en-GB"/>
        </w:rPr>
        <w:noBreakHyphen/>
        <w:t>learning structures are aligned.</w:t>
      </w:r>
    </w:p>
    <w:p w14:paraId="0F87022B" w14:textId="0B44DC4E" w:rsid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Nevertheless, ALNET establishes an essential moral foundation. It turns inclusion into a legal right, compelling leaders to address barriers rather than treat them as optional concerns. Through the IDP process, early</w:t>
      </w:r>
      <w:r w:rsidRPr="007A45A4">
        <w:rPr>
          <w:rFonts w:eastAsia="Times New Roman" w:cstheme="minorHAnsi"/>
          <w:sz w:val="24"/>
          <w:szCs w:val="24"/>
          <w:lang w:eastAsia="en-GB"/>
        </w:rPr>
        <w:noBreakHyphen/>
        <w:t xml:space="preserve">years leaders are authorised to convene professionals and families in joint reflection, implementing the participatory ethics outlined in The Right Way (Children’s Commissioner for Wales, 2021). When leaders use the IDP as a tool for genuine reflection and not just administration, they </w:t>
      </w:r>
      <w:r w:rsidR="00BA2334" w:rsidRPr="007A45A4">
        <w:rPr>
          <w:rFonts w:eastAsia="Times New Roman" w:cstheme="minorHAnsi"/>
          <w:sz w:val="24"/>
          <w:szCs w:val="24"/>
          <w:lang w:eastAsia="en-GB"/>
        </w:rPr>
        <w:t>fulfil</w:t>
      </w:r>
      <w:r w:rsidRPr="007A45A4">
        <w:rPr>
          <w:rFonts w:eastAsia="Times New Roman" w:cstheme="minorHAnsi"/>
          <w:sz w:val="24"/>
          <w:szCs w:val="24"/>
          <w:lang w:eastAsia="en-GB"/>
        </w:rPr>
        <w:t xml:space="preserve"> Siraj and Hallet’s (2016) model of caring, effective leadership. At its best, ALNET demands that leaders cultivate trust, empathy, and sustained advocacy; at its worst, it risks entangling them in managerial demands that stifle creativity.</w:t>
      </w:r>
    </w:p>
    <w:p w14:paraId="5BDFC591" w14:textId="77777777" w:rsidR="007A45A4" w:rsidRPr="007A45A4" w:rsidRDefault="007A45A4" w:rsidP="00C636DF">
      <w:pPr>
        <w:spacing w:after="120" w:line="360" w:lineRule="auto"/>
        <w:rPr>
          <w:rFonts w:eastAsia="Times New Roman" w:cstheme="minorHAnsi"/>
          <w:sz w:val="24"/>
          <w:szCs w:val="24"/>
          <w:lang w:eastAsia="en-GB"/>
        </w:rPr>
      </w:pPr>
    </w:p>
    <w:p w14:paraId="496AF6A0" w14:textId="77777777"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b/>
          <w:bCs/>
          <w:sz w:val="24"/>
          <w:szCs w:val="24"/>
          <w:u w:val="single"/>
          <w:lang w:eastAsia="en-GB"/>
        </w:rPr>
        <w:t>The Curriculum for Wales 2022 and Guidance for Non</w:t>
      </w:r>
      <w:r w:rsidRPr="007A45A4">
        <w:rPr>
          <w:rFonts w:eastAsia="Times New Roman" w:cstheme="minorHAnsi"/>
          <w:b/>
          <w:bCs/>
          <w:sz w:val="24"/>
          <w:szCs w:val="24"/>
          <w:u w:val="single"/>
          <w:lang w:eastAsia="en-GB"/>
        </w:rPr>
        <w:noBreakHyphen/>
        <w:t>Maintained Nursery Settings</w:t>
      </w:r>
    </w:p>
    <w:p w14:paraId="27842B26" w14:textId="4520F84D"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The Curriculum for Wales 2022 (CfW) carries a different but equally ambitious vision of inclusion. It moves away from a standardised, outcome</w:t>
      </w:r>
      <w:r w:rsidRPr="007A45A4">
        <w:rPr>
          <w:rFonts w:eastAsia="Times New Roman" w:cstheme="minorHAnsi"/>
          <w:sz w:val="24"/>
          <w:szCs w:val="24"/>
          <w:lang w:eastAsia="en-GB"/>
        </w:rPr>
        <w:noBreakHyphen/>
        <w:t>driven model towards one based on values, identity, and agency (Welsh Government, 2020). Learning is organised through six Areas of Learning and Experience rather than narrow subjects and is guided by four national purpose</w:t>
      </w:r>
      <w:r w:rsidR="00155604">
        <w:rPr>
          <w:rFonts w:eastAsia="Times New Roman" w:cstheme="minorHAnsi"/>
          <w:sz w:val="24"/>
          <w:szCs w:val="24"/>
          <w:lang w:eastAsia="en-GB"/>
        </w:rPr>
        <w:t>s,</w:t>
      </w:r>
      <w:r w:rsidRPr="007A45A4">
        <w:rPr>
          <w:rFonts w:eastAsia="Times New Roman" w:cstheme="minorHAnsi"/>
          <w:sz w:val="24"/>
          <w:szCs w:val="24"/>
          <w:lang w:eastAsia="en-GB"/>
        </w:rPr>
        <w:t xml:space="preserve"> to create ambitious, capable learners; enterprising, creative contributors; ethical, informed citizens; and healthy, confident individuals. In early</w:t>
      </w:r>
      <w:r w:rsidRPr="007A45A4">
        <w:rPr>
          <w:rFonts w:eastAsia="Times New Roman" w:cstheme="minorHAnsi"/>
          <w:sz w:val="24"/>
          <w:szCs w:val="24"/>
          <w:lang w:eastAsia="en-GB"/>
        </w:rPr>
        <w:noBreakHyphen/>
        <w:t>years contexts, these goals are adapted within the Curriculum for Funded Non</w:t>
      </w:r>
      <w:r w:rsidRPr="007A45A4">
        <w:rPr>
          <w:rFonts w:eastAsia="Times New Roman" w:cstheme="minorHAnsi"/>
          <w:sz w:val="24"/>
          <w:szCs w:val="24"/>
          <w:lang w:eastAsia="en-GB"/>
        </w:rPr>
        <w:noBreakHyphen/>
        <w:t>Maintained Nursery Settings (Welsh Government, 2022</w:t>
      </w:r>
      <w:r w:rsidR="00BA2334">
        <w:rPr>
          <w:rFonts w:eastAsia="Times New Roman" w:cstheme="minorHAnsi"/>
          <w:sz w:val="24"/>
          <w:szCs w:val="24"/>
          <w:lang w:eastAsia="en-GB"/>
        </w:rPr>
        <w:t xml:space="preserve"> and </w:t>
      </w:r>
      <w:r w:rsidRPr="007A45A4">
        <w:rPr>
          <w:rFonts w:eastAsia="Times New Roman" w:cstheme="minorHAnsi"/>
          <w:sz w:val="24"/>
          <w:szCs w:val="24"/>
          <w:lang w:eastAsia="en-GB"/>
        </w:rPr>
        <w:t>Llywodraeth Cymru, 2022), which positions play, wellbeing, and belonging as core experiences. Here, inclusion is not a targeted remedy but a condition of everyday pedagogy.</w:t>
      </w:r>
    </w:p>
    <w:p w14:paraId="14780E2D" w14:textId="77777777"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 xml:space="preserve">This curriculum changes leadership roles. Leaders no longer deliver fixed, central instructions. Instead, they co-design local curricula that fit their own settings. Dallymore (2019a) sees this decentralisation as both empowering and risky. Leaders can celebrate diversity through autonomy, but gaps in expertise can widen inequality. Responsibility for </w:t>
      </w:r>
      <w:r w:rsidRPr="007A45A4">
        <w:rPr>
          <w:rFonts w:eastAsia="Times New Roman" w:cstheme="minorHAnsi"/>
          <w:sz w:val="24"/>
          <w:szCs w:val="24"/>
          <w:lang w:eastAsia="en-GB"/>
        </w:rPr>
        <w:lastRenderedPageBreak/>
        <w:t>inclusion shifts from the government to the settings. This shift requires leaders who are reflective and confident in their ethics.</w:t>
      </w:r>
    </w:p>
    <w:p w14:paraId="5CC47EC1" w14:textId="2390A069"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The Curriculum’s flexibility aligns with the Well</w:t>
      </w:r>
      <w:r w:rsidRPr="007A45A4">
        <w:rPr>
          <w:rFonts w:eastAsia="Times New Roman" w:cstheme="minorHAnsi"/>
          <w:sz w:val="24"/>
          <w:szCs w:val="24"/>
          <w:lang w:eastAsia="en-GB"/>
        </w:rPr>
        <w:noBreakHyphen/>
        <w:t>being of Future Generations Act’s principles of involvement and long</w:t>
      </w:r>
      <w:r w:rsidRPr="007A45A4">
        <w:rPr>
          <w:rFonts w:eastAsia="Times New Roman" w:cstheme="minorHAnsi"/>
          <w:sz w:val="24"/>
          <w:szCs w:val="24"/>
          <w:lang w:eastAsia="en-GB"/>
        </w:rPr>
        <w:noBreakHyphen/>
        <w:t>term thinking (WCVA, 2018). However, as Estyn (2023</w:t>
      </w:r>
      <w:r w:rsidR="00C80A5A">
        <w:rPr>
          <w:rFonts w:eastAsia="Times New Roman" w:cstheme="minorHAnsi"/>
          <w:sz w:val="24"/>
          <w:szCs w:val="24"/>
          <w:lang w:eastAsia="en-GB"/>
        </w:rPr>
        <w:t>, p.205</w:t>
      </w:r>
      <w:r w:rsidRPr="007A45A4">
        <w:rPr>
          <w:rFonts w:eastAsia="Times New Roman" w:cstheme="minorHAnsi"/>
          <w:sz w:val="24"/>
          <w:szCs w:val="24"/>
          <w:lang w:eastAsia="en-GB"/>
        </w:rPr>
        <w:t>) notes, freedom requires guidance; early evaluations revealed inconsistencies in how practitioners interpreted “inclusive practice.” Some aligned it with meeting additional needs; others framed it as cultivating positive relationships. Knight and Criock (2021) argue that while Welsh education policy strongly articulates values, it offers little critical framework for addressing structural inequality. This absence is evidenced by Nation Cymru (2021), which reported continued weaknesses in teaching diverse histories and cultural identities. Without courageous leadership capable of confronting racism and classism, inclusion risks remaining superficial.</w:t>
      </w:r>
    </w:p>
    <w:p w14:paraId="793FAAF8" w14:textId="5E0B03DB"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The Anti-Racist Wales Action Plan (2022) seeks to address these gaps. It extends inclusion to mean anti-discrimination, not just diversity. Ferdman</w:t>
      </w:r>
      <w:r w:rsidR="00BA2334">
        <w:rPr>
          <w:rFonts w:eastAsia="Times New Roman" w:cstheme="minorHAnsi"/>
          <w:sz w:val="24"/>
          <w:szCs w:val="24"/>
          <w:lang w:eastAsia="en-GB"/>
        </w:rPr>
        <w:t xml:space="preserve"> et al</w:t>
      </w:r>
      <w:r w:rsidRPr="007A45A4">
        <w:rPr>
          <w:rFonts w:eastAsia="Times New Roman" w:cstheme="minorHAnsi"/>
          <w:sz w:val="24"/>
          <w:szCs w:val="24"/>
          <w:lang w:eastAsia="en-GB"/>
        </w:rPr>
        <w:t xml:space="preserve"> (2020) argue that inclusive leadership goes beyond awareness. It requires leaders to actively challenge power imbalances. For early-years leaders, this means reviewing resources, language, and curriculum. It also means helping staff address prejudice confidently. Emotional intelligence is crucial. Leaders need to guide sensitive conversations while ensuring psychological safety. This skill is rarely covered in initial training.</w:t>
      </w:r>
    </w:p>
    <w:p w14:paraId="1A8EEBC6" w14:textId="49ADD60B"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Siraj and Hallet (2016) emphasise that effective leadership in early childhood combines emotional care with analytical rigour. Within the CfW framework, reflective teams fulfil this mandate by scrutinising their own practices and expectations. Leaders foster “communities of practice” (Wenger 1999</w:t>
      </w:r>
      <w:r w:rsidR="00C80A5A">
        <w:rPr>
          <w:rFonts w:eastAsia="Times New Roman" w:cstheme="minorHAnsi"/>
          <w:sz w:val="24"/>
          <w:szCs w:val="24"/>
          <w:lang w:eastAsia="en-GB"/>
        </w:rPr>
        <w:t>, p1-2</w:t>
      </w:r>
      <w:r w:rsidRPr="007A45A4">
        <w:rPr>
          <w:rFonts w:eastAsia="Times New Roman" w:cstheme="minorHAnsi"/>
          <w:sz w:val="24"/>
          <w:szCs w:val="24"/>
          <w:lang w:eastAsia="en-GB"/>
        </w:rPr>
        <w:t>) in which staff, families, and specialists collaboratively analyse barriers to participation. However, Dallymore (2019b</w:t>
      </w:r>
      <w:r w:rsidR="00C80A5A">
        <w:rPr>
          <w:rFonts w:eastAsia="Times New Roman" w:cstheme="minorHAnsi"/>
          <w:sz w:val="24"/>
          <w:szCs w:val="24"/>
          <w:lang w:eastAsia="en-GB"/>
        </w:rPr>
        <w:t>, p.</w:t>
      </w:r>
      <w:r w:rsidR="00155604">
        <w:rPr>
          <w:rFonts w:eastAsia="Times New Roman" w:cstheme="minorHAnsi"/>
          <w:sz w:val="24"/>
          <w:szCs w:val="24"/>
          <w:lang w:eastAsia="en-GB"/>
        </w:rPr>
        <w:t>8</w:t>
      </w:r>
      <w:r w:rsidRPr="007A45A4">
        <w:rPr>
          <w:rFonts w:eastAsia="Times New Roman" w:cstheme="minorHAnsi"/>
          <w:sz w:val="24"/>
          <w:szCs w:val="24"/>
          <w:lang w:eastAsia="en-GB"/>
        </w:rPr>
        <w:t>) notes that autonomy without structural support generates “variable quality.” High</w:t>
      </w:r>
      <w:r w:rsidRPr="007A45A4">
        <w:rPr>
          <w:rFonts w:eastAsia="Times New Roman" w:cstheme="minorHAnsi"/>
          <w:sz w:val="24"/>
          <w:szCs w:val="24"/>
          <w:lang w:eastAsia="en-GB"/>
        </w:rPr>
        <w:noBreakHyphen/>
        <w:t>performing settings tend to have established collaborative cultures; others struggle with workload and limited resources. Boyd and Hordern (2022) confirm that the lack of parity in pay and status between child</w:t>
      </w:r>
      <w:r w:rsidRPr="007A45A4">
        <w:rPr>
          <w:rFonts w:eastAsia="Times New Roman" w:cstheme="minorHAnsi"/>
          <w:sz w:val="24"/>
          <w:szCs w:val="24"/>
          <w:lang w:eastAsia="en-GB"/>
        </w:rPr>
        <w:noBreakHyphen/>
        <w:t>care professionals and teachers hinders collective engagement. To counter this, the Early Childhood Play, Learning and Care (ECPLC) Plan (2024) pledges a unified professional</w:t>
      </w:r>
      <w:r w:rsidRPr="007A45A4">
        <w:rPr>
          <w:rFonts w:eastAsia="Times New Roman" w:cstheme="minorHAnsi"/>
          <w:sz w:val="24"/>
          <w:szCs w:val="24"/>
          <w:lang w:eastAsia="en-GB"/>
        </w:rPr>
        <w:noBreakHyphen/>
        <w:t xml:space="preserve">learning framework that integrates education and care, acknowledging </w:t>
      </w:r>
      <w:r w:rsidRPr="007A45A4">
        <w:rPr>
          <w:rFonts w:eastAsia="Times New Roman" w:cstheme="minorHAnsi"/>
          <w:sz w:val="24"/>
          <w:szCs w:val="24"/>
          <w:lang w:eastAsia="en-GB"/>
        </w:rPr>
        <w:lastRenderedPageBreak/>
        <w:t>leadership as essential to inclusion. If implemented consistently, this plan could operationalise OECD (2021) recommendations for coherent governance.</w:t>
      </w:r>
    </w:p>
    <w:p w14:paraId="77F7D22F" w14:textId="2BED71F5"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Assessing inclusion under the new curriculum also presents methodological challenges. Unlike ALNET’s statutory IDPs, the Curriculum relies primarily on formative assessment and qualitative evidence of progress. Estyn (2023</w:t>
      </w:r>
      <w:r w:rsidR="00C80A5A">
        <w:rPr>
          <w:rFonts w:eastAsia="Times New Roman" w:cstheme="minorHAnsi"/>
          <w:sz w:val="24"/>
          <w:szCs w:val="24"/>
          <w:lang w:eastAsia="en-GB"/>
        </w:rPr>
        <w:t>. P.23</w:t>
      </w:r>
      <w:r w:rsidRPr="007A45A4">
        <w:rPr>
          <w:rFonts w:eastAsia="Times New Roman" w:cstheme="minorHAnsi"/>
          <w:sz w:val="24"/>
          <w:szCs w:val="24"/>
          <w:lang w:eastAsia="en-GB"/>
        </w:rPr>
        <w:t xml:space="preserve">) found that many providers substituted “sense of belonging” narratives for measurable impact. While such narratives are valuable, Baldock et al. (2013) caution that values require </w:t>
      </w:r>
      <w:r w:rsidR="00BA2334" w:rsidRPr="007A45A4">
        <w:rPr>
          <w:rFonts w:eastAsia="Times New Roman" w:cstheme="minorHAnsi"/>
          <w:sz w:val="24"/>
          <w:szCs w:val="24"/>
          <w:lang w:eastAsia="en-GB"/>
        </w:rPr>
        <w:t>evaluation,</w:t>
      </w:r>
      <w:r w:rsidRPr="007A45A4">
        <w:rPr>
          <w:rFonts w:eastAsia="Times New Roman" w:cstheme="minorHAnsi"/>
          <w:sz w:val="24"/>
          <w:szCs w:val="24"/>
          <w:lang w:eastAsia="en-GB"/>
        </w:rPr>
        <w:t xml:space="preserve"> or they risk dilution. Bush (2020) proposes an evidence</w:t>
      </w:r>
      <w:r w:rsidRPr="007A45A4">
        <w:rPr>
          <w:rFonts w:eastAsia="Times New Roman" w:cstheme="minorHAnsi"/>
          <w:sz w:val="24"/>
          <w:szCs w:val="24"/>
          <w:lang w:eastAsia="en-GB"/>
        </w:rPr>
        <w:noBreakHyphen/>
        <w:t>informed moral leadership model in which leaders triangulate qualitative observation, stakeholder voice, and quantitative data to examine the equity of outcomes. In this model, professional autonomy is paired with accountability through reflection rather than surveillance</w:t>
      </w:r>
      <w:r>
        <w:rPr>
          <w:rFonts w:eastAsia="Times New Roman" w:cstheme="minorHAnsi"/>
          <w:sz w:val="24"/>
          <w:szCs w:val="24"/>
          <w:lang w:eastAsia="en-GB"/>
        </w:rPr>
        <w:t xml:space="preserve">, </w:t>
      </w:r>
      <w:r w:rsidRPr="007A45A4">
        <w:rPr>
          <w:rFonts w:eastAsia="Times New Roman" w:cstheme="minorHAnsi"/>
          <w:sz w:val="24"/>
          <w:szCs w:val="24"/>
          <w:lang w:eastAsia="en-GB"/>
        </w:rPr>
        <w:t>the very balance that underpins the Curriculum for Wales.</w:t>
      </w:r>
    </w:p>
    <w:p w14:paraId="79474B4F" w14:textId="374BE31E" w:rsid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In addition, the CfW embeds bilingualism as part of cultural inclusion, requiring leaders to promote the Welsh language while respecting linguistic diversity. This dual aim can present practical tensions in multilingual communities. Inclusive leadership, therefore, involves navigating cultural plurality with sensitivity</w:t>
      </w:r>
      <w:r>
        <w:rPr>
          <w:rFonts w:eastAsia="Times New Roman" w:cstheme="minorHAnsi"/>
          <w:sz w:val="24"/>
          <w:szCs w:val="24"/>
          <w:lang w:eastAsia="en-GB"/>
        </w:rPr>
        <w:t xml:space="preserve">, </w:t>
      </w:r>
      <w:r w:rsidRPr="007A45A4">
        <w:rPr>
          <w:rFonts w:eastAsia="Times New Roman" w:cstheme="minorHAnsi"/>
          <w:sz w:val="24"/>
          <w:szCs w:val="24"/>
          <w:lang w:eastAsia="en-GB"/>
        </w:rPr>
        <w:t>celebrating bilingual heritage without marginalising other languages. Research by Andrews and Lewis (2020) demonstrates that when leaders intentionally integrate multiple languages through play, storytelling, and parental input, children’s sense of identity and belonging strengthens. The curriculum thus provides scope for innovation but places significant interpretive responsibility on leaders’ skill and awareness.</w:t>
      </w:r>
    </w:p>
    <w:p w14:paraId="6BF31D4D" w14:textId="77777777" w:rsidR="007A45A4" w:rsidRPr="007A45A4" w:rsidRDefault="007A45A4" w:rsidP="00C636DF">
      <w:pPr>
        <w:spacing w:after="120" w:line="360" w:lineRule="auto"/>
        <w:rPr>
          <w:rFonts w:eastAsia="Times New Roman" w:cstheme="minorHAnsi"/>
          <w:sz w:val="24"/>
          <w:szCs w:val="24"/>
          <w:lang w:eastAsia="en-GB"/>
        </w:rPr>
      </w:pPr>
    </w:p>
    <w:p w14:paraId="3F2107D1" w14:textId="77777777"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b/>
          <w:bCs/>
          <w:sz w:val="24"/>
          <w:szCs w:val="24"/>
          <w:u w:val="single"/>
          <w:lang w:eastAsia="en-GB"/>
        </w:rPr>
        <w:t>Comparative Evaluation</w:t>
      </w:r>
    </w:p>
    <w:p w14:paraId="7135A8FA" w14:textId="34B6B6EC"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ALNET and the Curriculum for Wales collectively articulate a unified yet challenging vision of inclusion. The first secures structural entitlement; the second promotes cultural transformation. Together they form what might be described as a “framework of complementarity”</w:t>
      </w:r>
      <w:r w:rsidR="00155604">
        <w:rPr>
          <w:rFonts w:eastAsia="Times New Roman" w:cstheme="minorHAnsi"/>
          <w:sz w:val="24"/>
          <w:szCs w:val="24"/>
          <w:lang w:eastAsia="en-GB"/>
        </w:rPr>
        <w:t xml:space="preserve">, </w:t>
      </w:r>
      <w:r w:rsidRPr="007A45A4">
        <w:rPr>
          <w:rFonts w:eastAsia="Times New Roman" w:cstheme="minorHAnsi"/>
          <w:sz w:val="24"/>
          <w:szCs w:val="24"/>
          <w:lang w:eastAsia="en-GB"/>
        </w:rPr>
        <w:t>law ensures rights, curriculum provides moral meaning, and leadership connects them. Inclusive leaders act as translators, converting the obligations of ALNET into the relational pedagogies of the Curriculum and ensuring that curriculum autonomy honours legal duties to equity.</w:t>
      </w:r>
    </w:p>
    <w:p w14:paraId="32A066AC" w14:textId="5CD6C749"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lastRenderedPageBreak/>
        <w:t>Both frameworks, however, demonstrate recurring weaknesses. Ambiguous terminology</w:t>
      </w:r>
      <w:r>
        <w:rPr>
          <w:rFonts w:eastAsia="Times New Roman" w:cstheme="minorHAnsi"/>
          <w:sz w:val="24"/>
          <w:szCs w:val="24"/>
          <w:lang w:eastAsia="en-GB"/>
        </w:rPr>
        <w:t xml:space="preserve"> such as </w:t>
      </w:r>
      <w:r w:rsidRPr="007A45A4">
        <w:rPr>
          <w:rFonts w:eastAsia="Times New Roman" w:cstheme="minorHAnsi"/>
          <w:sz w:val="24"/>
          <w:szCs w:val="24"/>
          <w:lang w:eastAsia="en-GB"/>
        </w:rPr>
        <w:t>“reasonable provision,”</w:t>
      </w:r>
      <w:r>
        <w:rPr>
          <w:rFonts w:eastAsia="Times New Roman" w:cstheme="minorHAnsi"/>
          <w:sz w:val="24"/>
          <w:szCs w:val="24"/>
          <w:lang w:eastAsia="en-GB"/>
        </w:rPr>
        <w:t xml:space="preserve"> and</w:t>
      </w:r>
      <w:r w:rsidRPr="007A45A4">
        <w:rPr>
          <w:rFonts w:eastAsia="Times New Roman" w:cstheme="minorHAnsi"/>
          <w:sz w:val="24"/>
          <w:szCs w:val="24"/>
          <w:lang w:eastAsia="en-GB"/>
        </w:rPr>
        <w:t xml:space="preserve"> “responsive to </w:t>
      </w:r>
      <w:r w:rsidR="00BA2334" w:rsidRPr="007A45A4">
        <w:rPr>
          <w:rFonts w:eastAsia="Times New Roman" w:cstheme="minorHAnsi"/>
          <w:sz w:val="24"/>
          <w:szCs w:val="24"/>
          <w:lang w:eastAsia="en-GB"/>
        </w:rPr>
        <w:t>context “permits</w:t>
      </w:r>
      <w:r w:rsidRPr="007A45A4">
        <w:rPr>
          <w:rFonts w:eastAsia="Times New Roman" w:cstheme="minorHAnsi"/>
          <w:sz w:val="24"/>
          <w:szCs w:val="24"/>
          <w:lang w:eastAsia="en-GB"/>
        </w:rPr>
        <w:t xml:space="preserve"> both creativity and inconsistency (Garwood and McAlister 2021</w:t>
      </w:r>
      <w:r w:rsidR="00972264">
        <w:rPr>
          <w:rFonts w:eastAsia="Times New Roman" w:cstheme="minorHAnsi"/>
          <w:sz w:val="24"/>
          <w:szCs w:val="24"/>
          <w:lang w:eastAsia="en-GB"/>
        </w:rPr>
        <w:t>, p.64</w:t>
      </w:r>
      <w:r w:rsidRPr="007A45A4">
        <w:rPr>
          <w:rFonts w:eastAsia="Times New Roman" w:cstheme="minorHAnsi"/>
          <w:sz w:val="24"/>
          <w:szCs w:val="24"/>
          <w:lang w:eastAsia="en-GB"/>
        </w:rPr>
        <w:t>). The same flexibility that empowers also fragments. Moreover, persistent workforce inequalities threaten sustainability. Without time for reflection, inclusion becomes an aspiration unenacted. Dallymore (2019b</w:t>
      </w:r>
      <w:r w:rsidR="00155604">
        <w:rPr>
          <w:rFonts w:eastAsia="Times New Roman" w:cstheme="minorHAnsi"/>
          <w:sz w:val="24"/>
          <w:szCs w:val="24"/>
          <w:lang w:eastAsia="en-GB"/>
        </w:rPr>
        <w:t>, p.9</w:t>
      </w:r>
      <w:r w:rsidRPr="007A45A4">
        <w:rPr>
          <w:rFonts w:eastAsia="Times New Roman" w:cstheme="minorHAnsi"/>
          <w:sz w:val="24"/>
          <w:szCs w:val="24"/>
          <w:lang w:eastAsia="en-GB"/>
        </w:rPr>
        <w:t>) refers to this phenomenon as “policy fatigue,” in which constant innovation overloads practitioners. Leaders face a delicate balancing act between responding to continual reform and maintaining long</w:t>
      </w:r>
      <w:r w:rsidRPr="007A45A4">
        <w:rPr>
          <w:rFonts w:eastAsia="Times New Roman" w:cstheme="minorHAnsi"/>
          <w:sz w:val="24"/>
          <w:szCs w:val="24"/>
          <w:lang w:eastAsia="en-GB"/>
        </w:rPr>
        <w:noBreakHyphen/>
        <w:t>term coherence.</w:t>
      </w:r>
    </w:p>
    <w:p w14:paraId="4E8FA508" w14:textId="1E9A0472"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 xml:space="preserve">Integration between frameworks is emerging but remains incomplete. The ECPLC Plan (2024) offers potential convergence by promoting leadership development as the lever that unites ALNET’s procedural focus and the Curriculum’s pedagogical freedom. OECD (2021) supports this logic, emphasising leadership as the strongest determinant of equitable quality in early childhood systems. </w:t>
      </w:r>
      <w:r w:rsidR="00BA2334">
        <w:rPr>
          <w:rFonts w:eastAsia="Times New Roman" w:cstheme="minorHAnsi"/>
          <w:sz w:val="24"/>
          <w:szCs w:val="24"/>
          <w:lang w:eastAsia="en-GB"/>
        </w:rPr>
        <w:t>Therefore, if</w:t>
      </w:r>
      <w:r w:rsidRPr="007A45A4">
        <w:rPr>
          <w:rFonts w:eastAsia="Times New Roman" w:cstheme="minorHAnsi"/>
          <w:sz w:val="24"/>
          <w:szCs w:val="24"/>
          <w:lang w:eastAsia="en-GB"/>
        </w:rPr>
        <w:t xml:space="preserve"> Wales succeeds in embedding mentoring networks and reflective supervision</w:t>
      </w:r>
      <w:r w:rsidR="00BA2334">
        <w:rPr>
          <w:rFonts w:eastAsia="Times New Roman" w:cstheme="minorHAnsi"/>
          <w:sz w:val="24"/>
          <w:szCs w:val="24"/>
          <w:lang w:eastAsia="en-GB"/>
        </w:rPr>
        <w:t xml:space="preserve">, such as </w:t>
      </w:r>
      <w:r w:rsidRPr="007A45A4">
        <w:rPr>
          <w:rFonts w:eastAsia="Times New Roman" w:cstheme="minorHAnsi"/>
          <w:sz w:val="24"/>
          <w:szCs w:val="24"/>
          <w:lang w:eastAsia="en-GB"/>
        </w:rPr>
        <w:t>strategies proposed in the ECPLC Plan</w:t>
      </w:r>
      <w:r w:rsidR="00BA2334">
        <w:rPr>
          <w:rFonts w:eastAsia="Times New Roman" w:cstheme="minorHAnsi"/>
          <w:sz w:val="24"/>
          <w:szCs w:val="24"/>
          <w:lang w:eastAsia="en-GB"/>
        </w:rPr>
        <w:t xml:space="preserve">, </w:t>
      </w:r>
      <w:r w:rsidRPr="007A45A4">
        <w:rPr>
          <w:rFonts w:eastAsia="Times New Roman" w:cstheme="minorHAnsi"/>
          <w:sz w:val="24"/>
          <w:szCs w:val="24"/>
          <w:lang w:eastAsia="en-GB"/>
        </w:rPr>
        <w:t>then inclusive leadership could evolve from isolated good practice into a national culture.</w:t>
      </w:r>
    </w:p>
    <w:p w14:paraId="77BB07DC" w14:textId="5981C562"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Reflection is vital to this synthesis. Osgood (2019) reminds us that early</w:t>
      </w:r>
      <w:r w:rsidRPr="007A45A4">
        <w:rPr>
          <w:rFonts w:eastAsia="Times New Roman" w:cstheme="minorHAnsi"/>
          <w:sz w:val="24"/>
          <w:szCs w:val="24"/>
          <w:lang w:eastAsia="en-GB"/>
        </w:rPr>
        <w:noBreakHyphen/>
        <w:t>years leadership involves emotional labour; leaders must continuously manage the tension between care and accountability. Reflective supervision enables them to process this labour constructively, while professional learning communities transform individual insight into collective practice. Programmes that institutionalise such reflection, as envisioned by Ryan (2016), foster transformative, inclusive leadership</w:t>
      </w:r>
      <w:r w:rsidR="00BA2334">
        <w:rPr>
          <w:rFonts w:eastAsia="Times New Roman" w:cstheme="minorHAnsi"/>
          <w:sz w:val="24"/>
          <w:szCs w:val="24"/>
          <w:lang w:eastAsia="en-GB"/>
        </w:rPr>
        <w:t xml:space="preserve">, </w:t>
      </w:r>
      <w:r w:rsidRPr="007A45A4">
        <w:rPr>
          <w:rFonts w:eastAsia="Times New Roman" w:cstheme="minorHAnsi"/>
          <w:sz w:val="24"/>
          <w:szCs w:val="24"/>
          <w:lang w:eastAsia="en-GB"/>
        </w:rPr>
        <w:t>leadership that re</w:t>
      </w:r>
      <w:r w:rsidRPr="007A45A4">
        <w:rPr>
          <w:rFonts w:eastAsia="Times New Roman" w:cstheme="minorHAnsi"/>
          <w:sz w:val="24"/>
          <w:szCs w:val="24"/>
          <w:lang w:eastAsia="en-GB"/>
        </w:rPr>
        <w:noBreakHyphen/>
        <w:t>imagines relationships of power and knowledge. When early</w:t>
      </w:r>
      <w:r w:rsidRPr="007A45A4">
        <w:rPr>
          <w:rFonts w:eastAsia="Times New Roman" w:cstheme="minorHAnsi"/>
          <w:sz w:val="24"/>
          <w:szCs w:val="24"/>
          <w:lang w:eastAsia="en-GB"/>
        </w:rPr>
        <w:noBreakHyphen/>
        <w:t>years professionals come together to critique policy assumptions and share inclusive strategies, they create sustainable systems change rather than isolated innovation.</w:t>
      </w:r>
    </w:p>
    <w:p w14:paraId="5D296899" w14:textId="16A299E2" w:rsid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Looking ahead, the coherence of Welsh inclusion policy will depend on governance stability and long</w:t>
      </w:r>
      <w:r w:rsidRPr="007A45A4">
        <w:rPr>
          <w:rFonts w:eastAsia="Times New Roman" w:cstheme="minorHAnsi"/>
          <w:sz w:val="24"/>
          <w:szCs w:val="24"/>
          <w:lang w:eastAsia="en-GB"/>
        </w:rPr>
        <w:noBreakHyphen/>
        <w:t>term investment. Bache</w:t>
      </w:r>
      <w:r w:rsidR="00BA2334">
        <w:rPr>
          <w:rFonts w:eastAsia="Times New Roman" w:cstheme="minorHAnsi"/>
          <w:sz w:val="24"/>
          <w:szCs w:val="24"/>
          <w:lang w:eastAsia="en-GB"/>
        </w:rPr>
        <w:t xml:space="preserve"> et al</w:t>
      </w:r>
      <w:r w:rsidRPr="007A45A4">
        <w:rPr>
          <w:rFonts w:eastAsia="Times New Roman" w:cstheme="minorHAnsi"/>
          <w:sz w:val="24"/>
          <w:szCs w:val="24"/>
          <w:lang w:eastAsia="en-GB"/>
        </w:rPr>
        <w:t> (2022) warn that the promise of the Well</w:t>
      </w:r>
      <w:r w:rsidRPr="007A45A4">
        <w:rPr>
          <w:rFonts w:eastAsia="Times New Roman" w:cstheme="minorHAnsi"/>
          <w:sz w:val="24"/>
          <w:szCs w:val="24"/>
          <w:lang w:eastAsia="en-GB"/>
        </w:rPr>
        <w:noBreakHyphen/>
        <w:t xml:space="preserve">being of Future Generations Act risks dilution if political cycles interrupt continuity. For ALNET and the Curriculum for Wales to reach their collective potential, the Welsh Government must protect time for collaboration, fund leadership pipelines, and ensure </w:t>
      </w:r>
      <w:r w:rsidRPr="007A45A4">
        <w:rPr>
          <w:rFonts w:eastAsia="Times New Roman" w:cstheme="minorHAnsi"/>
          <w:sz w:val="24"/>
          <w:szCs w:val="24"/>
          <w:lang w:eastAsia="en-GB"/>
        </w:rPr>
        <w:lastRenderedPageBreak/>
        <w:t>parity of esteem across education and care. Only then will policy rhetoric translate into social reality.</w:t>
      </w:r>
    </w:p>
    <w:p w14:paraId="78545C0F" w14:textId="77777777" w:rsidR="007A45A4" w:rsidRPr="007A45A4" w:rsidRDefault="007A45A4" w:rsidP="00C636DF">
      <w:pPr>
        <w:spacing w:after="120" w:line="360" w:lineRule="auto"/>
        <w:rPr>
          <w:rFonts w:eastAsia="Times New Roman" w:cstheme="minorHAnsi"/>
          <w:sz w:val="24"/>
          <w:szCs w:val="24"/>
          <w:lang w:eastAsia="en-GB"/>
        </w:rPr>
      </w:pPr>
    </w:p>
    <w:p w14:paraId="189EA228" w14:textId="77777777"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b/>
          <w:bCs/>
          <w:sz w:val="24"/>
          <w:szCs w:val="24"/>
          <w:u w:val="single"/>
          <w:lang w:eastAsia="en-GB"/>
        </w:rPr>
        <w:t>Conclusion</w:t>
      </w:r>
    </w:p>
    <w:p w14:paraId="18BF9394" w14:textId="5B26A08E"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The Additional Learning Needs and Education Tribunal (Wales) Act 2018 and the Curriculum for Wales 2022 together define an ambitious but fragile architecture for inclusion in early</w:t>
      </w:r>
      <w:r w:rsidRPr="007A45A4">
        <w:rPr>
          <w:rFonts w:eastAsia="Times New Roman" w:cstheme="minorHAnsi"/>
          <w:sz w:val="24"/>
          <w:szCs w:val="24"/>
          <w:lang w:eastAsia="en-GB"/>
        </w:rPr>
        <w:noBreakHyphen/>
        <w:t>years education. ALNET embeds equality as a statutory entitlement through coordinated provision, while the Curriculum expresses inclusion as a moral culture through creativity and engagement. Both are underpinned by the Well</w:t>
      </w:r>
      <w:r w:rsidRPr="007A45A4">
        <w:rPr>
          <w:rFonts w:eastAsia="Times New Roman" w:cstheme="minorHAnsi"/>
          <w:sz w:val="24"/>
          <w:szCs w:val="24"/>
          <w:lang w:eastAsia="en-GB"/>
        </w:rPr>
        <w:noBreakHyphen/>
        <w:t>being of Future Generations Act and share the goal of a fair, cohesive, and bilingual nation. Yet structural obstacles</w:t>
      </w:r>
      <w:r w:rsidR="00BA2334">
        <w:rPr>
          <w:rFonts w:eastAsia="Times New Roman" w:cstheme="minorHAnsi"/>
          <w:sz w:val="24"/>
          <w:szCs w:val="24"/>
          <w:lang w:eastAsia="en-GB"/>
        </w:rPr>
        <w:t xml:space="preserve"> such as </w:t>
      </w:r>
      <w:r w:rsidRPr="007A45A4">
        <w:rPr>
          <w:rFonts w:eastAsia="Times New Roman" w:cstheme="minorHAnsi"/>
          <w:sz w:val="24"/>
          <w:szCs w:val="24"/>
          <w:lang w:eastAsia="en-GB"/>
        </w:rPr>
        <w:t>underfunding, inconsistent training, and ambiguous wording</w:t>
      </w:r>
      <w:r w:rsidR="00BA2334">
        <w:rPr>
          <w:rFonts w:eastAsia="Times New Roman" w:cstheme="minorHAnsi"/>
          <w:sz w:val="24"/>
          <w:szCs w:val="24"/>
          <w:lang w:eastAsia="en-GB"/>
        </w:rPr>
        <w:t xml:space="preserve">, </w:t>
      </w:r>
      <w:r w:rsidRPr="007A45A4">
        <w:rPr>
          <w:rFonts w:eastAsia="Times New Roman" w:cstheme="minorHAnsi"/>
          <w:sz w:val="24"/>
          <w:szCs w:val="24"/>
          <w:lang w:eastAsia="en-GB"/>
        </w:rPr>
        <w:t>continue to undermine consistent realisation.</w:t>
      </w:r>
    </w:p>
    <w:p w14:paraId="088D4D57" w14:textId="4A8D48D4"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Effective inclusive leadership thus emerges as the decisive factor that bridges these deficiencies. Leaders must integrate legal compliance with pedagogical compassion, transforming rights into relationships and policy into practice. They require reflection time, emotional intelligence, analytical skill, and durable networks of support. The Early Childhood Play, Learning and Care Plan (2024) outlines the next step</w:t>
      </w:r>
      <w:r w:rsidR="00155604">
        <w:rPr>
          <w:rFonts w:eastAsia="Times New Roman" w:cstheme="minorHAnsi"/>
          <w:sz w:val="24"/>
          <w:szCs w:val="24"/>
          <w:lang w:eastAsia="en-GB"/>
        </w:rPr>
        <w:t xml:space="preserve">, </w:t>
      </w:r>
      <w:r w:rsidRPr="007A45A4">
        <w:rPr>
          <w:rFonts w:eastAsia="Times New Roman" w:cstheme="minorHAnsi"/>
          <w:sz w:val="24"/>
          <w:szCs w:val="24"/>
          <w:lang w:eastAsia="en-GB"/>
        </w:rPr>
        <w:t>developing unified professional status, mentoring structures, and shared leadership standards that respect the complexity of inclusive work.</w:t>
      </w:r>
    </w:p>
    <w:p w14:paraId="2FDCBB67" w14:textId="553B1678" w:rsidR="007A45A4" w:rsidRPr="007A45A4" w:rsidRDefault="007A45A4" w:rsidP="00C636DF">
      <w:pPr>
        <w:spacing w:after="120" w:line="360" w:lineRule="auto"/>
        <w:rPr>
          <w:rFonts w:eastAsia="Times New Roman" w:cstheme="minorHAnsi"/>
          <w:sz w:val="24"/>
          <w:szCs w:val="24"/>
          <w:lang w:eastAsia="en-GB"/>
        </w:rPr>
      </w:pPr>
      <w:r w:rsidRPr="007A45A4">
        <w:rPr>
          <w:rFonts w:eastAsia="Times New Roman" w:cstheme="minorHAnsi"/>
          <w:sz w:val="24"/>
          <w:szCs w:val="24"/>
          <w:lang w:eastAsia="en-GB"/>
        </w:rPr>
        <w:t>True inclusion in Wales will depend not only on policy but on culture</w:t>
      </w:r>
      <w:r w:rsidR="00BA2334">
        <w:rPr>
          <w:rFonts w:eastAsia="Times New Roman" w:cstheme="minorHAnsi"/>
          <w:sz w:val="24"/>
          <w:szCs w:val="24"/>
          <w:lang w:eastAsia="en-GB"/>
        </w:rPr>
        <w:t xml:space="preserve">, </w:t>
      </w:r>
      <w:r w:rsidRPr="007A45A4">
        <w:rPr>
          <w:rFonts w:eastAsia="Times New Roman" w:cstheme="minorHAnsi"/>
          <w:sz w:val="24"/>
          <w:szCs w:val="24"/>
          <w:lang w:eastAsia="en-GB"/>
        </w:rPr>
        <w:t>on the everyday decisions of leaders who resist both tokenism and bureaucracy. When ALNET’s legal foundations align with the creative ethics of the Curriculum for Wales in reflective practice, inclusion becomes a lived experience rather than an aspiration. Through sustained investment in professional learning, equitable workforce reform and courageous, empathetic leadership, Wales can realise its vision of early</w:t>
      </w:r>
      <w:r w:rsidRPr="007A45A4">
        <w:rPr>
          <w:rFonts w:eastAsia="Times New Roman" w:cstheme="minorHAnsi"/>
          <w:sz w:val="24"/>
          <w:szCs w:val="24"/>
          <w:lang w:eastAsia="en-GB"/>
        </w:rPr>
        <w:noBreakHyphen/>
        <w:t>years settings as inclusive communities where every child’s identity, language and potential are valued equally.</w:t>
      </w:r>
    </w:p>
    <w:p w14:paraId="75DA3232" w14:textId="77777777" w:rsidR="000114DB" w:rsidRDefault="000114DB" w:rsidP="00C636DF">
      <w:pPr>
        <w:spacing w:line="360" w:lineRule="auto"/>
      </w:pPr>
    </w:p>
    <w:p w14:paraId="66E9AD95" w14:textId="77777777" w:rsidR="000114DB" w:rsidRDefault="000114DB" w:rsidP="00C636DF">
      <w:pPr>
        <w:spacing w:line="360" w:lineRule="auto"/>
      </w:pPr>
    </w:p>
    <w:p w14:paraId="54EAF9F2" w14:textId="77777777" w:rsidR="00C636DF" w:rsidRDefault="00C636DF" w:rsidP="00C636DF">
      <w:pPr>
        <w:spacing w:line="360" w:lineRule="auto"/>
      </w:pPr>
    </w:p>
    <w:p w14:paraId="7F78A978" w14:textId="2000AC9E" w:rsidR="00155604" w:rsidRPr="00155604" w:rsidRDefault="00155604" w:rsidP="00C636DF">
      <w:pPr>
        <w:spacing w:line="360" w:lineRule="auto"/>
        <w:rPr>
          <w:b/>
          <w:bCs/>
          <w:sz w:val="24"/>
          <w:szCs w:val="24"/>
          <w:u w:val="single"/>
        </w:rPr>
      </w:pPr>
      <w:r w:rsidRPr="00155604">
        <w:rPr>
          <w:b/>
          <w:bCs/>
          <w:sz w:val="24"/>
          <w:szCs w:val="24"/>
          <w:u w:val="single"/>
        </w:rPr>
        <w:lastRenderedPageBreak/>
        <w:t xml:space="preserve">Reference List </w:t>
      </w:r>
    </w:p>
    <w:p w14:paraId="6CEC2066" w14:textId="7740A86F" w:rsidR="000114DB" w:rsidRPr="007A45A4" w:rsidRDefault="000114DB" w:rsidP="00A901B7">
      <w:pPr>
        <w:spacing w:line="360" w:lineRule="auto"/>
        <w:rPr>
          <w:sz w:val="24"/>
          <w:szCs w:val="24"/>
        </w:rPr>
      </w:pPr>
      <w:r w:rsidRPr="007A45A4">
        <w:rPr>
          <w:sz w:val="24"/>
          <w:szCs w:val="24"/>
        </w:rPr>
        <w:t>Ainscow, M. (2020)</w:t>
      </w:r>
      <w:r w:rsidRPr="00155604">
        <w:rPr>
          <w:i/>
          <w:iCs/>
          <w:sz w:val="24"/>
          <w:szCs w:val="24"/>
        </w:rPr>
        <w:t> Promoting Equity in Education.</w:t>
      </w:r>
      <w:r w:rsidRPr="007A45A4">
        <w:rPr>
          <w:sz w:val="24"/>
          <w:szCs w:val="24"/>
        </w:rPr>
        <w:t> Routledge.</w:t>
      </w:r>
      <w:r w:rsidRPr="007A45A4">
        <w:rPr>
          <w:sz w:val="24"/>
          <w:szCs w:val="24"/>
        </w:rPr>
        <w:br/>
        <w:t>Andrews, R. and Lewis, J. (2020) ‘</w:t>
      </w:r>
      <w:r w:rsidRPr="00155604">
        <w:rPr>
          <w:i/>
          <w:iCs/>
          <w:sz w:val="24"/>
          <w:szCs w:val="24"/>
        </w:rPr>
        <w:t>Multicultural education and policy tensions in Wales’</w:t>
      </w:r>
      <w:r w:rsidRPr="007A45A4">
        <w:rPr>
          <w:sz w:val="24"/>
          <w:szCs w:val="24"/>
        </w:rPr>
        <w:t>, British Educational Research Journal, 46(5), 1050–1072.</w:t>
      </w:r>
      <w:r w:rsidRPr="007A45A4">
        <w:rPr>
          <w:sz w:val="24"/>
          <w:szCs w:val="24"/>
        </w:rPr>
        <w:br/>
        <w:t>Bache, I., Rees, J. and Woods, A. (2022) ‘</w:t>
      </w:r>
      <w:r w:rsidRPr="00155604">
        <w:rPr>
          <w:i/>
          <w:iCs/>
          <w:sz w:val="24"/>
          <w:szCs w:val="24"/>
        </w:rPr>
        <w:t>Realising the Well</w:t>
      </w:r>
      <w:r w:rsidRPr="00155604">
        <w:rPr>
          <w:i/>
          <w:iCs/>
          <w:sz w:val="24"/>
          <w:szCs w:val="24"/>
        </w:rPr>
        <w:noBreakHyphen/>
        <w:t>being of Future Generations Act?’,</w:t>
      </w:r>
      <w:r w:rsidRPr="007A45A4">
        <w:rPr>
          <w:sz w:val="24"/>
          <w:szCs w:val="24"/>
        </w:rPr>
        <w:t> Public Policy and Administration, 37(4), 393–409.</w:t>
      </w:r>
      <w:r w:rsidRPr="007A45A4">
        <w:rPr>
          <w:sz w:val="24"/>
          <w:szCs w:val="24"/>
        </w:rPr>
        <w:br/>
        <w:t>Baldock, P., Fitzgerald, D. and Kay, J. (2013) </w:t>
      </w:r>
      <w:r w:rsidR="00155604">
        <w:rPr>
          <w:sz w:val="24"/>
          <w:szCs w:val="24"/>
        </w:rPr>
        <w:t>’</w:t>
      </w:r>
      <w:r w:rsidRPr="00155604">
        <w:rPr>
          <w:i/>
          <w:iCs/>
          <w:sz w:val="24"/>
          <w:szCs w:val="24"/>
        </w:rPr>
        <w:t>What Is Policy and Why Is It Important?</w:t>
      </w:r>
      <w:r w:rsidR="00155604">
        <w:rPr>
          <w:i/>
          <w:iCs/>
          <w:sz w:val="24"/>
          <w:szCs w:val="24"/>
        </w:rPr>
        <w:t>’</w:t>
      </w:r>
      <w:r w:rsidRPr="00155604">
        <w:rPr>
          <w:i/>
          <w:iCs/>
          <w:sz w:val="24"/>
          <w:szCs w:val="24"/>
        </w:rPr>
        <w:t> </w:t>
      </w:r>
      <w:r w:rsidRPr="007A45A4">
        <w:rPr>
          <w:sz w:val="24"/>
          <w:szCs w:val="24"/>
        </w:rPr>
        <w:t>London: SAGE.</w:t>
      </w:r>
      <w:r w:rsidRPr="007A45A4">
        <w:rPr>
          <w:sz w:val="24"/>
          <w:szCs w:val="24"/>
        </w:rPr>
        <w:br/>
        <w:t>Boyd, P. and Hordern, J. (2022) </w:t>
      </w:r>
      <w:r w:rsidRPr="00155604">
        <w:rPr>
          <w:i/>
          <w:iCs/>
          <w:sz w:val="24"/>
          <w:szCs w:val="24"/>
        </w:rPr>
        <w:t>‘Early Years professionalism and workforce challenges’</w:t>
      </w:r>
      <w:r w:rsidRPr="007A45A4">
        <w:rPr>
          <w:sz w:val="24"/>
          <w:szCs w:val="24"/>
        </w:rPr>
        <w:t>, Early Child </w:t>
      </w:r>
      <w:r w:rsidR="00BA2334" w:rsidRPr="007A45A4">
        <w:rPr>
          <w:sz w:val="24"/>
          <w:szCs w:val="24"/>
        </w:rPr>
        <w:t>Development,</w:t>
      </w:r>
      <w:r w:rsidRPr="007A45A4">
        <w:rPr>
          <w:sz w:val="24"/>
          <w:szCs w:val="24"/>
        </w:rPr>
        <w:t> and Care, 192(7), 1071–1085.</w:t>
      </w:r>
      <w:r w:rsidRPr="007A45A4">
        <w:rPr>
          <w:sz w:val="24"/>
          <w:szCs w:val="24"/>
        </w:rPr>
        <w:br/>
        <w:t>Broomhead, K. E. and Hunter</w:t>
      </w:r>
      <w:r w:rsidRPr="007A45A4">
        <w:rPr>
          <w:sz w:val="24"/>
          <w:szCs w:val="24"/>
        </w:rPr>
        <w:noBreakHyphen/>
        <w:t>Carsch, M. (2020) </w:t>
      </w:r>
      <w:r w:rsidRPr="00155604">
        <w:rPr>
          <w:i/>
          <w:iCs/>
          <w:sz w:val="24"/>
          <w:szCs w:val="24"/>
        </w:rPr>
        <w:t>Supporting Inclusion in Early Years Practice</w:t>
      </w:r>
      <w:r w:rsidRPr="007A45A4">
        <w:rPr>
          <w:sz w:val="24"/>
          <w:szCs w:val="24"/>
        </w:rPr>
        <w:t>. Routledge.</w:t>
      </w:r>
      <w:r w:rsidRPr="007A45A4">
        <w:rPr>
          <w:sz w:val="24"/>
          <w:szCs w:val="24"/>
        </w:rPr>
        <w:br/>
        <w:t>Bush, T. (2020)</w:t>
      </w:r>
      <w:r w:rsidRPr="00155604">
        <w:rPr>
          <w:i/>
          <w:iCs/>
          <w:sz w:val="24"/>
          <w:szCs w:val="24"/>
        </w:rPr>
        <w:t> Theories of Educational Leadership and Management </w:t>
      </w:r>
      <w:r w:rsidRPr="007A45A4">
        <w:rPr>
          <w:sz w:val="24"/>
          <w:szCs w:val="24"/>
        </w:rPr>
        <w:t>(5th ed.). SAGE.</w:t>
      </w:r>
      <w:r w:rsidRPr="007A45A4">
        <w:rPr>
          <w:sz w:val="24"/>
          <w:szCs w:val="24"/>
        </w:rPr>
        <w:br/>
        <w:t>Cann, R. (2023) </w:t>
      </w:r>
      <w:r w:rsidRPr="00155604">
        <w:rPr>
          <w:i/>
          <w:iCs/>
          <w:sz w:val="24"/>
          <w:szCs w:val="24"/>
        </w:rPr>
        <w:t>‘Developing the role of the ALNCo in Early Years Provision’,</w:t>
      </w:r>
      <w:r w:rsidRPr="007A45A4">
        <w:rPr>
          <w:sz w:val="24"/>
          <w:szCs w:val="24"/>
        </w:rPr>
        <w:t> Wales Journal of Education, 25(3), 201–219.</w:t>
      </w:r>
      <w:r w:rsidRPr="007A45A4">
        <w:rPr>
          <w:sz w:val="24"/>
          <w:szCs w:val="24"/>
        </w:rPr>
        <w:br/>
        <w:t>Children’s Commissioner for Wales (2021)</w:t>
      </w:r>
      <w:r w:rsidRPr="00155604">
        <w:rPr>
          <w:i/>
          <w:iCs/>
          <w:sz w:val="24"/>
          <w:szCs w:val="24"/>
        </w:rPr>
        <w:t> The Right Way: A Children’s Rights Approach to</w:t>
      </w:r>
      <w:r w:rsidR="00C636DF">
        <w:rPr>
          <w:i/>
          <w:iCs/>
          <w:sz w:val="24"/>
          <w:szCs w:val="24"/>
        </w:rPr>
        <w:t xml:space="preserve"> </w:t>
      </w:r>
      <w:r w:rsidRPr="00155604">
        <w:rPr>
          <w:i/>
          <w:iCs/>
          <w:sz w:val="24"/>
          <w:szCs w:val="24"/>
        </w:rPr>
        <w:t> Education in Wales</w:t>
      </w:r>
      <w:r w:rsidRPr="007A45A4">
        <w:rPr>
          <w:sz w:val="24"/>
          <w:szCs w:val="24"/>
        </w:rPr>
        <w:t>. Cardiff.</w:t>
      </w:r>
      <w:r w:rsidRPr="007A45A4">
        <w:rPr>
          <w:sz w:val="24"/>
          <w:szCs w:val="24"/>
        </w:rPr>
        <w:br/>
        <w:t>Clark, A. (2020)</w:t>
      </w:r>
      <w:r w:rsidRPr="00155604">
        <w:rPr>
          <w:i/>
          <w:iCs/>
          <w:sz w:val="24"/>
          <w:szCs w:val="24"/>
        </w:rPr>
        <w:t> Listening to Young Children: The Mosaic Approach</w:t>
      </w:r>
      <w:r w:rsidRPr="007A45A4">
        <w:rPr>
          <w:sz w:val="24"/>
          <w:szCs w:val="24"/>
        </w:rPr>
        <w:t>. Jessica Kingsley.</w:t>
      </w:r>
      <w:r w:rsidRPr="007A45A4">
        <w:rPr>
          <w:sz w:val="24"/>
          <w:szCs w:val="24"/>
        </w:rPr>
        <w:br/>
        <w:t>Cottle, M. and Alexander, E. (2014) </w:t>
      </w:r>
      <w:r w:rsidRPr="00155604">
        <w:rPr>
          <w:i/>
          <w:iCs/>
          <w:sz w:val="24"/>
          <w:szCs w:val="24"/>
        </w:rPr>
        <w:t>‘Parent partnership and “quality” early years services’</w:t>
      </w:r>
      <w:r w:rsidRPr="007A45A4">
        <w:rPr>
          <w:sz w:val="24"/>
          <w:szCs w:val="24"/>
        </w:rPr>
        <w:t>,</w:t>
      </w:r>
      <w:r w:rsidR="00C636DF">
        <w:rPr>
          <w:sz w:val="24"/>
          <w:szCs w:val="24"/>
        </w:rPr>
        <w:t xml:space="preserve"> </w:t>
      </w:r>
      <w:r w:rsidRPr="007A45A4">
        <w:rPr>
          <w:sz w:val="24"/>
          <w:szCs w:val="24"/>
        </w:rPr>
        <w:t> European Early Childhood Education Research Journal, 22(5), 637–659.</w:t>
      </w:r>
      <w:r w:rsidRPr="007A45A4">
        <w:rPr>
          <w:sz w:val="24"/>
          <w:szCs w:val="24"/>
        </w:rPr>
        <w:br/>
        <w:t>Dallymore, B. (2019a)</w:t>
      </w:r>
      <w:r w:rsidRPr="00155604">
        <w:rPr>
          <w:i/>
          <w:iCs/>
          <w:sz w:val="24"/>
          <w:szCs w:val="24"/>
        </w:rPr>
        <w:t> Early Childhood Education and Care in Wales: An Introduction </w:t>
      </w:r>
      <w:r w:rsidR="00C636DF">
        <w:rPr>
          <w:i/>
          <w:iCs/>
          <w:sz w:val="24"/>
          <w:szCs w:val="24"/>
        </w:rPr>
        <w:t xml:space="preserve"> </w:t>
      </w:r>
      <w:r w:rsidRPr="00155604">
        <w:rPr>
          <w:i/>
          <w:iCs/>
          <w:sz w:val="24"/>
          <w:szCs w:val="24"/>
        </w:rPr>
        <w:t>Research Briefing</w:t>
      </w:r>
      <w:r w:rsidRPr="007A45A4">
        <w:rPr>
          <w:sz w:val="24"/>
          <w:szCs w:val="24"/>
        </w:rPr>
        <w:t>. Cardiff: Welsh Government.</w:t>
      </w:r>
      <w:r w:rsidRPr="007A45A4">
        <w:rPr>
          <w:sz w:val="24"/>
          <w:szCs w:val="24"/>
        </w:rPr>
        <w:br/>
        <w:t>Dallymore, B. (2019b) </w:t>
      </w:r>
      <w:r w:rsidRPr="00155604">
        <w:rPr>
          <w:i/>
          <w:iCs/>
          <w:sz w:val="24"/>
          <w:szCs w:val="24"/>
        </w:rPr>
        <w:t>Addysg a Gofal Plentyndod Cynnar yng Nghymru: Cyflwyniad – Briff Ymchwil. </w:t>
      </w:r>
      <w:r w:rsidRPr="007A45A4">
        <w:rPr>
          <w:sz w:val="24"/>
          <w:szCs w:val="24"/>
        </w:rPr>
        <w:t>Llywodraeth Cymru.</w:t>
      </w:r>
      <w:r w:rsidRPr="007A45A4">
        <w:rPr>
          <w:sz w:val="24"/>
          <w:szCs w:val="24"/>
        </w:rPr>
        <w:br/>
        <w:t>Evans, M. (2022) </w:t>
      </w:r>
      <w:r w:rsidRPr="00155604">
        <w:rPr>
          <w:i/>
          <w:iCs/>
          <w:sz w:val="24"/>
          <w:szCs w:val="24"/>
        </w:rPr>
        <w:t>Leadership and Management of ALN</w:t>
      </w:r>
      <w:r w:rsidRPr="007A45A4">
        <w:rPr>
          <w:sz w:val="24"/>
          <w:szCs w:val="24"/>
        </w:rPr>
        <w:t>. Aberystwyth University.</w:t>
      </w:r>
      <w:r w:rsidRPr="007A45A4">
        <w:rPr>
          <w:sz w:val="24"/>
          <w:szCs w:val="24"/>
        </w:rPr>
        <w:br/>
        <w:t>Ferdman, B. M., Prime, J. and Riggio, R. E. (2020)</w:t>
      </w:r>
      <w:r w:rsidRPr="00155604">
        <w:rPr>
          <w:i/>
          <w:iCs/>
          <w:sz w:val="24"/>
          <w:szCs w:val="24"/>
        </w:rPr>
        <w:t> Inclusive Leadership: Transforming Diverse Lives, </w:t>
      </w:r>
      <w:r w:rsidR="00BA2334" w:rsidRPr="00155604">
        <w:rPr>
          <w:i/>
          <w:iCs/>
          <w:sz w:val="24"/>
          <w:szCs w:val="24"/>
        </w:rPr>
        <w:t>Workplaces,</w:t>
      </w:r>
      <w:r w:rsidRPr="00155604">
        <w:rPr>
          <w:i/>
          <w:iCs/>
          <w:sz w:val="24"/>
          <w:szCs w:val="24"/>
        </w:rPr>
        <w:t> and Societies</w:t>
      </w:r>
      <w:r w:rsidRPr="007A45A4">
        <w:rPr>
          <w:sz w:val="24"/>
          <w:szCs w:val="24"/>
        </w:rPr>
        <w:t>. Routledge.</w:t>
      </w:r>
      <w:r w:rsidRPr="007A45A4">
        <w:rPr>
          <w:sz w:val="24"/>
          <w:szCs w:val="24"/>
        </w:rPr>
        <w:br/>
        <w:t>Garwood, J. and McAlister, K. (2021) </w:t>
      </w:r>
      <w:r w:rsidRPr="00155604">
        <w:rPr>
          <w:i/>
          <w:iCs/>
          <w:sz w:val="24"/>
          <w:szCs w:val="24"/>
        </w:rPr>
        <w:t>‘Implementation of the ALNET Act and Inclusive </w:t>
      </w:r>
      <w:r w:rsidR="00C636DF">
        <w:rPr>
          <w:i/>
          <w:iCs/>
          <w:sz w:val="24"/>
          <w:szCs w:val="24"/>
        </w:rPr>
        <w:t xml:space="preserve"> </w:t>
      </w:r>
      <w:r w:rsidRPr="00155604">
        <w:rPr>
          <w:i/>
          <w:iCs/>
          <w:sz w:val="24"/>
          <w:szCs w:val="24"/>
        </w:rPr>
        <w:t>Education in Wales’</w:t>
      </w:r>
      <w:r w:rsidRPr="007A45A4">
        <w:rPr>
          <w:sz w:val="24"/>
          <w:szCs w:val="24"/>
        </w:rPr>
        <w:t>, Educational Review Wales, 64(1), 85–98.</w:t>
      </w:r>
      <w:r w:rsidRPr="007A45A4">
        <w:rPr>
          <w:sz w:val="24"/>
          <w:szCs w:val="24"/>
        </w:rPr>
        <w:br/>
        <w:t>Gillborn, D., Warmington, P. and Demack, S. (2021) </w:t>
      </w:r>
      <w:r w:rsidRPr="00155604">
        <w:rPr>
          <w:i/>
          <w:iCs/>
          <w:sz w:val="24"/>
          <w:szCs w:val="24"/>
        </w:rPr>
        <w:t>‘QuantCrit and Intersectionality in</w:t>
      </w:r>
      <w:r w:rsidR="00C636DF">
        <w:rPr>
          <w:i/>
          <w:iCs/>
          <w:sz w:val="24"/>
          <w:szCs w:val="24"/>
        </w:rPr>
        <w:t xml:space="preserve"> </w:t>
      </w:r>
      <w:r w:rsidRPr="00155604">
        <w:rPr>
          <w:i/>
          <w:iCs/>
          <w:sz w:val="24"/>
          <w:szCs w:val="24"/>
        </w:rPr>
        <w:t> Education Policy Research’,</w:t>
      </w:r>
      <w:r w:rsidRPr="007A45A4">
        <w:rPr>
          <w:sz w:val="24"/>
          <w:szCs w:val="24"/>
        </w:rPr>
        <w:t> Race, </w:t>
      </w:r>
      <w:r w:rsidR="00BA2334" w:rsidRPr="007A45A4">
        <w:rPr>
          <w:sz w:val="24"/>
          <w:szCs w:val="24"/>
        </w:rPr>
        <w:t>Ethnicity,</w:t>
      </w:r>
      <w:r w:rsidRPr="007A45A4">
        <w:rPr>
          <w:sz w:val="24"/>
          <w:szCs w:val="24"/>
        </w:rPr>
        <w:t> and Education, 24(4), 569–589.</w:t>
      </w:r>
      <w:r w:rsidRPr="007A45A4">
        <w:rPr>
          <w:sz w:val="24"/>
          <w:szCs w:val="24"/>
        </w:rPr>
        <w:br/>
      </w:r>
      <w:r w:rsidRPr="007A45A4">
        <w:rPr>
          <w:sz w:val="24"/>
          <w:szCs w:val="24"/>
        </w:rPr>
        <w:lastRenderedPageBreak/>
        <w:t>Goleman, D., Boyatzis, R. and McKee, A. (2013)</w:t>
      </w:r>
      <w:r w:rsidRPr="00155604">
        <w:rPr>
          <w:i/>
          <w:iCs/>
          <w:sz w:val="24"/>
          <w:szCs w:val="24"/>
        </w:rPr>
        <w:t> Primal Leadership. Harvard Business Press.</w:t>
      </w:r>
      <w:r w:rsidRPr="007A45A4">
        <w:rPr>
          <w:sz w:val="24"/>
          <w:szCs w:val="24"/>
        </w:rPr>
        <w:br/>
        <w:t>Knight, D. and Criock, S. (2021)</w:t>
      </w:r>
      <w:r w:rsidRPr="00155604">
        <w:rPr>
          <w:i/>
          <w:iCs/>
          <w:sz w:val="24"/>
          <w:szCs w:val="24"/>
        </w:rPr>
        <w:t> ‘Inclusive Education in Wales: Interpreting Discourses of </w:t>
      </w:r>
      <w:r w:rsidR="00C636DF">
        <w:rPr>
          <w:i/>
          <w:iCs/>
          <w:sz w:val="24"/>
          <w:szCs w:val="24"/>
        </w:rPr>
        <w:t xml:space="preserve"> </w:t>
      </w:r>
      <w:r w:rsidRPr="00155604">
        <w:rPr>
          <w:i/>
          <w:iCs/>
          <w:sz w:val="24"/>
          <w:szCs w:val="24"/>
        </w:rPr>
        <w:t>Values and Practice’</w:t>
      </w:r>
      <w:r w:rsidRPr="007A45A4">
        <w:rPr>
          <w:sz w:val="24"/>
          <w:szCs w:val="24"/>
        </w:rPr>
        <w:t>, British Journal of Educational Studies, 69(6), 721–737.</w:t>
      </w:r>
      <w:r w:rsidRPr="007A45A4">
        <w:rPr>
          <w:sz w:val="24"/>
          <w:szCs w:val="24"/>
        </w:rPr>
        <w:br/>
        <w:t>Liasidou, A. (2015) </w:t>
      </w:r>
      <w:r w:rsidRPr="00155604">
        <w:rPr>
          <w:i/>
          <w:iCs/>
          <w:sz w:val="24"/>
          <w:szCs w:val="24"/>
        </w:rPr>
        <w:t>Inclusive Education and the Issue of Change.</w:t>
      </w:r>
      <w:r w:rsidRPr="007A45A4">
        <w:rPr>
          <w:sz w:val="24"/>
          <w:szCs w:val="24"/>
        </w:rPr>
        <w:t> Palgrave Macmillan.</w:t>
      </w:r>
      <w:r w:rsidRPr="007A45A4">
        <w:rPr>
          <w:sz w:val="24"/>
          <w:szCs w:val="24"/>
        </w:rPr>
        <w:br/>
        <w:t>Llywodraeth Cymru (2022) </w:t>
      </w:r>
      <w:r w:rsidRPr="00155604">
        <w:rPr>
          <w:i/>
          <w:iCs/>
          <w:sz w:val="24"/>
          <w:szCs w:val="24"/>
        </w:rPr>
        <w:t>Cwricwlwm ar gyfer Lleoliadau Meithrin nas Cynhelir</w:t>
      </w:r>
      <w:r w:rsidRPr="007A45A4">
        <w:rPr>
          <w:sz w:val="24"/>
          <w:szCs w:val="24"/>
        </w:rPr>
        <w:t>. Cardiff.</w:t>
      </w:r>
      <w:r w:rsidRPr="007A45A4">
        <w:rPr>
          <w:sz w:val="24"/>
          <w:szCs w:val="24"/>
        </w:rPr>
        <w:br/>
        <w:t>Nation Cymru (2021) </w:t>
      </w:r>
      <w:r w:rsidRPr="00155604">
        <w:rPr>
          <w:i/>
          <w:iCs/>
          <w:sz w:val="24"/>
          <w:szCs w:val="24"/>
        </w:rPr>
        <w:t>‘Teaching Cultural History in Wales Is Not Working</w:t>
      </w:r>
      <w:r w:rsidRPr="007A45A4">
        <w:rPr>
          <w:sz w:val="24"/>
          <w:szCs w:val="24"/>
        </w:rPr>
        <w:t>.’ Available at: </w:t>
      </w:r>
      <w:r w:rsidR="00C636DF">
        <w:rPr>
          <w:sz w:val="24"/>
          <w:szCs w:val="24"/>
        </w:rPr>
        <w:t xml:space="preserve"> </w:t>
      </w:r>
      <w:hyperlink r:id="rId10" w:tgtFrame="_blank" w:history="1">
        <w:proofErr w:type="spellStart"/>
        <w:r w:rsidRPr="007A45A4">
          <w:rPr>
            <w:rStyle w:val="Hyperlink"/>
            <w:sz w:val="24"/>
            <w:szCs w:val="24"/>
          </w:rPr>
          <w:t>nation.cymru</w:t>
        </w:r>
        <w:proofErr w:type="spellEnd"/>
      </w:hyperlink>
      <w:r w:rsidRPr="007A45A4">
        <w:rPr>
          <w:sz w:val="24"/>
          <w:szCs w:val="24"/>
        </w:rPr>
        <w:br/>
        <w:t>OECD (2021) </w:t>
      </w:r>
      <w:r w:rsidRPr="00155604">
        <w:rPr>
          <w:i/>
          <w:iCs/>
          <w:sz w:val="24"/>
          <w:szCs w:val="24"/>
        </w:rPr>
        <w:t>Bridging the Gap Between Policy and Practice in Early Childhood Education</w:t>
      </w:r>
      <w:r w:rsidRPr="007A45A4">
        <w:rPr>
          <w:sz w:val="24"/>
          <w:szCs w:val="24"/>
        </w:rPr>
        <w:t>. </w:t>
      </w:r>
      <w:r w:rsidR="00C636DF">
        <w:rPr>
          <w:sz w:val="24"/>
          <w:szCs w:val="24"/>
        </w:rPr>
        <w:t xml:space="preserve">  </w:t>
      </w:r>
      <w:r w:rsidRPr="007A45A4">
        <w:rPr>
          <w:sz w:val="24"/>
          <w:szCs w:val="24"/>
        </w:rPr>
        <w:t>Paris: OECD Publishing.</w:t>
      </w:r>
      <w:r w:rsidRPr="007A45A4">
        <w:rPr>
          <w:sz w:val="24"/>
          <w:szCs w:val="24"/>
        </w:rPr>
        <w:br/>
        <w:t>Osgood, J. (2019)</w:t>
      </w:r>
      <w:r w:rsidRPr="00155604">
        <w:rPr>
          <w:i/>
          <w:iCs/>
          <w:sz w:val="24"/>
          <w:szCs w:val="24"/>
        </w:rPr>
        <w:t> Narratives from the Nursery: Negotiating Professional Identities in Early </w:t>
      </w:r>
      <w:r w:rsidR="00C636DF">
        <w:rPr>
          <w:i/>
          <w:iCs/>
          <w:sz w:val="24"/>
          <w:szCs w:val="24"/>
        </w:rPr>
        <w:t xml:space="preserve"> </w:t>
      </w:r>
      <w:r w:rsidRPr="00155604">
        <w:rPr>
          <w:i/>
          <w:iCs/>
          <w:sz w:val="24"/>
          <w:szCs w:val="24"/>
        </w:rPr>
        <w:t>Childhood.</w:t>
      </w:r>
      <w:r w:rsidRPr="007A45A4">
        <w:rPr>
          <w:sz w:val="24"/>
          <w:szCs w:val="24"/>
        </w:rPr>
        <w:t> Routledge.</w:t>
      </w:r>
      <w:r w:rsidRPr="007A45A4">
        <w:rPr>
          <w:sz w:val="24"/>
          <w:szCs w:val="24"/>
        </w:rPr>
        <w:br/>
        <w:t>Polisi Cymru Wrth</w:t>
      </w:r>
      <w:r w:rsidRPr="007A45A4">
        <w:rPr>
          <w:sz w:val="24"/>
          <w:szCs w:val="24"/>
        </w:rPr>
        <w:noBreakHyphen/>
        <w:t>Hiliol (2022)</w:t>
      </w:r>
      <w:r w:rsidRPr="00155604">
        <w:rPr>
          <w:i/>
          <w:iCs/>
          <w:sz w:val="24"/>
          <w:szCs w:val="24"/>
        </w:rPr>
        <w:t> An Anti</w:t>
      </w:r>
      <w:r w:rsidRPr="00155604">
        <w:rPr>
          <w:i/>
          <w:iCs/>
          <w:sz w:val="24"/>
          <w:szCs w:val="24"/>
        </w:rPr>
        <w:noBreakHyphen/>
        <w:t>Racist Wales Action Plan</w:t>
      </w:r>
      <w:r w:rsidRPr="007A45A4">
        <w:rPr>
          <w:sz w:val="24"/>
          <w:szCs w:val="24"/>
        </w:rPr>
        <w:t>. Llywodraeth Cymru.</w:t>
      </w:r>
      <w:r w:rsidRPr="007A45A4">
        <w:rPr>
          <w:sz w:val="24"/>
          <w:szCs w:val="24"/>
        </w:rPr>
        <w:br/>
        <w:t>Ryan, J. (2016)</w:t>
      </w:r>
      <w:r w:rsidRPr="00155604">
        <w:rPr>
          <w:i/>
          <w:iCs/>
          <w:sz w:val="24"/>
          <w:szCs w:val="24"/>
        </w:rPr>
        <w:t> Promoting Inclusive Leadership in Schools.</w:t>
      </w:r>
      <w:r w:rsidRPr="007A45A4">
        <w:rPr>
          <w:sz w:val="24"/>
          <w:szCs w:val="24"/>
        </w:rPr>
        <w:t> Teachers College Press.</w:t>
      </w:r>
      <w:r w:rsidRPr="007A45A4">
        <w:rPr>
          <w:sz w:val="24"/>
          <w:szCs w:val="24"/>
        </w:rPr>
        <w:br/>
        <w:t>Siraj, I. and Hallet, E. (2016)</w:t>
      </w:r>
      <w:r w:rsidRPr="00155604">
        <w:rPr>
          <w:i/>
          <w:iCs/>
          <w:sz w:val="24"/>
          <w:szCs w:val="24"/>
        </w:rPr>
        <w:t> Effective and Caring Leadership in the Early Years. </w:t>
      </w:r>
      <w:r w:rsidRPr="007A45A4">
        <w:rPr>
          <w:sz w:val="24"/>
          <w:szCs w:val="24"/>
        </w:rPr>
        <w:t>SAGE.</w:t>
      </w:r>
      <w:r w:rsidRPr="007A45A4">
        <w:rPr>
          <w:sz w:val="24"/>
          <w:szCs w:val="24"/>
        </w:rPr>
        <w:br/>
        <w:t>Spillane, J. (2012) Distributed Leadership. Jossey</w:t>
      </w:r>
      <w:r w:rsidRPr="007A45A4">
        <w:rPr>
          <w:sz w:val="24"/>
          <w:szCs w:val="24"/>
        </w:rPr>
        <w:noBreakHyphen/>
        <w:t>Bass.</w:t>
      </w:r>
      <w:r w:rsidRPr="007A45A4">
        <w:rPr>
          <w:sz w:val="24"/>
          <w:szCs w:val="24"/>
        </w:rPr>
        <w:br/>
        <w:t>WCVA (2018)</w:t>
      </w:r>
      <w:r w:rsidRPr="00155604">
        <w:rPr>
          <w:i/>
          <w:iCs/>
          <w:sz w:val="24"/>
          <w:szCs w:val="24"/>
        </w:rPr>
        <w:t> The Ways of Working of the Future Generations Act.</w:t>
      </w:r>
      <w:r w:rsidRPr="007A45A4">
        <w:rPr>
          <w:sz w:val="24"/>
          <w:szCs w:val="24"/>
        </w:rPr>
        <w:t> Cardiff.</w:t>
      </w:r>
      <w:r w:rsidRPr="007A45A4">
        <w:rPr>
          <w:sz w:val="24"/>
          <w:szCs w:val="24"/>
        </w:rPr>
        <w:br/>
        <w:t>Welsh Government (2015)</w:t>
      </w:r>
      <w:r w:rsidRPr="00155604">
        <w:rPr>
          <w:i/>
          <w:iCs/>
          <w:sz w:val="24"/>
          <w:szCs w:val="24"/>
        </w:rPr>
        <w:t> Well</w:t>
      </w:r>
      <w:r w:rsidRPr="00155604">
        <w:rPr>
          <w:i/>
          <w:iCs/>
          <w:sz w:val="24"/>
          <w:szCs w:val="24"/>
        </w:rPr>
        <w:noBreakHyphen/>
        <w:t>being of Future Generations </w:t>
      </w:r>
      <w:r w:rsidRPr="007A45A4">
        <w:rPr>
          <w:sz w:val="24"/>
          <w:szCs w:val="24"/>
        </w:rPr>
        <w:t>(Wales) Act 2015.</w:t>
      </w:r>
      <w:r w:rsidRPr="007A45A4">
        <w:rPr>
          <w:sz w:val="24"/>
          <w:szCs w:val="24"/>
        </w:rPr>
        <w:br/>
        <w:t>Welsh Government (2018) </w:t>
      </w:r>
      <w:r w:rsidRPr="00155604">
        <w:rPr>
          <w:i/>
          <w:iCs/>
          <w:sz w:val="24"/>
          <w:szCs w:val="24"/>
        </w:rPr>
        <w:t>Additional Learning Needs and Education Tribunal (Wales) Act.</w:t>
      </w:r>
      <w:r w:rsidRPr="007A45A4">
        <w:rPr>
          <w:sz w:val="24"/>
          <w:szCs w:val="24"/>
        </w:rPr>
        <w:br/>
        <w:t>Welsh Government (2020) </w:t>
      </w:r>
      <w:r w:rsidRPr="00155604">
        <w:rPr>
          <w:i/>
          <w:iCs/>
          <w:sz w:val="24"/>
          <w:szCs w:val="24"/>
        </w:rPr>
        <w:t>Curriculum for Wales Guidance</w:t>
      </w:r>
      <w:r w:rsidRPr="007A45A4">
        <w:rPr>
          <w:sz w:val="24"/>
          <w:szCs w:val="24"/>
        </w:rPr>
        <w:t>.</w:t>
      </w:r>
      <w:r w:rsidRPr="007A45A4">
        <w:rPr>
          <w:sz w:val="24"/>
          <w:szCs w:val="24"/>
        </w:rPr>
        <w:br/>
        <w:t>Welsh Government (2021)</w:t>
      </w:r>
      <w:r w:rsidRPr="00155604">
        <w:rPr>
          <w:i/>
          <w:iCs/>
          <w:sz w:val="24"/>
          <w:szCs w:val="24"/>
        </w:rPr>
        <w:t> Additional Learning Needs Code for Wales 2021.</w:t>
      </w:r>
      <w:r w:rsidRPr="00155604">
        <w:rPr>
          <w:i/>
          <w:iCs/>
          <w:sz w:val="24"/>
          <w:szCs w:val="24"/>
        </w:rPr>
        <w:br/>
      </w:r>
      <w:r w:rsidRPr="007A45A4">
        <w:rPr>
          <w:sz w:val="24"/>
          <w:szCs w:val="24"/>
        </w:rPr>
        <w:t>Welsh Government (2022)</w:t>
      </w:r>
      <w:r w:rsidRPr="00155604">
        <w:rPr>
          <w:i/>
          <w:iCs/>
          <w:sz w:val="24"/>
          <w:szCs w:val="24"/>
        </w:rPr>
        <w:t> A Curriculum for Funded Non</w:t>
      </w:r>
      <w:r w:rsidRPr="00155604">
        <w:rPr>
          <w:i/>
          <w:iCs/>
          <w:sz w:val="24"/>
          <w:szCs w:val="24"/>
        </w:rPr>
        <w:noBreakHyphen/>
        <w:t>Maintained Nursery Settings.</w:t>
      </w:r>
      <w:r w:rsidRPr="00155604">
        <w:rPr>
          <w:i/>
          <w:iCs/>
          <w:sz w:val="24"/>
          <w:szCs w:val="24"/>
        </w:rPr>
        <w:br/>
      </w:r>
      <w:r w:rsidRPr="007A45A4">
        <w:rPr>
          <w:sz w:val="24"/>
          <w:szCs w:val="24"/>
        </w:rPr>
        <w:t>Welsh Government (2024)</w:t>
      </w:r>
      <w:r w:rsidRPr="00155604">
        <w:rPr>
          <w:i/>
          <w:iCs/>
          <w:sz w:val="24"/>
          <w:szCs w:val="24"/>
        </w:rPr>
        <w:t> Early Childhood Play, Learning and Care Plan (ECPLC).</w:t>
      </w:r>
      <w:r w:rsidRPr="007A45A4">
        <w:rPr>
          <w:sz w:val="24"/>
          <w:szCs w:val="24"/>
        </w:rPr>
        <w:t> Cardiff.</w:t>
      </w:r>
      <w:r w:rsidRPr="007A45A4">
        <w:rPr>
          <w:sz w:val="24"/>
          <w:szCs w:val="24"/>
        </w:rPr>
        <w:br/>
        <w:t>Wenger, E. (1999) </w:t>
      </w:r>
      <w:r w:rsidRPr="00C636DF">
        <w:rPr>
          <w:i/>
          <w:iCs/>
          <w:sz w:val="24"/>
          <w:szCs w:val="24"/>
        </w:rPr>
        <w:t>Communities of Practice</w:t>
      </w:r>
      <w:r w:rsidRPr="007A45A4">
        <w:rPr>
          <w:sz w:val="24"/>
          <w:szCs w:val="24"/>
        </w:rPr>
        <w:t>. Cambridge University Press.</w:t>
      </w:r>
    </w:p>
    <w:p w14:paraId="625CD4EF" w14:textId="5A4EFC6C" w:rsidR="006135F3" w:rsidRDefault="006135F3" w:rsidP="000114DB"/>
    <w:p w14:paraId="233699F2" w14:textId="00BCA32C" w:rsidR="004834CA" w:rsidRDefault="004834CA" w:rsidP="000114DB"/>
    <w:p w14:paraId="5FCC82AF" w14:textId="43BE5A27" w:rsidR="004834CA" w:rsidRDefault="004834CA" w:rsidP="000114DB"/>
    <w:p w14:paraId="789562A8" w14:textId="15F6B4BB" w:rsidR="004834CA" w:rsidRDefault="004834CA" w:rsidP="000114DB"/>
    <w:p w14:paraId="666EFD87" w14:textId="77777777" w:rsidR="004834CA" w:rsidRPr="000114DB" w:rsidRDefault="004834CA" w:rsidP="000114DB"/>
    <w:sectPr w:rsidR="004834CA" w:rsidRPr="000114D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C7047" w14:textId="77777777" w:rsidR="00266621" w:rsidRDefault="00266621" w:rsidP="00C636DF">
      <w:pPr>
        <w:spacing w:after="0" w:line="240" w:lineRule="auto"/>
      </w:pPr>
      <w:r>
        <w:separator/>
      </w:r>
    </w:p>
  </w:endnote>
  <w:endnote w:type="continuationSeparator" w:id="0">
    <w:p w14:paraId="79621B7A" w14:textId="77777777" w:rsidR="00266621" w:rsidRDefault="00266621" w:rsidP="00C63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158348"/>
      <w:docPartObj>
        <w:docPartGallery w:val="Page Numbers (Bottom of Page)"/>
        <w:docPartUnique/>
      </w:docPartObj>
    </w:sdtPr>
    <w:sdtEndPr>
      <w:rPr>
        <w:noProof/>
      </w:rPr>
    </w:sdtEndPr>
    <w:sdtContent>
      <w:p w14:paraId="329C9728" w14:textId="3CA24A01" w:rsidR="00DF1267" w:rsidRDefault="00DF12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23B6F1" w14:textId="77777777" w:rsidR="00DF1267" w:rsidRDefault="00DF12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0F474" w14:textId="77777777" w:rsidR="00266621" w:rsidRDefault="00266621" w:rsidP="00C636DF">
      <w:pPr>
        <w:spacing w:after="0" w:line="240" w:lineRule="auto"/>
      </w:pPr>
      <w:r>
        <w:separator/>
      </w:r>
    </w:p>
  </w:footnote>
  <w:footnote w:type="continuationSeparator" w:id="0">
    <w:p w14:paraId="5F6889B5" w14:textId="77777777" w:rsidR="00266621" w:rsidRDefault="00266621" w:rsidP="00C63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9A1AC" w14:textId="0DEAF2A5" w:rsidR="00C636DF" w:rsidRDefault="001858F4">
    <w:pPr>
      <w:pStyle w:val="Header"/>
    </w:pPr>
    <w:r>
      <w:t xml:space="preserve">Erin Lawrence                                                         </w:t>
    </w:r>
    <w:r w:rsidR="00C636DF">
      <w:t>ECEY601</w:t>
    </w:r>
    <w:r w:rsidR="004834CA">
      <w:t>1</w:t>
    </w:r>
    <w:r w:rsidR="00C636DF">
      <w:t xml:space="preserve">                                                            </w:t>
    </w:r>
    <w:r>
      <w:t xml:space="preserve">  </w:t>
    </w:r>
    <w:r w:rsidR="00C636DF">
      <w:t xml:space="preserve">   2216689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4DB"/>
    <w:rsid w:val="000114DB"/>
    <w:rsid w:val="00155604"/>
    <w:rsid w:val="001858F4"/>
    <w:rsid w:val="00266621"/>
    <w:rsid w:val="00401FCF"/>
    <w:rsid w:val="004834CA"/>
    <w:rsid w:val="006135F3"/>
    <w:rsid w:val="00681B88"/>
    <w:rsid w:val="0068781D"/>
    <w:rsid w:val="007A45A4"/>
    <w:rsid w:val="008442B9"/>
    <w:rsid w:val="00920FAC"/>
    <w:rsid w:val="00972264"/>
    <w:rsid w:val="00A901B7"/>
    <w:rsid w:val="00BA2334"/>
    <w:rsid w:val="00C548F5"/>
    <w:rsid w:val="00C636DF"/>
    <w:rsid w:val="00C80A5A"/>
    <w:rsid w:val="00D80F36"/>
    <w:rsid w:val="00DF1267"/>
    <w:rsid w:val="00E951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34A8A"/>
  <w15:chartTrackingRefBased/>
  <w15:docId w15:val="{5AABEC50-35A8-4FC9-B47C-028E42910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114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401F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114DB"/>
    <w:rPr>
      <w:rFonts w:ascii="Times New Roman" w:eastAsia="Times New Roman" w:hAnsi="Times New Roman" w:cs="Times New Roman"/>
      <w:b/>
      <w:bCs/>
      <w:sz w:val="36"/>
      <w:szCs w:val="36"/>
      <w:lang w:eastAsia="en-GB"/>
    </w:rPr>
  </w:style>
  <w:style w:type="character" w:customStyle="1" w:styleId="font-semibold">
    <w:name w:val="font-semibold"/>
    <w:basedOn w:val="DefaultParagraphFont"/>
    <w:rsid w:val="000114DB"/>
  </w:style>
  <w:style w:type="paragraph" w:styleId="NormalWeb">
    <w:name w:val="Normal (Web)"/>
    <w:basedOn w:val="Normal"/>
    <w:uiPriority w:val="99"/>
    <w:semiHidden/>
    <w:unhideWhenUsed/>
    <w:rsid w:val="000114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114DB"/>
    <w:rPr>
      <w:i/>
      <w:iCs/>
    </w:rPr>
  </w:style>
  <w:style w:type="character" w:customStyle="1" w:styleId="max-w-180px">
    <w:name w:val="max-w-[180px]"/>
    <w:basedOn w:val="DefaultParagraphFont"/>
    <w:rsid w:val="000114DB"/>
  </w:style>
  <w:style w:type="character" w:styleId="Hyperlink">
    <w:name w:val="Hyperlink"/>
    <w:basedOn w:val="DefaultParagraphFont"/>
    <w:uiPriority w:val="99"/>
    <w:unhideWhenUsed/>
    <w:rsid w:val="000114DB"/>
    <w:rPr>
      <w:color w:val="0563C1" w:themeColor="hyperlink"/>
      <w:u w:val="single"/>
    </w:rPr>
  </w:style>
  <w:style w:type="character" w:customStyle="1" w:styleId="Heading3Char">
    <w:name w:val="Heading 3 Char"/>
    <w:basedOn w:val="DefaultParagraphFont"/>
    <w:link w:val="Heading3"/>
    <w:uiPriority w:val="9"/>
    <w:semiHidden/>
    <w:rsid w:val="00401FCF"/>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63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6DF"/>
  </w:style>
  <w:style w:type="paragraph" w:styleId="Footer">
    <w:name w:val="footer"/>
    <w:basedOn w:val="Normal"/>
    <w:link w:val="FooterChar"/>
    <w:uiPriority w:val="99"/>
    <w:unhideWhenUsed/>
    <w:rsid w:val="00C63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6DF"/>
  </w:style>
  <w:style w:type="paragraph" w:customStyle="1" w:styleId="paragraph">
    <w:name w:val="paragraph"/>
    <w:basedOn w:val="Normal"/>
    <w:rsid w:val="004834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83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372728">
      <w:bodyDiv w:val="1"/>
      <w:marLeft w:val="0"/>
      <w:marRight w:val="0"/>
      <w:marTop w:val="0"/>
      <w:marBottom w:val="0"/>
      <w:divBdr>
        <w:top w:val="none" w:sz="0" w:space="0" w:color="auto"/>
        <w:left w:val="none" w:sz="0" w:space="0" w:color="auto"/>
        <w:bottom w:val="none" w:sz="0" w:space="0" w:color="auto"/>
        <w:right w:val="none" w:sz="0" w:space="0" w:color="auto"/>
      </w:divBdr>
    </w:div>
    <w:div w:id="1358000563">
      <w:bodyDiv w:val="1"/>
      <w:marLeft w:val="0"/>
      <w:marRight w:val="0"/>
      <w:marTop w:val="0"/>
      <w:marBottom w:val="0"/>
      <w:divBdr>
        <w:top w:val="none" w:sz="0" w:space="0" w:color="auto"/>
        <w:left w:val="none" w:sz="0" w:space="0" w:color="auto"/>
        <w:bottom w:val="none" w:sz="0" w:space="0" w:color="auto"/>
        <w:right w:val="none" w:sz="0" w:space="0" w:color="auto"/>
      </w:divBdr>
    </w:div>
    <w:div w:id="1367872529">
      <w:bodyDiv w:val="1"/>
      <w:marLeft w:val="0"/>
      <w:marRight w:val="0"/>
      <w:marTop w:val="0"/>
      <w:marBottom w:val="0"/>
      <w:divBdr>
        <w:top w:val="none" w:sz="0" w:space="0" w:color="auto"/>
        <w:left w:val="none" w:sz="0" w:space="0" w:color="auto"/>
        <w:bottom w:val="none" w:sz="0" w:space="0" w:color="auto"/>
        <w:right w:val="none" w:sz="0" w:space="0" w:color="auto"/>
      </w:divBdr>
    </w:div>
    <w:div w:id="1447579810">
      <w:bodyDiv w:val="1"/>
      <w:marLeft w:val="0"/>
      <w:marRight w:val="0"/>
      <w:marTop w:val="0"/>
      <w:marBottom w:val="0"/>
      <w:divBdr>
        <w:top w:val="none" w:sz="0" w:space="0" w:color="auto"/>
        <w:left w:val="none" w:sz="0" w:space="0" w:color="auto"/>
        <w:bottom w:val="none" w:sz="0" w:space="0" w:color="auto"/>
        <w:right w:val="none" w:sz="0" w:space="0" w:color="auto"/>
      </w:divBdr>
    </w:div>
    <w:div w:id="1801455316">
      <w:bodyDiv w:val="1"/>
      <w:marLeft w:val="0"/>
      <w:marRight w:val="0"/>
      <w:marTop w:val="0"/>
      <w:marBottom w:val="0"/>
      <w:divBdr>
        <w:top w:val="none" w:sz="0" w:space="0" w:color="auto"/>
        <w:left w:val="none" w:sz="0" w:space="0" w:color="auto"/>
        <w:bottom w:val="none" w:sz="0" w:space="0" w:color="auto"/>
        <w:right w:val="none" w:sz="0" w:space="0" w:color="auto"/>
      </w:divBdr>
      <w:divsChild>
        <w:div w:id="618536634">
          <w:marLeft w:val="0"/>
          <w:marRight w:val="0"/>
          <w:marTop w:val="120"/>
          <w:marBottom w:val="120"/>
          <w:divBdr>
            <w:top w:val="none" w:sz="0" w:space="0" w:color="auto"/>
            <w:left w:val="none" w:sz="0" w:space="0" w:color="auto"/>
            <w:bottom w:val="none" w:sz="0" w:space="0" w:color="auto"/>
            <w:right w:val="none" w:sz="0" w:space="0" w:color="auto"/>
          </w:divBdr>
        </w:div>
        <w:div w:id="1639796756">
          <w:marLeft w:val="0"/>
          <w:marRight w:val="0"/>
          <w:marTop w:val="120"/>
          <w:marBottom w:val="120"/>
          <w:divBdr>
            <w:top w:val="none" w:sz="0" w:space="0" w:color="auto"/>
            <w:left w:val="none" w:sz="0" w:space="0" w:color="auto"/>
            <w:bottom w:val="none" w:sz="0" w:space="0" w:color="auto"/>
            <w:right w:val="none" w:sz="0" w:space="0" w:color="auto"/>
          </w:divBdr>
        </w:div>
        <w:div w:id="820653343">
          <w:marLeft w:val="0"/>
          <w:marRight w:val="0"/>
          <w:marTop w:val="120"/>
          <w:marBottom w:val="120"/>
          <w:divBdr>
            <w:top w:val="none" w:sz="0" w:space="0" w:color="auto"/>
            <w:left w:val="none" w:sz="0" w:space="0" w:color="auto"/>
            <w:bottom w:val="none" w:sz="0" w:space="0" w:color="auto"/>
            <w:right w:val="none" w:sz="0" w:space="0" w:color="auto"/>
          </w:divBdr>
        </w:div>
        <w:div w:id="594632253">
          <w:marLeft w:val="0"/>
          <w:marRight w:val="0"/>
          <w:marTop w:val="120"/>
          <w:marBottom w:val="120"/>
          <w:divBdr>
            <w:top w:val="none" w:sz="0" w:space="0" w:color="auto"/>
            <w:left w:val="none" w:sz="0" w:space="0" w:color="auto"/>
            <w:bottom w:val="none" w:sz="0" w:space="0" w:color="auto"/>
            <w:right w:val="none" w:sz="0" w:space="0" w:color="auto"/>
          </w:divBdr>
        </w:div>
        <w:div w:id="1808088501">
          <w:marLeft w:val="0"/>
          <w:marRight w:val="0"/>
          <w:marTop w:val="120"/>
          <w:marBottom w:val="120"/>
          <w:divBdr>
            <w:top w:val="none" w:sz="0" w:space="0" w:color="auto"/>
            <w:left w:val="none" w:sz="0" w:space="0" w:color="auto"/>
            <w:bottom w:val="none" w:sz="0" w:space="0" w:color="auto"/>
            <w:right w:val="none" w:sz="0" w:space="0" w:color="auto"/>
          </w:divBdr>
        </w:div>
        <w:div w:id="1673292609">
          <w:marLeft w:val="0"/>
          <w:marRight w:val="0"/>
          <w:marTop w:val="120"/>
          <w:marBottom w:val="120"/>
          <w:divBdr>
            <w:top w:val="none" w:sz="0" w:space="0" w:color="auto"/>
            <w:left w:val="none" w:sz="0" w:space="0" w:color="auto"/>
            <w:bottom w:val="none" w:sz="0" w:space="0" w:color="auto"/>
            <w:right w:val="none" w:sz="0" w:space="0" w:color="auto"/>
          </w:divBdr>
        </w:div>
        <w:div w:id="1197933809">
          <w:marLeft w:val="0"/>
          <w:marRight w:val="0"/>
          <w:marTop w:val="120"/>
          <w:marBottom w:val="120"/>
          <w:divBdr>
            <w:top w:val="none" w:sz="0" w:space="0" w:color="auto"/>
            <w:left w:val="none" w:sz="0" w:space="0" w:color="auto"/>
            <w:bottom w:val="none" w:sz="0" w:space="0" w:color="auto"/>
            <w:right w:val="none" w:sz="0" w:space="0" w:color="auto"/>
          </w:divBdr>
        </w:div>
        <w:div w:id="711075631">
          <w:marLeft w:val="0"/>
          <w:marRight w:val="0"/>
          <w:marTop w:val="120"/>
          <w:marBottom w:val="120"/>
          <w:divBdr>
            <w:top w:val="none" w:sz="0" w:space="0" w:color="auto"/>
            <w:left w:val="none" w:sz="0" w:space="0" w:color="auto"/>
            <w:bottom w:val="none" w:sz="0" w:space="0" w:color="auto"/>
            <w:right w:val="none" w:sz="0" w:space="0" w:color="auto"/>
          </w:divBdr>
        </w:div>
        <w:div w:id="981009804">
          <w:marLeft w:val="0"/>
          <w:marRight w:val="0"/>
          <w:marTop w:val="120"/>
          <w:marBottom w:val="120"/>
          <w:divBdr>
            <w:top w:val="none" w:sz="0" w:space="0" w:color="auto"/>
            <w:left w:val="none" w:sz="0" w:space="0" w:color="auto"/>
            <w:bottom w:val="none" w:sz="0" w:space="0" w:color="auto"/>
            <w:right w:val="none" w:sz="0" w:space="0" w:color="auto"/>
          </w:divBdr>
        </w:div>
        <w:div w:id="1456831889">
          <w:marLeft w:val="0"/>
          <w:marRight w:val="0"/>
          <w:marTop w:val="120"/>
          <w:marBottom w:val="120"/>
          <w:divBdr>
            <w:top w:val="none" w:sz="0" w:space="0" w:color="auto"/>
            <w:left w:val="none" w:sz="0" w:space="0" w:color="auto"/>
            <w:bottom w:val="none" w:sz="0" w:space="0" w:color="auto"/>
            <w:right w:val="none" w:sz="0" w:space="0" w:color="auto"/>
          </w:divBdr>
        </w:div>
        <w:div w:id="1286544096">
          <w:marLeft w:val="0"/>
          <w:marRight w:val="0"/>
          <w:marTop w:val="120"/>
          <w:marBottom w:val="120"/>
          <w:divBdr>
            <w:top w:val="none" w:sz="0" w:space="0" w:color="auto"/>
            <w:left w:val="none" w:sz="0" w:space="0" w:color="auto"/>
            <w:bottom w:val="none" w:sz="0" w:space="0" w:color="auto"/>
            <w:right w:val="none" w:sz="0" w:space="0" w:color="auto"/>
          </w:divBdr>
        </w:div>
        <w:div w:id="256719775">
          <w:marLeft w:val="0"/>
          <w:marRight w:val="0"/>
          <w:marTop w:val="120"/>
          <w:marBottom w:val="120"/>
          <w:divBdr>
            <w:top w:val="none" w:sz="0" w:space="0" w:color="auto"/>
            <w:left w:val="none" w:sz="0" w:space="0" w:color="auto"/>
            <w:bottom w:val="none" w:sz="0" w:space="0" w:color="auto"/>
            <w:right w:val="none" w:sz="0" w:space="0" w:color="auto"/>
          </w:divBdr>
        </w:div>
        <w:div w:id="1374498499">
          <w:marLeft w:val="0"/>
          <w:marRight w:val="0"/>
          <w:marTop w:val="120"/>
          <w:marBottom w:val="120"/>
          <w:divBdr>
            <w:top w:val="none" w:sz="0" w:space="0" w:color="auto"/>
            <w:left w:val="none" w:sz="0" w:space="0" w:color="auto"/>
            <w:bottom w:val="none" w:sz="0" w:space="0" w:color="auto"/>
            <w:right w:val="none" w:sz="0" w:space="0" w:color="auto"/>
          </w:divBdr>
        </w:div>
        <w:div w:id="2078016299">
          <w:marLeft w:val="0"/>
          <w:marRight w:val="0"/>
          <w:marTop w:val="120"/>
          <w:marBottom w:val="120"/>
          <w:divBdr>
            <w:top w:val="none" w:sz="0" w:space="0" w:color="auto"/>
            <w:left w:val="none" w:sz="0" w:space="0" w:color="auto"/>
            <w:bottom w:val="none" w:sz="0" w:space="0" w:color="auto"/>
            <w:right w:val="none" w:sz="0" w:space="0" w:color="auto"/>
          </w:divBdr>
        </w:div>
        <w:div w:id="328099200">
          <w:marLeft w:val="0"/>
          <w:marRight w:val="0"/>
          <w:marTop w:val="120"/>
          <w:marBottom w:val="120"/>
          <w:divBdr>
            <w:top w:val="none" w:sz="0" w:space="0" w:color="auto"/>
            <w:left w:val="none" w:sz="0" w:space="0" w:color="auto"/>
            <w:bottom w:val="none" w:sz="0" w:space="0" w:color="auto"/>
            <w:right w:val="none" w:sz="0" w:space="0" w:color="auto"/>
          </w:divBdr>
        </w:div>
        <w:div w:id="272786724">
          <w:marLeft w:val="0"/>
          <w:marRight w:val="0"/>
          <w:marTop w:val="120"/>
          <w:marBottom w:val="120"/>
          <w:divBdr>
            <w:top w:val="none" w:sz="0" w:space="0" w:color="auto"/>
            <w:left w:val="none" w:sz="0" w:space="0" w:color="auto"/>
            <w:bottom w:val="none" w:sz="0" w:space="0" w:color="auto"/>
            <w:right w:val="none" w:sz="0" w:space="0" w:color="auto"/>
          </w:divBdr>
        </w:div>
        <w:div w:id="1073240929">
          <w:marLeft w:val="0"/>
          <w:marRight w:val="0"/>
          <w:marTop w:val="120"/>
          <w:marBottom w:val="120"/>
          <w:divBdr>
            <w:top w:val="none" w:sz="0" w:space="0" w:color="auto"/>
            <w:left w:val="none" w:sz="0" w:space="0" w:color="auto"/>
            <w:bottom w:val="none" w:sz="0" w:space="0" w:color="auto"/>
            <w:right w:val="none" w:sz="0" w:space="0" w:color="auto"/>
          </w:divBdr>
        </w:div>
        <w:div w:id="941885362">
          <w:marLeft w:val="0"/>
          <w:marRight w:val="0"/>
          <w:marTop w:val="120"/>
          <w:marBottom w:val="120"/>
          <w:divBdr>
            <w:top w:val="none" w:sz="0" w:space="0" w:color="auto"/>
            <w:left w:val="none" w:sz="0" w:space="0" w:color="auto"/>
            <w:bottom w:val="none" w:sz="0" w:space="0" w:color="auto"/>
            <w:right w:val="none" w:sz="0" w:space="0" w:color="auto"/>
          </w:divBdr>
        </w:div>
        <w:div w:id="1009063500">
          <w:marLeft w:val="0"/>
          <w:marRight w:val="0"/>
          <w:marTop w:val="120"/>
          <w:marBottom w:val="120"/>
          <w:divBdr>
            <w:top w:val="none" w:sz="0" w:space="0" w:color="auto"/>
            <w:left w:val="none" w:sz="0" w:space="0" w:color="auto"/>
            <w:bottom w:val="none" w:sz="0" w:space="0" w:color="auto"/>
            <w:right w:val="none" w:sz="0" w:space="0" w:color="auto"/>
          </w:divBdr>
        </w:div>
        <w:div w:id="1562400840">
          <w:marLeft w:val="0"/>
          <w:marRight w:val="0"/>
          <w:marTop w:val="120"/>
          <w:marBottom w:val="120"/>
          <w:divBdr>
            <w:top w:val="none" w:sz="0" w:space="0" w:color="auto"/>
            <w:left w:val="none" w:sz="0" w:space="0" w:color="auto"/>
            <w:bottom w:val="none" w:sz="0" w:space="0" w:color="auto"/>
            <w:right w:val="none" w:sz="0" w:space="0" w:color="auto"/>
          </w:divBdr>
        </w:div>
        <w:div w:id="1480806838">
          <w:marLeft w:val="0"/>
          <w:marRight w:val="0"/>
          <w:marTop w:val="120"/>
          <w:marBottom w:val="120"/>
          <w:divBdr>
            <w:top w:val="none" w:sz="0" w:space="0" w:color="auto"/>
            <w:left w:val="none" w:sz="0" w:space="0" w:color="auto"/>
            <w:bottom w:val="none" w:sz="0" w:space="0" w:color="auto"/>
            <w:right w:val="none" w:sz="0" w:space="0" w:color="auto"/>
          </w:divBdr>
        </w:div>
        <w:div w:id="1468430635">
          <w:marLeft w:val="0"/>
          <w:marRight w:val="0"/>
          <w:marTop w:val="120"/>
          <w:marBottom w:val="120"/>
          <w:divBdr>
            <w:top w:val="none" w:sz="0" w:space="0" w:color="auto"/>
            <w:left w:val="none" w:sz="0" w:space="0" w:color="auto"/>
            <w:bottom w:val="none" w:sz="0" w:space="0" w:color="auto"/>
            <w:right w:val="none" w:sz="0" w:space="0" w:color="auto"/>
          </w:divBdr>
        </w:div>
        <w:div w:id="278882148">
          <w:marLeft w:val="0"/>
          <w:marRight w:val="0"/>
          <w:marTop w:val="120"/>
          <w:marBottom w:val="120"/>
          <w:divBdr>
            <w:top w:val="none" w:sz="0" w:space="0" w:color="auto"/>
            <w:left w:val="none" w:sz="0" w:space="0" w:color="auto"/>
            <w:bottom w:val="none" w:sz="0" w:space="0" w:color="auto"/>
            <w:right w:val="none" w:sz="0" w:space="0" w:color="auto"/>
          </w:divBdr>
        </w:div>
        <w:div w:id="540635426">
          <w:marLeft w:val="0"/>
          <w:marRight w:val="0"/>
          <w:marTop w:val="120"/>
          <w:marBottom w:val="120"/>
          <w:divBdr>
            <w:top w:val="none" w:sz="0" w:space="0" w:color="auto"/>
            <w:left w:val="none" w:sz="0" w:space="0" w:color="auto"/>
            <w:bottom w:val="none" w:sz="0" w:space="0" w:color="auto"/>
            <w:right w:val="none" w:sz="0" w:space="0" w:color="auto"/>
          </w:divBdr>
        </w:div>
        <w:div w:id="1197696532">
          <w:marLeft w:val="0"/>
          <w:marRight w:val="0"/>
          <w:marTop w:val="120"/>
          <w:marBottom w:val="120"/>
          <w:divBdr>
            <w:top w:val="none" w:sz="0" w:space="0" w:color="auto"/>
            <w:left w:val="none" w:sz="0" w:space="0" w:color="auto"/>
            <w:bottom w:val="none" w:sz="0" w:space="0" w:color="auto"/>
            <w:right w:val="none" w:sz="0" w:space="0" w:color="auto"/>
          </w:divBdr>
        </w:div>
        <w:div w:id="1008292958">
          <w:marLeft w:val="0"/>
          <w:marRight w:val="0"/>
          <w:marTop w:val="120"/>
          <w:marBottom w:val="120"/>
          <w:divBdr>
            <w:top w:val="none" w:sz="0" w:space="0" w:color="auto"/>
            <w:left w:val="none" w:sz="0" w:space="0" w:color="auto"/>
            <w:bottom w:val="none" w:sz="0" w:space="0" w:color="auto"/>
            <w:right w:val="none" w:sz="0" w:space="0" w:color="auto"/>
          </w:divBdr>
        </w:div>
        <w:div w:id="710691758">
          <w:marLeft w:val="0"/>
          <w:marRight w:val="0"/>
          <w:marTop w:val="120"/>
          <w:marBottom w:val="120"/>
          <w:divBdr>
            <w:top w:val="none" w:sz="0" w:space="0" w:color="auto"/>
            <w:left w:val="none" w:sz="0" w:space="0" w:color="auto"/>
            <w:bottom w:val="none" w:sz="0" w:space="0" w:color="auto"/>
            <w:right w:val="none" w:sz="0" w:space="0" w:color="auto"/>
          </w:divBdr>
        </w:div>
      </w:divsChild>
    </w:div>
    <w:div w:id="193948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nation.cymru/"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56874f-9946-48cd-ac29-4cb76853c4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1C78B1F6210C4E9A58F73BA6479D21" ma:contentTypeVersion="16" ma:contentTypeDescription="Create a new document." ma:contentTypeScope="" ma:versionID="aba78d2776ae707e9e29c32da051658f">
  <xsd:schema xmlns:xsd="http://www.w3.org/2001/XMLSchema" xmlns:xs="http://www.w3.org/2001/XMLSchema" xmlns:p="http://schemas.microsoft.com/office/2006/metadata/properties" xmlns:ns3="f856874f-9946-48cd-ac29-4cb76853c4c1" xmlns:ns4="2c5f1cb7-c8e7-4c33-a07f-489018ddf9f3" targetNamespace="http://schemas.microsoft.com/office/2006/metadata/properties" ma:root="true" ma:fieldsID="c090ea92bd94e9a585ba31e2cb6032f5" ns3:_="" ns4:_="">
    <xsd:import namespace="f856874f-9946-48cd-ac29-4cb76853c4c1"/>
    <xsd:import namespace="2c5f1cb7-c8e7-4c33-a07f-489018ddf9f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56874f-9946-48cd-ac29-4cb76853c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f1cb7-c8e7-4c33-a07f-489018ddf9f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496934-A0D0-4BE8-9DD3-ED2CF912D84C}">
  <ds:schemaRefs>
    <ds:schemaRef ds:uri="http://schemas.microsoft.com/office/2006/metadata/properties"/>
    <ds:schemaRef ds:uri="http://schemas.microsoft.com/office/infopath/2007/PartnerControls"/>
    <ds:schemaRef ds:uri="f856874f-9946-48cd-ac29-4cb76853c4c1"/>
  </ds:schemaRefs>
</ds:datastoreItem>
</file>

<file path=customXml/itemProps2.xml><?xml version="1.0" encoding="utf-8"?>
<ds:datastoreItem xmlns:ds="http://schemas.openxmlformats.org/officeDocument/2006/customXml" ds:itemID="{CEA48DE8-C46E-4C2B-BE61-C41F3EBA9E74}">
  <ds:schemaRefs>
    <ds:schemaRef ds:uri="http://schemas.microsoft.com/sharepoint/v3/contenttype/forms"/>
  </ds:schemaRefs>
</ds:datastoreItem>
</file>

<file path=customXml/itemProps3.xml><?xml version="1.0" encoding="utf-8"?>
<ds:datastoreItem xmlns:ds="http://schemas.openxmlformats.org/officeDocument/2006/customXml" ds:itemID="{136D81E8-5F27-4782-8E22-EB512C33F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56874f-9946-48cd-ac29-4cb76853c4c1"/>
    <ds:schemaRef ds:uri="2c5f1cb7-c8e7-4c33-a07f-489018ddf9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EE9A18-7ADF-4C37-BAC8-0CEFF7360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3032</Words>
  <Characters>17286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Lawrence</dc:creator>
  <cp:keywords/>
  <dc:description/>
  <cp:lastModifiedBy>Erin Lawrence (2216689)</cp:lastModifiedBy>
  <cp:revision>5</cp:revision>
  <dcterms:created xsi:type="dcterms:W3CDTF">2026-03-26T21:43:00Z</dcterms:created>
  <dcterms:modified xsi:type="dcterms:W3CDTF">2026-03-26T21:47:00Z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0x010100341C78B1F6210C4E9A58F73BA6479D21</vt:lpwstr>
  </property>
</Properties>
</file>