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646E7D" wp14:paraId="5232B4CB" wp14:textId="0A158A25">
      <w:pPr>
        <w:shd w:val="clear" w:color="auto" w:fill="FFFFFF" w:themeFill="background1"/>
        <w:spacing w:before="220" w:beforeAutospacing="off" w:after="220" w:afterAutospacing="off"/>
        <w:ind w:left="0"/>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 confirm that I have used Microsoft Editor to spellcheck during the creation of this assignment. I confirm that I have not presented any AI generated materials as my own work. I confirm I have copies of my drafts, notes, and other resources I used, which I may be asked to provide in evidence.</w:t>
      </w:r>
      <w:r w:rsidRPr="75646E7D" w:rsidR="0A38134B">
        <w:rPr>
          <w:rFonts w:ascii="Arial" w:hAnsi="Arial" w:eastAsia="Arial" w:cs="Arial"/>
          <w:noProof w:val="0"/>
          <w:sz w:val="24"/>
          <w:szCs w:val="24"/>
          <w:lang w:val="en-GB"/>
        </w:rPr>
        <w:t xml:space="preserve"> </w:t>
      </w:r>
    </w:p>
    <w:p xmlns:wp14="http://schemas.microsoft.com/office/word/2010/wordml" w:rsidP="75646E7D" wp14:paraId="07E1E3EC" wp14:textId="4A25C69A">
      <w:pPr>
        <w:shd w:val="clear" w:color="auto" w:fill="FFFFFF" w:themeFill="background1"/>
        <w:spacing w:before="220" w:beforeAutospacing="off" w:after="220" w:afterAutospacing="off"/>
        <w:ind w:left="0"/>
        <w:rPr>
          <w:rFonts w:ascii="Arial" w:hAnsi="Arial" w:eastAsia="Arial" w:cs="Arial"/>
          <w:noProof w:val="0"/>
          <w:sz w:val="24"/>
          <w:szCs w:val="24"/>
          <w:lang w:val="en-GB"/>
        </w:rPr>
      </w:pPr>
    </w:p>
    <w:p xmlns:wp14="http://schemas.microsoft.com/office/word/2010/wordml" w:rsidP="75646E7D" wp14:paraId="3B4D0BD3" wp14:textId="4389B06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Section 1</w:t>
      </w:r>
    </w:p>
    <w:p xmlns:wp14="http://schemas.microsoft.com/office/word/2010/wordml" w:rsidP="75646E7D" wp14:paraId="78845346" wp14:textId="4CBE1A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What are the differences for children and adults receiving an autism spectrum disorder (ASD) diagnosis in childhood and adulthood?</w:t>
      </w:r>
    </w:p>
    <w:p xmlns:wp14="http://schemas.microsoft.com/office/word/2010/wordml" w:rsidP="75646E7D" wp14:paraId="0536384A" wp14:textId="70D48B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Autism is a neurological condition that effects both male and females regardless of race, colour, background, or ethnicity. This paper will discuss findings from medical professionals, government </w:t>
      </w:r>
      <w:r w:rsidRPr="75646E7D" w:rsidR="603FC4DA">
        <w:rPr>
          <w:rFonts w:ascii="Arial" w:hAnsi="Arial" w:eastAsia="Arial" w:cs="Arial"/>
          <w:b w:val="0"/>
          <w:bCs w:val="0"/>
          <w:i w:val="0"/>
          <w:iCs w:val="0"/>
          <w:caps w:val="0"/>
          <w:smallCaps w:val="0"/>
          <w:noProof w:val="0"/>
          <w:color w:val="000000" w:themeColor="text1" w:themeTint="FF" w:themeShade="FF"/>
          <w:sz w:val="24"/>
          <w:szCs w:val="24"/>
          <w:lang w:val="en-GB"/>
        </w:rPr>
        <w:t>data,</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and historical conclusions to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if an ASD diagnosis in childhood has enabled or impeded their opportunities in life. Additionally, what impact receiving a late diagnosis of ASD into adulthood and how this has resulted in their choices in later life. Furthermore, what is the government policies on autism and how do they provide support and guidance for those affected by autism.</w:t>
      </w:r>
    </w:p>
    <w:p xmlns:wp14="http://schemas.microsoft.com/office/word/2010/wordml" w:rsidP="75646E7D" wp14:paraId="0028FA8D" wp14:textId="4155BEC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Dr Leo Kanner was the first person in 1943 to publish findings of what he described as ‘early infantile autism’ (Harris, 2018). Since then, further research and clinical trials have led to a better understanding and the ability to diagnose those with autism spectrum disorder, hereafter ASD (National Autistic Society, 2026). This paper will outline the differences between children and adults receiving an ASD diagnosis.</w:t>
      </w:r>
    </w:p>
    <w:p xmlns:wp14="http://schemas.microsoft.com/office/word/2010/wordml" w:rsidP="75646E7D" wp14:paraId="1F328C48" wp14:textId="68B126C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Dr Norman Kiogora (2025), the early diagnosis and suitable interventions are more likely to have a positive impact on ASD symptoms and later life skills. Early interventions can give a child with ASD the best possible start </w:t>
      </w:r>
      <w:bookmarkStart w:name="_Int_w2g3qCsg" w:id="1683860251"/>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and also</w:t>
      </w:r>
      <w:bookmarkEnd w:id="1683860251"/>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best opportunity to reach their full potential. He continues that with early intervention some children with ASD progress so that they are no longer on the autism spectrum in later life (Kiogroa, 2025).</w:t>
      </w:r>
    </w:p>
    <w:p xmlns:wp14="http://schemas.microsoft.com/office/word/2010/wordml" w:rsidP="75646E7D" wp14:paraId="0398C0D2" wp14:textId="6E01D26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Additionally, as noted by Berman and Farmer (2022), the early assessment, and interventions for children with ASD can be crucial in achieving better outcomes. They continue that making and ASD diagnosis can be critical in receiving the appropriate support services, programmes, and behavioural interventions.</w:t>
      </w:r>
    </w:p>
    <w:p xmlns:wp14="http://schemas.microsoft.com/office/word/2010/wordml" w:rsidP="75646E7D" wp14:paraId="4B71CE7C" wp14:textId="29E505C4">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according to Clark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(2018), early diagnosis of ASD is considered an optimal approach. They continue that children who received an early diagnosis accessed a greater range of interventions and, by school age, showed stronger verbal abilities and overall cognitive development. They were also more likely to attend mainstream settings and required less long-term support than those identified later.</w:t>
      </w:r>
    </w:p>
    <w:p xmlns:wp14="http://schemas.microsoft.com/office/word/2010/wordml" w:rsidP="75646E7D" wp14:paraId="06EB32D0" wp14:textId="40AAC1F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Conversely, Gabbay-Dizdar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Discusses that several longitudinal studies following children diagnosed with ASD between 18 months and six years of age, and receiving support within community settings, have found no evidence that earlier identification is linked to better outcomes in core autistic features.</w:t>
      </w:r>
    </w:p>
    <w:p xmlns:wp14="http://schemas.microsoft.com/office/word/2010/wordml" w:rsidP="75646E7D" wp14:paraId="4BF21E76" wp14:textId="3815488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Diagnosing ASD is achieved through a range of behavioural tests such as a detailed developmental history, observations and information gathered from parents (Cardiff and Vale University Health Board, n.d.). Typical symptoms of ASD can include difficulties in understanding how others feel, avoidance of eye contact and they can also display repetitive movements such as rocking or hand flapping (Rusick, 2022).</w:t>
      </w:r>
    </w:p>
    <w:p xmlns:wp14="http://schemas.microsoft.com/office/word/2010/wordml" w:rsidP="75646E7D" wp14:paraId="4026C3FD" wp14:textId="3050F7E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According to Kristensen (2022) children as young as five months old can display autistic traits however a clear diagnosis is not possible until a child reaches one and a half to three years old. However, Briggs (2013), identifies that children as young as two months old can display traits of autism that would then later lead to an autism diagnosis. There is evidence from Allaby and Sharma (2011), cited by Russell (2021), that offers that the stability of screening at 2 months old may not be stable, are insufficiently sensitive, result in variable outcomes and the short-term improvements benefit the long-term outcomes.</w:t>
      </w:r>
    </w:p>
    <w:p xmlns:wp14="http://schemas.microsoft.com/office/word/2010/wordml" w:rsidP="75646E7D" wp14:paraId="1913C824" wp14:textId="6BC7EFE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Through findings by Hansen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(2015), the increase in the prevalence of ASD is </w:t>
      </w:r>
      <w:bookmarkStart w:name="_Int_2hrbq9PR" w:id="632700738"/>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mainly due</w:t>
      </w:r>
      <w:bookmarkEnd w:id="632700738"/>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to growing awareness. There are many complex experiences for those adults diagnosed in adulthood such as feeling of relief, anger, sadness, and disappointment. In conjunction with this, feelings of understanding which led to feeling of self-acceptance were also noted (Legg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2023). Portuguese (2019), also discusses that adults with an ASD diagnosis are also commonly diagnosed with depression and the commonality of psychotic disorders among those with ASD is higher than the general population. This would suggest that those with an early ASD diagnosis ad appropriate interventions can inhibit some of these disorders although further research is needed.</w:t>
      </w:r>
    </w:p>
    <w:p xmlns:wp14="http://schemas.microsoft.com/office/word/2010/wordml" w:rsidP="75646E7D" wp14:paraId="7735767F" wp14:textId="701EC18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What is being done to diagnose ASD earlier?</w:t>
      </w:r>
    </w:p>
    <w:p xmlns:wp14="http://schemas.microsoft.com/office/word/2010/wordml" w:rsidP="75646E7D" wp14:paraId="70DE6D18" wp14:textId="4118B6D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Within Wales there has been a significant increase for a diagnosis of ASD. The number of children and young people waiting to start an ASD neurodevelopmental assessment rose by 87% from February 2022 to December 2023 (Senedd Research, 2024). The demand for assessment has superseded the capacity by many years (Welsh Government, 2022). A statement published by the Welsh Government in 2022 pledged an additional £12 million to the already invested £11.5 million to the improvement of autism services to the year 2025. This money was intended to ensure equity of services and support the development of timely and consistent all age neurodevelopmental services. In 2022-2023, 72% of the 5140 referrals for adults to the Integrated Autism Service requested an autism diagnostic assessment, and 2.2% of pupils in Wales were reported to have ASD. Due to the high demand for an ASD neurodevelopmental assessment, in December 2023 there were 16,812 children and young people waiting for an assessment (Senedd Wales, 2024).</w:t>
      </w:r>
    </w:p>
    <w:p xmlns:wp14="http://schemas.microsoft.com/office/word/2010/wordml" w:rsidP="75646E7D" wp14:paraId="257D8449" wp14:textId="64AFEEE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2021, the Welsh Government provided the Code of Practice on the Delivery of Autism Services outlining what autistic people, their parents and carers can expect from public services in Wales and their commitment to improving autism services in Wales (Welsh Government, 2021). This provides guidance to those who are newly diagnosed with autism to gain understanding into their diagnosis.</w:t>
      </w:r>
    </w:p>
    <w:p xmlns:wp14="http://schemas.microsoft.com/office/word/2010/wordml" w:rsidP="75646E7D" wp14:paraId="5F2A9C41" wp14:textId="6869C38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Conclusion</w:t>
      </w:r>
    </w:p>
    <w:p xmlns:wp14="http://schemas.microsoft.com/office/word/2010/wordml" w:rsidP="75646E7D" wp14:paraId="73B2D81F" wp14:textId="47B3C6A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Early diagnosis of ASD in children has a positive impact as they can receive appropriate interventions to give them the best start in life however depending on the age of diagnosis, the result can be unreliable until the child is older. A later diagnosis can have a detrimental effect on an adult's mental health and can lead to further complications of depression and other mental health issues. Further studies and funding from local authorities are required to reduce waiting time for diagnosis and additional support is needed for newly diagnosed adults to help them navigate their new way of life. Furthermore, following on from this review more detailed research into the opinions of early years practitioners and the impact on the diagnosis time and how </w:t>
      </w:r>
      <w:bookmarkStart w:name="_Int_VBTlD6zH" w:id="60246144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this impacts learners</w:t>
      </w:r>
      <w:bookmarkEnd w:id="60246144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in Specialist Teaching Facilities (STF’s) and mainstream schools.</w:t>
      </w:r>
    </w:p>
    <w:p xmlns:wp14="http://schemas.microsoft.com/office/word/2010/wordml" wp14:paraId="2C078E63" wp14:textId="335FCC1C"/>
    <w:p w:rsidR="75646E7D" w:rsidRDefault="75646E7D" w14:paraId="5340C997" w14:textId="263BF886"/>
    <w:p w:rsidR="75646E7D" w:rsidRDefault="75646E7D" w14:paraId="61235094" w14:textId="082EB527"/>
    <w:p w:rsidR="75646E7D" w:rsidRDefault="75646E7D" w14:paraId="30C7E680" w14:textId="073210BD"/>
    <w:p w:rsidR="75646E7D" w:rsidRDefault="75646E7D" w14:paraId="77486590" w14:textId="78D6CCEC"/>
    <w:p w:rsidR="75646E7D" w:rsidRDefault="75646E7D" w14:paraId="3005FEE6" w14:textId="1687A409"/>
    <w:p w:rsidR="75646E7D" w:rsidRDefault="75646E7D" w14:paraId="3DA9B2DB" w14:textId="2B6A6988"/>
    <w:p w:rsidR="75646E7D" w:rsidRDefault="75646E7D" w14:paraId="7CAB650A" w14:textId="14463220"/>
    <w:p w:rsidR="75646E7D" w:rsidRDefault="75646E7D" w14:paraId="010E2750" w14:textId="00604C81"/>
    <w:p w:rsidR="75646E7D" w:rsidRDefault="75646E7D" w14:paraId="469F047D" w14:textId="1A7C1990"/>
    <w:p w:rsidR="75646E7D" w:rsidRDefault="75646E7D" w14:paraId="3C52BF3A" w14:textId="14A70EF5"/>
    <w:p w:rsidR="75646E7D" w:rsidRDefault="75646E7D" w14:paraId="2471E40F" w14:textId="5645F1AF"/>
    <w:p w:rsidR="75646E7D" w:rsidRDefault="75646E7D" w14:paraId="271CF45F" w14:textId="4F5C67C9"/>
    <w:p w:rsidR="75646E7D" w:rsidRDefault="75646E7D" w14:paraId="796A50E6" w14:textId="70CE18F3"/>
    <w:p w:rsidR="75646E7D" w:rsidRDefault="75646E7D" w14:paraId="3278C6EB" w14:textId="13BD6F6B"/>
    <w:p w:rsidR="75646E7D" w:rsidRDefault="75646E7D" w14:paraId="302D8F3D" w14:textId="52D4B07F"/>
    <w:p w:rsidR="75646E7D" w:rsidRDefault="75646E7D" w14:paraId="1B72565C" w14:textId="1E26FD3F"/>
    <w:p w:rsidR="75646E7D" w:rsidRDefault="75646E7D" w14:paraId="045113C5" w14:textId="434D53E8"/>
    <w:p w:rsidR="75646E7D" w:rsidRDefault="75646E7D" w14:paraId="1728DCD3" w14:textId="25858188"/>
    <w:p w:rsidR="75646E7D" w:rsidRDefault="75646E7D" w14:paraId="30F6A226" w14:textId="2957FDEE"/>
    <w:p w:rsidR="75646E7D" w:rsidRDefault="75646E7D" w14:paraId="1926EB2A" w14:textId="222957E1"/>
    <w:p w:rsidR="0A38134B" w:rsidP="75646E7D" w:rsidRDefault="0A38134B" w14:paraId="648C1994" w14:textId="114B726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Section 2</w:t>
      </w:r>
    </w:p>
    <w:p w:rsidR="0A38134B" w:rsidP="75646E7D" w:rsidRDefault="0A38134B" w14:paraId="18CB221B" w14:textId="627474D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When deliberating research projects, there are several methodological considerations to evaluate including what data collection methods are being used, their strengths and limitations and the propriety for the study. Also, effects such as the Hawthorne effect, the Halo effect and triangulation and how these can affect the reliability of a research project.</w:t>
      </w:r>
    </w:p>
    <w:p w:rsidR="0A38134B" w:rsidP="75646E7D" w:rsidRDefault="0A38134B" w14:paraId="47FAFA95" w14:textId="295C139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 the question, ‘What are the differences for children and adults receiving an autism spectrum disorder (ASD) diagnosis in childhood and adulthood?’ research into the opinions of practitioners in Specialist Teaching Facilities (STF’s) and mainstream schools and also the impact of the children attending those settings. Additionally, the opinions of adults who received a later diagnosis and the impact this has had on their lives. To achieve the desired results, interviews and questionnaires can be considered.</w:t>
      </w:r>
    </w:p>
    <w:p w:rsidR="0A38134B" w:rsidP="75646E7D" w:rsidRDefault="0A38134B" w14:paraId="5097B999" w14:textId="1730845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Interviews allow for a broader understanding and acknowledgement for the circumstances of people's lives (Coe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2025). According to Nolan (2013), qualitative research can allow more of a focus to be more in-depth on a smaller scale to capture the experiences of participants in a more detailed and intimate way. Additionally, qualitative research explores the depth and complexity of human experiences and viewpoints revealing subtleties that quantitive data fails to capture (Weng, 2025). Moreover, interviews are considered sources of primary sources as the information is being received directly from the original source (Newby, 2014).</w:t>
      </w:r>
    </w:p>
    <w:p w:rsidR="0A38134B" w:rsidP="75646E7D" w:rsidRDefault="0A38134B" w14:paraId="6A5DFE5E" w14:textId="6B460AC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A strength of conducting interviews would be that the participant and the interviewer can self-analyse not only ‘what’ is being said but also ‘how’ it is being said (Denzin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2023). This would suggest that interpretations of body language and tone of voice can be considered in the interviewee's responses. However, Newby (2014), discusses that interviews are more time consuming both to partake and then further analyse the results. Nevertheless, interview questions can explore facts and firsthand experiences thus gaining a more individual approach and broader response. Finally, ethical considerations such as permissions to record the information gathered either digitally or physically will need to be discussed and agreed with the interviewees to gain approval of their participation (Lambert, 2019).</w:t>
      </w:r>
    </w:p>
    <w:p w:rsidR="0A38134B" w:rsidP="75646E7D" w:rsidRDefault="0A38134B" w14:paraId="4DA844F3" w14:textId="4A04660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further considerations to interviews </w:t>
      </w:r>
      <w:bookmarkStart w:name="_Int_agVGfQYI" w:id="62281202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62281202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their format. Structured interviews include pre-determined questions that are given to all interview candidates consistently. Structured interviews often include a ranking scale of the candidates' answers (McGill University, n.d.). Semi-structured interviews are used to fully understand the interviewees individual perspective opposed to a generic occurrence (Adeoye-Olatunde, 2021). Finally, unstructured interviews, where questions are not standardized across interviewees has more of a focus on a more open discussion with candidates (McGill University, n.d.).</w:t>
      </w:r>
    </w:p>
    <w:p w:rsidR="0A38134B" w:rsidP="75646E7D" w:rsidRDefault="0A38134B" w14:paraId="75EF7911" w14:textId="256E7BEE">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Pertaining to</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question, the type of sample needed for interview would be a purposive sample due to the uniqueness of the study. Data obtained from interviews of parents without children diagnosed with ASD and adults without an ASD diagnosis will be irrelevant. Interviews with practitioners at STF’s and parents of children with ASD would be ideal candidates for conducting the interviews to gain relevant data. However, there are limitations to this surrounding consent due to the nature of the research. Ahmad and Wilkins (2024), suggest that purposive sampling is one of the most common approaches to qualitative research and that the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type of research is to gain insights and understanding of a specific topic. A small sample is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required</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to undertake the interviews due to the volume of work needed to transcribe the data. One of the most common forms of transcription is verbatim transcription meaning to produce a word for word account of the interview (McGrath, Palmgren, and Liljedahl, 2019). To have a larger sample of interviews would be very time consuming to transcribe. Some other limitations to consider would be the Halo effect. The Halo effect is when the physical appearance of someone is used as a basis for evaluating other characteristics unrelated to appearance (Gabrielli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2021). In relation to this study, the Halo effect could be considered in that the interviewee could perceive the interviewer to be trustworthy due to their appearance. Another limitation to consider would be the Hawthorne effect, whereby the participant would display behaviours that they expect the interviewer to display. This would not normally be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deemed</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as their usual behaviour (Oswald, Sherratt and Smith, 2014). </w:t>
      </w:r>
      <w:bookmarkStart w:name="_Int_qCWgOsof" w:id="161480808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614808085"/>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interviewees may change their disposition to answers to appear a unique way which could then influence the result of the research.</w:t>
      </w:r>
    </w:p>
    <w:p w:rsidR="0A38134B" w:rsidP="75646E7D" w:rsidRDefault="0A38134B" w14:paraId="000E60EF" w14:textId="346486E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Questionnaires are examples of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quantitive</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data.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Quantitive</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data is data collected in the form of numbers and can be arranged </w:t>
      </w:r>
      <w:bookmarkStart w:name="_Int_jW7vOIAf" w:id="1170120436"/>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1170120436"/>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describe, explore, and explain. It can also provide </w:t>
      </w:r>
      <w:r w:rsidRPr="75646E7D" w:rsidR="28635FE2">
        <w:rPr>
          <w:rFonts w:ascii="Arial" w:hAnsi="Arial" w:eastAsia="Arial" w:cs="Arial"/>
          <w:b w:val="0"/>
          <w:bCs w:val="0"/>
          <w:i w:val="0"/>
          <w:iCs w:val="0"/>
          <w:caps w:val="0"/>
          <w:smallCaps w:val="0"/>
          <w:noProof w:val="0"/>
          <w:color w:val="000000" w:themeColor="text1" w:themeTint="FF" w:themeShade="FF"/>
          <w:sz w:val="24"/>
          <w:szCs w:val="24"/>
          <w:lang w:val="en-GB"/>
        </w:rPr>
        <w:t>substantial amounts</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of data using minimal effort (Hammond, 2021). According to Cohen (2018), questionnaires can be cost effective, reliable, and simple to complete. Conversely, he offers that there is a likelihood of a limited response dependant on the nominal or ordinal data within the questionnaire. Lambert (2019), offers that questionnaires can gain a succinct and clear analysis of data, thus providing a briefer profile of data that can be easily read. Similarly to interviews, questionnaires are a source of primary data (Newby, 2014). However, Coe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(2025), state that questionnaires offer a forced choice which can limit the findings within the research project. Within a questionnaire, the questions should be clear, understandable, relevant, and concise. Leading questions, assumptions, and complexities should also be avoided (Cohen, 2018). A questionnaire can consist of a variety of types. Likert scales are commonly used to gauge the feelings of the respondent which usually involves a statement asking whether they agree, disagree or are not sure about the statement. Other types of questionnaires include multiple choice questions, open ended questions, rank ordering, and written response (Coe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2025). Questionnaires can be helpful in providing a vast sample size that can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wider population (Manchester Metropolitan University, 2013). Additionally, questionnaires can gather and record information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a particular area of interest (Kirklees Council, n.d.). Questionnaires need to be clear </w:t>
      </w:r>
      <w:bookmarkStart w:name="_Int_YBO6vpqA" w:id="1657523089"/>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657523089"/>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sample size, the basis of the chosen respondents and the characteristics of those that responded </w:t>
      </w:r>
      <w:bookmarkStart w:name="_Int_OdlNu00e" w:id="695614757"/>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and also</w:t>
      </w:r>
      <w:bookmarkEnd w:id="695614757"/>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of those who chose not to respond (Newby, 2014). </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project, questionnaires must be transparent in including all aspects of the research project (Walker and Solvason, 2014).</w:t>
      </w:r>
    </w:p>
    <w:p w:rsidR="0A38134B" w:rsidP="75646E7D" w:rsidRDefault="0A38134B" w14:paraId="6638C612" w14:textId="6659B2B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For the research project, observations were not a chosen methodological consideration as although, in general, they can offer valuable insights into the participants world, observations in this case would not give a holistic view of the participant. (Walker and Solvason, 2014). There are many ethical considerations with observations especially for those with an ASD diagnosis. People with Autism can face coercion to consent to research, lowered ethical safeguards in research and instances of participant discomfort (Cascio, Weiss and Racine, 2020). By using alternative methods of research, it mitigates the risk of any ethical issues.</w:t>
      </w:r>
    </w:p>
    <w:p w:rsidR="0A38134B" w:rsidP="75646E7D" w:rsidRDefault="0A38134B" w14:paraId="23925EBF" w14:textId="76BF7E7F">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relevance to the research question, a questionnaire would be suitable to gauge the interest and information from practitioners, parents and adults regarding an ASD diagnosis, however there would be a limitation to the amount of people able to complete the form and its relevance in the wider scope of analysis. This could influence the data gathered for the research. However, this method could be considered as an initial form of research to gather baseline data which can be analysed for further considerations.</w:t>
      </w:r>
    </w:p>
    <w:p w:rsidR="0A38134B" w:rsidP="75646E7D" w:rsidRDefault="0A38134B" w14:paraId="5E659FF9" w14:textId="41A030A6">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G7rKMQnO" w:id="191227614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912276140"/>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xml:space="preserve"> the Halo effect and questionnaires, some respondents may change their answer to appear better or be more aware of their requirements to answer what they believe the questionnaire author requires of them (Gabrielli </w:t>
      </w:r>
      <w:r w:rsidRPr="75646E7D" w:rsidR="0A38134B">
        <w:rPr>
          <w:rFonts w:ascii="Arial" w:hAnsi="Arial" w:eastAsia="Arial" w:cs="Arial"/>
          <w:b w:val="0"/>
          <w:bCs w:val="0"/>
          <w:i w:val="1"/>
          <w:iCs w:val="1"/>
          <w:caps w:val="0"/>
          <w:smallCaps w:val="0"/>
          <w:noProof w:val="0"/>
          <w:color w:val="000000" w:themeColor="text1" w:themeTint="FF" w:themeShade="FF"/>
          <w:sz w:val="24"/>
          <w:szCs w:val="24"/>
          <w:lang w:val="en-GB"/>
        </w:rPr>
        <w:t>et al.</w:t>
      </w: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 2021). This can be unreliable for the results of the research. Another limitation could be the Hawthorne effect, which can also have a detrimental effect on the study as the person answering can change their behaviour to suit the questionnaire’s outcome (Oswald, Sherratt and Smith, 2014).</w:t>
      </w:r>
    </w:p>
    <w:p w:rsidR="0A38134B" w:rsidP="75646E7D" w:rsidRDefault="0A38134B" w14:paraId="0C7BFD45" w14:textId="20E2467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Triangulation is when both qualitative and quantitative data agree and are complimentary to one another. It combines a variety of sources to fully understand the research topic and make the findings accurate and convincing. It can also help achieve data gathering from a range of perspectives (Roberts-Holmes, 2018). Using mixed methods can create unbiased data as it is not subject to limitations of either quantitative or qualitative approaches (Nolan, 2013).</w:t>
      </w:r>
    </w:p>
    <w:p w:rsidR="0A38134B" w:rsidP="75646E7D" w:rsidRDefault="0A38134B" w14:paraId="099B83BB" w14:textId="49E319B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0A38134B">
        <w:rPr>
          <w:rFonts w:ascii="Arial" w:hAnsi="Arial" w:eastAsia="Arial" w:cs="Arial"/>
          <w:b w:val="0"/>
          <w:bCs w:val="0"/>
          <w:i w:val="0"/>
          <w:iCs w:val="0"/>
          <w:caps w:val="0"/>
          <w:smallCaps w:val="0"/>
          <w:noProof w:val="0"/>
          <w:color w:val="000000" w:themeColor="text1" w:themeTint="FF" w:themeShade="FF"/>
          <w:sz w:val="24"/>
          <w:szCs w:val="24"/>
          <w:lang w:val="en-GB"/>
        </w:rPr>
        <w:t>In conclusion, both methodologies have their advantages and limitations to the research question. Questionnaires would be beneficial to gauge initial interest and participation, with interviews gaining deeper, more personable insights into the effects of ASD diagnosis in children and adults. However, due to the sensitive nature of the question, ethical considerations will need to be addressed.</w:t>
      </w:r>
    </w:p>
    <w:p w:rsidR="75646E7D" w:rsidP="75646E7D" w:rsidRDefault="75646E7D" w14:paraId="51D0C0BD" w14:textId="14D5C43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B9FF3C0" w14:textId="018DCDF3">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369178B7" w14:textId="7E8438DD">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246E498" w14:textId="7EF51B8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34F02BD7" w14:textId="0557317D">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A64BA91" w14:textId="28B11E5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08C26F46" w14:textId="65960731">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79E8B772" w14:textId="635B4B98">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D2FB548" w14:textId="308FCD60">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65100C02" w14:textId="3E2AC0D1">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681C9C15" w14:textId="71791597">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6F0A995" w14:textId="388E280B">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D8D7464" w14:textId="5A5E3785">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737C07AA" w14:textId="6CE2E9DB">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F703114" w14:textId="48D9011F">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12344D9A" w14:textId="01277584">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743AD88" w14:textId="3A797E53">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41A1156" w14:textId="521C7D51">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24F6A13F" w14:textId="72DEAAA5">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29006CC3" w14:textId="113EEE5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2A93A305" w14:textId="1C848208">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79DE381D" w14:textId="5C5D916F">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6A39E868" w14:textId="098E56E7">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54C39E6" w14:textId="067383CA">
      <w:pPr>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44F5B5EB" w14:textId="087A2BF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248D017" w:rsidP="75646E7D" w:rsidRDefault="7248D017" w14:paraId="4C59D5B6" w14:textId="47F7922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Section 3</w:t>
      </w:r>
    </w:p>
    <w:p w:rsidR="7248D017" w:rsidP="75646E7D" w:rsidRDefault="7248D017" w14:paraId="0F24EC31" w14:textId="6B2BCBA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Ethical considerations are a critical aspect of any research project (UWTSD, 2025, p.3). Ensuring all considerations are met and adhered to is critical when conducting research, even more so with children. </w:t>
      </w:r>
      <w:bookmarkStart w:name="_Int_4tkpnRRT" w:id="1578389674"/>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578389674"/>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those with ASD, empowering children and adults with ASD can lead to decision making and allowing participants to decide their involvement, shaping research processes and contexts (Cascio, Weiss, and Racine, 2020).</w:t>
      </w:r>
    </w:p>
    <w:p w:rsidR="7248D017" w:rsidP="75646E7D" w:rsidRDefault="7248D017" w14:paraId="4E053EF2" w14:textId="00E78B1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Consent is required in all cases of research. According to guidelines set by the British, Educational Research Association (BERA) (2024, p.13), researchers are required to obtain the participants voluntary informed consent at the outset of the study, and are to remain attentive to the possibility that the participants may choose to withdraw that consent at any point and for any reason. Consent is regarded by voluntary, informed, and ongoing as the basis on which participants understand and agree to take part including the associated terms and arrangements, without any form of pressure. However, Beresford </w:t>
      </w:r>
      <w:r w:rsidRPr="75646E7D" w:rsidR="7248D017">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(2004), state that children with ASD are usually neglected from research studies. Additionally, Dawson (2017), offers that denying a specific group of people against the protections and benefits of ethical research standards causes </w:t>
      </w:r>
      <w:bookmarkStart w:name="_Int_jTCPJkip" w:id="7871639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particular harm</w:t>
      </w:r>
      <w:bookmarkEnd w:id="7871639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and constitutes a violation of fundamental human rights. </w:t>
      </w:r>
      <w:bookmarkStart w:name="_Int_1Khd1Z4l" w:id="423164802"/>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423164802"/>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the current research project, assent would be necessary in this circumstance. According to Murray (2011, cited by Palaiologou (2012), assent is defined as the participants active and affirmative agreement – in this context, the child’s own willingness to take part – and informed consent as the formal approval provided either by a competent child or by the child’s legal representative. BERA (2024, p.5), offers that the Equality Act (2010), will also need consideration for those regarded as having a disability and neurodiversity and the researcher's responsibility to consider sensitivity and attentiveness.</w:t>
      </w:r>
    </w:p>
    <w:p w:rsidR="7248D017" w:rsidP="75646E7D" w:rsidRDefault="7248D017" w14:paraId="46C717E1" w14:textId="7204C98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The United Nations Convention on the Rights of the Child (UNCRC) (2019), ensures propriety and inclusion are principal factors, regardless of race, religion, or abilities. Article 12 states that all children who </w:t>
      </w:r>
      <w:bookmarkStart w:name="_Int_opfM8JmL" w:id="34259831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are capable of forming</w:t>
      </w:r>
      <w:bookmarkEnd w:id="342598317"/>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their own views should be granted the right to express their view freely in all matters affecting them, in line with their age and maturity. Additionally, Article 3 states that the best interests of the child must be the primary consideration. Also, Article 13 offers that every child has the right to express their views and access a wide range of information, provided this occurs within the boundaries of the law. These Articles communicate that all children have rights without discrimination of any kind. </w:t>
      </w:r>
    </w:p>
    <w:p w:rsidR="7248D017" w:rsidP="75646E7D" w:rsidRDefault="7248D017" w14:paraId="0CC1326D" w14:textId="1350900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As a researcher, showing openness and transparency can mitigate any risks to those participating in the research project. According to BERA (2024 p.19), researchers should be open and honest with all participants to ensure the appropriate data is collected. Furthermore, the University of Wales Trinity Saint David (UWTSD) Research Ethics and Integrity Policy (2025, p.6), outlines that all research should be designed to ensure integrity, transparency, and accountability. Regarding this research project, particular attention needs to be drawn to the participants and their potential communication difficulties ensuring they are fully aware either by personal consent or by assent through parents, family members, and other autism professionals (Cascio, Weiss and Racine, 2021). </w:t>
      </w:r>
    </w:p>
    <w:p w:rsidR="7248D017" w:rsidP="75646E7D" w:rsidRDefault="7248D017" w14:paraId="6001AC18" w14:textId="22E6B9A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Another aspect to consider as a researcher is the participants' right to withdraw. Participants have the right to withdraw at any time, and they must be informed of this at the time of obtaining informed consent (Moodle, 2024). BERA (2024, p.19), offers that researchers should recognise that all participants have the right to withdraw from a study at any time, with or without giving a reason; they should be clearly informed of this right and the process of exercising it. The UWTSD Research Ethics and Integrity Policy (2025, p.18), adds that due to the more vulnerable nature of the participants pertaining to this research project, careful consideration to the participants freedom to act in their ability to withdraw and also take into consideration any visual cues as a sign that they no longer wish to continue the research.</w:t>
      </w:r>
    </w:p>
    <w:p w:rsidR="7248D017" w:rsidP="75646E7D" w:rsidRDefault="7248D017" w14:paraId="32550DEC" w14:textId="70151A7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To ensure the protection of confidentiality and anonymity is another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key factor</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project, ensuring that the research follows General Data Protection Regulation (GDPR) (2018), and the Data Protection Act (2018). BERA (2024, p.24),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advises</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that researchers must safeguard all data securely and ensure that any form of publication does not either directly or indirectly compromise the confidentiality that has been agreed with the participants. The UWTSD Research Ethics and Integrity Policy (2025, p22), offers that the researchers must respect the right of both institutions and individual participants to privacy. This can require the use of anonymisation or pseudonymisation and that when it is used, researchers should clearly explain the rationale for their approach. Continually, preferences </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 xml:space="preserve"> anonymity should be respected throughout the research process.</w:t>
      </w:r>
    </w:p>
    <w:p w:rsidR="7248D017" w:rsidP="75646E7D" w:rsidRDefault="7248D017" w14:paraId="483EC834" w14:textId="480DB85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Within research projects there can be risks to the participant, the researcher and university. The ability to mitigate risks is important to achieve fair research. A potential risk to the participant would be gaining consent to conduct the research. BERA (2024, p.13), offers that even though participants give voluntary informed consent, they must also know they have the right to withdraw at any time, without providing an explanation. The UWTSD Research Ethics and Integrity Policy (2025, p.6) proposes that by offering a full disclosure of what is expected during the research project can also mitigate any risks to the participant. Regarding the current research project, the researcher would need to be observant to any expressions of discomfort and address this as a right to withdraw.</w:t>
      </w:r>
    </w:p>
    <w:p w:rsidR="7248D017" w:rsidP="75646E7D" w:rsidRDefault="7248D017" w14:paraId="3574B800" w14:textId="04D1166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Another potential risk to the participant would be how securely the research data is stored. BERA (2024, p. 24), states that keeping of hard copy data must be under lock and key on a secured premises and by using password protection on any online digital files can minimise the risk of any confidentiality breach. The UWTSD Research Ethics and Integrity Policy (2025, p.6), offers that any requirements relating to the confidential handling of information and personal data must be upheld. Due to the nature of the research project in question, it would be imperative to ensure that confidentiality agreements are complied with.</w:t>
      </w:r>
    </w:p>
    <w:p w:rsidR="7248D017" w:rsidP="75646E7D" w:rsidRDefault="7248D017" w14:paraId="58C4F32F" w14:textId="37221B9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Reducing risks to the researcher and the University often go hand in hand. In reference to the UWTSD Research Ethics and Integrity Policy (2025, p.7), risks such as failure of assessed work, the inability to publish the research findings and possible disciplinary or legal action can impact both the researcher and the University. By adhering to robust precautions, gaining appropriate consent and following confidentiality and data protection guidelines can reduce any risk to researchers and the University. In addition, BERA (2024, p.33), offers that the University as an institution has a legal and moral responsibilities to ensure the safety of staff and students.</w:t>
      </w:r>
    </w:p>
    <w:p w:rsidR="7248D017" w:rsidP="75646E7D" w:rsidRDefault="7248D017" w14:paraId="001E101E" w14:textId="71A8CA4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Along with following advice from BERA and in this instance the UWTSD Research Ethics and Integrity Policy, additional instruction is conveyed through legislation such as GDPR (2018), and the Data Protection Act (2018). This legislation controls how a person's personal information is used and that the information gathered is used fairly, lawfully, and transparently (Gov. UK, n.d.) By following this legal framework, the risks of any legal action will be diminished.</w:t>
      </w:r>
    </w:p>
    <w:p w:rsidR="7248D017" w:rsidP="75646E7D" w:rsidRDefault="7248D017" w14:paraId="6C1A1A6C" w14:textId="5B07638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5646E7D" w:rsidR="7248D017">
        <w:rPr>
          <w:rFonts w:ascii="Arial" w:hAnsi="Arial" w:eastAsia="Arial" w:cs="Arial"/>
          <w:b w:val="0"/>
          <w:bCs w:val="0"/>
          <w:i w:val="0"/>
          <w:iCs w:val="0"/>
          <w:caps w:val="0"/>
          <w:smallCaps w:val="0"/>
          <w:noProof w:val="0"/>
          <w:color w:val="000000" w:themeColor="text1" w:themeTint="FF" w:themeShade="FF"/>
          <w:sz w:val="24"/>
          <w:szCs w:val="24"/>
          <w:lang w:val="en-GB"/>
        </w:rPr>
        <w:t>By having ethical integrity throughout the research project can help to achieve accurate results whilst maintaining honesty and openness to all those involved in the research project.</w:t>
      </w:r>
    </w:p>
    <w:p w:rsidR="75646E7D" w:rsidP="15509E03" w:rsidRDefault="75646E7D" w14:paraId="64B4987E" w14:textId="7D845A5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5509E03" w:rsidP="15509E03" w:rsidRDefault="15509E03" w14:paraId="6439E615" w14:textId="48078C9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5509E03" w:rsidP="15509E03" w:rsidRDefault="15509E03" w14:paraId="2B92867C" w14:textId="33DBA44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5509E03" w:rsidP="15509E03" w:rsidRDefault="15509E03" w14:paraId="63DC209F" w14:textId="1144DBE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5509E03" w:rsidP="15509E03" w:rsidRDefault="15509E03" w14:paraId="761BA8A7" w14:textId="7769439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5509E03" w:rsidP="15509E03" w:rsidRDefault="15509E03" w14:paraId="2E09B29A" w14:textId="163C2B0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63EE2DB" w:rsidP="15509E03" w:rsidRDefault="763EE2DB" w14:paraId="2EFC5B0A" w14:textId="55F99C8B">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Adeoye</w:t>
      </w:r>
      <w:r w:rsidRPr="15509E03" w:rsidR="763EE2DB">
        <w:rPr>
          <w:rFonts w:ascii="Cambria Math" w:hAnsi="Cambria Math" w:eastAsia="Cambria Math" w:cs="Cambria Math"/>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Olatunde, O.A. and Olenik, N.L. (2021) “Research and scholarly methods: Semi</w:t>
      </w:r>
      <w:r w:rsidRPr="15509E03" w:rsidR="763EE2DB">
        <w:rPr>
          <w:rFonts w:ascii="Cambria Math" w:hAnsi="Cambria Math" w:eastAsia="Cambria Math" w:cs="Cambria Math"/>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structured interviews,”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JAACP : Journal of the American College of Clinical Pharmacy</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4(10), pp. 1358–1367. Available at: </w:t>
      </w:r>
      <w:hyperlink r:id="Rcd30831074fa490b">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https://doi.org/10.1002/jac5.1441</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6241193C" w14:textId="00488F2E">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Ahmad, M. and Wilkins, S. (2025) “Purposive sampling in qualitative research: a framework for the entire journey,”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Quality &amp; quantity</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59(2), pp. 1461–1479. Available at: </w:t>
      </w:r>
      <w:hyperlink r:id="Re2adc3d1fd1f4827">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https://doi.org/10.1007/s11135-024-02022-5</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1FFE9F8" w14:textId="6D769E96">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Autism CRC (2016) Inclusive Research Practice Guides and Checklists for Autism Research. Available at: </w:t>
      </w:r>
      <w:hyperlink r:id="Rcd6488375be94fd3">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https://www.autismcrc.com.au/sites/default/files/inline-files/Inclusive%20research%20practice%20guides%20and%20checklists%20-%20FInal%20report.pdf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6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6903EAA2" w14:textId="4A603E6A">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Beresford, B.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et al.</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(2004) “Developing an approach to involving children with autistic spectrum disorders in a social care research project,”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British journal of learning disabilities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32(4), pp. 180–185. Available at: </w:t>
      </w:r>
      <w:hyperlink r:id="Rd68be2153aac44c8">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https://doi.org/10.1111/j.1468-3156.2004.00318.x</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4788A12A" w14:textId="0A047D22">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Berman, J. and Farmer, L. (2022) “Benefits of early diagnosis for children on the autism spectrum,”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Baltimore Jewish times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22 April, pp. 16–17.</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25786514" w14:textId="61EB2022">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British Broadcasting Corporation [BBC] (2013) Autism Signs present in the first months of life. Available at: </w:t>
      </w:r>
      <w:hyperlink r:id="Rb6c7717b282f47c8">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https://www.bbc.co.uk/news/health-24837462</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2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113B4FE8" w14:textId="61DF461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Cascio, M. A., Weiss, J. A., &amp; Racine, E. (2020a). Empowerment in decision-making for autistic people in research. Disability &amp; Society. Advance online publication. </w:t>
      </w:r>
      <w:hyperlink r:id="Rf2e67f340b124ea8">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https://doi.org/10.1 080/09687599.2020.1712189</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28E1D528" w14:textId="6BD6F3F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Cascio, M. A., Weiss, J. A., &amp; Racine, E. (2020b). “Making autism research inclusive by attending to intersectionality: A review of the research ethics literature”. Review Journal of Autism and Developmental Disorders. Advance online publication. Available at: </w:t>
      </w:r>
      <w:hyperlink r:id="R817a31d65ea944be">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https://doi.org/10.1007/s40489-020-00204-z</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4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755D6B9B" w14:textId="4F25EA54">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Cascio, M.A. and Racine, E. (2018) “Person-oriented research ethics: integrating relational and everyday ethics in research,”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Accountability in research</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25(3), pp. 170–197. Available at: </w:t>
      </w:r>
      <w:hyperlink r:id="Rc30694eb67454e9f">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https://doi.org/10.1080/08989621.2018.1442218</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36A82133" w14:textId="4BC6E3D9">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Cascio, M.A., Weiss, J.A. and Racine, E. (2020) “Person-oriented ethics for autism research: Creating best practices through engagement with autism and autistic communities,”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Autism : the international journal of research and practice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24(7), pp. 1676–1690. Available at: </w:t>
      </w:r>
      <w:hyperlink r:id="R62f8c4a7364647ab">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https://doi.org/10.1177/1362361320918763</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w:t>
      </w:r>
    </w:p>
    <w:p w:rsidR="763EE2DB" w:rsidP="15509E03" w:rsidRDefault="763EE2DB" w14:paraId="699D9EE5" w14:textId="228E1220">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Chawarska</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K.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et al.</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(2009) ‘A prospective study of toddlers with ASD: short-term diagnostic and cognitive outcomes’,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Journal of Child Psychology &amp; Psychiatry</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50(10), pp. 1235–1245. doi:10.1111/j.1469-7610.2009.</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02101.x.</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w:t>
      </w:r>
    </w:p>
    <w:p w:rsidR="763EE2DB" w:rsidP="15509E03" w:rsidRDefault="763EE2DB" w14:paraId="41B9E5D3" w14:textId="18C28A29">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Children’s Commissioner (2024)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Waiting times for assessment and support for autism, ADHD and other neurodevelopmental conditions.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Available at: </w:t>
      </w:r>
      <w:hyperlink r:id="Rf7f042744dee4c62">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https://assets.childrenscommissioner.gov.uk/wpuploads/2024/10/CCo-report-on-ND-waiting-times_final.pdf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30 April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B4F4063" w14:textId="53D9CCE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Children’s Commissioner for Wales (2022) Making Wales a No Wrong Door Nation – How Are We Doing? Available at: </w:t>
      </w:r>
      <w:hyperlink r:id="R0b73bea23de3459c">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https://www.childcomwales.org.uk/wp-content/uploads/2022/02/No-Wrong-Door-Report-February-2022.pdf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1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739D86FE" w14:textId="32EBA984">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Clarke, M., Vinen, Z., Barbaro, J., and Dissanayake, C. (2018). ‘School Age Outcomes of Children Diagnosed Early and Later with Autism Spectrum Disorder’ Available at: </w:t>
      </w:r>
      <w:hyperlink r:id="R667b31ed005d4f62">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https://link.gale.com/apps/doc/A522270606/AONE?u=walamp&amp;sid=bookmark-AONE&amp;xid=fff06929</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25 April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239A7C16" w14:textId="1FCA1633">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Coe, R., Waring, M., Hedges, L., Day Ashley, L. (2025)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Research methods and methodologies in education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4th edition. Los Angeles :, Sage Publications Ltd.,.</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3A3B097" w14:textId="22F189C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Cohen, L. (2018)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Research methods in education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Eighth edition. London ; New York :; London ; New York :, Routledge.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010FCBF" w14:textId="4F2AC67A">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Cridland, E. K., Jones, S. C., Caputi, P., &amp; Magee, C. A. (2015). Qualitative research with families living with autism spectrum disorder: Recommendations for conducting semi structured interviews.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Journal of Intellectual &amp; Developmental Disability</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40(1), 78–91.</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483AC37" w14:textId="526628F7">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Dawson, M. (2017). What history tells us about autism research, redub. </w:t>
      </w:r>
      <w:hyperlink r:id="Rb53789a22d5c4f96">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http://autismcrisis.blogspot.com/2017/11/what-history-tells-us-about-autism.html</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924F773" w14:textId="25D7E65B">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Denzin, N.K., Lincoln, Y.S., Giardina, M.D., &amp; Cannella, G.S. (eds) (2023)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The SAGE handbook of qualitative research.</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Sixth edition. Los Angeles:, SAGE.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49AE1272" w14:textId="204748E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Eaton, J. (2024)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Autism Missed and Misdiagnosed: Identifying, Understanding and Supporting Diverse Autistic Identities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1st ed. London: Jessica Kingsley Publishers. Available at: </w:t>
      </w:r>
      <w:hyperlink r:id="Ra33ddcdaa0194185">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https://doi.org/10.5040/9781839979576</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15509E03" w:rsidP="15509E03" w:rsidRDefault="15509E03" w14:paraId="51649619" w14:textId="5520438B">
      <w:pPr>
        <w:rPr>
          <w:rFonts w:ascii="Arial" w:hAnsi="Arial" w:eastAsia="Arial" w:cs="Arial"/>
          <w:b w:val="0"/>
          <w:bCs w:val="0"/>
          <w:i w:val="0"/>
          <w:iCs w:val="0"/>
          <w:caps w:val="0"/>
          <w:smallCaps w:val="0"/>
          <w:noProof w:val="0"/>
          <w:color w:val="000000" w:themeColor="text1" w:themeTint="FF" w:themeShade="FF"/>
          <w:sz w:val="24"/>
          <w:szCs w:val="24"/>
          <w:lang w:val="en-US"/>
        </w:rPr>
      </w:pPr>
    </w:p>
    <w:p w:rsidR="15509E03" w:rsidP="15509E03" w:rsidRDefault="15509E03" w14:paraId="67F76604" w14:textId="11CC6338">
      <w:pPr>
        <w:rPr>
          <w:rFonts w:ascii="Arial" w:hAnsi="Arial" w:eastAsia="Arial" w:cs="Arial"/>
          <w:b w:val="0"/>
          <w:bCs w:val="0"/>
          <w:i w:val="0"/>
          <w:iCs w:val="0"/>
          <w:caps w:val="0"/>
          <w:smallCaps w:val="0"/>
          <w:noProof w:val="0"/>
          <w:color w:val="000000" w:themeColor="text1" w:themeTint="FF" w:themeShade="FF"/>
          <w:sz w:val="24"/>
          <w:szCs w:val="24"/>
          <w:lang w:val="en-US"/>
        </w:rPr>
      </w:pPr>
    </w:p>
    <w:p w:rsidR="763EE2DB" w:rsidP="15509E03" w:rsidRDefault="763EE2DB" w14:paraId="0F3A2673" w14:textId="6F3C9C3D">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Gabbay-Dizdar, N., Ilan, M., Meiri, G.,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Faroy</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M., Michaelovski, A.,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Flusser</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H., Menashe, I., Koller, J., Zachor, D. A., &amp;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Dinstein</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I. (2022). ‘Early diagnosis of autism in the community is associated with marked improvement in social symptoms within 1–2 years’ Available at: </w:t>
      </w:r>
      <w:hyperlink r:id="R6a927be002da4d0d">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https://journals-sagepub-com.uwtsd.idm.oclc.org/doi/full/10.1177/13623613211049011</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25 April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8D1E8A2" w14:textId="29D3AEE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Gabrieli G., Lee A., Setoh, P., and Esposito, G. (2021) An Analysis of the Generalizability and Stability of the Halo Effect During the COVID-19 Pandemic Outbreak. Front. Psychol. 12:631871. doi: 10.3389/fpsyg.2021.631871</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60F9A03" w14:textId="604D588C">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Hamilton, J.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et al.</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(2017) “Mental capacity to consent to research? Experiences of consenting adults with intellectual disabilities and/or autism to research,”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British journal of learning disabilities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45(4), pp. 230–237. Available at: </w:t>
      </w:r>
      <w:hyperlink r:id="Re3440f7d656441d6">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https://doi.org/10.1111/bld.12198</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22D8FB2" w14:textId="784E6D4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Hammond, M. (2021)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Research methods: the key concepts.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Second edition. London; New York, New York:; London; New York, New York:, Routledge.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76A0A557" w14:textId="3A8637F4">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Hansen, S.N., Schendel, D. E., Parner, E.T. Explaining the Increase in the Prevalence of Autism Spectrum Disorders: The Proportion Attributable to Changes in Reporting Practices. JAMA Pediatr. 2015;169(1):56–62. doi:10.1001/jamapediatrics.2014.1893</w:t>
      </w:r>
      <w:r w:rsidRPr="15509E03" w:rsidR="763EE2D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9072377" w14:textId="685A3E5D">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Harris, J. (2018) “Leo Kanner and autism: a 75-year perspective,”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International review of psychiatry (Abingdon, England)</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30(1), pp. 3–17. Available at: </w:t>
      </w:r>
      <w:hyperlink r:id="Rd0145c3d87904866">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https://doi.org/10.1080/09540261.2018.1455646</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728486E4" w14:textId="59B6175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Kiogora, N. (2025) “The importance of early diagnosis and intervention strategies in improving developmental outcomes and quality of life for children with autism.”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International Academic Journal of Health, Medicine and Nursing | Volume 2, Issue 2, pp. 50-63.</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Available at: </w:t>
      </w:r>
      <w:hyperlink r:id="R3c6fe2c49eb34821">
        <w:r w:rsidRPr="15509E03" w:rsidR="763EE2DB">
          <w:rPr>
            <w:rStyle w:val="Hyperlink"/>
            <w:rFonts w:ascii="Arial" w:hAnsi="Arial" w:eastAsia="Arial" w:cs="Arial"/>
            <w:b w:val="0"/>
            <w:bCs w:val="0"/>
            <w:i w:val="0"/>
            <w:iCs w:val="0"/>
            <w:caps w:val="0"/>
            <w:smallCaps w:val="0"/>
            <w:strike w:val="0"/>
            <w:dstrike w:val="0"/>
            <w:noProof w:val="0"/>
            <w:sz w:val="24"/>
            <w:szCs w:val="24"/>
            <w:lang w:val="en-US"/>
          </w:rPr>
          <w:t>Microsoft Word - iajhmn_v2_i2_50_63.docx.</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6BDEA0AA" w14:textId="09822F9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Kirklees County Council (n.d.) Questionnaires, A How To Guide. Available at: </w:t>
      </w:r>
      <w:hyperlink r:id="R92d73324878144fa">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https://www.kirklees.gov.uk/involve/document/Questionnaires.pdf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3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3549C08E" w14:textId="001B223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Lambert, M (ed.) (2019)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Practical research methods in education [electronic resource] : an early researcher’s critical guide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Abingdon, England ; New York, NY :; Abingdon, England ; New York, NY :, Routledge.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94D12D3" w14:textId="05DF335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Legg, H., Tickle, A., Gillott, A.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et al.</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Exploring the Experiences of Parents Whose Child has Received a Diagnosis of Autistic Spectrum Disorder in Adulthood.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J Autism Dev Disord</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w:t>
      </w:r>
      <w:r w:rsidRPr="15509E03" w:rsidR="763EE2DB">
        <w:rPr>
          <w:rFonts w:ascii="Arial" w:hAnsi="Arial" w:eastAsia="Arial" w:cs="Arial"/>
          <w:b w:val="1"/>
          <w:bCs w:val="1"/>
          <w:i w:val="0"/>
          <w:iCs w:val="0"/>
          <w:caps w:val="0"/>
          <w:smallCaps w:val="0"/>
          <w:noProof w:val="0"/>
          <w:color w:val="000000" w:themeColor="text1" w:themeTint="FF" w:themeShade="FF"/>
          <w:sz w:val="24"/>
          <w:szCs w:val="24"/>
          <w:lang w:val="en-US"/>
        </w:rPr>
        <w:t>53</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205–215 (2023). </w:t>
      </w:r>
      <w:hyperlink r:id="Rbc43550a441d41f1">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https://doi-org.uwtsd.idm.oclc.org/10.1007/s10803-021-05296-y</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7AC1A03C" w14:textId="0A1436D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Lim, W.M. (2025) “What Is Qualitative Research? An Overview and Guidelines,”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Australasian marketing journal</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33(2), pp. 199–229. Available at: </w:t>
      </w:r>
      <w:hyperlink r:id="R6fc3a457262e4525">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https://doi.org/10.1177/14413582241264619</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F73B5A1" w14:textId="2A3C74DB">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Lord, C.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et al.</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(2020) “Work, living, and the pursuit of happiness: Vocational and psychosocial outcomes for young adults with autism,”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Autism : the international journal of research and practice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24(7), pp. 1691–1703. Available at: </w:t>
      </w:r>
      <w:hyperlink r:id="Rdfaf7c92e0fb4f9f">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https://doi.org/10.1177/1362361320919246</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w:t>
      </w:r>
    </w:p>
    <w:p w:rsidR="763EE2DB" w:rsidP="15509E03" w:rsidRDefault="763EE2DB" w14:paraId="2914E499" w14:textId="1C078420">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Loyd, D. (2013) “Obtaining consent from young people with autism to participate in research,”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British journal of learning disabilities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41(2), pp. 133–140. Available at: </w:t>
      </w:r>
      <w:hyperlink r:id="Ref271df2b334409c">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https://doi.org/10.1111/j.1468-3156.2012.00734.x</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30766E2" w14:textId="72E80A04">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Manchester Metropolitan University (2023) Conducting Research Interviews. Available at: </w:t>
      </w:r>
      <w:hyperlink r:id="R1ac63e8efc794394">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https://e-space.mmu.ac.uk/579515/1/Designing%20and%20using%20Research%20QuestionnairesREV18042013.pdf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3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F54D993" w14:textId="341D833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McGill (n.d.) Structured vs. Unstructured Interview: Improving Accuracy &amp; Objectivity Available at: </w:t>
      </w:r>
      <w:hyperlink r:id="R3a9ec192821f447f">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https://www.mcgill.ca/psychology/files/psychology/structuredinterviews.pdf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2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346B4327" w14:textId="336C5901">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McGrath, C., Palmgren, P. J. and Liljedahl, M. (2019) ‘Twelve tips for conducting qualitative research interviews’,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Medical Teacher</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41(9), pp. 1002–1006. doi: 10.1080/0142159X.2018.1497149.</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3F2682A6" w14:textId="01F4135E">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National Health Service Wales [NHS] (n.d.) Diagnostic Assessments for Autism. Available at: </w:t>
      </w:r>
      <w:hyperlink r:id="Rf936a981e8944e54">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https://cavuhb.nhs.wales/our-services/integrated-autism-services/diagnostic-assessments-for-autism/</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1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E738321" w14:textId="2BD5978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Newby, P. (2014)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Research methods for education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Second edition. Abingdon, Oxon. ; New York :; Abingdon, Oxon. ; New York :, Routledge. doi:10.4324/9781315758763.</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29F5D3F" w14:textId="656AB593">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Nolan, A. (2013)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Research in early childhood</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Los Angeles, Calif., SAGE.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7A80080D" w14:textId="688554C2">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Oswald, D., Sheratt, F., and Smith, S. (2014) Handling the Hawthorne Effect: The Challenges Surrounding a Participant Observer. Available at: </w:t>
      </w:r>
      <w:hyperlink r:id="Rfd29e56e39f24882">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https://moodle.uwtsd.ac.uk/pluginfile.php/627587/mod_folder/content/0/Darllen%20%20Reading/Article%20-%20Good%20explaination%20of%20the%20Hawthorne%20Effect.pdf?forcedownload=1</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2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68664325" w14:textId="072086BF">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Palaiologou, I. (Ed.). (2012).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Ethical practice in early childhood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(p. 1 online resource (xvi, 219 pages) :). SAGE Publications.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47845B80" w14:textId="089204C1">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Pascoe, G. (2018) ‘The value of early intervention for children with autism’ Pediatrics and Child Health Volume 28, Issue 8 pp. 364-367. Available at: </w:t>
      </w:r>
      <w:hyperlink r:id="R8b3dd3969fce4e74">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https://www.paediatricsandchildhealthjournal.co.uk/article/S1751-7222(18)30114-8/fulltext</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w:t>
      </w:r>
    </w:p>
    <w:p w:rsidR="763EE2DB" w:rsidP="15509E03" w:rsidRDefault="763EE2DB" w14:paraId="649D4F79" w14:textId="59EB916E">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xml:space="preserve">Portuguese, S. (2019) 'Associated Psychiatric Disorders in Adults with High-Functioning ASD' in Lowinger, S. and Pearlman-Avnion, S., eds., Autism in Adulthood. Autism and Child Psychopathology, Cham, Switzerland: Springer, 53-87, available: </w:t>
      </w:r>
      <w:hyperlink r:id="R173517efa0ca4fb6">
        <w:r w:rsidRPr="15509E03" w:rsidR="763EE2DB">
          <w:rPr>
            <w:rStyle w:val="Hyperlink"/>
            <w:rFonts w:ascii="Arial" w:hAnsi="Arial" w:eastAsia="Arial" w:cs="Arial"/>
            <w:b w:val="0"/>
            <w:bCs w:val="0"/>
            <w:i w:val="0"/>
            <w:iCs w:val="0"/>
            <w:caps w:val="0"/>
            <w:smallCaps w:val="0"/>
            <w:noProof w:val="0"/>
            <w:sz w:val="24"/>
            <w:szCs w:val="24"/>
            <w:lang w:val="en-US"/>
          </w:rPr>
          <w:t>https://link-gale-com.uwtsd.idm.oclc.org/apps/doc/CX8099500012/GVRL?u=walamp&amp;sid=bookmark-GVRL&amp;xid=94d81b3a</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Apr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1B7459B" w14:textId="74F8BE34">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Roberts-Holmes, G. (2018). Doing your early years research project: a step-by-step guide. London. Sage.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46061166" w14:textId="3F6C830C">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Rusick, J. (2023)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Understanding autism</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1st ed. Minneapolis: Abdo Publishing, a division of Abdo.</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F62D41B" w14:textId="7D49A74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Russell, G. (2021)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The rise of autism: risk and resistance in the age of diagnosis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1st ed. London: Routledge.</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41F8DCDE" w14:textId="29BE95A1">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Senedd Wales (2024) Neurodevelopmental Services in Wales Research Briefing. Available at: </w:t>
      </w:r>
      <w:hyperlink r:id="Re0cc172244444c3b">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https://senedd.wales/media/rdsnhrh4/24-13-neurodevelopmental-services-in-wales.pdf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30 April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73A20B21" w14:textId="526D9822">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Solsvik Kristensen T (2023) May Big Data Analysis Be Used to Diagnose Early Autism? Autism Spectrum Disorders - Recent Advances and New Perspectives. IntechOpen. Available at: </w:t>
      </w:r>
      <w:hyperlink r:id="Rabbb584487e84de8">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http://dx.doi.org/10.5772/intechopen.109537</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1397CD6B" w14:textId="0AD876B9">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The National Autistic Society (2026) The history of autism. Available at: </w:t>
      </w:r>
      <w:hyperlink r:id="Rc0dfe00dae024b0e">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https://www.autism.org.uk/advice-and-guidance/what-is-autism/the-history-of-autism</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1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7804A79" w14:textId="7E41182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UNICEF. (n.d.).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The Summary of the UN Convention on the Rights of the Child.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Available at: </w:t>
      </w:r>
      <w:hyperlink r:id="Rbe8d63567dda4f70">
        <w:r w:rsidRPr="15509E03" w:rsidR="763EE2DB">
          <w:rPr>
            <w:rStyle w:val="Hyperlink"/>
            <w:rFonts w:ascii="Arial" w:hAnsi="Arial" w:eastAsia="Arial" w:cs="Arial"/>
            <w:b w:val="0"/>
            <w:bCs w:val="0"/>
            <w:i w:val="0"/>
            <w:iCs w:val="0"/>
            <w:caps w:val="0"/>
            <w:smallCaps w:val="0"/>
            <w:strike w:val="0"/>
            <w:dstrike w:val="0"/>
            <w:noProof w:val="0"/>
            <w:sz w:val="24"/>
            <w:szCs w:val="24"/>
            <w:lang w:val="en-GB"/>
          </w:rPr>
          <w:t>UNCRC_summary-1_1.pdf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5 May 2026).    </w:t>
      </w:r>
    </w:p>
    <w:p w:rsidR="763EE2DB" w:rsidP="15509E03" w:rsidRDefault="763EE2DB" w14:paraId="73228A52" w14:textId="69ADF5EE">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United Kingdom Government (n.d.) Data protection: The UK’s data protection legislation. Available at: </w:t>
      </w:r>
      <w:hyperlink r:id="Re4115815841c453f">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https://www.gov.uk/data-protection</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6 May 2026).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2EAC0CAC" w14:textId="143F9273">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Walker, R., Solvason, C. (2014)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Success with your early years research project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London :, SAGE Publications.</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0933E042" w14:textId="0375B820">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Welsh Government (2021) Code of Practice on the Delivery of Autism Services. Available at: </w:t>
      </w:r>
      <w:hyperlink r:id="R751496e3b6724338">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https://www.gov.wales/sites/default/files/publications/2021-07/code-of-practice-on-the-delivery-of-autism-services.pdf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1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4F33BE6C" w14:textId="4DB5368D">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Welsh Government (2021)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Code of Practice on the Delivery of Autism Services.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Available at: </w:t>
      </w:r>
      <w:hyperlink r:id="R34e1ca11aef943be">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https://www.gov.wales/sites/default/files/publications/2021-08/code-of-practice-on-the-delivery-of-autism-services-supporting-guidance.pdf</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30 April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426DB7B1" w14:textId="7F33D0DF">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Welsh Government (2022) Review of Neurodevelopmental Services. Available at: </w:t>
      </w:r>
      <w:hyperlink r:id="R83b8e7cc42c3471e">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https://www.gov.wales/review-neurodevelopmental-services.</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2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54A5AF67" w14:textId="16E5E975">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Welsh Government (2022) Written Statement: Improvements in Neurodevelopmental Conditions Services. Available at: </w:t>
      </w:r>
      <w:hyperlink r:id="Rcaa0eb60416f43b4">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https://www.gov.wales/written-statement-improvements-neurodevelopmental-conditions-services</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30 April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1B00B61C" w14:textId="3FABDA48">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Welsh Government (2025) </w:t>
      </w:r>
      <w:r w:rsidRPr="15509E03" w:rsidR="763EE2DB">
        <w:rPr>
          <w:rFonts w:ascii="Arial" w:hAnsi="Arial" w:eastAsia="Arial" w:cs="Arial"/>
          <w:b w:val="0"/>
          <w:bCs w:val="0"/>
          <w:i w:val="1"/>
          <w:iCs w:val="1"/>
          <w:caps w:val="0"/>
          <w:smallCaps w:val="0"/>
          <w:noProof w:val="0"/>
          <w:color w:val="000000" w:themeColor="text1" w:themeTint="FF" w:themeShade="FF"/>
          <w:sz w:val="24"/>
          <w:szCs w:val="24"/>
          <w:lang w:val="en-US"/>
        </w:rPr>
        <w:t>Support for children and young people with Autistic Spectrum Disorder (ASD) in educational settings. </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Available at: </w:t>
      </w:r>
      <w:hyperlink r:id="R1ac940fd68814040">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https://www.gov.wales/support-children-and-young-people-autistic-spectrum-disorder-asd-educational-settings-html</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30 April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763EE2DB" w:rsidP="15509E03" w:rsidRDefault="763EE2DB" w14:paraId="2D55DB2C" w14:textId="210F688A">
      <w:pPr>
        <w:rPr>
          <w:rFonts w:ascii="Arial" w:hAnsi="Arial" w:eastAsia="Arial" w:cs="Arial"/>
          <w:b w:val="0"/>
          <w:bCs w:val="0"/>
          <w:i w:val="0"/>
          <w:iCs w:val="0"/>
          <w:caps w:val="0"/>
          <w:smallCaps w:val="0"/>
          <w:noProof w:val="0"/>
          <w:color w:val="000000" w:themeColor="text1" w:themeTint="FF" w:themeShade="FF"/>
          <w:sz w:val="24"/>
          <w:szCs w:val="24"/>
          <w:lang w:val="en-US"/>
        </w:rPr>
      </w:pP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Welsh Parliament (2024) The Growing Demand for ADHD and Autism Assessments in Wales. Available at: </w:t>
      </w:r>
      <w:hyperlink r:id="Rb1e81a7e342b4017">
        <w:r w:rsidRPr="15509E03" w:rsidR="763EE2DB">
          <w:rPr>
            <w:rStyle w:val="Hyperlink"/>
            <w:rFonts w:ascii="Arial" w:hAnsi="Arial" w:eastAsia="Arial" w:cs="Arial"/>
            <w:b w:val="0"/>
            <w:bCs w:val="0"/>
            <w:i w:val="0"/>
            <w:iCs w:val="0"/>
            <w:caps w:val="0"/>
            <w:smallCaps w:val="0"/>
            <w:strike w:val="0"/>
            <w:dstrike w:val="0"/>
            <w:noProof w:val="0"/>
            <w:sz w:val="24"/>
            <w:szCs w:val="24"/>
            <w:lang w:val="en-US"/>
          </w:rPr>
          <w:t>https://research.senedd.wales/research-articles/the-growing-demand-for-adhd-and-autism-assessments-in-wales/</w:t>
        </w:r>
      </w:hyperlink>
      <w:r w:rsidRPr="15509E03" w:rsidR="763EE2DB">
        <w:rPr>
          <w:rFonts w:ascii="Arial" w:hAnsi="Arial" w:eastAsia="Arial" w:cs="Arial"/>
          <w:b w:val="0"/>
          <w:bCs w:val="0"/>
          <w:i w:val="0"/>
          <w:iCs w:val="0"/>
          <w:caps w:val="0"/>
          <w:smallCaps w:val="0"/>
          <w:noProof w:val="0"/>
          <w:color w:val="000000" w:themeColor="text1" w:themeTint="FF" w:themeShade="FF"/>
          <w:sz w:val="24"/>
          <w:szCs w:val="24"/>
          <w:lang w:val="en-US"/>
        </w:rPr>
        <w:t> (Accessed: 1 May 2026).</w:t>
      </w:r>
      <w:r w:rsidRPr="15509E03" w:rsidR="763EE2DB">
        <w:rPr>
          <w:rFonts w:ascii="Arial" w:hAnsi="Arial" w:eastAsia="Arial" w:cs="Arial"/>
          <w:b w:val="0"/>
          <w:bCs w:val="0"/>
          <w:i w:val="0"/>
          <w:iCs w:val="0"/>
          <w:caps w:val="0"/>
          <w:smallCaps w:val="0"/>
          <w:noProof w:val="0"/>
          <w:color w:val="000000" w:themeColor="text1" w:themeTint="FF" w:themeShade="FF"/>
          <w:sz w:val="24"/>
          <w:szCs w:val="24"/>
          <w:lang w:val="en-GB"/>
        </w:rPr>
        <w:t> </w:t>
      </w:r>
    </w:p>
    <w:p w:rsidR="15509E03" w:rsidP="15509E03" w:rsidRDefault="15509E03" w14:paraId="1F9DF527" w14:textId="439BAE7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P="75646E7D" w:rsidRDefault="75646E7D" w14:paraId="50625BE9" w14:textId="247DC83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5646E7D" w:rsidRDefault="75646E7D" w14:paraId="7169A56A" w14:textId="6B75EB8E"/>
    <w:sectPr>
      <w:pgSz w:w="12240" w:h="15840" w:orient="portrait"/>
      <w:pgMar w:top="1440" w:right="1440" w:bottom="1440" w:left="1440" w:header="720" w:footer="720" w:gutter="0"/>
      <w:cols w:space="720"/>
      <w:docGrid w:linePitch="360"/>
      <w:headerReference w:type="default" r:id="R9711d0b3a9494c12"/>
      <w:footerReference w:type="default" r:id="Rc6aa360c834449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646E7D" w:rsidTr="75646E7D" w14:paraId="5595E2F8">
      <w:trPr>
        <w:trHeight w:val="300"/>
      </w:trPr>
      <w:tc>
        <w:tcPr>
          <w:tcW w:w="3120" w:type="dxa"/>
          <w:tcMar/>
        </w:tcPr>
        <w:p w:rsidR="75646E7D" w:rsidP="75646E7D" w:rsidRDefault="75646E7D" w14:paraId="4581CBAA" w14:textId="0ED378C5">
          <w:pPr>
            <w:pStyle w:val="Header"/>
            <w:bidi w:val="0"/>
            <w:ind w:left="-115"/>
            <w:jc w:val="left"/>
          </w:pPr>
        </w:p>
      </w:tc>
      <w:tc>
        <w:tcPr>
          <w:tcW w:w="3120" w:type="dxa"/>
          <w:tcMar/>
        </w:tcPr>
        <w:p w:rsidR="75646E7D" w:rsidP="75646E7D" w:rsidRDefault="75646E7D" w14:paraId="261469DC" w14:textId="0F8CE326">
          <w:pPr>
            <w:pStyle w:val="Header"/>
            <w:bidi w:val="0"/>
            <w:jc w:val="center"/>
          </w:pPr>
          <w:r>
            <w:fldChar w:fldCharType="begin"/>
          </w:r>
          <w:r>
            <w:instrText xml:space="preserve">PAGE</w:instrText>
          </w:r>
          <w:r>
            <w:fldChar w:fldCharType="separate"/>
          </w:r>
          <w:r>
            <w:fldChar w:fldCharType="end"/>
          </w:r>
        </w:p>
      </w:tc>
      <w:tc>
        <w:tcPr>
          <w:tcW w:w="3120" w:type="dxa"/>
          <w:tcMar/>
        </w:tcPr>
        <w:p w:rsidR="75646E7D" w:rsidP="75646E7D" w:rsidRDefault="75646E7D" w14:paraId="2DAA1E59" w14:textId="09973EE7">
          <w:pPr>
            <w:pStyle w:val="Header"/>
            <w:bidi w:val="0"/>
            <w:ind w:right="-115"/>
            <w:jc w:val="right"/>
          </w:pPr>
        </w:p>
      </w:tc>
    </w:tr>
  </w:tbl>
  <w:p w:rsidR="75646E7D" w:rsidP="75646E7D" w:rsidRDefault="75646E7D" w14:paraId="1432DD3D" w14:textId="62719D8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646E7D" w:rsidTr="75646E7D" w14:paraId="6298B286">
      <w:trPr>
        <w:trHeight w:val="300"/>
      </w:trPr>
      <w:tc>
        <w:tcPr>
          <w:tcW w:w="3120" w:type="dxa"/>
          <w:tcMar/>
        </w:tcPr>
        <w:p w:rsidR="75646E7D" w:rsidP="75646E7D" w:rsidRDefault="75646E7D" w14:paraId="685E494A" w14:textId="2F7985E8">
          <w:pPr>
            <w:pStyle w:val="Header"/>
            <w:bidi w:val="0"/>
            <w:ind w:left="-115"/>
            <w:jc w:val="left"/>
          </w:pPr>
          <w:r w:rsidR="75646E7D">
            <w:rPr/>
            <w:t>Student Number: 2503116</w:t>
          </w:r>
        </w:p>
        <w:p w:rsidR="75646E7D" w:rsidP="75646E7D" w:rsidRDefault="75646E7D" w14:paraId="071AB9DD" w14:textId="43A1AEC0">
          <w:pPr>
            <w:pStyle w:val="Header"/>
            <w:bidi w:val="0"/>
            <w:ind w:left="-115"/>
            <w:jc w:val="left"/>
          </w:pPr>
          <w:r w:rsidR="75646E7D">
            <w:rPr/>
            <w:t>Module Code: ECEY5010</w:t>
          </w:r>
        </w:p>
        <w:p w:rsidR="75646E7D" w:rsidP="75646E7D" w:rsidRDefault="75646E7D" w14:paraId="1D5FB78C" w14:textId="30C1EC31">
          <w:pPr>
            <w:pStyle w:val="Header"/>
            <w:bidi w:val="0"/>
            <w:ind w:left="-115"/>
            <w:jc w:val="left"/>
          </w:pPr>
          <w:r w:rsidR="75646E7D">
            <w:rPr/>
            <w:t>Word Count: 3748</w:t>
          </w:r>
        </w:p>
      </w:tc>
      <w:tc>
        <w:tcPr>
          <w:tcW w:w="3120" w:type="dxa"/>
          <w:tcMar/>
        </w:tcPr>
        <w:p w:rsidR="75646E7D" w:rsidP="75646E7D" w:rsidRDefault="75646E7D" w14:paraId="0ED30F1E" w14:textId="4CC584B5">
          <w:pPr>
            <w:pStyle w:val="Header"/>
            <w:bidi w:val="0"/>
            <w:jc w:val="center"/>
          </w:pPr>
        </w:p>
      </w:tc>
      <w:tc>
        <w:tcPr>
          <w:tcW w:w="3120" w:type="dxa"/>
          <w:tcMar/>
        </w:tcPr>
        <w:p w:rsidR="75646E7D" w:rsidP="75646E7D" w:rsidRDefault="75646E7D" w14:paraId="5221E23F" w14:textId="200F6627">
          <w:pPr>
            <w:pStyle w:val="Header"/>
            <w:bidi w:val="0"/>
            <w:ind w:right="-115"/>
            <w:jc w:val="right"/>
          </w:pPr>
        </w:p>
      </w:tc>
    </w:tr>
  </w:tbl>
  <w:p w:rsidR="75646E7D" w:rsidP="75646E7D" w:rsidRDefault="75646E7D" w14:paraId="1EF7D880" w14:textId="5D047E8A">
    <w:pPr>
      <w:pStyle w:val="Header"/>
      <w:bidi w:val="0"/>
    </w:pPr>
  </w:p>
</w:hdr>
</file>

<file path=word/intelligence2.xml><?xml version="1.0" encoding="utf-8"?>
<int2:intelligence xmlns:int2="http://schemas.microsoft.com/office/intelligence/2020/intelligence">
  <int2:observations>
    <int2:textHash int2:hashCode="0rydQ4oA3A4xYQ" int2:id="Fx2w07qe">
      <int2:state int2:type="spell" int2:value="Rejected"/>
    </int2:textHash>
    <int2:textHash int2:hashCode="IlBgK8b+PeLZnT" int2:id="zvQPoXYH">
      <int2:state int2:type="spell" int2:value="Rejected"/>
    </int2:textHash>
    <int2:textHash int2:hashCode="t5UoFjYC5JB630" int2:id="mKdqME1v">
      <int2:state int2:type="spell" int2:value="Rejected"/>
    </int2:textHash>
    <int2:textHash int2:hashCode="tic1eGSylDaUqK" int2:id="aBkgKZVC">
      <int2:state int2:type="spell" int2:value="Rejected"/>
    </int2:textHash>
    <int2:bookmark int2:bookmarkName="_Int_jTCPJkip" int2:invalidationBookmarkName="" int2:hashCode="bQ+QfBaucklgyA" int2:id="PVdpU43K">
      <int2:state int2:type="style" int2:value="Rejected"/>
    </int2:bookmark>
    <int2:bookmark int2:bookmarkName="_Int_4tkpnRRT" int2:invalidationBookmarkName="" int2:hashCode="D4JDEQ/HN5+s4C" int2:id="VreNLcNP">
      <int2:state int2:type="style" int2:value="Rejected"/>
    </int2:bookmark>
    <int2:bookmark int2:bookmarkName="_Int_1Khd1Z4l" int2:invalidationBookmarkName="" int2:hashCode="D4JDEQ/HN5+s4C" int2:id="qAbd1uiO">
      <int2:state int2:type="style" int2:value="Rejected"/>
    </int2:bookmark>
    <int2:bookmark int2:bookmarkName="_Int_opfM8JmL" int2:invalidationBookmarkName="" int2:hashCode="dYq0XcLfaCfBsx" int2:id="K4uabohQ">
      <int2:state int2:type="style" int2:value="Rejected"/>
    </int2:bookmark>
    <int2:bookmark int2:bookmarkName="_Int_w2g3qCsg" int2:invalidationBookmarkName="" int2:hashCode="oDKeFME1Nby2NZ" int2:id="2QidGhyi">
      <int2:state int2:type="style" int2:value="Rejected"/>
    </int2:bookmark>
    <int2:bookmark int2:bookmarkName="_Int_2hrbq9PR" int2:invalidationBookmarkName="" int2:hashCode="2zzAJcwyoS06vM" int2:id="1St8qlHx">
      <int2:state int2:type="style" int2:value="Rejected"/>
    </int2:bookmark>
    <int2:bookmark int2:bookmarkName="_Int_YBO6vpqA" int2:invalidationBookmarkName="" int2:hashCode="V9CnXcV+ZGgRNM" int2:id="ZR5ARDmo">
      <int2:state int2:type="style" int2:value="Rejected"/>
    </int2:bookmark>
    <int2:bookmark int2:bookmarkName="_Int_G7rKMQnO" int2:invalidationBookmarkName="" int2:hashCode="D4JDEQ/HN5+s4C" int2:id="KqHmOZBY">
      <int2:state int2:type="style" int2:value="Rejected"/>
    </int2:bookmark>
    <int2:bookmark int2:bookmarkName="_Int_OdlNu00e" int2:invalidationBookmarkName="" int2:hashCode="oDKeFME1Nby2NZ" int2:id="YVgOG7TC">
      <int2:state int2:type="style" int2:value="Rejected"/>
    </int2:bookmark>
    <int2:bookmark int2:bookmarkName="_Int_jW7vOIAf" int2:invalidationBookmarkName="" int2:hashCode="e0dMsLOcF3PXGS" int2:id="mJtuBQfW">
      <int2:state int2:type="style" int2:value="Rejected"/>
    </int2:bookmark>
    <int2:bookmark int2:bookmarkName="_Int_qCWgOsof" int2:invalidationBookmarkName="" int2:hashCode="D4JDEQ/HN5+s4C" int2:id="UBJAujFy">
      <int2:state int2:type="style" int2:value="Rejected"/>
    </int2:bookmark>
    <int2:bookmark int2:bookmarkName="_Int_agVGfQYI" int2:invalidationBookmarkName="" int2:hashCode="V9CnXcV+ZGgRNM" int2:id="w9e1yT4I">
      <int2:state int2:type="style" int2:value="Rejected"/>
    </int2:bookmark>
    <int2:bookmark int2:bookmarkName="_Int_VBTlD6zH" int2:invalidationBookmarkName="" int2:hashCode="jLGNd5QYCnxOSa" int2:id="dBMLILi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986905"/>
    <w:rsid w:val="02DF4B24"/>
    <w:rsid w:val="067C1495"/>
    <w:rsid w:val="08658D34"/>
    <w:rsid w:val="0A38134B"/>
    <w:rsid w:val="15509E03"/>
    <w:rsid w:val="28635FE2"/>
    <w:rsid w:val="357C1B17"/>
    <w:rsid w:val="3889D4FE"/>
    <w:rsid w:val="4C986905"/>
    <w:rsid w:val="603FC4DA"/>
    <w:rsid w:val="67BADC57"/>
    <w:rsid w:val="7248D017"/>
    <w:rsid w:val="75646E7D"/>
    <w:rsid w:val="763EE2DB"/>
    <w:rsid w:val="7B1E4802"/>
    <w:rsid w:val="7FCB1B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86905"/>
  <w15:chartTrackingRefBased/>
  <w15:docId w15:val="{65FC79D9-D527-44B0-80EE-7B327718B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5646E7D"/>
    <w:pPr>
      <w:tabs>
        <w:tab w:val="center" w:leader="none" w:pos="4680"/>
        <w:tab w:val="right" w:leader="none" w:pos="9360"/>
      </w:tabs>
      <w:spacing w:after="0" w:line="240" w:lineRule="auto"/>
    </w:pPr>
  </w:style>
  <w:style w:type="paragraph" w:styleId="Footer">
    <w:uiPriority w:val="99"/>
    <w:name w:val="footer"/>
    <w:basedOn w:val="Normal"/>
    <w:unhideWhenUsed/>
    <w:rsid w:val="75646E7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5509E0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711d0b3a9494c12" /><Relationship Type="http://schemas.openxmlformats.org/officeDocument/2006/relationships/footer" Target="footer.xml" Id="Rc6aa360c834449df" /><Relationship Type="http://schemas.microsoft.com/office/2020/10/relationships/intelligence" Target="intelligence2.xml" Id="R80d8678fb85445c6" /><Relationship Type="http://schemas.openxmlformats.org/officeDocument/2006/relationships/hyperlink" Target="https://doi.org/10.1002/jac5.1441" TargetMode="External" Id="Rcd30831074fa490b" /><Relationship Type="http://schemas.openxmlformats.org/officeDocument/2006/relationships/hyperlink" Target="https://doi.org/10.1007/s11135-024-02022-5" TargetMode="External" Id="Re2adc3d1fd1f4827" /><Relationship Type="http://schemas.openxmlformats.org/officeDocument/2006/relationships/hyperlink" Target="https://www.autismcrc.com.au/sites/default/files/inline-files/Inclusive%20research%20practice%20guides%20and%20checklists%20-%20FInal%20report.pdf" TargetMode="External" Id="Rcd6488375be94fd3" /><Relationship Type="http://schemas.openxmlformats.org/officeDocument/2006/relationships/hyperlink" Target="https://doi.org/10.1111/j.1468-3156.2004.00318.x" TargetMode="External" Id="Rd68be2153aac44c8" /><Relationship Type="http://schemas.openxmlformats.org/officeDocument/2006/relationships/hyperlink" Target="https://www.bbc.co.uk/news/health-24837462" TargetMode="External" Id="Rb6c7717b282f47c8" /><Relationship Type="http://schemas.openxmlformats.org/officeDocument/2006/relationships/hyperlink" Target="https://doi.org/10.1%20080/09687599.2020.1712189" TargetMode="External" Id="Rf2e67f340b124ea8" /><Relationship Type="http://schemas.openxmlformats.org/officeDocument/2006/relationships/hyperlink" Target="https://doi.org/10.1007/s40489-020-00204-z" TargetMode="External" Id="R817a31d65ea944be" /><Relationship Type="http://schemas.openxmlformats.org/officeDocument/2006/relationships/hyperlink" Target="https://doi.org/10.1080/08989621.2018.1442218" TargetMode="External" Id="Rc30694eb67454e9f" /><Relationship Type="http://schemas.openxmlformats.org/officeDocument/2006/relationships/hyperlink" Target="https://doi.org/10.1177/1362361320918763" TargetMode="External" Id="R62f8c4a7364647ab" /><Relationship Type="http://schemas.openxmlformats.org/officeDocument/2006/relationships/hyperlink" Target="https://assets.childrenscommissioner.gov.uk/wpuploads/2024/10/CCo-report-on-ND-waiting-times_final.pdf" TargetMode="External" Id="Rf7f042744dee4c62" /><Relationship Type="http://schemas.openxmlformats.org/officeDocument/2006/relationships/hyperlink" Target="https://www.childcomwales.org.uk/wp-content/uploads/2022/02/No-Wrong-Door-Report-February-2022.pdf" TargetMode="External" Id="R0b73bea23de3459c" /><Relationship Type="http://schemas.openxmlformats.org/officeDocument/2006/relationships/hyperlink" Target="https://link.gale.com/apps/doc/A522270606/AONE?u=walamp&amp;sid=bookmark-AONE&amp;xid=fff06929" TargetMode="External" Id="R667b31ed005d4f62" /><Relationship Type="http://schemas.openxmlformats.org/officeDocument/2006/relationships/hyperlink" Target="http://autismcrisis.blogspot.com/2017/11/what-history-tells-us-about-autism.html" TargetMode="External" Id="Rb53789a22d5c4f96" /><Relationship Type="http://schemas.openxmlformats.org/officeDocument/2006/relationships/hyperlink" Target="https://doi.org/10.5040/9781839979576" TargetMode="External" Id="Ra33ddcdaa0194185" /><Relationship Type="http://schemas.openxmlformats.org/officeDocument/2006/relationships/hyperlink" Target="https://journals-sagepub-com.uwtsd.idm.oclc.org/doi/full/10.1177/13623613211049011" TargetMode="External" Id="R6a927be002da4d0d" /><Relationship Type="http://schemas.openxmlformats.org/officeDocument/2006/relationships/hyperlink" Target="https://doi.org/10.1111/bld.12198" TargetMode="External" Id="Re3440f7d656441d6" /><Relationship Type="http://schemas.openxmlformats.org/officeDocument/2006/relationships/hyperlink" Target="https://doi.org/10.1080/09540261.2018.1455646" TargetMode="External" Id="Rd0145c3d87904866" /><Relationship Type="http://schemas.openxmlformats.org/officeDocument/2006/relationships/hyperlink" Target="https://www.iajournals.org/articles/iajhmn_v2_i2_50_63.pdf" TargetMode="External" Id="R3c6fe2c49eb34821" /><Relationship Type="http://schemas.openxmlformats.org/officeDocument/2006/relationships/hyperlink" Target="https://www.kirklees.gov.uk/involve/document/Questionnaires.pdf" TargetMode="External" Id="R92d73324878144fa" /><Relationship Type="http://schemas.openxmlformats.org/officeDocument/2006/relationships/hyperlink" Target="https://doi-org.uwtsd.idm.oclc.org/10.1007/s10803-021-05296-y" TargetMode="External" Id="Rbc43550a441d41f1" /><Relationship Type="http://schemas.openxmlformats.org/officeDocument/2006/relationships/hyperlink" Target="https://doi.org/10.1177/14413582241264619" TargetMode="External" Id="R6fc3a457262e4525" /><Relationship Type="http://schemas.openxmlformats.org/officeDocument/2006/relationships/hyperlink" Target="https://doi.org/10.1177/1362361320919246" TargetMode="External" Id="Rdfaf7c92e0fb4f9f" /><Relationship Type="http://schemas.openxmlformats.org/officeDocument/2006/relationships/hyperlink" Target="https://doi.org/10.1111/j.1468-3156.2012.00734.x" TargetMode="External" Id="Ref271df2b334409c" /><Relationship Type="http://schemas.openxmlformats.org/officeDocument/2006/relationships/hyperlink" Target="https://e-space.mmu.ac.uk/579515/1/Designing%20and%20using%20Research%20QuestionnairesREV18042013.pdf" TargetMode="External" Id="R1ac63e8efc794394" /><Relationship Type="http://schemas.openxmlformats.org/officeDocument/2006/relationships/hyperlink" Target="https://www.mcgill.ca/psychology/files/psychology/structuredinterviews.pdf" TargetMode="External" Id="R3a9ec192821f447f" /><Relationship Type="http://schemas.openxmlformats.org/officeDocument/2006/relationships/hyperlink" Target="https://cavuhb.nhs.wales/our-services/integrated-autism-services/diagnostic-assessments-for-autism/" TargetMode="External" Id="Rf936a981e8944e54" /><Relationship Type="http://schemas.openxmlformats.org/officeDocument/2006/relationships/hyperlink" Target="https://moodle.uwtsd.ac.uk/pluginfile.php/627587/mod_folder/content/0/Darllen%20%20Reading/Article%20-%20Good%20explaination%20of%20the%20Hawthorne%20Effect.pdf?forcedownload=1" TargetMode="External" Id="Rfd29e56e39f24882" /><Relationship Type="http://schemas.openxmlformats.org/officeDocument/2006/relationships/hyperlink" Target="https://www.paediatricsandchildhealthjournal.co.uk/article/S1751-7222(18)30114-8/fulltext" TargetMode="External" Id="R8b3dd3969fce4e74" /><Relationship Type="http://schemas.openxmlformats.org/officeDocument/2006/relationships/hyperlink" Target="https://link-gale-com.uwtsd.idm.oclc.org/apps/doc/CX8099500012/GVRL?u=walamp&amp;sid=bookmark-GVRL&amp;xid=94d81b3a" TargetMode="External" Id="R173517efa0ca4fb6" /><Relationship Type="http://schemas.openxmlformats.org/officeDocument/2006/relationships/hyperlink" Target="https://senedd.wales/media/rdsnhrh4/24-13-neurodevelopmental-services-in-wales.pdf" TargetMode="External" Id="Re0cc172244444c3b" /><Relationship Type="http://schemas.openxmlformats.org/officeDocument/2006/relationships/hyperlink" Target="http://dx.doi.org/10.5772/intechopen.109537" TargetMode="External" Id="Rabbb584487e84de8" /><Relationship Type="http://schemas.openxmlformats.org/officeDocument/2006/relationships/hyperlink" Target="https://www.autism.org.uk/advice-and-guidance/what-is-autism/the-history-of-autism" TargetMode="External" Id="Rc0dfe00dae024b0e" /><Relationship Type="http://schemas.openxmlformats.org/officeDocument/2006/relationships/hyperlink" Target="https://www.unicef.org.uk/wp-content/uploads/2019/10/UNCRC_summary-1_1.pdf" TargetMode="External" Id="Rbe8d63567dda4f70" /><Relationship Type="http://schemas.openxmlformats.org/officeDocument/2006/relationships/hyperlink" Target="https://www.gov.uk/data-protection" TargetMode="External" Id="Re4115815841c453f" /><Relationship Type="http://schemas.openxmlformats.org/officeDocument/2006/relationships/hyperlink" Target="https://www.gov.wales/sites/default/files/publications/2021-07/code-of-practice-on-the-delivery-of-autism-services.pdf" TargetMode="External" Id="R751496e3b6724338" /><Relationship Type="http://schemas.openxmlformats.org/officeDocument/2006/relationships/hyperlink" Target="https://www.gov.wales/sites/default/files/publications/2021-08/code-of-practice-on-the-delivery-of-autism-services-supporting-guidance.pdf" TargetMode="External" Id="R34e1ca11aef943be" /><Relationship Type="http://schemas.openxmlformats.org/officeDocument/2006/relationships/hyperlink" Target="https://www.gov.wales/review-neurodevelopmental-services" TargetMode="External" Id="R83b8e7cc42c3471e" /><Relationship Type="http://schemas.openxmlformats.org/officeDocument/2006/relationships/hyperlink" Target="https://www.gov.wales/written-statement-improvements-neurodevelopmental-conditions-services" TargetMode="External" Id="Rcaa0eb60416f43b4" /><Relationship Type="http://schemas.openxmlformats.org/officeDocument/2006/relationships/hyperlink" Target="https://www.gov.wales/support-children-and-young-people-autistic-spectrum-disorder-asd-educational-settings-html" TargetMode="External" Id="R1ac940fd68814040" /><Relationship Type="http://schemas.openxmlformats.org/officeDocument/2006/relationships/hyperlink" Target="https://research.senedd.wales/research-articles/the-growing-demand-for-adhd-and-autism-assessments-in-wales/" TargetMode="External" Id="Rb1e81a7e342b40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2026-05-12T18:30:09.2342338Z</dcterms:created>
  <dcterms:modified xsi:type="dcterms:W3CDTF">2026-05-13T19:07:34.6927777Z</dcterms:modified>
  <dc:creator>Kate Fakher (2503116)</dc:creator>
  <lastModifiedBy>Kate Fakher (2503116)</lastModifiedBy>
</coreProperties>
</file>