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2CEBAF" w14:textId="77777777" w:rsidR="00A260B1" w:rsidRDefault="00A260B1" w:rsidP="00A260B1">
      <w:pPr>
        <w:jc w:val="both"/>
        <w:rPr>
          <w:rFonts w:ascii="Arial" w:hAnsi="Arial" w:cs="Arial"/>
          <w:b/>
          <w:bCs/>
        </w:rPr>
      </w:pPr>
    </w:p>
    <w:p w14:paraId="2E5A67DA" w14:textId="77777777" w:rsidR="00A260B1" w:rsidRDefault="00A260B1" w:rsidP="00A260B1">
      <w:pPr>
        <w:jc w:val="both"/>
        <w:rPr>
          <w:rFonts w:ascii="Arial" w:hAnsi="Arial" w:cs="Arial"/>
          <w:b/>
          <w:bCs/>
        </w:rPr>
      </w:pPr>
      <w:r w:rsidRPr="00EC19AE">
        <w:rPr>
          <w:rFonts w:ascii="Arial" w:hAnsi="Arial" w:cs="Arial"/>
          <w:noProof/>
          <w:color w:val="000000" w:themeColor="text1"/>
        </w:rPr>
        <w:drawing>
          <wp:inline distT="0" distB="0" distL="85723" distR="85723" wp14:anchorId="72C24BEC" wp14:editId="22E7A09C">
            <wp:extent cx="2650417" cy="969560"/>
            <wp:effectExtent l="0" t="0" r="0" b="0"/>
            <wp:docPr id="420514022" name="Picture 42051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7"/>
                    <a:stretch>
                      <a:fillRect/>
                    </a:stretch>
                  </pic:blipFill>
                  <pic:spPr>
                    <a:xfrm>
                      <a:off x="0" y="0"/>
                      <a:ext cx="2650417" cy="969560"/>
                    </a:xfrm>
                    <a:prstGeom prst="rect">
                      <a:avLst/>
                    </a:prstGeom>
                    <a:noFill/>
                    <a:ln w="12700" cap="flat" cmpd="sng">
                      <a:noFill/>
                      <a:prstDash val="solid"/>
                      <a:miter/>
                    </a:ln>
                  </pic:spPr>
                </pic:pic>
              </a:graphicData>
            </a:graphic>
          </wp:inline>
        </w:drawing>
      </w:r>
    </w:p>
    <w:p w14:paraId="5D4ED06A" w14:textId="77777777" w:rsidR="00A260B1" w:rsidRDefault="00A260B1" w:rsidP="00A260B1">
      <w:pPr>
        <w:jc w:val="both"/>
        <w:rPr>
          <w:rFonts w:ascii="Arial" w:hAnsi="Arial" w:cs="Arial"/>
          <w:b/>
          <w:bCs/>
        </w:rPr>
      </w:pPr>
    </w:p>
    <w:p w14:paraId="339E5185" w14:textId="77777777" w:rsidR="00A260B1" w:rsidRDefault="00A260B1" w:rsidP="00A260B1">
      <w:pPr>
        <w:jc w:val="both"/>
        <w:rPr>
          <w:rFonts w:ascii="Arial" w:hAnsi="Arial" w:cs="Arial"/>
          <w:b/>
          <w:bCs/>
        </w:rPr>
      </w:pPr>
    </w:p>
    <w:p w14:paraId="5BAA1B14" w14:textId="77777777" w:rsidR="00A260B1" w:rsidRDefault="00A260B1" w:rsidP="00A260B1">
      <w:pPr>
        <w:jc w:val="both"/>
        <w:rPr>
          <w:rFonts w:ascii="Arial" w:hAnsi="Arial" w:cs="Arial"/>
          <w:b/>
          <w:bCs/>
        </w:rPr>
      </w:pPr>
    </w:p>
    <w:p w14:paraId="27DDBE36" w14:textId="77777777" w:rsidR="00A260B1" w:rsidRDefault="00A260B1" w:rsidP="00A260B1">
      <w:pPr>
        <w:jc w:val="both"/>
        <w:rPr>
          <w:rFonts w:ascii="Arial" w:hAnsi="Arial" w:cs="Arial"/>
          <w:b/>
          <w:bCs/>
        </w:rPr>
      </w:pPr>
    </w:p>
    <w:p w14:paraId="00D6DF55" w14:textId="77777777" w:rsidR="00A260B1" w:rsidRDefault="00A260B1" w:rsidP="00A260B1">
      <w:pPr>
        <w:jc w:val="both"/>
        <w:rPr>
          <w:rFonts w:ascii="Arial" w:hAnsi="Arial" w:cs="Arial"/>
          <w:b/>
          <w:bCs/>
        </w:rPr>
      </w:pPr>
    </w:p>
    <w:p w14:paraId="1B9D2341" w14:textId="77777777" w:rsidR="00A260B1" w:rsidRPr="00A24CE4" w:rsidRDefault="00A260B1" w:rsidP="00A260B1">
      <w:pPr>
        <w:spacing w:line="360" w:lineRule="auto"/>
        <w:jc w:val="center"/>
        <w:rPr>
          <w:rFonts w:ascii="Arial" w:hAnsi="Arial" w:cs="Arial"/>
          <w:lang w:val="en-US"/>
        </w:rPr>
      </w:pPr>
      <w:r w:rsidRPr="00A24CE4">
        <w:rPr>
          <w:rFonts w:ascii="Arial" w:hAnsi="Arial" w:cs="Arial"/>
          <w:b/>
          <w:bCs/>
          <w:lang w:val="en-US"/>
        </w:rPr>
        <w:t>The Bristol Royal Infirmary Inquiry: A Critical Analysis of Quality Assurance and Healthcare Quality Improvement</w:t>
      </w:r>
    </w:p>
    <w:p w14:paraId="680807F1" w14:textId="77777777" w:rsidR="00A260B1" w:rsidRPr="004D58A7" w:rsidRDefault="00A260B1" w:rsidP="00A260B1">
      <w:pPr>
        <w:jc w:val="both"/>
        <w:rPr>
          <w:rFonts w:ascii="Arial" w:hAnsi="Arial" w:cs="Arial"/>
          <w:b/>
          <w:bCs/>
          <w:lang w:val="en-US"/>
        </w:rPr>
      </w:pPr>
    </w:p>
    <w:p w14:paraId="1725A310" w14:textId="77777777" w:rsidR="00A260B1" w:rsidRDefault="00A260B1" w:rsidP="00A260B1">
      <w:pPr>
        <w:jc w:val="both"/>
        <w:rPr>
          <w:rFonts w:ascii="Arial" w:hAnsi="Arial" w:cs="Arial"/>
          <w:b/>
          <w:bCs/>
        </w:rPr>
      </w:pPr>
    </w:p>
    <w:p w14:paraId="19ED4F9E" w14:textId="77777777" w:rsidR="00A260B1" w:rsidRDefault="00A260B1" w:rsidP="00A260B1">
      <w:pPr>
        <w:jc w:val="both"/>
        <w:rPr>
          <w:rFonts w:ascii="Arial" w:hAnsi="Arial" w:cs="Arial"/>
          <w:b/>
          <w:bCs/>
        </w:rPr>
      </w:pPr>
    </w:p>
    <w:p w14:paraId="401419B8" w14:textId="77777777" w:rsidR="00A260B1" w:rsidRDefault="00A260B1" w:rsidP="00A260B1">
      <w:pPr>
        <w:jc w:val="both"/>
        <w:rPr>
          <w:rFonts w:ascii="Arial" w:hAnsi="Arial" w:cs="Arial"/>
          <w:b/>
          <w:bCs/>
        </w:rPr>
      </w:pPr>
    </w:p>
    <w:p w14:paraId="5E2B7FF5" w14:textId="77777777" w:rsidR="00A260B1" w:rsidRPr="00F46534" w:rsidRDefault="00A260B1" w:rsidP="00A260B1">
      <w:pPr>
        <w:jc w:val="both"/>
        <w:rPr>
          <w:rFonts w:ascii="Arial" w:hAnsi="Arial" w:cs="Arial"/>
          <w:b/>
          <w:bCs/>
        </w:rPr>
      </w:pPr>
    </w:p>
    <w:p w14:paraId="45D8CB38" w14:textId="77777777" w:rsidR="00A260B1" w:rsidRPr="00F46534" w:rsidRDefault="00A260B1" w:rsidP="00A260B1">
      <w:pPr>
        <w:jc w:val="both"/>
        <w:rPr>
          <w:rFonts w:ascii="Arial" w:hAnsi="Arial" w:cs="Arial"/>
          <w:b/>
          <w:bCs/>
        </w:rPr>
      </w:pPr>
    </w:p>
    <w:p w14:paraId="28F90ECB" w14:textId="77777777" w:rsidR="00A260B1" w:rsidRPr="00EC19AE" w:rsidRDefault="00A260B1" w:rsidP="00A260B1">
      <w:pPr>
        <w:jc w:val="both"/>
        <w:rPr>
          <w:rFonts w:ascii="Arial" w:hAnsi="Arial" w:cs="Arial"/>
          <w:color w:val="000000" w:themeColor="text1"/>
        </w:rPr>
      </w:pPr>
      <w:r w:rsidRPr="00E85C34">
        <w:rPr>
          <w:rFonts w:ascii="Arial" w:hAnsi="Arial" w:cs="Arial"/>
          <w:b/>
          <w:bCs/>
          <w:color w:val="000000" w:themeColor="text1"/>
        </w:rPr>
        <w:t>Programme:</w:t>
      </w:r>
      <w:r w:rsidRPr="00EC19AE">
        <w:rPr>
          <w:rFonts w:ascii="Arial" w:hAnsi="Arial" w:cs="Arial"/>
          <w:color w:val="000000" w:themeColor="text1"/>
        </w:rPr>
        <w:t xml:space="preserve"> MSc Public Health and Social Care in Practice</w:t>
      </w:r>
    </w:p>
    <w:p w14:paraId="75B9475A" w14:textId="77777777" w:rsidR="00A260B1" w:rsidRDefault="00A260B1" w:rsidP="00A260B1">
      <w:pPr>
        <w:jc w:val="both"/>
        <w:rPr>
          <w:rFonts w:ascii="Arial" w:hAnsi="Arial" w:cs="Arial"/>
          <w:color w:val="000000" w:themeColor="text1"/>
        </w:rPr>
      </w:pPr>
      <w:r w:rsidRPr="00E85C34">
        <w:rPr>
          <w:rFonts w:ascii="Arial" w:hAnsi="Arial" w:cs="Arial"/>
          <w:b/>
          <w:bCs/>
          <w:color w:val="000000" w:themeColor="text1"/>
        </w:rPr>
        <w:t>Module name:</w:t>
      </w:r>
      <w:r w:rsidRPr="00EC19AE">
        <w:rPr>
          <w:rFonts w:ascii="Arial" w:hAnsi="Arial" w:cs="Arial"/>
          <w:color w:val="000000" w:themeColor="text1"/>
        </w:rPr>
        <w:t xml:space="preserve"> </w:t>
      </w:r>
      <w:r>
        <w:rPr>
          <w:rFonts w:ascii="Arial" w:hAnsi="Arial" w:cs="Arial"/>
          <w:color w:val="000000" w:themeColor="text1"/>
        </w:rPr>
        <w:t>Quality Assurance and Service Improvements</w:t>
      </w:r>
    </w:p>
    <w:p w14:paraId="5FF33E15" w14:textId="77777777" w:rsidR="00A260B1" w:rsidRPr="00EC19AE" w:rsidRDefault="00A260B1" w:rsidP="00A260B1">
      <w:pPr>
        <w:jc w:val="both"/>
        <w:rPr>
          <w:rFonts w:ascii="Arial" w:hAnsi="Arial" w:cs="Arial"/>
          <w:color w:val="000000" w:themeColor="text1"/>
        </w:rPr>
      </w:pPr>
      <w:r w:rsidRPr="00E85C34">
        <w:rPr>
          <w:rFonts w:ascii="Arial" w:hAnsi="Arial" w:cs="Arial"/>
          <w:b/>
          <w:bCs/>
          <w:color w:val="000000" w:themeColor="text1"/>
        </w:rPr>
        <w:t>Module code:</w:t>
      </w:r>
      <w:r w:rsidRPr="00EC19AE">
        <w:rPr>
          <w:rFonts w:ascii="Arial" w:hAnsi="Arial" w:cs="Arial"/>
          <w:color w:val="000000" w:themeColor="text1"/>
        </w:rPr>
        <w:t xml:space="preserve"> </w:t>
      </w:r>
      <w:r>
        <w:rPr>
          <w:rFonts w:ascii="Arial" w:hAnsi="Arial" w:cs="Arial"/>
          <w:color w:val="000000" w:themeColor="text1"/>
        </w:rPr>
        <w:t>LCHS7006_LON</w:t>
      </w:r>
    </w:p>
    <w:p w14:paraId="11A1852C" w14:textId="6E38F2BA" w:rsidR="00A260B1" w:rsidRPr="00EC19AE" w:rsidRDefault="00A260B1" w:rsidP="00A260B1">
      <w:pPr>
        <w:jc w:val="both"/>
        <w:rPr>
          <w:rFonts w:ascii="Arial" w:hAnsi="Arial" w:cs="Arial"/>
          <w:color w:val="000000" w:themeColor="text1"/>
        </w:rPr>
      </w:pPr>
      <w:r w:rsidRPr="00E85C34">
        <w:rPr>
          <w:rFonts w:ascii="Arial" w:hAnsi="Arial" w:cs="Arial"/>
          <w:b/>
          <w:bCs/>
          <w:color w:val="000000" w:themeColor="text1"/>
        </w:rPr>
        <w:t>Student name</w:t>
      </w:r>
      <w:r w:rsidRPr="00EC19AE">
        <w:rPr>
          <w:rFonts w:ascii="Arial" w:hAnsi="Arial" w:cs="Arial"/>
          <w:color w:val="000000" w:themeColor="text1"/>
        </w:rPr>
        <w:t xml:space="preserve">: </w:t>
      </w:r>
      <w:r w:rsidR="002A0761">
        <w:rPr>
          <w:rFonts w:ascii="Arial" w:hAnsi="Arial" w:cs="Arial"/>
          <w:color w:val="000000" w:themeColor="text1"/>
        </w:rPr>
        <w:t>Darshankumar Patel</w:t>
      </w:r>
    </w:p>
    <w:p w14:paraId="7C7E9EC8" w14:textId="6C4648E8" w:rsidR="00A260B1" w:rsidRPr="00EC19AE" w:rsidRDefault="00A260B1" w:rsidP="00A260B1">
      <w:pPr>
        <w:jc w:val="both"/>
        <w:rPr>
          <w:rFonts w:ascii="Arial" w:hAnsi="Arial" w:cs="Arial"/>
          <w:color w:val="000000" w:themeColor="text1"/>
        </w:rPr>
      </w:pPr>
      <w:r w:rsidRPr="00E85C34">
        <w:rPr>
          <w:rFonts w:ascii="Arial" w:hAnsi="Arial" w:cs="Arial"/>
          <w:b/>
          <w:bCs/>
          <w:color w:val="000000" w:themeColor="text1"/>
        </w:rPr>
        <w:t>Student ID:</w:t>
      </w:r>
      <w:r w:rsidRPr="00EC19AE">
        <w:rPr>
          <w:rFonts w:ascii="Arial" w:hAnsi="Arial" w:cs="Arial"/>
          <w:color w:val="000000" w:themeColor="text1"/>
        </w:rPr>
        <w:t xml:space="preserve"> </w:t>
      </w:r>
      <w:r w:rsidR="002A0761">
        <w:rPr>
          <w:rFonts w:ascii="Arial" w:hAnsi="Arial" w:cs="Arial"/>
          <w:color w:val="000000" w:themeColor="text1"/>
        </w:rPr>
        <w:t>2515501</w:t>
      </w:r>
    </w:p>
    <w:p w14:paraId="209E4888" w14:textId="77777777" w:rsidR="00A260B1" w:rsidRPr="00EC19AE" w:rsidRDefault="00A260B1" w:rsidP="00A260B1">
      <w:pPr>
        <w:jc w:val="both"/>
        <w:rPr>
          <w:rFonts w:ascii="Arial" w:hAnsi="Arial" w:cs="Arial"/>
          <w:color w:val="000000" w:themeColor="text1"/>
        </w:rPr>
      </w:pPr>
      <w:r w:rsidRPr="00E85C34">
        <w:rPr>
          <w:rFonts w:ascii="Arial" w:hAnsi="Arial" w:cs="Arial"/>
          <w:b/>
          <w:bCs/>
          <w:color w:val="000000" w:themeColor="text1"/>
        </w:rPr>
        <w:t>Lecturer Name:</w:t>
      </w:r>
      <w:r>
        <w:rPr>
          <w:rFonts w:ascii="Arial" w:hAnsi="Arial" w:cs="Arial"/>
          <w:color w:val="000000" w:themeColor="text1"/>
        </w:rPr>
        <w:t xml:space="preserve"> Dr Christopher Mafuva</w:t>
      </w:r>
    </w:p>
    <w:p w14:paraId="73515634" w14:textId="77777777" w:rsidR="00A260B1" w:rsidRPr="00F46534" w:rsidRDefault="00A260B1" w:rsidP="00A260B1">
      <w:pPr>
        <w:jc w:val="both"/>
        <w:rPr>
          <w:rFonts w:ascii="Arial" w:hAnsi="Arial" w:cs="Arial"/>
          <w:b/>
          <w:bCs/>
        </w:rPr>
      </w:pPr>
    </w:p>
    <w:p w14:paraId="12651010" w14:textId="77777777" w:rsidR="00A260B1" w:rsidRPr="00F46534" w:rsidRDefault="00A260B1" w:rsidP="00A260B1">
      <w:pPr>
        <w:jc w:val="both"/>
        <w:rPr>
          <w:rFonts w:ascii="Arial" w:hAnsi="Arial" w:cs="Arial"/>
          <w:b/>
          <w:bCs/>
        </w:rPr>
      </w:pPr>
    </w:p>
    <w:p w14:paraId="4A26035D" w14:textId="77777777" w:rsidR="00A260B1" w:rsidRDefault="00A260B1" w:rsidP="00A260B1">
      <w:pPr>
        <w:jc w:val="both"/>
        <w:rPr>
          <w:rFonts w:ascii="Arial" w:hAnsi="Arial" w:cs="Arial"/>
          <w:b/>
          <w:bCs/>
        </w:rPr>
      </w:pPr>
    </w:p>
    <w:p w14:paraId="2F5BE08D" w14:textId="77777777" w:rsidR="00A260B1" w:rsidRDefault="00A260B1" w:rsidP="00A260B1">
      <w:pPr>
        <w:jc w:val="both"/>
        <w:rPr>
          <w:rFonts w:ascii="Arial" w:hAnsi="Arial" w:cs="Arial"/>
          <w:b/>
          <w:bCs/>
        </w:rPr>
      </w:pPr>
    </w:p>
    <w:p w14:paraId="7ED816DE" w14:textId="77777777" w:rsidR="00A24CE4" w:rsidRDefault="00A24CE4" w:rsidP="00A24CE4">
      <w:pPr>
        <w:spacing w:line="360" w:lineRule="auto"/>
        <w:jc w:val="both"/>
        <w:rPr>
          <w:rFonts w:ascii="Arial" w:hAnsi="Arial" w:cs="Arial"/>
          <w:b/>
          <w:bCs/>
          <w:lang w:val="en-US"/>
        </w:rPr>
      </w:pPr>
    </w:p>
    <w:sdt>
      <w:sdtPr>
        <w:rPr>
          <w:rFonts w:asciiTheme="minorHAnsi" w:eastAsiaTheme="minorHAnsi" w:hAnsiTheme="minorHAnsi" w:cstheme="minorBidi"/>
          <w:color w:val="auto"/>
          <w:kern w:val="2"/>
          <w:sz w:val="24"/>
          <w:szCs w:val="24"/>
          <w:lang w:val="en-GB"/>
          <w14:ligatures w14:val="standardContextual"/>
        </w:rPr>
        <w:id w:val="-489475936"/>
        <w:docPartObj>
          <w:docPartGallery w:val="Table of Contents"/>
          <w:docPartUnique/>
        </w:docPartObj>
      </w:sdtPr>
      <w:sdtEndPr/>
      <w:sdtContent>
        <w:p w14:paraId="6E1952FA" w14:textId="195F2064" w:rsidR="008A67CA" w:rsidRDefault="008A67CA">
          <w:pPr>
            <w:pStyle w:val="TOCHeading"/>
          </w:pPr>
          <w:r>
            <w:rPr>
              <w:lang w:val="en-GB"/>
            </w:rPr>
            <w:t>Table of Contents</w:t>
          </w:r>
        </w:p>
        <w:p w14:paraId="3AD816B1" w14:textId="08EA16B3" w:rsidR="008A67CA" w:rsidRDefault="008A67CA">
          <w:pPr>
            <w:pStyle w:val="TOC1"/>
            <w:tabs>
              <w:tab w:val="right" w:leader="dot" w:pos="9016"/>
            </w:tabs>
            <w:rPr>
              <w:noProof/>
            </w:rPr>
          </w:pPr>
          <w:r>
            <w:fldChar w:fldCharType="begin"/>
          </w:r>
          <w:r>
            <w:instrText xml:space="preserve"> TOC \o "1-3" \h \z \u </w:instrText>
          </w:r>
          <w:r>
            <w:fldChar w:fldCharType="separate"/>
          </w:r>
          <w:hyperlink w:anchor="_Toc237083433" w:history="1">
            <w:r w:rsidRPr="00CF7922">
              <w:rPr>
                <w:rStyle w:val="Hyperlink"/>
                <w:noProof/>
                <w:lang w:val="en-US"/>
              </w:rPr>
              <w:t>1. Introduction</w:t>
            </w:r>
            <w:r>
              <w:rPr>
                <w:noProof/>
                <w:webHidden/>
              </w:rPr>
              <w:tab/>
            </w:r>
            <w:r>
              <w:rPr>
                <w:rStyle w:val="Hyperlink"/>
                <w:noProof/>
              </w:rPr>
              <w:fldChar w:fldCharType="begin"/>
            </w:r>
            <w:r>
              <w:rPr>
                <w:noProof/>
                <w:webHidden/>
              </w:rPr>
              <w:instrText xml:space="preserve"> PAGEREF _Toc237083433 \h </w:instrText>
            </w:r>
            <w:r>
              <w:rPr>
                <w:rStyle w:val="Hyperlink"/>
                <w:noProof/>
              </w:rPr>
            </w:r>
            <w:r>
              <w:rPr>
                <w:rStyle w:val="Hyperlink"/>
                <w:noProof/>
              </w:rPr>
              <w:fldChar w:fldCharType="separate"/>
            </w:r>
            <w:r w:rsidR="004906DB">
              <w:rPr>
                <w:noProof/>
                <w:webHidden/>
              </w:rPr>
              <w:t>3</w:t>
            </w:r>
            <w:r>
              <w:rPr>
                <w:rStyle w:val="Hyperlink"/>
                <w:noProof/>
              </w:rPr>
              <w:fldChar w:fldCharType="end"/>
            </w:r>
          </w:hyperlink>
        </w:p>
        <w:p w14:paraId="0EEB54ED" w14:textId="39A95FCC" w:rsidR="008A67CA" w:rsidRDefault="002A0761">
          <w:pPr>
            <w:pStyle w:val="TOC2"/>
            <w:tabs>
              <w:tab w:val="right" w:leader="dot" w:pos="9016"/>
            </w:tabs>
            <w:rPr>
              <w:noProof/>
            </w:rPr>
          </w:pPr>
          <w:hyperlink w:anchor="_Toc237083434" w:history="1">
            <w:r w:rsidR="008A67CA" w:rsidRPr="00CF7922">
              <w:rPr>
                <w:rStyle w:val="Hyperlink"/>
                <w:noProof/>
              </w:rPr>
              <w:t>1.1 Background to the Bristol Royal Infirmary Inquiry</w:t>
            </w:r>
            <w:r w:rsidR="008A67CA">
              <w:rPr>
                <w:noProof/>
                <w:webHidden/>
              </w:rPr>
              <w:tab/>
            </w:r>
            <w:r w:rsidR="008A67CA">
              <w:rPr>
                <w:rStyle w:val="Hyperlink"/>
                <w:noProof/>
              </w:rPr>
              <w:fldChar w:fldCharType="begin"/>
            </w:r>
            <w:r w:rsidR="008A67CA">
              <w:rPr>
                <w:noProof/>
                <w:webHidden/>
              </w:rPr>
              <w:instrText xml:space="preserve"> PAGEREF _Toc237083434 \h </w:instrText>
            </w:r>
            <w:r w:rsidR="008A67CA">
              <w:rPr>
                <w:rStyle w:val="Hyperlink"/>
                <w:noProof/>
              </w:rPr>
            </w:r>
            <w:r w:rsidR="008A67CA">
              <w:rPr>
                <w:rStyle w:val="Hyperlink"/>
                <w:noProof/>
              </w:rPr>
              <w:fldChar w:fldCharType="separate"/>
            </w:r>
            <w:r w:rsidR="004906DB">
              <w:rPr>
                <w:noProof/>
                <w:webHidden/>
              </w:rPr>
              <w:t>3</w:t>
            </w:r>
            <w:r w:rsidR="008A67CA">
              <w:rPr>
                <w:rStyle w:val="Hyperlink"/>
                <w:noProof/>
              </w:rPr>
              <w:fldChar w:fldCharType="end"/>
            </w:r>
          </w:hyperlink>
        </w:p>
        <w:p w14:paraId="7525CCA7" w14:textId="29AEC4D6" w:rsidR="008A67CA" w:rsidRDefault="002A0761">
          <w:pPr>
            <w:pStyle w:val="TOC2"/>
            <w:tabs>
              <w:tab w:val="right" w:leader="dot" w:pos="9016"/>
            </w:tabs>
            <w:rPr>
              <w:noProof/>
            </w:rPr>
          </w:pPr>
          <w:hyperlink w:anchor="_Toc237083435" w:history="1">
            <w:r w:rsidR="008A67CA" w:rsidRPr="00CF7922">
              <w:rPr>
                <w:rStyle w:val="Hyperlink"/>
                <w:noProof/>
              </w:rPr>
              <w:t>1.2 Significance for Quality Assurance</w:t>
            </w:r>
            <w:r w:rsidR="008A67CA">
              <w:rPr>
                <w:noProof/>
                <w:webHidden/>
              </w:rPr>
              <w:tab/>
            </w:r>
            <w:r w:rsidR="008A67CA">
              <w:rPr>
                <w:rStyle w:val="Hyperlink"/>
                <w:noProof/>
              </w:rPr>
              <w:fldChar w:fldCharType="begin"/>
            </w:r>
            <w:r w:rsidR="008A67CA">
              <w:rPr>
                <w:noProof/>
                <w:webHidden/>
              </w:rPr>
              <w:instrText xml:space="preserve"> PAGEREF _Toc237083435 \h </w:instrText>
            </w:r>
            <w:r w:rsidR="008A67CA">
              <w:rPr>
                <w:rStyle w:val="Hyperlink"/>
                <w:noProof/>
              </w:rPr>
            </w:r>
            <w:r w:rsidR="008A67CA">
              <w:rPr>
                <w:rStyle w:val="Hyperlink"/>
                <w:noProof/>
              </w:rPr>
              <w:fldChar w:fldCharType="separate"/>
            </w:r>
            <w:r w:rsidR="004906DB">
              <w:rPr>
                <w:noProof/>
                <w:webHidden/>
              </w:rPr>
              <w:t>3</w:t>
            </w:r>
            <w:r w:rsidR="008A67CA">
              <w:rPr>
                <w:rStyle w:val="Hyperlink"/>
                <w:noProof/>
              </w:rPr>
              <w:fldChar w:fldCharType="end"/>
            </w:r>
          </w:hyperlink>
        </w:p>
        <w:p w14:paraId="46292A96" w14:textId="73F261E0" w:rsidR="008A67CA" w:rsidRDefault="002A0761">
          <w:pPr>
            <w:pStyle w:val="TOC2"/>
            <w:tabs>
              <w:tab w:val="right" w:leader="dot" w:pos="9016"/>
            </w:tabs>
            <w:rPr>
              <w:noProof/>
            </w:rPr>
          </w:pPr>
          <w:hyperlink w:anchor="_Toc237083436" w:history="1">
            <w:r w:rsidR="008A67CA" w:rsidRPr="00CF7922">
              <w:rPr>
                <w:rStyle w:val="Hyperlink"/>
                <w:noProof/>
              </w:rPr>
              <w:t>1.3 Purpose and Scope of the Report</w:t>
            </w:r>
            <w:r w:rsidR="008A67CA">
              <w:rPr>
                <w:noProof/>
                <w:webHidden/>
              </w:rPr>
              <w:tab/>
            </w:r>
            <w:r w:rsidR="008A67CA">
              <w:rPr>
                <w:rStyle w:val="Hyperlink"/>
                <w:noProof/>
              </w:rPr>
              <w:fldChar w:fldCharType="begin"/>
            </w:r>
            <w:r w:rsidR="008A67CA">
              <w:rPr>
                <w:noProof/>
                <w:webHidden/>
              </w:rPr>
              <w:instrText xml:space="preserve"> PAGEREF _Toc237083436 \h </w:instrText>
            </w:r>
            <w:r w:rsidR="008A67CA">
              <w:rPr>
                <w:rStyle w:val="Hyperlink"/>
                <w:noProof/>
              </w:rPr>
            </w:r>
            <w:r w:rsidR="008A67CA">
              <w:rPr>
                <w:rStyle w:val="Hyperlink"/>
                <w:noProof/>
              </w:rPr>
              <w:fldChar w:fldCharType="separate"/>
            </w:r>
            <w:r w:rsidR="004906DB">
              <w:rPr>
                <w:noProof/>
                <w:webHidden/>
              </w:rPr>
              <w:t>4</w:t>
            </w:r>
            <w:r w:rsidR="008A67CA">
              <w:rPr>
                <w:rStyle w:val="Hyperlink"/>
                <w:noProof/>
              </w:rPr>
              <w:fldChar w:fldCharType="end"/>
            </w:r>
          </w:hyperlink>
        </w:p>
        <w:p w14:paraId="3453A984" w14:textId="19D4C985" w:rsidR="008A67CA" w:rsidRDefault="002A0761">
          <w:pPr>
            <w:pStyle w:val="TOC1"/>
            <w:tabs>
              <w:tab w:val="right" w:leader="dot" w:pos="9016"/>
            </w:tabs>
            <w:rPr>
              <w:noProof/>
            </w:rPr>
          </w:pPr>
          <w:hyperlink w:anchor="_Toc237083437" w:history="1">
            <w:r w:rsidR="008A67CA" w:rsidRPr="00CF7922">
              <w:rPr>
                <w:rStyle w:val="Hyperlink"/>
                <w:noProof/>
                <w:lang w:val="en-US"/>
              </w:rPr>
              <w:t>2. Main Body</w:t>
            </w:r>
            <w:r w:rsidR="008A67CA">
              <w:rPr>
                <w:noProof/>
                <w:webHidden/>
              </w:rPr>
              <w:tab/>
            </w:r>
            <w:r w:rsidR="008A67CA">
              <w:rPr>
                <w:rStyle w:val="Hyperlink"/>
                <w:noProof/>
              </w:rPr>
              <w:fldChar w:fldCharType="begin"/>
            </w:r>
            <w:r w:rsidR="008A67CA">
              <w:rPr>
                <w:noProof/>
                <w:webHidden/>
              </w:rPr>
              <w:instrText xml:space="preserve"> PAGEREF _Toc237083437 \h </w:instrText>
            </w:r>
            <w:r w:rsidR="008A67CA">
              <w:rPr>
                <w:rStyle w:val="Hyperlink"/>
                <w:noProof/>
              </w:rPr>
            </w:r>
            <w:r w:rsidR="008A67CA">
              <w:rPr>
                <w:rStyle w:val="Hyperlink"/>
                <w:noProof/>
              </w:rPr>
              <w:fldChar w:fldCharType="separate"/>
            </w:r>
            <w:r w:rsidR="004906DB">
              <w:rPr>
                <w:noProof/>
                <w:webHidden/>
              </w:rPr>
              <w:t>4</w:t>
            </w:r>
            <w:r w:rsidR="008A67CA">
              <w:rPr>
                <w:rStyle w:val="Hyperlink"/>
                <w:noProof/>
              </w:rPr>
              <w:fldChar w:fldCharType="end"/>
            </w:r>
          </w:hyperlink>
        </w:p>
        <w:p w14:paraId="089AEB72" w14:textId="0992558D" w:rsidR="008A67CA" w:rsidRDefault="002A0761">
          <w:pPr>
            <w:pStyle w:val="TOC2"/>
            <w:tabs>
              <w:tab w:val="right" w:leader="dot" w:pos="9016"/>
            </w:tabs>
            <w:rPr>
              <w:noProof/>
            </w:rPr>
          </w:pPr>
          <w:hyperlink w:anchor="_Toc237083438" w:history="1">
            <w:r w:rsidR="008A67CA" w:rsidRPr="00CF7922">
              <w:rPr>
                <w:rStyle w:val="Hyperlink"/>
                <w:noProof/>
              </w:rPr>
              <w:t>2.1 Nature of the Quality Management Failure</w:t>
            </w:r>
            <w:r w:rsidR="008A67CA">
              <w:rPr>
                <w:noProof/>
                <w:webHidden/>
              </w:rPr>
              <w:tab/>
            </w:r>
            <w:r w:rsidR="008A67CA">
              <w:rPr>
                <w:rStyle w:val="Hyperlink"/>
                <w:noProof/>
              </w:rPr>
              <w:fldChar w:fldCharType="begin"/>
            </w:r>
            <w:r w:rsidR="008A67CA">
              <w:rPr>
                <w:noProof/>
                <w:webHidden/>
              </w:rPr>
              <w:instrText xml:space="preserve"> PAGEREF _Toc237083438 \h </w:instrText>
            </w:r>
            <w:r w:rsidR="008A67CA">
              <w:rPr>
                <w:rStyle w:val="Hyperlink"/>
                <w:noProof/>
              </w:rPr>
            </w:r>
            <w:r w:rsidR="008A67CA">
              <w:rPr>
                <w:rStyle w:val="Hyperlink"/>
                <w:noProof/>
              </w:rPr>
              <w:fldChar w:fldCharType="separate"/>
            </w:r>
            <w:r w:rsidR="004906DB">
              <w:rPr>
                <w:noProof/>
                <w:webHidden/>
              </w:rPr>
              <w:t>4</w:t>
            </w:r>
            <w:r w:rsidR="008A67CA">
              <w:rPr>
                <w:rStyle w:val="Hyperlink"/>
                <w:noProof/>
              </w:rPr>
              <w:fldChar w:fldCharType="end"/>
            </w:r>
          </w:hyperlink>
        </w:p>
        <w:p w14:paraId="3A473A9F" w14:textId="0D9F2449" w:rsidR="008A67CA" w:rsidRDefault="002A0761">
          <w:pPr>
            <w:pStyle w:val="TOC2"/>
            <w:tabs>
              <w:tab w:val="right" w:leader="dot" w:pos="9016"/>
            </w:tabs>
            <w:rPr>
              <w:noProof/>
            </w:rPr>
          </w:pPr>
          <w:hyperlink w:anchor="_Toc237083439" w:history="1">
            <w:r w:rsidR="008A67CA" w:rsidRPr="00CF7922">
              <w:rPr>
                <w:rStyle w:val="Hyperlink"/>
                <w:noProof/>
              </w:rPr>
              <w:t>2.2 Critical Application of the Swiss Cheese Model</w:t>
            </w:r>
            <w:r w:rsidR="008A67CA">
              <w:rPr>
                <w:noProof/>
                <w:webHidden/>
              </w:rPr>
              <w:tab/>
            </w:r>
            <w:r w:rsidR="008A67CA">
              <w:rPr>
                <w:rStyle w:val="Hyperlink"/>
                <w:noProof/>
              </w:rPr>
              <w:fldChar w:fldCharType="begin"/>
            </w:r>
            <w:r w:rsidR="008A67CA">
              <w:rPr>
                <w:noProof/>
                <w:webHidden/>
              </w:rPr>
              <w:instrText xml:space="preserve"> PAGEREF _Toc237083439 \h </w:instrText>
            </w:r>
            <w:r w:rsidR="008A67CA">
              <w:rPr>
                <w:rStyle w:val="Hyperlink"/>
                <w:noProof/>
              </w:rPr>
            </w:r>
            <w:r w:rsidR="008A67CA">
              <w:rPr>
                <w:rStyle w:val="Hyperlink"/>
                <w:noProof/>
              </w:rPr>
              <w:fldChar w:fldCharType="separate"/>
            </w:r>
            <w:r w:rsidR="004906DB">
              <w:rPr>
                <w:noProof/>
                <w:webHidden/>
              </w:rPr>
              <w:t>5</w:t>
            </w:r>
            <w:r w:rsidR="008A67CA">
              <w:rPr>
                <w:rStyle w:val="Hyperlink"/>
                <w:noProof/>
              </w:rPr>
              <w:fldChar w:fldCharType="end"/>
            </w:r>
          </w:hyperlink>
        </w:p>
        <w:p w14:paraId="59A0C72B" w14:textId="568A7692" w:rsidR="008A67CA" w:rsidRDefault="002A0761">
          <w:pPr>
            <w:pStyle w:val="TOC2"/>
            <w:tabs>
              <w:tab w:val="right" w:leader="dot" w:pos="9016"/>
            </w:tabs>
            <w:rPr>
              <w:noProof/>
            </w:rPr>
          </w:pPr>
          <w:hyperlink w:anchor="_Toc237083440" w:history="1">
            <w:r w:rsidR="008A67CA" w:rsidRPr="00CF7922">
              <w:rPr>
                <w:rStyle w:val="Hyperlink"/>
                <w:noProof/>
              </w:rPr>
              <w:t>2.3 Root Cause Analysis</w:t>
            </w:r>
            <w:r w:rsidR="008A67CA">
              <w:rPr>
                <w:noProof/>
                <w:webHidden/>
              </w:rPr>
              <w:tab/>
            </w:r>
            <w:r w:rsidR="008A67CA">
              <w:rPr>
                <w:rStyle w:val="Hyperlink"/>
                <w:noProof/>
              </w:rPr>
              <w:fldChar w:fldCharType="begin"/>
            </w:r>
            <w:r w:rsidR="008A67CA">
              <w:rPr>
                <w:noProof/>
                <w:webHidden/>
              </w:rPr>
              <w:instrText xml:space="preserve"> PAGEREF _Toc237083440 \h </w:instrText>
            </w:r>
            <w:r w:rsidR="008A67CA">
              <w:rPr>
                <w:rStyle w:val="Hyperlink"/>
                <w:noProof/>
              </w:rPr>
            </w:r>
            <w:r w:rsidR="008A67CA">
              <w:rPr>
                <w:rStyle w:val="Hyperlink"/>
                <w:noProof/>
              </w:rPr>
              <w:fldChar w:fldCharType="separate"/>
            </w:r>
            <w:r w:rsidR="004906DB">
              <w:rPr>
                <w:noProof/>
                <w:webHidden/>
              </w:rPr>
              <w:t>6</w:t>
            </w:r>
            <w:r w:rsidR="008A67CA">
              <w:rPr>
                <w:rStyle w:val="Hyperlink"/>
                <w:noProof/>
              </w:rPr>
              <w:fldChar w:fldCharType="end"/>
            </w:r>
          </w:hyperlink>
        </w:p>
        <w:p w14:paraId="08059B8F" w14:textId="313DA87A" w:rsidR="008A67CA" w:rsidRDefault="002A0761">
          <w:pPr>
            <w:pStyle w:val="TOC2"/>
            <w:tabs>
              <w:tab w:val="right" w:leader="dot" w:pos="9016"/>
            </w:tabs>
            <w:rPr>
              <w:noProof/>
            </w:rPr>
          </w:pPr>
          <w:hyperlink w:anchor="_Toc237083441" w:history="1">
            <w:r w:rsidR="008A67CA" w:rsidRPr="00CF7922">
              <w:rPr>
                <w:rStyle w:val="Hyperlink"/>
                <w:noProof/>
              </w:rPr>
              <w:t>2.4 Fishbone Diagram Analysis</w:t>
            </w:r>
            <w:r w:rsidR="008A67CA">
              <w:rPr>
                <w:noProof/>
                <w:webHidden/>
              </w:rPr>
              <w:tab/>
            </w:r>
            <w:r w:rsidR="008A67CA">
              <w:rPr>
                <w:rStyle w:val="Hyperlink"/>
                <w:noProof/>
              </w:rPr>
              <w:fldChar w:fldCharType="begin"/>
            </w:r>
            <w:r w:rsidR="008A67CA">
              <w:rPr>
                <w:noProof/>
                <w:webHidden/>
              </w:rPr>
              <w:instrText xml:space="preserve"> PAGEREF _Toc237083441 \h </w:instrText>
            </w:r>
            <w:r w:rsidR="008A67CA">
              <w:rPr>
                <w:rStyle w:val="Hyperlink"/>
                <w:noProof/>
              </w:rPr>
            </w:r>
            <w:r w:rsidR="008A67CA">
              <w:rPr>
                <w:rStyle w:val="Hyperlink"/>
                <w:noProof/>
              </w:rPr>
              <w:fldChar w:fldCharType="separate"/>
            </w:r>
            <w:r w:rsidR="004906DB">
              <w:rPr>
                <w:noProof/>
                <w:webHidden/>
              </w:rPr>
              <w:t>6</w:t>
            </w:r>
            <w:r w:rsidR="008A67CA">
              <w:rPr>
                <w:rStyle w:val="Hyperlink"/>
                <w:noProof/>
              </w:rPr>
              <w:fldChar w:fldCharType="end"/>
            </w:r>
          </w:hyperlink>
        </w:p>
        <w:p w14:paraId="5A2D75BE" w14:textId="087ECBC9" w:rsidR="008A67CA" w:rsidRDefault="002A0761">
          <w:pPr>
            <w:pStyle w:val="TOC2"/>
            <w:tabs>
              <w:tab w:val="right" w:leader="dot" w:pos="9016"/>
            </w:tabs>
            <w:rPr>
              <w:noProof/>
            </w:rPr>
          </w:pPr>
          <w:hyperlink w:anchor="_Toc237083442" w:history="1">
            <w:r w:rsidR="008A67CA" w:rsidRPr="00CF7922">
              <w:rPr>
                <w:rStyle w:val="Hyperlink"/>
                <w:noProof/>
              </w:rPr>
              <w:t>2.6 SWOT Analysis</w:t>
            </w:r>
            <w:r w:rsidR="008A67CA">
              <w:rPr>
                <w:noProof/>
                <w:webHidden/>
              </w:rPr>
              <w:tab/>
            </w:r>
            <w:r w:rsidR="008A67CA">
              <w:rPr>
                <w:rStyle w:val="Hyperlink"/>
                <w:noProof/>
              </w:rPr>
              <w:fldChar w:fldCharType="begin"/>
            </w:r>
            <w:r w:rsidR="008A67CA">
              <w:rPr>
                <w:noProof/>
                <w:webHidden/>
              </w:rPr>
              <w:instrText xml:space="preserve"> PAGEREF _Toc237083442 \h </w:instrText>
            </w:r>
            <w:r w:rsidR="008A67CA">
              <w:rPr>
                <w:rStyle w:val="Hyperlink"/>
                <w:noProof/>
              </w:rPr>
            </w:r>
            <w:r w:rsidR="008A67CA">
              <w:rPr>
                <w:rStyle w:val="Hyperlink"/>
                <w:noProof/>
              </w:rPr>
              <w:fldChar w:fldCharType="separate"/>
            </w:r>
            <w:r w:rsidR="004906DB">
              <w:rPr>
                <w:noProof/>
                <w:webHidden/>
              </w:rPr>
              <w:t>8</w:t>
            </w:r>
            <w:r w:rsidR="008A67CA">
              <w:rPr>
                <w:rStyle w:val="Hyperlink"/>
                <w:noProof/>
              </w:rPr>
              <w:fldChar w:fldCharType="end"/>
            </w:r>
          </w:hyperlink>
        </w:p>
        <w:p w14:paraId="1D0AEE17" w14:textId="5386B611" w:rsidR="008A67CA" w:rsidRDefault="002A0761">
          <w:pPr>
            <w:pStyle w:val="TOC2"/>
            <w:tabs>
              <w:tab w:val="right" w:leader="dot" w:pos="9016"/>
            </w:tabs>
            <w:rPr>
              <w:noProof/>
            </w:rPr>
          </w:pPr>
          <w:hyperlink w:anchor="_Toc237083443" w:history="1">
            <w:r w:rsidR="008A67CA" w:rsidRPr="00CF7922">
              <w:rPr>
                <w:rStyle w:val="Hyperlink"/>
                <w:noProof/>
              </w:rPr>
              <w:t>2.7 Impact on Healthcare Quality, Efficiency and Equity</w:t>
            </w:r>
            <w:r w:rsidR="008A67CA">
              <w:rPr>
                <w:noProof/>
                <w:webHidden/>
              </w:rPr>
              <w:tab/>
            </w:r>
            <w:r w:rsidR="008A67CA">
              <w:rPr>
                <w:rStyle w:val="Hyperlink"/>
                <w:noProof/>
              </w:rPr>
              <w:fldChar w:fldCharType="begin"/>
            </w:r>
            <w:r w:rsidR="008A67CA">
              <w:rPr>
                <w:noProof/>
                <w:webHidden/>
              </w:rPr>
              <w:instrText xml:space="preserve"> PAGEREF _Toc237083443 \h </w:instrText>
            </w:r>
            <w:r w:rsidR="008A67CA">
              <w:rPr>
                <w:rStyle w:val="Hyperlink"/>
                <w:noProof/>
              </w:rPr>
            </w:r>
            <w:r w:rsidR="008A67CA">
              <w:rPr>
                <w:rStyle w:val="Hyperlink"/>
                <w:noProof/>
              </w:rPr>
              <w:fldChar w:fldCharType="separate"/>
            </w:r>
            <w:r w:rsidR="004906DB">
              <w:rPr>
                <w:noProof/>
                <w:webHidden/>
              </w:rPr>
              <w:t>9</w:t>
            </w:r>
            <w:r w:rsidR="008A67CA">
              <w:rPr>
                <w:rStyle w:val="Hyperlink"/>
                <w:noProof/>
              </w:rPr>
              <w:fldChar w:fldCharType="end"/>
            </w:r>
          </w:hyperlink>
        </w:p>
        <w:p w14:paraId="475CA9B1" w14:textId="70EF4143" w:rsidR="008A67CA" w:rsidRDefault="002A0761">
          <w:pPr>
            <w:pStyle w:val="TOC1"/>
            <w:tabs>
              <w:tab w:val="right" w:leader="dot" w:pos="9016"/>
            </w:tabs>
            <w:rPr>
              <w:noProof/>
            </w:rPr>
          </w:pPr>
          <w:hyperlink w:anchor="_Toc237083444" w:history="1">
            <w:r w:rsidR="008A67CA" w:rsidRPr="00CF7922">
              <w:rPr>
                <w:rStyle w:val="Hyperlink"/>
                <w:noProof/>
                <w:lang w:val="en-US"/>
              </w:rPr>
              <w:t>3. Recommendations</w:t>
            </w:r>
            <w:r w:rsidR="008A67CA">
              <w:rPr>
                <w:noProof/>
                <w:webHidden/>
              </w:rPr>
              <w:tab/>
            </w:r>
            <w:r w:rsidR="008A67CA">
              <w:rPr>
                <w:rStyle w:val="Hyperlink"/>
                <w:noProof/>
              </w:rPr>
              <w:fldChar w:fldCharType="begin"/>
            </w:r>
            <w:r w:rsidR="008A67CA">
              <w:rPr>
                <w:noProof/>
                <w:webHidden/>
              </w:rPr>
              <w:instrText xml:space="preserve"> PAGEREF _Toc237083444 \h </w:instrText>
            </w:r>
            <w:r w:rsidR="008A67CA">
              <w:rPr>
                <w:rStyle w:val="Hyperlink"/>
                <w:noProof/>
              </w:rPr>
            </w:r>
            <w:r w:rsidR="008A67CA">
              <w:rPr>
                <w:rStyle w:val="Hyperlink"/>
                <w:noProof/>
              </w:rPr>
              <w:fldChar w:fldCharType="separate"/>
            </w:r>
            <w:r w:rsidR="004906DB">
              <w:rPr>
                <w:noProof/>
                <w:webHidden/>
              </w:rPr>
              <w:t>10</w:t>
            </w:r>
            <w:r w:rsidR="008A67CA">
              <w:rPr>
                <w:rStyle w:val="Hyperlink"/>
                <w:noProof/>
              </w:rPr>
              <w:fldChar w:fldCharType="end"/>
            </w:r>
          </w:hyperlink>
        </w:p>
        <w:p w14:paraId="48E6D420" w14:textId="43063F14" w:rsidR="008A67CA" w:rsidRDefault="002A0761">
          <w:pPr>
            <w:pStyle w:val="TOC2"/>
            <w:tabs>
              <w:tab w:val="right" w:leader="dot" w:pos="9016"/>
            </w:tabs>
            <w:rPr>
              <w:noProof/>
            </w:rPr>
          </w:pPr>
          <w:hyperlink w:anchor="_Toc237083445" w:history="1">
            <w:r w:rsidR="008A67CA" w:rsidRPr="00CF7922">
              <w:rPr>
                <w:rStyle w:val="Hyperlink"/>
                <w:noProof/>
              </w:rPr>
              <w:t>3.1 Strengthen National Clinical Outcome Monitoring</w:t>
            </w:r>
            <w:r w:rsidR="008A67CA">
              <w:rPr>
                <w:noProof/>
                <w:webHidden/>
              </w:rPr>
              <w:tab/>
            </w:r>
            <w:r w:rsidR="008A67CA">
              <w:rPr>
                <w:rStyle w:val="Hyperlink"/>
                <w:noProof/>
              </w:rPr>
              <w:fldChar w:fldCharType="begin"/>
            </w:r>
            <w:r w:rsidR="008A67CA">
              <w:rPr>
                <w:noProof/>
                <w:webHidden/>
              </w:rPr>
              <w:instrText xml:space="preserve"> PAGEREF _Toc237083445 \h </w:instrText>
            </w:r>
            <w:r w:rsidR="008A67CA">
              <w:rPr>
                <w:rStyle w:val="Hyperlink"/>
                <w:noProof/>
              </w:rPr>
            </w:r>
            <w:r w:rsidR="008A67CA">
              <w:rPr>
                <w:rStyle w:val="Hyperlink"/>
                <w:noProof/>
              </w:rPr>
              <w:fldChar w:fldCharType="separate"/>
            </w:r>
            <w:r w:rsidR="004906DB">
              <w:rPr>
                <w:noProof/>
                <w:webHidden/>
              </w:rPr>
              <w:t>10</w:t>
            </w:r>
            <w:r w:rsidR="008A67CA">
              <w:rPr>
                <w:rStyle w:val="Hyperlink"/>
                <w:noProof/>
              </w:rPr>
              <w:fldChar w:fldCharType="end"/>
            </w:r>
          </w:hyperlink>
        </w:p>
        <w:p w14:paraId="5A64ADE2" w14:textId="2C669ACD" w:rsidR="008A67CA" w:rsidRDefault="002A0761">
          <w:pPr>
            <w:pStyle w:val="TOC2"/>
            <w:tabs>
              <w:tab w:val="right" w:leader="dot" w:pos="9016"/>
            </w:tabs>
            <w:rPr>
              <w:noProof/>
            </w:rPr>
          </w:pPr>
          <w:hyperlink w:anchor="_Toc237083446" w:history="1">
            <w:r w:rsidR="008A67CA" w:rsidRPr="00CF7922">
              <w:rPr>
                <w:rStyle w:val="Hyperlink"/>
                <w:noProof/>
              </w:rPr>
              <w:t>3.2 Implement Six Sigma DMAIC</w:t>
            </w:r>
            <w:r w:rsidR="008A67CA">
              <w:rPr>
                <w:noProof/>
                <w:webHidden/>
              </w:rPr>
              <w:tab/>
            </w:r>
            <w:r w:rsidR="008A67CA">
              <w:rPr>
                <w:rStyle w:val="Hyperlink"/>
                <w:noProof/>
              </w:rPr>
              <w:fldChar w:fldCharType="begin"/>
            </w:r>
            <w:r w:rsidR="008A67CA">
              <w:rPr>
                <w:noProof/>
                <w:webHidden/>
              </w:rPr>
              <w:instrText xml:space="preserve"> PAGEREF _Toc237083446 \h </w:instrText>
            </w:r>
            <w:r w:rsidR="008A67CA">
              <w:rPr>
                <w:rStyle w:val="Hyperlink"/>
                <w:noProof/>
              </w:rPr>
            </w:r>
            <w:r w:rsidR="008A67CA">
              <w:rPr>
                <w:rStyle w:val="Hyperlink"/>
                <w:noProof/>
              </w:rPr>
              <w:fldChar w:fldCharType="separate"/>
            </w:r>
            <w:r w:rsidR="004906DB">
              <w:rPr>
                <w:noProof/>
                <w:webHidden/>
              </w:rPr>
              <w:t>10</w:t>
            </w:r>
            <w:r w:rsidR="008A67CA">
              <w:rPr>
                <w:rStyle w:val="Hyperlink"/>
                <w:noProof/>
              </w:rPr>
              <w:fldChar w:fldCharType="end"/>
            </w:r>
          </w:hyperlink>
        </w:p>
        <w:p w14:paraId="636FA445" w14:textId="0CBA29CB" w:rsidR="008A67CA" w:rsidRDefault="002A0761">
          <w:pPr>
            <w:pStyle w:val="TOC2"/>
            <w:tabs>
              <w:tab w:val="right" w:leader="dot" w:pos="9016"/>
            </w:tabs>
            <w:rPr>
              <w:noProof/>
            </w:rPr>
          </w:pPr>
          <w:hyperlink w:anchor="_Toc237083447" w:history="1">
            <w:r w:rsidR="008A67CA" w:rsidRPr="00CF7922">
              <w:rPr>
                <w:rStyle w:val="Hyperlink"/>
                <w:noProof/>
              </w:rPr>
              <w:t>3.3 Strengthen Clinical Governance and Accountability</w:t>
            </w:r>
            <w:r w:rsidR="008A67CA">
              <w:rPr>
                <w:noProof/>
                <w:webHidden/>
              </w:rPr>
              <w:tab/>
            </w:r>
            <w:r w:rsidR="008A67CA">
              <w:rPr>
                <w:rStyle w:val="Hyperlink"/>
                <w:noProof/>
              </w:rPr>
              <w:fldChar w:fldCharType="begin"/>
            </w:r>
            <w:r w:rsidR="008A67CA">
              <w:rPr>
                <w:noProof/>
                <w:webHidden/>
              </w:rPr>
              <w:instrText xml:space="preserve"> PAGEREF _Toc237083447 \h </w:instrText>
            </w:r>
            <w:r w:rsidR="008A67CA">
              <w:rPr>
                <w:rStyle w:val="Hyperlink"/>
                <w:noProof/>
              </w:rPr>
            </w:r>
            <w:r w:rsidR="008A67CA">
              <w:rPr>
                <w:rStyle w:val="Hyperlink"/>
                <w:noProof/>
              </w:rPr>
              <w:fldChar w:fldCharType="separate"/>
            </w:r>
            <w:r w:rsidR="004906DB">
              <w:rPr>
                <w:noProof/>
                <w:webHidden/>
              </w:rPr>
              <w:t>11</w:t>
            </w:r>
            <w:r w:rsidR="008A67CA">
              <w:rPr>
                <w:rStyle w:val="Hyperlink"/>
                <w:noProof/>
              </w:rPr>
              <w:fldChar w:fldCharType="end"/>
            </w:r>
          </w:hyperlink>
        </w:p>
        <w:p w14:paraId="4CFDDDDB" w14:textId="2169744B" w:rsidR="008A67CA" w:rsidRDefault="002A0761">
          <w:pPr>
            <w:pStyle w:val="TOC2"/>
            <w:tabs>
              <w:tab w:val="right" w:leader="dot" w:pos="9016"/>
            </w:tabs>
            <w:rPr>
              <w:noProof/>
            </w:rPr>
          </w:pPr>
          <w:hyperlink w:anchor="_Toc237083448" w:history="1">
            <w:r w:rsidR="008A67CA" w:rsidRPr="00CF7922">
              <w:rPr>
                <w:rStyle w:val="Hyperlink"/>
                <w:noProof/>
              </w:rPr>
              <w:t>3.4 Develop a Positive Safety and Speaking-Up Culture</w:t>
            </w:r>
            <w:r w:rsidR="008A67CA">
              <w:rPr>
                <w:noProof/>
                <w:webHidden/>
              </w:rPr>
              <w:tab/>
            </w:r>
            <w:r w:rsidR="008A67CA">
              <w:rPr>
                <w:rStyle w:val="Hyperlink"/>
                <w:noProof/>
              </w:rPr>
              <w:fldChar w:fldCharType="begin"/>
            </w:r>
            <w:r w:rsidR="008A67CA">
              <w:rPr>
                <w:noProof/>
                <w:webHidden/>
              </w:rPr>
              <w:instrText xml:space="preserve"> PAGEREF _Toc237083448 \h </w:instrText>
            </w:r>
            <w:r w:rsidR="008A67CA">
              <w:rPr>
                <w:rStyle w:val="Hyperlink"/>
                <w:noProof/>
              </w:rPr>
            </w:r>
            <w:r w:rsidR="008A67CA">
              <w:rPr>
                <w:rStyle w:val="Hyperlink"/>
                <w:noProof/>
              </w:rPr>
              <w:fldChar w:fldCharType="separate"/>
            </w:r>
            <w:r w:rsidR="004906DB">
              <w:rPr>
                <w:noProof/>
                <w:webHidden/>
              </w:rPr>
              <w:t>12</w:t>
            </w:r>
            <w:r w:rsidR="008A67CA">
              <w:rPr>
                <w:rStyle w:val="Hyperlink"/>
                <w:noProof/>
              </w:rPr>
              <w:fldChar w:fldCharType="end"/>
            </w:r>
          </w:hyperlink>
        </w:p>
        <w:p w14:paraId="4234FEE3" w14:textId="559BFA9F" w:rsidR="008A67CA" w:rsidRDefault="002A0761">
          <w:pPr>
            <w:pStyle w:val="TOC2"/>
            <w:tabs>
              <w:tab w:val="right" w:leader="dot" w:pos="9016"/>
            </w:tabs>
            <w:rPr>
              <w:noProof/>
            </w:rPr>
          </w:pPr>
          <w:hyperlink w:anchor="_Toc237083449" w:history="1">
            <w:r w:rsidR="008A67CA" w:rsidRPr="00CF7922">
              <w:rPr>
                <w:rStyle w:val="Hyperlink"/>
                <w:noProof/>
              </w:rPr>
              <w:t>3.5 Integrate Continuous Audit and Organisational Learning</w:t>
            </w:r>
            <w:r w:rsidR="008A67CA">
              <w:rPr>
                <w:noProof/>
                <w:webHidden/>
              </w:rPr>
              <w:tab/>
            </w:r>
            <w:r w:rsidR="008A67CA">
              <w:rPr>
                <w:rStyle w:val="Hyperlink"/>
                <w:noProof/>
              </w:rPr>
              <w:fldChar w:fldCharType="begin"/>
            </w:r>
            <w:r w:rsidR="008A67CA">
              <w:rPr>
                <w:noProof/>
                <w:webHidden/>
              </w:rPr>
              <w:instrText xml:space="preserve"> PAGEREF _Toc237083449 \h </w:instrText>
            </w:r>
            <w:r w:rsidR="008A67CA">
              <w:rPr>
                <w:rStyle w:val="Hyperlink"/>
                <w:noProof/>
              </w:rPr>
            </w:r>
            <w:r w:rsidR="008A67CA">
              <w:rPr>
                <w:rStyle w:val="Hyperlink"/>
                <w:noProof/>
              </w:rPr>
              <w:fldChar w:fldCharType="separate"/>
            </w:r>
            <w:r w:rsidR="004906DB">
              <w:rPr>
                <w:noProof/>
                <w:webHidden/>
              </w:rPr>
              <w:t>12</w:t>
            </w:r>
            <w:r w:rsidR="008A67CA">
              <w:rPr>
                <w:rStyle w:val="Hyperlink"/>
                <w:noProof/>
              </w:rPr>
              <w:fldChar w:fldCharType="end"/>
            </w:r>
          </w:hyperlink>
        </w:p>
        <w:p w14:paraId="06232CA0" w14:textId="0D894DBE" w:rsidR="008A67CA" w:rsidRDefault="002A0761">
          <w:pPr>
            <w:pStyle w:val="TOC2"/>
            <w:tabs>
              <w:tab w:val="right" w:leader="dot" w:pos="9016"/>
            </w:tabs>
            <w:rPr>
              <w:noProof/>
            </w:rPr>
          </w:pPr>
          <w:hyperlink w:anchor="_Toc237083450" w:history="1">
            <w:r w:rsidR="008A67CA" w:rsidRPr="00CF7922">
              <w:rPr>
                <w:rStyle w:val="Hyperlink"/>
                <w:noProof/>
              </w:rPr>
              <w:t>3.6 Establish Multidisciplinary Quality Improvement Teams</w:t>
            </w:r>
            <w:r w:rsidR="008A67CA">
              <w:rPr>
                <w:noProof/>
                <w:webHidden/>
              </w:rPr>
              <w:tab/>
            </w:r>
            <w:r w:rsidR="008A67CA">
              <w:rPr>
                <w:rStyle w:val="Hyperlink"/>
                <w:noProof/>
              </w:rPr>
              <w:fldChar w:fldCharType="begin"/>
            </w:r>
            <w:r w:rsidR="008A67CA">
              <w:rPr>
                <w:noProof/>
                <w:webHidden/>
              </w:rPr>
              <w:instrText xml:space="preserve"> PAGEREF _Toc237083450 \h </w:instrText>
            </w:r>
            <w:r w:rsidR="008A67CA">
              <w:rPr>
                <w:rStyle w:val="Hyperlink"/>
                <w:noProof/>
              </w:rPr>
            </w:r>
            <w:r w:rsidR="008A67CA">
              <w:rPr>
                <w:rStyle w:val="Hyperlink"/>
                <w:noProof/>
              </w:rPr>
              <w:fldChar w:fldCharType="separate"/>
            </w:r>
            <w:r w:rsidR="004906DB">
              <w:rPr>
                <w:noProof/>
                <w:webHidden/>
              </w:rPr>
              <w:t>12</w:t>
            </w:r>
            <w:r w:rsidR="008A67CA">
              <w:rPr>
                <w:rStyle w:val="Hyperlink"/>
                <w:noProof/>
              </w:rPr>
              <w:fldChar w:fldCharType="end"/>
            </w:r>
          </w:hyperlink>
        </w:p>
        <w:p w14:paraId="0E73A7A8" w14:textId="3D202134" w:rsidR="008A67CA" w:rsidRDefault="002A0761">
          <w:pPr>
            <w:pStyle w:val="TOC2"/>
            <w:tabs>
              <w:tab w:val="right" w:leader="dot" w:pos="9016"/>
            </w:tabs>
            <w:rPr>
              <w:noProof/>
            </w:rPr>
          </w:pPr>
          <w:hyperlink w:anchor="_Toc237083451" w:history="1">
            <w:r w:rsidR="008A67CA" w:rsidRPr="00CF7922">
              <w:rPr>
                <w:rStyle w:val="Hyperlink"/>
                <w:noProof/>
              </w:rPr>
              <w:t>3.7 Monitor Sustainability Through Continuous Improvement</w:t>
            </w:r>
            <w:r w:rsidR="008A67CA">
              <w:rPr>
                <w:noProof/>
                <w:webHidden/>
              </w:rPr>
              <w:tab/>
            </w:r>
            <w:r w:rsidR="008A67CA">
              <w:rPr>
                <w:rStyle w:val="Hyperlink"/>
                <w:noProof/>
              </w:rPr>
              <w:fldChar w:fldCharType="begin"/>
            </w:r>
            <w:r w:rsidR="008A67CA">
              <w:rPr>
                <w:noProof/>
                <w:webHidden/>
              </w:rPr>
              <w:instrText xml:space="preserve"> PAGEREF _Toc237083451 \h </w:instrText>
            </w:r>
            <w:r w:rsidR="008A67CA">
              <w:rPr>
                <w:rStyle w:val="Hyperlink"/>
                <w:noProof/>
              </w:rPr>
            </w:r>
            <w:r w:rsidR="008A67CA">
              <w:rPr>
                <w:rStyle w:val="Hyperlink"/>
                <w:noProof/>
              </w:rPr>
              <w:fldChar w:fldCharType="separate"/>
            </w:r>
            <w:r w:rsidR="004906DB">
              <w:rPr>
                <w:noProof/>
                <w:webHidden/>
              </w:rPr>
              <w:t>13</w:t>
            </w:r>
            <w:r w:rsidR="008A67CA">
              <w:rPr>
                <w:rStyle w:val="Hyperlink"/>
                <w:noProof/>
              </w:rPr>
              <w:fldChar w:fldCharType="end"/>
            </w:r>
          </w:hyperlink>
        </w:p>
        <w:p w14:paraId="05F38DFC" w14:textId="7FC0CD35" w:rsidR="008A67CA" w:rsidRDefault="002A0761">
          <w:pPr>
            <w:pStyle w:val="TOC1"/>
            <w:tabs>
              <w:tab w:val="right" w:leader="dot" w:pos="9016"/>
            </w:tabs>
            <w:rPr>
              <w:noProof/>
            </w:rPr>
          </w:pPr>
          <w:hyperlink w:anchor="_Toc237083452" w:history="1">
            <w:r w:rsidR="008A67CA" w:rsidRPr="00CF7922">
              <w:rPr>
                <w:rStyle w:val="Hyperlink"/>
                <w:noProof/>
                <w:lang w:val="en-US"/>
              </w:rPr>
              <w:t>4. Conclusion</w:t>
            </w:r>
            <w:r w:rsidR="008A67CA">
              <w:rPr>
                <w:noProof/>
                <w:webHidden/>
              </w:rPr>
              <w:tab/>
            </w:r>
            <w:r w:rsidR="008A67CA">
              <w:rPr>
                <w:rStyle w:val="Hyperlink"/>
                <w:noProof/>
              </w:rPr>
              <w:fldChar w:fldCharType="begin"/>
            </w:r>
            <w:r w:rsidR="008A67CA">
              <w:rPr>
                <w:noProof/>
                <w:webHidden/>
              </w:rPr>
              <w:instrText xml:space="preserve"> PAGEREF _Toc237083452 \h </w:instrText>
            </w:r>
            <w:r w:rsidR="008A67CA">
              <w:rPr>
                <w:rStyle w:val="Hyperlink"/>
                <w:noProof/>
              </w:rPr>
            </w:r>
            <w:r w:rsidR="008A67CA">
              <w:rPr>
                <w:rStyle w:val="Hyperlink"/>
                <w:noProof/>
              </w:rPr>
              <w:fldChar w:fldCharType="separate"/>
            </w:r>
            <w:r w:rsidR="004906DB">
              <w:rPr>
                <w:noProof/>
                <w:webHidden/>
              </w:rPr>
              <w:t>13</w:t>
            </w:r>
            <w:r w:rsidR="008A67CA">
              <w:rPr>
                <w:rStyle w:val="Hyperlink"/>
                <w:noProof/>
              </w:rPr>
              <w:fldChar w:fldCharType="end"/>
            </w:r>
          </w:hyperlink>
        </w:p>
        <w:p w14:paraId="6B9AA7A1" w14:textId="3015DA7A" w:rsidR="008A67CA" w:rsidRDefault="002A0761">
          <w:pPr>
            <w:pStyle w:val="TOC1"/>
            <w:tabs>
              <w:tab w:val="right" w:leader="dot" w:pos="9016"/>
            </w:tabs>
            <w:rPr>
              <w:noProof/>
            </w:rPr>
          </w:pPr>
          <w:hyperlink w:anchor="_Toc237083453" w:history="1">
            <w:r w:rsidR="008A67CA" w:rsidRPr="00CF7922">
              <w:rPr>
                <w:rStyle w:val="Hyperlink"/>
                <w:noProof/>
              </w:rPr>
              <w:t>References</w:t>
            </w:r>
            <w:r w:rsidR="008A67CA">
              <w:rPr>
                <w:noProof/>
                <w:webHidden/>
              </w:rPr>
              <w:tab/>
            </w:r>
            <w:r w:rsidR="008A67CA">
              <w:rPr>
                <w:rStyle w:val="Hyperlink"/>
                <w:noProof/>
              </w:rPr>
              <w:fldChar w:fldCharType="begin"/>
            </w:r>
            <w:r w:rsidR="008A67CA">
              <w:rPr>
                <w:noProof/>
                <w:webHidden/>
              </w:rPr>
              <w:instrText xml:space="preserve"> PAGEREF _Toc237083453 \h </w:instrText>
            </w:r>
            <w:r w:rsidR="008A67CA">
              <w:rPr>
                <w:rStyle w:val="Hyperlink"/>
                <w:noProof/>
              </w:rPr>
            </w:r>
            <w:r w:rsidR="008A67CA">
              <w:rPr>
                <w:rStyle w:val="Hyperlink"/>
                <w:noProof/>
              </w:rPr>
              <w:fldChar w:fldCharType="separate"/>
            </w:r>
            <w:r w:rsidR="004906DB">
              <w:rPr>
                <w:noProof/>
                <w:webHidden/>
              </w:rPr>
              <w:t>15</w:t>
            </w:r>
            <w:r w:rsidR="008A67CA">
              <w:rPr>
                <w:rStyle w:val="Hyperlink"/>
                <w:noProof/>
              </w:rPr>
              <w:fldChar w:fldCharType="end"/>
            </w:r>
          </w:hyperlink>
        </w:p>
        <w:p w14:paraId="5C912E70" w14:textId="7D6EA93A" w:rsidR="008A67CA" w:rsidRDefault="008A67CA">
          <w:r>
            <w:rPr>
              <w:b/>
              <w:bCs/>
            </w:rPr>
            <w:fldChar w:fldCharType="end"/>
          </w:r>
        </w:p>
      </w:sdtContent>
    </w:sdt>
    <w:p w14:paraId="63A50F63" w14:textId="77777777" w:rsidR="00A24CE4" w:rsidRDefault="00A24CE4" w:rsidP="00A24CE4">
      <w:pPr>
        <w:spacing w:line="360" w:lineRule="auto"/>
        <w:jc w:val="both"/>
        <w:rPr>
          <w:rFonts w:ascii="Arial" w:hAnsi="Arial" w:cs="Arial"/>
          <w:b/>
          <w:bCs/>
          <w:lang w:val="en-US"/>
        </w:rPr>
      </w:pPr>
    </w:p>
    <w:p w14:paraId="59F4299A" w14:textId="77777777" w:rsidR="00A24CE4" w:rsidRDefault="00A24CE4" w:rsidP="00A24CE4">
      <w:pPr>
        <w:spacing w:line="360" w:lineRule="auto"/>
        <w:jc w:val="both"/>
        <w:rPr>
          <w:rFonts w:ascii="Arial" w:hAnsi="Arial" w:cs="Arial"/>
          <w:b/>
          <w:bCs/>
          <w:lang w:val="en-US"/>
        </w:rPr>
      </w:pPr>
    </w:p>
    <w:p w14:paraId="47BB0B0B" w14:textId="77777777" w:rsidR="00A24CE4" w:rsidRDefault="00A24CE4" w:rsidP="00A24CE4">
      <w:pPr>
        <w:spacing w:line="360" w:lineRule="auto"/>
        <w:jc w:val="both"/>
        <w:rPr>
          <w:rFonts w:ascii="Arial" w:hAnsi="Arial" w:cs="Arial"/>
          <w:b/>
          <w:bCs/>
          <w:lang w:val="en-US"/>
        </w:rPr>
      </w:pPr>
    </w:p>
    <w:p w14:paraId="34374A10" w14:textId="77777777" w:rsidR="00A24CE4" w:rsidRDefault="00A24CE4" w:rsidP="00A24CE4">
      <w:pPr>
        <w:spacing w:line="360" w:lineRule="auto"/>
        <w:jc w:val="both"/>
        <w:rPr>
          <w:rFonts w:ascii="Arial" w:hAnsi="Arial" w:cs="Arial"/>
          <w:b/>
          <w:bCs/>
          <w:lang w:val="en-US"/>
        </w:rPr>
      </w:pPr>
    </w:p>
    <w:p w14:paraId="375D34A3" w14:textId="77777777" w:rsidR="00A24CE4" w:rsidRDefault="00A24CE4" w:rsidP="00A24CE4">
      <w:pPr>
        <w:spacing w:line="360" w:lineRule="auto"/>
        <w:jc w:val="both"/>
        <w:rPr>
          <w:rFonts w:ascii="Arial" w:hAnsi="Arial" w:cs="Arial"/>
          <w:b/>
          <w:bCs/>
          <w:lang w:val="en-US"/>
        </w:rPr>
      </w:pPr>
    </w:p>
    <w:p w14:paraId="139E8ACC" w14:textId="77777777" w:rsidR="00A24CE4" w:rsidRDefault="00A24CE4" w:rsidP="00A24CE4">
      <w:pPr>
        <w:spacing w:line="360" w:lineRule="auto"/>
        <w:jc w:val="both"/>
        <w:rPr>
          <w:rFonts w:ascii="Arial" w:hAnsi="Arial" w:cs="Arial"/>
          <w:b/>
          <w:bCs/>
          <w:lang w:val="en-US"/>
        </w:rPr>
      </w:pPr>
    </w:p>
    <w:p w14:paraId="4E958140" w14:textId="77777777" w:rsidR="00A24CE4" w:rsidRDefault="00A24CE4" w:rsidP="00A24CE4">
      <w:pPr>
        <w:spacing w:line="360" w:lineRule="auto"/>
        <w:jc w:val="both"/>
        <w:rPr>
          <w:rFonts w:ascii="Arial" w:hAnsi="Arial" w:cs="Arial"/>
          <w:b/>
          <w:bCs/>
          <w:lang w:val="en-US"/>
        </w:rPr>
      </w:pPr>
    </w:p>
    <w:p w14:paraId="4F27E834" w14:textId="405B527F" w:rsidR="00104018" w:rsidRPr="00A24CE4" w:rsidRDefault="00104018" w:rsidP="00A24CE4">
      <w:pPr>
        <w:pStyle w:val="Heading1"/>
        <w:rPr>
          <w:lang w:val="en-US"/>
        </w:rPr>
      </w:pPr>
      <w:bookmarkStart w:id="0" w:name="_Toc237083433"/>
      <w:r w:rsidRPr="00A24CE4">
        <w:rPr>
          <w:lang w:val="en-US"/>
        </w:rPr>
        <w:lastRenderedPageBreak/>
        <w:t>1. Introduction</w:t>
      </w:r>
      <w:bookmarkEnd w:id="0"/>
    </w:p>
    <w:p w14:paraId="4903F3FF" w14:textId="77777777" w:rsidR="00104018" w:rsidRPr="00A24CE4" w:rsidRDefault="00104018" w:rsidP="00A24CE4">
      <w:pPr>
        <w:pStyle w:val="Heading2"/>
      </w:pPr>
      <w:bookmarkStart w:id="1" w:name="_Toc237083434"/>
      <w:r w:rsidRPr="00A24CE4">
        <w:t>1.1 Background to the Bristol Royal Infirmary Inquiry</w:t>
      </w:r>
      <w:bookmarkEnd w:id="1"/>
    </w:p>
    <w:p w14:paraId="37B46710" w14:textId="12616F75" w:rsidR="00104018" w:rsidRPr="00A24CE4" w:rsidRDefault="00104018" w:rsidP="00A24CE4">
      <w:pPr>
        <w:spacing w:line="360" w:lineRule="auto"/>
        <w:jc w:val="both"/>
        <w:rPr>
          <w:rFonts w:ascii="Arial" w:hAnsi="Arial" w:cs="Arial"/>
          <w:lang w:val="en-US"/>
        </w:rPr>
      </w:pPr>
      <w:r w:rsidRPr="00A24CE4">
        <w:rPr>
          <w:rFonts w:ascii="Arial" w:hAnsi="Arial" w:cs="Arial"/>
          <w:lang w:val="en-US"/>
        </w:rPr>
        <w:t xml:space="preserve">The Bristol Royal Infirmary Inquiry represents a significant case of healthcare quality failure within the United Kingdom and demonstrates the consequences of inadequate quality assurance (QA), clinical governance, leadership and organisational accountability. Between 1984 and 1995, </w:t>
      </w:r>
      <w:r w:rsidR="00A814C6" w:rsidRPr="00A24CE4">
        <w:rPr>
          <w:rFonts w:ascii="Arial" w:hAnsi="Arial" w:cs="Arial"/>
          <w:lang w:val="en-US"/>
        </w:rPr>
        <w:t>pediatrics</w:t>
      </w:r>
      <w:r w:rsidRPr="00A24CE4">
        <w:rPr>
          <w:rFonts w:ascii="Arial" w:hAnsi="Arial" w:cs="Arial"/>
          <w:lang w:val="en-US"/>
        </w:rPr>
        <w:t xml:space="preserve"> cardiac surgery at Bristol Royal Infirmary was associated with unusually high mortality rates compared with other specialist centres in the UK</w:t>
      </w:r>
      <w:r w:rsidR="00837282">
        <w:rPr>
          <w:rFonts w:ascii="Arial" w:hAnsi="Arial" w:cs="Arial"/>
          <w:lang w:val="en-US"/>
        </w:rPr>
        <w:t xml:space="preserve"> (</w:t>
      </w:r>
      <w:r w:rsidR="00837282" w:rsidRPr="00837282">
        <w:rPr>
          <w:rFonts w:ascii="Arial" w:hAnsi="Arial" w:cs="Arial"/>
        </w:rPr>
        <w:t>Bellandi</w:t>
      </w:r>
      <w:r w:rsidR="00837282">
        <w:rPr>
          <w:rFonts w:ascii="Arial" w:hAnsi="Arial" w:cs="Arial"/>
        </w:rPr>
        <w:t xml:space="preserve"> et al, 2017)</w:t>
      </w:r>
      <w:r w:rsidRPr="00A24CE4">
        <w:rPr>
          <w:rFonts w:ascii="Arial" w:hAnsi="Arial" w:cs="Arial"/>
          <w:lang w:val="en-US"/>
        </w:rPr>
        <w:t>. These outcomes generated serious concerns regarding the safety and quality of care provided to children undergoing complex cardiac procedures (Powell, 2019). The subsequent public inquiry examined not only individual clinical decisions but also the organisational circumstances that allowed poor outcomes to continue for an extended period.</w:t>
      </w:r>
    </w:p>
    <w:p w14:paraId="1EE29A18" w14:textId="22710D31" w:rsidR="00104018" w:rsidRPr="00A24CE4" w:rsidRDefault="00104018" w:rsidP="00A24CE4">
      <w:pPr>
        <w:spacing w:line="360" w:lineRule="auto"/>
        <w:jc w:val="both"/>
        <w:rPr>
          <w:rFonts w:ascii="Arial" w:hAnsi="Arial" w:cs="Arial"/>
          <w:lang w:val="en-US"/>
        </w:rPr>
      </w:pPr>
      <w:r w:rsidRPr="00A24CE4">
        <w:rPr>
          <w:rFonts w:ascii="Arial" w:hAnsi="Arial" w:cs="Arial"/>
          <w:lang w:val="en-US"/>
        </w:rPr>
        <w:t xml:space="preserve">The inquiry, chaired by Professor Sir Ian Kennedy, investigated the performance of </w:t>
      </w:r>
      <w:r w:rsidR="00A814C6" w:rsidRPr="00A24CE4">
        <w:rPr>
          <w:rFonts w:ascii="Arial" w:hAnsi="Arial" w:cs="Arial"/>
          <w:lang w:val="en-US"/>
        </w:rPr>
        <w:t>pediatrics</w:t>
      </w:r>
      <w:r w:rsidRPr="00A24CE4">
        <w:rPr>
          <w:rFonts w:ascii="Arial" w:hAnsi="Arial" w:cs="Arial"/>
          <w:lang w:val="en-US"/>
        </w:rPr>
        <w:t xml:space="preserve"> cardiac services and the systems responsible for monitoring clinical quality</w:t>
      </w:r>
      <w:r w:rsidR="00C61096">
        <w:rPr>
          <w:rFonts w:ascii="Arial" w:hAnsi="Arial" w:cs="Arial"/>
          <w:lang w:val="en-US"/>
        </w:rPr>
        <w:t xml:space="preserve"> (</w:t>
      </w:r>
      <w:r w:rsidR="00C61096" w:rsidRPr="00837282">
        <w:rPr>
          <w:rFonts w:ascii="Arial" w:hAnsi="Arial" w:cs="Arial"/>
        </w:rPr>
        <w:t>Bellandi</w:t>
      </w:r>
      <w:r w:rsidR="00C61096">
        <w:rPr>
          <w:rFonts w:ascii="Arial" w:hAnsi="Arial" w:cs="Arial"/>
        </w:rPr>
        <w:t xml:space="preserve"> et al, 2017)</w:t>
      </w:r>
      <w:r w:rsidRPr="00A24CE4">
        <w:rPr>
          <w:rFonts w:ascii="Arial" w:hAnsi="Arial" w:cs="Arial"/>
          <w:lang w:val="en-US"/>
        </w:rPr>
        <w:t>. Its findings demonstrated that the problem could not be explained solely by individual professional mistakes. Instead, failures occurred across several interconnected levels, including leadership, communication, clinical decision-making, governance, audit, monitoring and external oversight (Irvine, 2024). This distinction is important because healthcare quality depends on organisational systems that enable professionals to identify risks, evaluate performance and respond to evidence of deterioration.</w:t>
      </w:r>
    </w:p>
    <w:p w14:paraId="763E56EB" w14:textId="77777777" w:rsidR="00104018" w:rsidRPr="00A24CE4" w:rsidRDefault="00104018" w:rsidP="00A24CE4">
      <w:pPr>
        <w:pStyle w:val="Heading2"/>
      </w:pPr>
      <w:bookmarkStart w:id="2" w:name="_Toc237083435"/>
      <w:r w:rsidRPr="00A24CE4">
        <w:t>1.2 Significance for Quality Assurance</w:t>
      </w:r>
      <w:bookmarkEnd w:id="2"/>
    </w:p>
    <w:p w14:paraId="50996B28" w14:textId="389F8474" w:rsidR="00104018" w:rsidRPr="00A24CE4" w:rsidRDefault="00104018" w:rsidP="00A24CE4">
      <w:pPr>
        <w:spacing w:line="360" w:lineRule="auto"/>
        <w:jc w:val="both"/>
        <w:rPr>
          <w:rFonts w:ascii="Arial" w:hAnsi="Arial" w:cs="Arial"/>
          <w:lang w:val="en-US"/>
        </w:rPr>
      </w:pPr>
      <w:r w:rsidRPr="00A24CE4">
        <w:rPr>
          <w:rFonts w:ascii="Arial" w:hAnsi="Arial" w:cs="Arial"/>
          <w:lang w:val="en-US"/>
        </w:rPr>
        <w:t>Quality management refers to an ongoing organisational process through which healthcare providers monitor and improve the safety, effectiveness, efficiency, timeliness, patient-centredness and equity of services (Enahoro et al., 2024). Quality assurance is particularly important because it provides mechanisms through which actual clinical performance can be compared with expected standards</w:t>
      </w:r>
      <w:r w:rsidR="00C61096">
        <w:rPr>
          <w:rFonts w:ascii="Arial" w:hAnsi="Arial" w:cs="Arial"/>
          <w:lang w:val="en-US"/>
        </w:rPr>
        <w:t xml:space="preserve"> </w:t>
      </w:r>
      <w:r w:rsidR="00C61096" w:rsidRPr="00A24CE4">
        <w:rPr>
          <w:rFonts w:ascii="Arial" w:hAnsi="Arial" w:cs="Arial"/>
          <w:lang w:val="en-US"/>
        </w:rPr>
        <w:t>(Jabeen et al., 2024)</w:t>
      </w:r>
      <w:r w:rsidRPr="00A24CE4">
        <w:rPr>
          <w:rFonts w:ascii="Arial" w:hAnsi="Arial" w:cs="Arial"/>
          <w:lang w:val="en-US"/>
        </w:rPr>
        <w:t>. Clinical audit, benchmarking, incident reporting, professional accountability and performance monitoring are therefore essential components of a functioning quality system</w:t>
      </w:r>
      <w:r w:rsidR="00C61096">
        <w:rPr>
          <w:rFonts w:ascii="Arial" w:hAnsi="Arial" w:cs="Arial"/>
          <w:lang w:val="en-US"/>
        </w:rPr>
        <w:t xml:space="preserve"> </w:t>
      </w:r>
      <w:r w:rsidR="00C61096" w:rsidRPr="00A24CE4">
        <w:rPr>
          <w:rFonts w:ascii="Arial" w:hAnsi="Arial" w:cs="Arial"/>
          <w:lang w:val="en-US"/>
        </w:rPr>
        <w:t>(Enahoro et al., 2024)</w:t>
      </w:r>
      <w:r w:rsidRPr="00A24CE4">
        <w:rPr>
          <w:rFonts w:ascii="Arial" w:hAnsi="Arial" w:cs="Arial"/>
          <w:lang w:val="en-US"/>
        </w:rPr>
        <w:t>.</w:t>
      </w:r>
    </w:p>
    <w:p w14:paraId="28B0CC0D" w14:textId="261E7351" w:rsidR="00104018" w:rsidRPr="00A24CE4" w:rsidRDefault="00104018" w:rsidP="00A24CE4">
      <w:pPr>
        <w:spacing w:line="360" w:lineRule="auto"/>
        <w:jc w:val="both"/>
        <w:rPr>
          <w:rFonts w:ascii="Arial" w:hAnsi="Arial" w:cs="Arial"/>
          <w:lang w:val="en-US"/>
        </w:rPr>
      </w:pPr>
      <w:r w:rsidRPr="00A24CE4">
        <w:rPr>
          <w:rFonts w:ascii="Arial" w:hAnsi="Arial" w:cs="Arial"/>
          <w:lang w:val="en-US"/>
        </w:rPr>
        <w:lastRenderedPageBreak/>
        <w:t>The Bristol case exposed weaknesses in these mechanisms. Poor outcomes were not sufficiently recognised, investigated or acted upon, allowing unacceptable performance to persist</w:t>
      </w:r>
      <w:r w:rsidR="00C61096">
        <w:rPr>
          <w:rFonts w:ascii="Arial" w:hAnsi="Arial" w:cs="Arial"/>
          <w:lang w:val="en-US"/>
        </w:rPr>
        <w:t xml:space="preserve"> </w:t>
      </w:r>
      <w:r w:rsidR="00C61096" w:rsidRPr="00A24CE4">
        <w:rPr>
          <w:rFonts w:ascii="Arial" w:hAnsi="Arial" w:cs="Arial"/>
          <w:lang w:val="en-US"/>
        </w:rPr>
        <w:t>(Jabeen et al., 2024)</w:t>
      </w:r>
      <w:r w:rsidRPr="00A24CE4">
        <w:rPr>
          <w:rFonts w:ascii="Arial" w:hAnsi="Arial" w:cs="Arial"/>
          <w:lang w:val="en-US"/>
        </w:rPr>
        <w:t>. Clinical governance was also insufficiently developed to ensure that concerns about clinical performance resulted in organisational action</w:t>
      </w:r>
      <w:r w:rsidR="00C61096">
        <w:rPr>
          <w:rFonts w:ascii="Arial" w:hAnsi="Arial" w:cs="Arial"/>
          <w:lang w:val="en-US"/>
        </w:rPr>
        <w:t xml:space="preserve"> </w:t>
      </w:r>
      <w:r w:rsidR="00C61096" w:rsidRPr="00A24CE4">
        <w:rPr>
          <w:rFonts w:ascii="Arial" w:hAnsi="Arial" w:cs="Arial"/>
          <w:lang w:val="en-US"/>
        </w:rPr>
        <w:t>(Enahoro et al., 2024)</w:t>
      </w:r>
      <w:r w:rsidRPr="00A24CE4">
        <w:rPr>
          <w:rFonts w:ascii="Arial" w:hAnsi="Arial" w:cs="Arial"/>
          <w:lang w:val="en-US"/>
        </w:rPr>
        <w:t>. Effective clinical governance should establish clear accountability for quality, support evidence-based practice, encourage learning and ensure that clinical services are continuously evaluated (Jabeen et al., 2024).</w:t>
      </w:r>
    </w:p>
    <w:p w14:paraId="2190E57E" w14:textId="77777777" w:rsidR="00104018" w:rsidRPr="00A24CE4" w:rsidRDefault="00104018" w:rsidP="00A24CE4">
      <w:pPr>
        <w:pStyle w:val="Heading2"/>
      </w:pPr>
      <w:bookmarkStart w:id="3" w:name="_Toc237083436"/>
      <w:r w:rsidRPr="00A24CE4">
        <w:t>1.3 Purpose and Scope of the Report</w:t>
      </w:r>
      <w:bookmarkEnd w:id="3"/>
    </w:p>
    <w:p w14:paraId="4EC0D349" w14:textId="77777777" w:rsidR="00104018" w:rsidRPr="00A24CE4" w:rsidRDefault="00104018" w:rsidP="00A24CE4">
      <w:pPr>
        <w:spacing w:line="360" w:lineRule="auto"/>
        <w:jc w:val="both"/>
        <w:rPr>
          <w:rFonts w:ascii="Arial" w:hAnsi="Arial" w:cs="Arial"/>
          <w:lang w:val="en-US"/>
        </w:rPr>
      </w:pPr>
      <w:r w:rsidRPr="00A24CE4">
        <w:rPr>
          <w:rFonts w:ascii="Arial" w:hAnsi="Arial" w:cs="Arial"/>
          <w:lang w:val="en-US"/>
        </w:rPr>
        <w:t>The Bristol Royal Infirmary Inquiry is therefore relevant to contemporary healthcare because it demonstrates that patient safety is dependent on more than technical clinical competence. Safe care requires effective systems for identifying risks, analysing performance and implementing corrective interventions. The purpose of this report is to critically analyse the quality failures associated with the Bristol case and examine how established quality improvement frameworks can explain the causes and consequences of these failures.</w:t>
      </w:r>
    </w:p>
    <w:p w14:paraId="1B296E1A" w14:textId="1179D7D7" w:rsidR="00104018" w:rsidRPr="00A24CE4" w:rsidRDefault="00104018" w:rsidP="00A24CE4">
      <w:pPr>
        <w:spacing w:line="360" w:lineRule="auto"/>
        <w:jc w:val="both"/>
        <w:rPr>
          <w:rFonts w:ascii="Arial" w:hAnsi="Arial" w:cs="Arial"/>
          <w:lang w:val="en-US"/>
        </w:rPr>
      </w:pPr>
      <w:r w:rsidRPr="00A24CE4">
        <w:rPr>
          <w:rFonts w:ascii="Arial" w:hAnsi="Arial" w:cs="Arial"/>
          <w:lang w:val="en-US"/>
        </w:rPr>
        <w:t>The report applies the Swiss Cheese Model, Root Cause Analysis, Fishbone Diagram, Donabedian Model and SWOT analysis to provide different perspectives on the quality problem. These approaches are used critically rather than descriptively, allowing consideration of how structural weaknesses, processes, organisational culture and governance interacted to produce poor outcomes. The report subsequently develops evidence-based recommendations using the Six Sigma DMAIC model to demonstrate how healthcare organisations could establish more reliable quality assurance and continuous improvement systems.</w:t>
      </w:r>
    </w:p>
    <w:p w14:paraId="1F719E22" w14:textId="77777777" w:rsidR="00104018" w:rsidRPr="00A24CE4" w:rsidRDefault="00104018" w:rsidP="00A24CE4">
      <w:pPr>
        <w:pStyle w:val="Heading1"/>
        <w:rPr>
          <w:lang w:val="en-US"/>
        </w:rPr>
      </w:pPr>
      <w:bookmarkStart w:id="4" w:name="_Toc237083437"/>
      <w:r w:rsidRPr="00A24CE4">
        <w:rPr>
          <w:lang w:val="en-US"/>
        </w:rPr>
        <w:t>2. Main Body</w:t>
      </w:r>
      <w:bookmarkEnd w:id="4"/>
    </w:p>
    <w:p w14:paraId="64CA2240" w14:textId="77777777" w:rsidR="00104018" w:rsidRPr="00A24CE4" w:rsidRDefault="00104018" w:rsidP="00A24CE4">
      <w:pPr>
        <w:pStyle w:val="Heading2"/>
      </w:pPr>
      <w:bookmarkStart w:id="5" w:name="_Toc237083438"/>
      <w:r w:rsidRPr="00A24CE4">
        <w:t>2.1 Nature of the Quality Management Failure</w:t>
      </w:r>
      <w:bookmarkEnd w:id="5"/>
    </w:p>
    <w:p w14:paraId="3990DA13" w14:textId="0DCD7B42" w:rsidR="00104018" w:rsidRPr="00A24CE4" w:rsidRDefault="00104018" w:rsidP="00A24CE4">
      <w:pPr>
        <w:spacing w:line="360" w:lineRule="auto"/>
        <w:jc w:val="both"/>
        <w:rPr>
          <w:rFonts w:ascii="Arial" w:hAnsi="Arial" w:cs="Arial"/>
          <w:lang w:val="en-US"/>
        </w:rPr>
      </w:pPr>
      <w:r w:rsidRPr="00A24CE4">
        <w:rPr>
          <w:rFonts w:ascii="Arial" w:hAnsi="Arial" w:cs="Arial"/>
          <w:lang w:val="en-US"/>
        </w:rPr>
        <w:t xml:space="preserve">The central quality management failure at Bristol Royal Infirmary was not only the high mortality among children undergoing cardiac surgery but also the inability of the healthcare system to recognise, investigate and respond effectively to evidence of </w:t>
      </w:r>
      <w:r w:rsidRPr="00A24CE4">
        <w:rPr>
          <w:rFonts w:ascii="Arial" w:hAnsi="Arial" w:cs="Arial"/>
          <w:lang w:val="en-US"/>
        </w:rPr>
        <w:lastRenderedPageBreak/>
        <w:t xml:space="preserve">poor performance. Between 1984 and 1995, mortality rates were substantially higher than those reported by comparable specialist </w:t>
      </w:r>
      <w:r w:rsidR="00A814C6" w:rsidRPr="00A24CE4">
        <w:rPr>
          <w:rFonts w:ascii="Arial" w:hAnsi="Arial" w:cs="Arial"/>
          <w:lang w:val="en-US"/>
        </w:rPr>
        <w:t>centers</w:t>
      </w:r>
      <w:r w:rsidRPr="00A24CE4">
        <w:rPr>
          <w:rFonts w:ascii="Arial" w:hAnsi="Arial" w:cs="Arial"/>
          <w:lang w:val="en-US"/>
        </w:rPr>
        <w:t xml:space="preserve"> (Drury et al., 2018). Weak clinical audit and inadequate benchmarking prevented timely identification of this unacceptable variation, allowing poor outcomes to persist (Huang et al., 2025). Effective quality assurance should have enabled systematic monitoring of outcomes against established standards and supported early corrective action. The case also demonstrated weaknesses in clinical governance, which reduced organisational accountability for maintaining safe and effective care (Jabeen et al., 2024). Consequently, ineffective leadership and insufficient performance monitoring contributed to delayed recognition of risks and prolonged deficiencies in </w:t>
      </w:r>
      <w:r w:rsidR="00A814C6" w:rsidRPr="00A24CE4">
        <w:rPr>
          <w:rFonts w:ascii="Arial" w:hAnsi="Arial" w:cs="Arial"/>
          <w:lang w:val="en-US"/>
        </w:rPr>
        <w:t>pediatric</w:t>
      </w:r>
      <w:r w:rsidRPr="00A24CE4">
        <w:rPr>
          <w:rFonts w:ascii="Arial" w:hAnsi="Arial" w:cs="Arial"/>
          <w:lang w:val="en-US"/>
        </w:rPr>
        <w:t xml:space="preserve"> cardiac services.</w:t>
      </w:r>
    </w:p>
    <w:p w14:paraId="57F1A37F" w14:textId="77777777" w:rsidR="00104018" w:rsidRPr="00A24CE4" w:rsidRDefault="00104018" w:rsidP="00A24CE4">
      <w:pPr>
        <w:pStyle w:val="Heading2"/>
      </w:pPr>
      <w:bookmarkStart w:id="6" w:name="_Toc237083439"/>
      <w:r w:rsidRPr="00A24CE4">
        <w:t>2.2 Critical Application of the Swiss Cheese Model</w:t>
      </w:r>
      <w:bookmarkEnd w:id="6"/>
    </w:p>
    <w:p w14:paraId="6C1A1CA5" w14:textId="0F863208" w:rsidR="00104018" w:rsidRPr="00A24CE4" w:rsidRDefault="00104018" w:rsidP="00A24CE4">
      <w:pPr>
        <w:spacing w:line="360" w:lineRule="auto"/>
        <w:jc w:val="both"/>
        <w:rPr>
          <w:rFonts w:ascii="Arial" w:hAnsi="Arial" w:cs="Arial"/>
          <w:lang w:val="en-US"/>
        </w:rPr>
      </w:pPr>
      <w:r w:rsidRPr="00A24CE4">
        <w:rPr>
          <w:rFonts w:ascii="Arial" w:hAnsi="Arial" w:cs="Arial"/>
          <w:lang w:val="en-US"/>
        </w:rPr>
        <w:t>Reason's Swiss Cheese Model provides a useful theoretical explanation because it conceptualises adverse events as the result of weaknesses across multiple defensive layers rather than a single failure (Lazányi, 2025). The model is particularly relevant to Bristol because several organisational barriers that should have protected patients were simultaneously ineffective</w:t>
      </w:r>
      <w:r w:rsidR="00E67361">
        <w:rPr>
          <w:rFonts w:ascii="Arial" w:hAnsi="Arial" w:cs="Arial"/>
          <w:lang w:val="en-US"/>
        </w:rPr>
        <w:t xml:space="preserve"> (</w:t>
      </w:r>
      <w:r w:rsidR="00E67361" w:rsidRPr="00E67361">
        <w:rPr>
          <w:rFonts w:ascii="Arial" w:hAnsi="Arial" w:cs="Arial"/>
        </w:rPr>
        <w:t>Buist</w:t>
      </w:r>
      <w:r w:rsidR="00E67361">
        <w:rPr>
          <w:rFonts w:ascii="Arial" w:hAnsi="Arial" w:cs="Arial"/>
        </w:rPr>
        <w:t>, 2018)</w:t>
      </w:r>
      <w:r w:rsidRPr="00A24CE4">
        <w:rPr>
          <w:rFonts w:ascii="Arial" w:hAnsi="Arial" w:cs="Arial"/>
          <w:lang w:val="en-US"/>
        </w:rPr>
        <w:t>.</w:t>
      </w:r>
    </w:p>
    <w:p w14:paraId="40C9DA28" w14:textId="314557DC" w:rsidR="00104018" w:rsidRPr="00A24CE4" w:rsidRDefault="00104018" w:rsidP="00A24CE4">
      <w:pPr>
        <w:spacing w:line="360" w:lineRule="auto"/>
        <w:jc w:val="both"/>
        <w:rPr>
          <w:rFonts w:ascii="Arial" w:hAnsi="Arial" w:cs="Arial"/>
          <w:lang w:val="en-US"/>
        </w:rPr>
      </w:pPr>
      <w:r w:rsidRPr="00A24CE4">
        <w:rPr>
          <w:rFonts w:ascii="Arial" w:hAnsi="Arial" w:cs="Arial"/>
          <w:lang w:val="en-US"/>
        </w:rPr>
        <w:t>The first weakness concerned leadership. Leaders did not sufficiently respond to evidence indicating that surgical performance required scrutiny</w:t>
      </w:r>
      <w:r w:rsidR="00886136">
        <w:rPr>
          <w:rFonts w:ascii="Arial" w:hAnsi="Arial" w:cs="Arial"/>
          <w:lang w:val="en-US"/>
        </w:rPr>
        <w:t xml:space="preserve"> </w:t>
      </w:r>
      <w:r w:rsidR="00886136" w:rsidRPr="00A24CE4">
        <w:rPr>
          <w:rFonts w:ascii="Arial" w:hAnsi="Arial" w:cs="Arial"/>
          <w:lang w:val="en-US"/>
        </w:rPr>
        <w:t>(Hignett et al., 2018)</w:t>
      </w:r>
      <w:r w:rsidRPr="00A24CE4">
        <w:rPr>
          <w:rFonts w:ascii="Arial" w:hAnsi="Arial" w:cs="Arial"/>
          <w:lang w:val="en-US"/>
        </w:rPr>
        <w:t>. The second involved clinical governance, where performance monitoring and accountability mechanisms were inadequate</w:t>
      </w:r>
      <w:r w:rsidR="00886136">
        <w:rPr>
          <w:rFonts w:ascii="Arial" w:hAnsi="Arial" w:cs="Arial"/>
          <w:lang w:val="en-US"/>
        </w:rPr>
        <w:t xml:space="preserve"> (</w:t>
      </w:r>
      <w:r w:rsidR="00886136" w:rsidRPr="00E67361">
        <w:rPr>
          <w:rFonts w:ascii="Arial" w:hAnsi="Arial" w:cs="Arial"/>
        </w:rPr>
        <w:t>Buist</w:t>
      </w:r>
      <w:r w:rsidR="00886136">
        <w:rPr>
          <w:rFonts w:ascii="Arial" w:hAnsi="Arial" w:cs="Arial"/>
        </w:rPr>
        <w:t>, 2018)</w:t>
      </w:r>
      <w:r w:rsidRPr="00A24CE4">
        <w:rPr>
          <w:rFonts w:ascii="Arial" w:hAnsi="Arial" w:cs="Arial"/>
          <w:lang w:val="en-US"/>
        </w:rPr>
        <w:t>. The third related to communication, as concerns were not consistently converted into effective organisational action. The fourth involved external oversight, which did not provide sufficiently strong pressure for timely improvement (Hignett et al., 2018).</w:t>
      </w:r>
    </w:p>
    <w:p w14:paraId="1AC2FFE2" w14:textId="2A870DEE" w:rsidR="00104018" w:rsidRPr="00A24CE4" w:rsidRDefault="00104018" w:rsidP="00A24CE4">
      <w:pPr>
        <w:spacing w:line="360" w:lineRule="auto"/>
        <w:jc w:val="both"/>
        <w:rPr>
          <w:rFonts w:ascii="Arial" w:hAnsi="Arial" w:cs="Arial"/>
          <w:lang w:val="en-US"/>
        </w:rPr>
      </w:pPr>
      <w:r w:rsidRPr="00A24CE4">
        <w:rPr>
          <w:rFonts w:ascii="Arial" w:hAnsi="Arial" w:cs="Arial"/>
          <w:lang w:val="en-US"/>
        </w:rPr>
        <w:t>The strength of the Swiss Cheese Model is that it prevents an overly narrow focus on individual clinicians. It demonstrates that even highly skilled professionals operate within systems that influence decision-making and safety</w:t>
      </w:r>
      <w:r w:rsidR="00886136">
        <w:rPr>
          <w:rFonts w:ascii="Arial" w:hAnsi="Arial" w:cs="Arial"/>
          <w:lang w:val="en-US"/>
        </w:rPr>
        <w:t xml:space="preserve"> </w:t>
      </w:r>
      <w:r w:rsidR="00886136" w:rsidRPr="00A24CE4">
        <w:rPr>
          <w:rFonts w:ascii="Arial" w:hAnsi="Arial" w:cs="Arial"/>
          <w:lang w:val="en-US"/>
        </w:rPr>
        <w:t>(Lazányi, 2025)</w:t>
      </w:r>
      <w:r w:rsidRPr="00A24CE4">
        <w:rPr>
          <w:rFonts w:ascii="Arial" w:hAnsi="Arial" w:cs="Arial"/>
          <w:lang w:val="en-US"/>
        </w:rPr>
        <w:t>. However, the model has a limitation: it can provide a broad representation of interacting failures without necessarily identifying the precise organisational mechanism that should be changed</w:t>
      </w:r>
      <w:r w:rsidR="00886136">
        <w:rPr>
          <w:rFonts w:ascii="Arial" w:hAnsi="Arial" w:cs="Arial"/>
          <w:lang w:val="en-US"/>
        </w:rPr>
        <w:t xml:space="preserve"> (</w:t>
      </w:r>
      <w:r w:rsidR="00886136" w:rsidRPr="00E67361">
        <w:rPr>
          <w:rFonts w:ascii="Arial" w:hAnsi="Arial" w:cs="Arial"/>
        </w:rPr>
        <w:t>Buist</w:t>
      </w:r>
      <w:r w:rsidR="00886136">
        <w:rPr>
          <w:rFonts w:ascii="Arial" w:hAnsi="Arial" w:cs="Arial"/>
        </w:rPr>
        <w:t>, 2018)</w:t>
      </w:r>
      <w:r w:rsidRPr="00A24CE4">
        <w:rPr>
          <w:rFonts w:ascii="Arial" w:hAnsi="Arial" w:cs="Arial"/>
          <w:lang w:val="en-US"/>
        </w:rPr>
        <w:t>.</w:t>
      </w:r>
    </w:p>
    <w:p w14:paraId="45DF424A" w14:textId="77777777" w:rsidR="00104018" w:rsidRPr="00A24CE4" w:rsidRDefault="00104018" w:rsidP="00A24CE4">
      <w:pPr>
        <w:pStyle w:val="Heading2"/>
      </w:pPr>
      <w:bookmarkStart w:id="7" w:name="_Toc237083440"/>
      <w:r w:rsidRPr="00A24CE4">
        <w:lastRenderedPageBreak/>
        <w:t>2.3 Root Cause Analysis</w:t>
      </w:r>
      <w:bookmarkEnd w:id="7"/>
    </w:p>
    <w:p w14:paraId="6CBCB17E" w14:textId="111B19BC" w:rsidR="00104018" w:rsidRPr="00A24CE4" w:rsidRDefault="00104018" w:rsidP="00A24CE4">
      <w:pPr>
        <w:spacing w:line="360" w:lineRule="auto"/>
        <w:jc w:val="both"/>
        <w:rPr>
          <w:rFonts w:ascii="Arial" w:hAnsi="Arial" w:cs="Arial"/>
          <w:b/>
          <w:bCs/>
        </w:rPr>
      </w:pPr>
      <w:r w:rsidRPr="00A24CE4">
        <w:rPr>
          <w:rFonts w:ascii="Arial" w:hAnsi="Arial" w:cs="Arial"/>
        </w:rPr>
        <w:t>Root Cause Analysis (RCA) provides a systematic approach to identifying why quality failures occur and why existing controls fail to prevent harm</w:t>
      </w:r>
      <w:r w:rsidR="00BA1852">
        <w:rPr>
          <w:rFonts w:ascii="Arial" w:hAnsi="Arial" w:cs="Arial"/>
        </w:rPr>
        <w:t xml:space="preserve"> (</w:t>
      </w:r>
      <w:r w:rsidR="00BA1852" w:rsidRPr="00A24CE4">
        <w:rPr>
          <w:rFonts w:ascii="Arial" w:hAnsi="Arial" w:cs="Arial"/>
        </w:rPr>
        <w:t>Kellogg et al., 2017)</w:t>
      </w:r>
      <w:r w:rsidR="008C1BCC">
        <w:rPr>
          <w:rFonts w:ascii="Arial" w:hAnsi="Arial" w:cs="Arial"/>
        </w:rPr>
        <w:t>.</w:t>
      </w:r>
      <w:r w:rsidRPr="00A24CE4">
        <w:rPr>
          <w:rFonts w:ascii="Arial" w:hAnsi="Arial" w:cs="Arial"/>
        </w:rPr>
        <w:t xml:space="preserve"> In the Bristol case, inadequate quality monitoring was a major underlying cause, as insufficient collection, analysis and benchmarking of mortality data delayed recognition of poor performance</w:t>
      </w:r>
      <w:r w:rsidR="00430A24">
        <w:rPr>
          <w:rFonts w:ascii="Arial" w:hAnsi="Arial" w:cs="Arial"/>
        </w:rPr>
        <w:t xml:space="preserve"> (</w:t>
      </w:r>
      <w:r w:rsidR="00430A24" w:rsidRPr="00430A24">
        <w:rPr>
          <w:rFonts w:ascii="Arial" w:hAnsi="Arial" w:cs="Arial"/>
        </w:rPr>
        <w:t>Healy</w:t>
      </w:r>
      <w:r w:rsidR="00430A24">
        <w:rPr>
          <w:rFonts w:ascii="Arial" w:hAnsi="Arial" w:cs="Arial"/>
        </w:rPr>
        <w:t>, 2016)</w:t>
      </w:r>
      <w:r w:rsidRPr="00A24CE4">
        <w:rPr>
          <w:rFonts w:ascii="Arial" w:hAnsi="Arial" w:cs="Arial"/>
        </w:rPr>
        <w:t>. Weak accountability further contributed because responsibilities for monitoring and responding to concerns were not sufficiently clear</w:t>
      </w:r>
      <w:r w:rsidR="00EF47B0">
        <w:rPr>
          <w:rFonts w:ascii="Arial" w:hAnsi="Arial" w:cs="Arial"/>
        </w:rPr>
        <w:t xml:space="preserve"> (</w:t>
      </w:r>
      <w:r w:rsidR="00EF47B0" w:rsidRPr="00430A24">
        <w:rPr>
          <w:rFonts w:ascii="Arial" w:hAnsi="Arial" w:cs="Arial"/>
        </w:rPr>
        <w:t>Healy</w:t>
      </w:r>
      <w:r w:rsidR="00EF47B0">
        <w:rPr>
          <w:rFonts w:ascii="Arial" w:hAnsi="Arial" w:cs="Arial"/>
        </w:rPr>
        <w:t>, 2016)</w:t>
      </w:r>
      <w:r w:rsidRPr="00A24CE4">
        <w:rPr>
          <w:rFonts w:ascii="Arial" w:hAnsi="Arial" w:cs="Arial"/>
        </w:rPr>
        <w:t>. Organisational culture also influenced the persistence of unsafe practices, particularly where professional concerns were not adequately encouraged or acted upon. Leadership, communication and accountability are therefore essential for preventing prolonged quality failures (Kellogg et al., 2017). RCA is valuable because it shifts attention from individual blame towards underlying system weaknesses. However, its effectiveness depends on translating identified causes into measurable and sustainable improvement actions.</w:t>
      </w:r>
    </w:p>
    <w:p w14:paraId="732FBC20" w14:textId="5A0AD5E6" w:rsidR="00104018" w:rsidRPr="00A24CE4" w:rsidRDefault="00104018" w:rsidP="00A24CE4">
      <w:pPr>
        <w:pStyle w:val="Heading2"/>
      </w:pPr>
      <w:bookmarkStart w:id="8" w:name="_Toc237083441"/>
      <w:r w:rsidRPr="00A24CE4">
        <w:t>2.4 Fishbone Diagram Analysis</w:t>
      </w:r>
      <w:bookmarkEnd w:id="8"/>
    </w:p>
    <w:p w14:paraId="095105C6" w14:textId="77777777" w:rsidR="00104018" w:rsidRPr="00A24CE4" w:rsidRDefault="00104018" w:rsidP="00A24CE4">
      <w:pPr>
        <w:spacing w:line="360" w:lineRule="auto"/>
        <w:jc w:val="both"/>
        <w:rPr>
          <w:rFonts w:ascii="Arial" w:hAnsi="Arial" w:cs="Arial"/>
          <w:lang w:val="en-US"/>
        </w:rPr>
      </w:pPr>
      <w:r w:rsidRPr="00A24CE4">
        <w:rPr>
          <w:rFonts w:ascii="Arial" w:hAnsi="Arial" w:cs="Arial"/>
          <w:lang w:val="en-US"/>
        </w:rPr>
        <w:t>The Fishbone Diagram provides a complementary framework for organising the multiple contributing causes identified in the Bristol case.</w:t>
      </w:r>
    </w:p>
    <w:p w14:paraId="04573102" w14:textId="62FA583C" w:rsidR="00104018" w:rsidRPr="00A24CE4" w:rsidRDefault="00104018" w:rsidP="00A24CE4">
      <w:pPr>
        <w:spacing w:line="360" w:lineRule="auto"/>
        <w:jc w:val="both"/>
        <w:rPr>
          <w:rFonts w:ascii="Arial" w:hAnsi="Arial" w:cs="Arial"/>
          <w:lang w:val="en-US"/>
        </w:rPr>
      </w:pPr>
      <w:r w:rsidRPr="00A24CE4">
        <w:rPr>
          <w:rFonts w:ascii="Arial" w:hAnsi="Arial" w:cs="Arial"/>
          <w:b/>
          <w:bCs/>
          <w:lang w:val="en-US"/>
        </w:rPr>
        <w:t>People:</w:t>
      </w:r>
      <w:r w:rsidRPr="00A24CE4">
        <w:rPr>
          <w:rFonts w:ascii="Arial" w:hAnsi="Arial" w:cs="Arial"/>
          <w:lang w:val="en-US"/>
        </w:rPr>
        <w:t xml:space="preserve"> Deficiencies in specialist expertise, teamwork and communication affected the reliability of </w:t>
      </w:r>
      <w:r w:rsidR="00A814C6">
        <w:rPr>
          <w:rFonts w:ascii="Arial" w:hAnsi="Arial" w:cs="Arial"/>
          <w:lang w:val="en-US"/>
        </w:rPr>
        <w:t>paediatric</w:t>
      </w:r>
      <w:r w:rsidRPr="00A24CE4">
        <w:rPr>
          <w:rFonts w:ascii="Arial" w:hAnsi="Arial" w:cs="Arial"/>
          <w:lang w:val="en-US"/>
        </w:rPr>
        <w:t xml:space="preserve"> cardiac services. Complex </w:t>
      </w:r>
      <w:r w:rsidR="00A814C6">
        <w:rPr>
          <w:rFonts w:ascii="Arial" w:hAnsi="Arial" w:cs="Arial"/>
          <w:lang w:val="en-US"/>
        </w:rPr>
        <w:t>pediatric</w:t>
      </w:r>
      <w:r w:rsidRPr="00A24CE4">
        <w:rPr>
          <w:rFonts w:ascii="Arial" w:hAnsi="Arial" w:cs="Arial"/>
          <w:lang w:val="en-US"/>
        </w:rPr>
        <w:t xml:space="preserve"> cardiac surgery requires multidisciplinary collaboration, and weaknesses in communication can increase the risk of poor clinical decision-making (Loredana, 2017).</w:t>
      </w:r>
    </w:p>
    <w:p w14:paraId="1FFFD66C" w14:textId="77777777" w:rsidR="00104018" w:rsidRPr="00A24CE4" w:rsidRDefault="00104018" w:rsidP="00A24CE4">
      <w:pPr>
        <w:spacing w:line="360" w:lineRule="auto"/>
        <w:jc w:val="both"/>
        <w:rPr>
          <w:rFonts w:ascii="Arial" w:hAnsi="Arial" w:cs="Arial"/>
          <w:lang w:val="en-US"/>
        </w:rPr>
      </w:pPr>
      <w:r w:rsidRPr="00A24CE4">
        <w:rPr>
          <w:rFonts w:ascii="Arial" w:hAnsi="Arial" w:cs="Arial"/>
          <w:b/>
          <w:bCs/>
          <w:lang w:val="en-US"/>
        </w:rPr>
        <w:t>Leadership:</w:t>
      </w:r>
      <w:r w:rsidRPr="00A24CE4">
        <w:rPr>
          <w:rFonts w:ascii="Arial" w:hAnsi="Arial" w:cs="Arial"/>
          <w:lang w:val="en-US"/>
        </w:rPr>
        <w:t xml:space="preserve"> Leadership weaknesses limited the organisation's ability to recognise deteriorating performance and respond decisively to professional concerns. Effective leadership should establish clear quality priorities and create accountability for clinical outcomes (Tagaram and Chen, 2024).</w:t>
      </w:r>
    </w:p>
    <w:p w14:paraId="34D1A5A8" w14:textId="6621FF46" w:rsidR="00104018" w:rsidRPr="00A24CE4" w:rsidRDefault="00104018" w:rsidP="00A24CE4">
      <w:pPr>
        <w:spacing w:line="360" w:lineRule="auto"/>
        <w:jc w:val="both"/>
        <w:rPr>
          <w:rFonts w:ascii="Arial" w:hAnsi="Arial" w:cs="Arial"/>
          <w:lang w:val="en-US"/>
        </w:rPr>
      </w:pPr>
      <w:r w:rsidRPr="00A24CE4">
        <w:rPr>
          <w:rFonts w:ascii="Arial" w:hAnsi="Arial" w:cs="Arial"/>
          <w:b/>
          <w:bCs/>
          <w:lang w:val="en-US"/>
        </w:rPr>
        <w:t>Process:</w:t>
      </w:r>
      <w:r w:rsidRPr="00A24CE4">
        <w:rPr>
          <w:rFonts w:ascii="Arial" w:hAnsi="Arial" w:cs="Arial"/>
          <w:lang w:val="en-US"/>
        </w:rPr>
        <w:t xml:space="preserve"> The absence of robust clinical audit, benchmarking and standardised quality monitoring represented a major process weakness. Without reliable processes for evaluating outcomes, organisational learning becomes dependent on individual awareness rather than systematic evidence</w:t>
      </w:r>
      <w:r w:rsidR="00B53A49">
        <w:rPr>
          <w:rFonts w:ascii="Arial" w:hAnsi="Arial" w:cs="Arial"/>
          <w:lang w:val="en-US"/>
        </w:rPr>
        <w:t xml:space="preserve"> (</w:t>
      </w:r>
      <w:r w:rsidR="00B53A49" w:rsidRPr="00B53A49">
        <w:rPr>
          <w:rFonts w:ascii="Arial" w:hAnsi="Arial" w:cs="Arial"/>
        </w:rPr>
        <w:t>Govindarajan</w:t>
      </w:r>
      <w:r w:rsidR="00B53A49">
        <w:rPr>
          <w:rFonts w:ascii="Arial" w:hAnsi="Arial" w:cs="Arial"/>
        </w:rPr>
        <w:t xml:space="preserve"> et al, 2019)</w:t>
      </w:r>
      <w:r w:rsidRPr="00A24CE4">
        <w:rPr>
          <w:rFonts w:ascii="Arial" w:hAnsi="Arial" w:cs="Arial"/>
          <w:lang w:val="en-US"/>
        </w:rPr>
        <w:t>.</w:t>
      </w:r>
    </w:p>
    <w:p w14:paraId="3796B4E8" w14:textId="77777777" w:rsidR="007B4F7B" w:rsidRDefault="007B4F7B" w:rsidP="00A24CE4">
      <w:pPr>
        <w:spacing w:line="360" w:lineRule="auto"/>
        <w:jc w:val="both"/>
        <w:rPr>
          <w:rFonts w:ascii="Arial" w:hAnsi="Arial" w:cs="Arial"/>
          <w:b/>
          <w:bCs/>
          <w:lang w:val="en-US"/>
        </w:rPr>
      </w:pPr>
    </w:p>
    <w:p w14:paraId="3D8E1906" w14:textId="783E1247" w:rsidR="007B4F7B" w:rsidRDefault="007B4F7B" w:rsidP="00A24CE4">
      <w:pPr>
        <w:spacing w:line="360" w:lineRule="auto"/>
        <w:jc w:val="both"/>
        <w:rPr>
          <w:rFonts w:ascii="Arial" w:hAnsi="Arial" w:cs="Arial"/>
          <w:b/>
          <w:bCs/>
          <w:lang w:val="en-US"/>
        </w:rPr>
      </w:pPr>
      <w:r w:rsidRPr="007B4F7B">
        <w:rPr>
          <w:rFonts w:ascii="Arial" w:hAnsi="Arial" w:cs="Arial"/>
          <w:b/>
          <w:bCs/>
          <w:noProof/>
        </w:rPr>
        <w:lastRenderedPageBreak/>
        <mc:AlternateContent>
          <mc:Choice Requires="wps">
            <w:drawing>
              <wp:anchor distT="0" distB="0" distL="114300" distR="114300" simplePos="0" relativeHeight="251659264" behindDoc="0" locked="0" layoutInCell="1" allowOverlap="1" wp14:anchorId="493CC6C6" wp14:editId="4E0504EE">
                <wp:simplePos x="0" y="0"/>
                <wp:positionH relativeFrom="margin">
                  <wp:posOffset>1057984</wp:posOffset>
                </wp:positionH>
                <wp:positionV relativeFrom="paragraph">
                  <wp:posOffset>2667121</wp:posOffset>
                </wp:positionV>
                <wp:extent cx="3251200" cy="219154"/>
                <wp:effectExtent l="0" t="0" r="0" b="0"/>
                <wp:wrapNone/>
                <wp:docPr id="3" name="TextBox 2">
                  <a:extLst xmlns:a="http://schemas.openxmlformats.org/drawingml/2006/main">
                    <a:ext uri="{FF2B5EF4-FFF2-40B4-BE49-F238E27FC236}">
                      <a16:creationId xmlns:a16="http://schemas.microsoft.com/office/drawing/2014/main" id="{9A770048-3FB1-3E71-3B45-8E208668504E}"/>
                    </a:ext>
                  </a:extLst>
                </wp:docPr>
                <wp:cNvGraphicFramePr/>
                <a:graphic xmlns:a="http://schemas.openxmlformats.org/drawingml/2006/main">
                  <a:graphicData uri="http://schemas.microsoft.com/office/word/2010/wordprocessingShape">
                    <wps:wsp>
                      <wps:cNvSpPr txBox="1"/>
                      <wps:spPr>
                        <a:xfrm>
                          <a:off x="0" y="0"/>
                          <a:ext cx="3251200" cy="219154"/>
                        </a:xfrm>
                        <a:prstGeom prst="rect">
                          <a:avLst/>
                        </a:prstGeom>
                        <a:noFill/>
                      </wps:spPr>
                      <wps:txbx>
                        <w:txbxContent>
                          <w:p w14:paraId="5AFB5D53" w14:textId="77777777" w:rsidR="007B4F7B" w:rsidRPr="007B4F7B" w:rsidRDefault="007B4F7B" w:rsidP="007B4F7B">
                            <w:pPr>
                              <w:jc w:val="center"/>
                              <w:rPr>
                                <w:rFonts w:hAnsi="Aptos"/>
                                <w:color w:val="000000" w:themeColor="text1"/>
                                <w:kern w:val="24"/>
                                <w:sz w:val="20"/>
                                <w:szCs w:val="20"/>
                                <w14:ligatures w14:val="none"/>
                              </w:rPr>
                            </w:pPr>
                            <w:r w:rsidRPr="007B4F7B">
                              <w:rPr>
                                <w:rFonts w:hAnsi="Aptos"/>
                                <w:color w:val="000000" w:themeColor="text1"/>
                                <w:kern w:val="24"/>
                                <w:sz w:val="20"/>
                                <w:szCs w:val="20"/>
                              </w:rPr>
                              <w:t>(HKMLC, 2026)</w:t>
                            </w:r>
                          </w:p>
                        </w:txbxContent>
                      </wps:txbx>
                      <wps:bodyPr wrap="square" rtlCol="0">
                        <a:noAutofit/>
                      </wps:bodyPr>
                    </wps:wsp>
                  </a:graphicData>
                </a:graphic>
                <wp14:sizeRelV relativeFrom="margin">
                  <wp14:pctHeight>0</wp14:pctHeight>
                </wp14:sizeRelV>
              </wp:anchor>
            </w:drawing>
          </mc:Choice>
          <mc:Fallback>
            <w:pict>
              <v:shapetype w14:anchorId="493CC6C6" id="_x0000_t202" coordsize="21600,21600" o:spt="202" path="m,l,21600r21600,l21600,xe">
                <v:stroke joinstyle="miter"/>
                <v:path gradientshapeok="t" o:connecttype="rect"/>
              </v:shapetype>
              <v:shape id="TextBox 2" o:spid="_x0000_s1026" type="#_x0000_t202" style="position:absolute;left:0;text-align:left;margin-left:83.3pt;margin-top:210pt;width:256pt;height:17.2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" filled="f" stroked="f">
                <v:textbox>
                  <w:txbxContent>
                    <w:p w14:paraId="5AFB5D53" w14:textId="77777777" w:rsidR="007B4F7B" w:rsidRPr="007B4F7B" w:rsidRDefault="007B4F7B" w:rsidP="007B4F7B">
                      <w:pPr>
                        <w:jc w:val="center"/>
                        <w:rPr>
                          <w:rFonts w:hAnsi="Aptos"/>
                          <w:color w:val="000000" w:themeColor="text1"/>
                          <w:kern w:val="24"/>
                          <w:sz w:val="20"/>
                          <w:szCs w:val="20"/>
                          <w14:ligatures w14:val="none"/>
                        </w:rPr>
                      </w:pPr>
                      <w:r w:rsidRPr="007B4F7B">
                        <w:rPr>
                          <w:rFonts w:hAnsi="Aptos"/>
                          <w:color w:val="000000" w:themeColor="text1"/>
                          <w:kern w:val="24"/>
                          <w:sz w:val="20"/>
                          <w:szCs w:val="20"/>
                        </w:rPr>
                        <w:t>(HKMLC, 2026)</w:t>
                      </w:r>
                    </w:p>
                  </w:txbxContent>
                </v:textbox>
                <w10:wrap anchorx="margin"/>
              </v:shape>
            </w:pict>
          </mc:Fallback>
        </mc:AlternateContent>
      </w:r>
      <w:r w:rsidRPr="007B4F7B">
        <w:rPr>
          <w:rFonts w:ascii="Arial" w:hAnsi="Arial" w:cs="Arial"/>
          <w:b/>
          <w:bCs/>
          <w:noProof/>
        </w:rPr>
        <w:drawing>
          <wp:inline distT="0" distB="0" distL="0" distR="0" wp14:anchorId="22E4867B" wp14:editId="38AD1BF5">
            <wp:extent cx="5731510" cy="2565400"/>
            <wp:effectExtent l="0" t="0" r="2540" b="6350"/>
            <wp:docPr id="4" name="Content Placeholder 3" descr="What is a Fishbone Diagram? A Guide to Problem-Solving – HKMLC Smart Board">
              <a:extLst xmlns:a="http://schemas.openxmlformats.org/drawingml/2006/main">
                <a:ext uri="{FF2B5EF4-FFF2-40B4-BE49-F238E27FC236}">
                  <a16:creationId xmlns:a16="http://schemas.microsoft.com/office/drawing/2014/main" id="{7B5A1855-485F-E4DC-94FC-39ED1F73A80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What is a Fishbone Diagram? A Guide to Problem-Solving – HKMLC Smart Board">
                      <a:extLst>
                        <a:ext uri="{FF2B5EF4-FFF2-40B4-BE49-F238E27FC236}">
                          <a16:creationId xmlns:a16="http://schemas.microsoft.com/office/drawing/2014/main" id="{7B5A1855-485F-E4DC-94FC-39ED1F73A80C}"/>
                        </a:ext>
                      </a:extLst>
                    </pic:cNvPr>
                    <pic:cNvPicPr>
                      <a:picLocks noGrp="1" noChangeAspect="1"/>
                    </pic:cNvPicPr>
                  </pic:nvPicPr>
                  <pic:blipFill>
                    <a:blip r:embed="rId8"/>
                    <a:stretch>
                      <a:fillRect/>
                    </a:stretch>
                  </pic:blipFill>
                  <pic:spPr>
                    <a:xfrm>
                      <a:off x="0" y="0"/>
                      <a:ext cx="5731510" cy="2565400"/>
                    </a:xfrm>
                    <a:prstGeom prst="rect">
                      <a:avLst/>
                    </a:prstGeom>
                  </pic:spPr>
                </pic:pic>
              </a:graphicData>
            </a:graphic>
          </wp:inline>
        </w:drawing>
      </w:r>
    </w:p>
    <w:p w14:paraId="298A4294" w14:textId="5419AE3C" w:rsidR="007B4F7B" w:rsidRDefault="007B4F7B" w:rsidP="00A24CE4">
      <w:pPr>
        <w:spacing w:line="360" w:lineRule="auto"/>
        <w:jc w:val="both"/>
        <w:rPr>
          <w:rFonts w:ascii="Arial" w:hAnsi="Arial" w:cs="Arial"/>
          <w:b/>
          <w:bCs/>
          <w:lang w:val="en-US"/>
        </w:rPr>
      </w:pPr>
    </w:p>
    <w:p w14:paraId="69CCEF40" w14:textId="2BA6EAE5" w:rsidR="00104018" w:rsidRPr="00A24CE4" w:rsidRDefault="00104018" w:rsidP="00A24CE4">
      <w:pPr>
        <w:spacing w:line="360" w:lineRule="auto"/>
        <w:jc w:val="both"/>
        <w:rPr>
          <w:rFonts w:ascii="Arial" w:hAnsi="Arial" w:cs="Arial"/>
          <w:lang w:val="en-US"/>
        </w:rPr>
      </w:pPr>
      <w:r w:rsidRPr="00A24CE4">
        <w:rPr>
          <w:rFonts w:ascii="Arial" w:hAnsi="Arial" w:cs="Arial"/>
          <w:b/>
          <w:bCs/>
          <w:lang w:val="en-US"/>
        </w:rPr>
        <w:t>Policy:</w:t>
      </w:r>
      <w:r w:rsidRPr="00A24CE4">
        <w:rPr>
          <w:rFonts w:ascii="Arial" w:hAnsi="Arial" w:cs="Arial"/>
          <w:lang w:val="en-US"/>
        </w:rPr>
        <w:t xml:space="preserve"> National systems of regulation and performance monitoring were insufficiently developed during the period examined by the inquiry. Weak external accountability reduced the pressure for organisations to identify and correct poor performance (McDonald, 2016).</w:t>
      </w:r>
    </w:p>
    <w:p w14:paraId="7603668E" w14:textId="17DDB84D" w:rsidR="00104018" w:rsidRPr="00A24CE4" w:rsidRDefault="00104018" w:rsidP="00A24CE4">
      <w:pPr>
        <w:spacing w:line="360" w:lineRule="auto"/>
        <w:jc w:val="both"/>
        <w:rPr>
          <w:rFonts w:ascii="Arial" w:hAnsi="Arial" w:cs="Arial"/>
          <w:lang w:val="en-US"/>
        </w:rPr>
      </w:pPr>
      <w:r w:rsidRPr="00A24CE4">
        <w:rPr>
          <w:rFonts w:ascii="Arial" w:hAnsi="Arial" w:cs="Arial"/>
          <w:b/>
          <w:bCs/>
          <w:lang w:val="en-US"/>
        </w:rPr>
        <w:t>Equipment and resources:</w:t>
      </w:r>
      <w:r w:rsidRPr="00A24CE4">
        <w:rPr>
          <w:rFonts w:ascii="Arial" w:hAnsi="Arial" w:cs="Arial"/>
          <w:lang w:val="en-US"/>
        </w:rPr>
        <w:t xml:space="preserve"> </w:t>
      </w:r>
      <w:r w:rsidR="00A814C6" w:rsidRPr="00A24CE4">
        <w:rPr>
          <w:rFonts w:ascii="Arial" w:hAnsi="Arial" w:cs="Arial"/>
          <w:lang w:val="en-US"/>
        </w:rPr>
        <w:t>Pediatric</w:t>
      </w:r>
      <w:r w:rsidRPr="00A24CE4">
        <w:rPr>
          <w:rFonts w:ascii="Arial" w:hAnsi="Arial" w:cs="Arial"/>
          <w:lang w:val="en-US"/>
        </w:rPr>
        <w:t xml:space="preserve"> cardiac surgery requires specialist resources, appropriate staffing and technical support. Resource limitations can reduce the capacity of services to maintain consistent standards, particularly when combined with weaknesses in governance</w:t>
      </w:r>
      <w:r w:rsidR="00E02657">
        <w:rPr>
          <w:rFonts w:ascii="Arial" w:hAnsi="Arial" w:cs="Arial"/>
          <w:lang w:val="en-US"/>
        </w:rPr>
        <w:t xml:space="preserve"> </w:t>
      </w:r>
      <w:r w:rsidR="00E02657" w:rsidRPr="00A24CE4">
        <w:rPr>
          <w:rFonts w:ascii="Arial" w:hAnsi="Arial" w:cs="Arial"/>
          <w:lang w:val="en-US"/>
        </w:rPr>
        <w:t>(Loredana, 2017)</w:t>
      </w:r>
      <w:r w:rsidRPr="00A24CE4">
        <w:rPr>
          <w:rFonts w:ascii="Arial" w:hAnsi="Arial" w:cs="Arial"/>
          <w:lang w:val="en-US"/>
        </w:rPr>
        <w:t>.</w:t>
      </w:r>
    </w:p>
    <w:p w14:paraId="7B823C89" w14:textId="77777777" w:rsidR="00104018" w:rsidRPr="00A24CE4" w:rsidRDefault="00104018" w:rsidP="00A24CE4">
      <w:pPr>
        <w:spacing w:line="360" w:lineRule="auto"/>
        <w:jc w:val="both"/>
        <w:rPr>
          <w:rFonts w:ascii="Arial" w:hAnsi="Arial" w:cs="Arial"/>
          <w:lang w:val="en-US"/>
        </w:rPr>
      </w:pPr>
      <w:r w:rsidRPr="00A24CE4">
        <w:rPr>
          <w:rFonts w:ascii="Arial" w:hAnsi="Arial" w:cs="Arial"/>
          <w:b/>
          <w:bCs/>
          <w:lang w:val="en-US"/>
        </w:rPr>
        <w:t>Environment:</w:t>
      </w:r>
      <w:r w:rsidRPr="00A24CE4">
        <w:rPr>
          <w:rFonts w:ascii="Arial" w:hAnsi="Arial" w:cs="Arial"/>
          <w:lang w:val="en-US"/>
        </w:rPr>
        <w:t xml:space="preserve"> Organisational culture influenced how concerns were communicated and challenged. A hierarchical environment can discourage professionals from questioning established practices or raising concerns about patient safety (Tagaram and Chen, 2024).</w:t>
      </w:r>
    </w:p>
    <w:p w14:paraId="4E5943C9" w14:textId="2D695F29" w:rsidR="00104018" w:rsidRPr="00A24CE4" w:rsidRDefault="00104018" w:rsidP="00A24CE4">
      <w:pPr>
        <w:spacing w:line="360" w:lineRule="auto"/>
        <w:jc w:val="both"/>
        <w:rPr>
          <w:rFonts w:ascii="Arial" w:hAnsi="Arial" w:cs="Arial"/>
          <w:lang w:val="en-US"/>
        </w:rPr>
      </w:pPr>
      <w:r w:rsidRPr="00A24CE4">
        <w:rPr>
          <w:rFonts w:ascii="Arial" w:hAnsi="Arial" w:cs="Arial"/>
          <w:lang w:val="en-US"/>
        </w:rPr>
        <w:t>The Fishbone Diagram is useful because it demonstrates that the Bristol failure was multidimensional</w:t>
      </w:r>
      <w:r w:rsidR="00E02657">
        <w:rPr>
          <w:rFonts w:ascii="Arial" w:hAnsi="Arial" w:cs="Arial"/>
          <w:lang w:val="en-US"/>
        </w:rPr>
        <w:t xml:space="preserve"> </w:t>
      </w:r>
      <w:r w:rsidR="00E02657" w:rsidRPr="00A24CE4">
        <w:rPr>
          <w:rFonts w:ascii="Arial" w:hAnsi="Arial" w:cs="Arial"/>
          <w:lang w:val="en-US"/>
        </w:rPr>
        <w:t>(McDonald, 2016)</w:t>
      </w:r>
      <w:r w:rsidRPr="00A24CE4">
        <w:rPr>
          <w:rFonts w:ascii="Arial" w:hAnsi="Arial" w:cs="Arial"/>
          <w:lang w:val="en-US"/>
        </w:rPr>
        <w:t>. However, categorising causes does not establish their relative importance. Therefore, the tool should be supported by outcome data, audit findings and organisational evidence before priorities for intervention are established</w:t>
      </w:r>
      <w:r w:rsidR="00C215B8">
        <w:rPr>
          <w:rFonts w:ascii="Arial" w:hAnsi="Arial" w:cs="Arial"/>
          <w:lang w:val="en-US"/>
        </w:rPr>
        <w:t xml:space="preserve"> (</w:t>
      </w:r>
      <w:r w:rsidR="00C215B8" w:rsidRPr="00B53A49">
        <w:rPr>
          <w:rFonts w:ascii="Arial" w:hAnsi="Arial" w:cs="Arial"/>
        </w:rPr>
        <w:t>Govindarajan</w:t>
      </w:r>
      <w:r w:rsidR="00C215B8">
        <w:rPr>
          <w:rFonts w:ascii="Arial" w:hAnsi="Arial" w:cs="Arial"/>
        </w:rPr>
        <w:t xml:space="preserve"> et al, 2019)</w:t>
      </w:r>
      <w:r w:rsidRPr="00A24CE4">
        <w:rPr>
          <w:rFonts w:ascii="Arial" w:hAnsi="Arial" w:cs="Arial"/>
          <w:lang w:val="en-US"/>
        </w:rPr>
        <w:t>.</w:t>
      </w:r>
    </w:p>
    <w:p w14:paraId="518A6523" w14:textId="77777777" w:rsidR="00104018" w:rsidRPr="00A24CE4" w:rsidRDefault="00104018" w:rsidP="00C61096">
      <w:pPr>
        <w:pStyle w:val="Heading2"/>
      </w:pPr>
      <w:r w:rsidRPr="00A24CE4">
        <w:lastRenderedPageBreak/>
        <w:t>2.5 Donabedian Model</w:t>
      </w:r>
    </w:p>
    <w:p w14:paraId="4556D7DD" w14:textId="6ED0C965" w:rsidR="00104018" w:rsidRPr="00A24CE4" w:rsidRDefault="00104018" w:rsidP="00A24CE4">
      <w:pPr>
        <w:spacing w:line="360" w:lineRule="auto"/>
        <w:jc w:val="both"/>
        <w:rPr>
          <w:rFonts w:ascii="Arial" w:hAnsi="Arial" w:cs="Arial"/>
          <w:lang w:val="en-US"/>
        </w:rPr>
      </w:pPr>
      <w:r w:rsidRPr="00A24CE4">
        <w:rPr>
          <w:rFonts w:ascii="Arial" w:hAnsi="Arial" w:cs="Arial"/>
          <w:lang w:val="en-US"/>
        </w:rPr>
        <w:t xml:space="preserve">The Donabedian Model provides another valuable framework by separating healthcare quality into structure, process and outcome. Its application helps explain how organisational conditions </w:t>
      </w:r>
      <w:r w:rsidR="00C61096">
        <w:rPr>
          <w:rFonts w:ascii="Arial" w:hAnsi="Arial" w:cs="Arial"/>
          <w:lang w:val="en-US"/>
        </w:rPr>
        <w:t>translate</w:t>
      </w:r>
      <w:r w:rsidRPr="00A24CE4">
        <w:rPr>
          <w:rFonts w:ascii="Arial" w:hAnsi="Arial" w:cs="Arial"/>
          <w:lang w:val="en-US"/>
        </w:rPr>
        <w:t xml:space="preserve"> into poor clinical outcomes</w:t>
      </w:r>
      <w:r w:rsidR="00D103F1">
        <w:rPr>
          <w:rFonts w:ascii="Arial" w:hAnsi="Arial" w:cs="Arial"/>
          <w:lang w:val="en-US"/>
        </w:rPr>
        <w:t xml:space="preserve"> (</w:t>
      </w:r>
      <w:r w:rsidR="00D103F1" w:rsidRPr="00D103F1">
        <w:rPr>
          <w:rFonts w:ascii="Arial" w:hAnsi="Arial" w:cs="Arial"/>
        </w:rPr>
        <w:t>Santry</w:t>
      </w:r>
      <w:r w:rsidR="00D103F1">
        <w:rPr>
          <w:rFonts w:ascii="Arial" w:hAnsi="Arial" w:cs="Arial"/>
        </w:rPr>
        <w:t xml:space="preserve"> et al, 2020)</w:t>
      </w:r>
      <w:r w:rsidRPr="00A24CE4">
        <w:rPr>
          <w:rFonts w:ascii="Arial" w:hAnsi="Arial" w:cs="Arial"/>
          <w:lang w:val="en-US"/>
        </w:rPr>
        <w:t>.</w:t>
      </w:r>
    </w:p>
    <w:p w14:paraId="2FA4258F" w14:textId="18269ED4" w:rsidR="00104018" w:rsidRPr="00A24CE4" w:rsidRDefault="00A24CE4" w:rsidP="00A24CE4">
      <w:pPr>
        <w:spacing w:line="360" w:lineRule="auto"/>
        <w:jc w:val="both"/>
        <w:rPr>
          <w:rFonts w:ascii="Arial" w:hAnsi="Arial" w:cs="Arial"/>
          <w:lang w:val="en-US"/>
        </w:rPr>
      </w:pPr>
      <w:r w:rsidRPr="00A24CE4">
        <w:rPr>
          <w:rFonts w:ascii="Arial" w:hAnsi="Arial" w:cs="Arial"/>
          <w:b/>
          <w:bCs/>
          <w:lang w:val="en-US"/>
        </w:rPr>
        <w:t>Structure:</w:t>
      </w:r>
      <w:r>
        <w:rPr>
          <w:rFonts w:ascii="Arial" w:hAnsi="Arial" w:cs="Arial"/>
          <w:lang w:val="en-US"/>
        </w:rPr>
        <w:t xml:space="preserve"> </w:t>
      </w:r>
      <w:r w:rsidR="00104018" w:rsidRPr="00A24CE4">
        <w:rPr>
          <w:rFonts w:ascii="Arial" w:hAnsi="Arial" w:cs="Arial"/>
          <w:lang w:val="en-US"/>
        </w:rPr>
        <w:t>The structure dimension includes staffing, leadership, governance, organisational resources and regulatory arrangements. In Bristol, weaknesses in these areas created an environment in which poor performance could persist (Sharew et al., 2020). Structure is important because healthcare professionals require appropriate systems, resources and governance arrangements to deliver safe care.</w:t>
      </w:r>
    </w:p>
    <w:p w14:paraId="4741A47C" w14:textId="5956850F" w:rsidR="00104018" w:rsidRPr="00A24CE4" w:rsidRDefault="00A24CE4" w:rsidP="00A24CE4">
      <w:pPr>
        <w:spacing w:line="360" w:lineRule="auto"/>
        <w:jc w:val="both"/>
        <w:rPr>
          <w:rFonts w:ascii="Arial" w:hAnsi="Arial" w:cs="Arial"/>
          <w:lang w:val="en-US"/>
        </w:rPr>
      </w:pPr>
      <w:r w:rsidRPr="00A24CE4">
        <w:rPr>
          <w:rFonts w:ascii="Arial" w:hAnsi="Arial" w:cs="Arial"/>
          <w:b/>
          <w:bCs/>
          <w:lang w:val="en-US"/>
        </w:rPr>
        <w:t>Process:</w:t>
      </w:r>
      <w:r>
        <w:rPr>
          <w:rFonts w:ascii="Arial" w:hAnsi="Arial" w:cs="Arial"/>
          <w:lang w:val="en-US"/>
        </w:rPr>
        <w:t xml:space="preserve"> </w:t>
      </w:r>
      <w:r w:rsidR="00104018" w:rsidRPr="00A24CE4">
        <w:rPr>
          <w:rFonts w:ascii="Arial" w:hAnsi="Arial" w:cs="Arial"/>
          <w:lang w:val="en-US"/>
        </w:rPr>
        <w:t xml:space="preserve">The process dimension concerns what </w:t>
      </w:r>
      <w:r w:rsidR="00D103F1" w:rsidRPr="00A24CE4">
        <w:rPr>
          <w:rFonts w:ascii="Arial" w:hAnsi="Arial" w:cs="Arial"/>
          <w:lang w:val="en-US"/>
        </w:rPr>
        <w:t>occurs</w:t>
      </w:r>
      <w:r w:rsidR="00104018" w:rsidRPr="00A24CE4">
        <w:rPr>
          <w:rFonts w:ascii="Arial" w:hAnsi="Arial" w:cs="Arial"/>
          <w:lang w:val="en-US"/>
        </w:rPr>
        <w:t xml:space="preserve"> during care delivery. Relevant weaknesses included clinical decision-making, communication, multidisciplinary collaboration and quality monitoring</w:t>
      </w:r>
      <w:r w:rsidR="00A06845">
        <w:rPr>
          <w:rFonts w:ascii="Arial" w:hAnsi="Arial" w:cs="Arial"/>
          <w:lang w:val="en-US"/>
        </w:rPr>
        <w:t xml:space="preserve"> (</w:t>
      </w:r>
      <w:r w:rsidR="00A06845" w:rsidRPr="007C6C04">
        <w:rPr>
          <w:rFonts w:ascii="Arial" w:hAnsi="Arial" w:cs="Arial"/>
        </w:rPr>
        <w:t>McCullough</w:t>
      </w:r>
      <w:r w:rsidR="00A06845">
        <w:rPr>
          <w:rFonts w:ascii="Arial" w:hAnsi="Arial" w:cs="Arial"/>
        </w:rPr>
        <w:t xml:space="preserve"> et al, 2023)</w:t>
      </w:r>
      <w:r w:rsidR="00104018" w:rsidRPr="00A24CE4">
        <w:rPr>
          <w:rFonts w:ascii="Arial" w:hAnsi="Arial" w:cs="Arial"/>
          <w:lang w:val="en-US"/>
        </w:rPr>
        <w:t>. These processes are critical because effective structures do not automatically guarantee safe practice. There must be mechanisms for translating organisational expectations into reliable clinical behaviour</w:t>
      </w:r>
      <w:r w:rsidR="00A06845">
        <w:rPr>
          <w:rFonts w:ascii="Arial" w:hAnsi="Arial" w:cs="Arial"/>
          <w:lang w:val="en-US"/>
        </w:rPr>
        <w:t xml:space="preserve"> (</w:t>
      </w:r>
      <w:r w:rsidR="00A06845" w:rsidRPr="00D103F1">
        <w:rPr>
          <w:rFonts w:ascii="Arial" w:hAnsi="Arial" w:cs="Arial"/>
        </w:rPr>
        <w:t>Santry</w:t>
      </w:r>
      <w:r w:rsidR="00A06845">
        <w:rPr>
          <w:rFonts w:ascii="Arial" w:hAnsi="Arial" w:cs="Arial"/>
        </w:rPr>
        <w:t xml:space="preserve"> et al, 2020)</w:t>
      </w:r>
      <w:r w:rsidR="00104018" w:rsidRPr="00A24CE4">
        <w:rPr>
          <w:rFonts w:ascii="Arial" w:hAnsi="Arial" w:cs="Arial"/>
          <w:lang w:val="en-US"/>
        </w:rPr>
        <w:t>.</w:t>
      </w:r>
    </w:p>
    <w:p w14:paraId="3C4FF21A" w14:textId="32FC0F20" w:rsidR="00104018" w:rsidRPr="00A24CE4" w:rsidRDefault="00A24CE4" w:rsidP="00A24CE4">
      <w:pPr>
        <w:spacing w:line="360" w:lineRule="auto"/>
        <w:jc w:val="both"/>
        <w:rPr>
          <w:rFonts w:ascii="Arial" w:hAnsi="Arial" w:cs="Arial"/>
          <w:lang w:val="en-US"/>
        </w:rPr>
      </w:pPr>
      <w:r w:rsidRPr="00A24CE4">
        <w:rPr>
          <w:rFonts w:ascii="Arial" w:hAnsi="Arial" w:cs="Arial"/>
          <w:b/>
          <w:bCs/>
          <w:lang w:val="en-US"/>
        </w:rPr>
        <w:t>Outcome:</w:t>
      </w:r>
      <w:r>
        <w:rPr>
          <w:rFonts w:ascii="Arial" w:hAnsi="Arial" w:cs="Arial"/>
          <w:lang w:val="en-US"/>
        </w:rPr>
        <w:t xml:space="preserve"> </w:t>
      </w:r>
      <w:r w:rsidR="00104018" w:rsidRPr="00A24CE4">
        <w:rPr>
          <w:rFonts w:ascii="Arial" w:hAnsi="Arial" w:cs="Arial"/>
          <w:lang w:val="en-US"/>
        </w:rPr>
        <w:t>The outcome dimension represents the consequences of care. The Bristol case demonstrated poor surgical outcomes and increased mortality, followed by substantial loss of public confidence and national healthcare reform (Sharew et al., 2020). The Donabedian Model therefore demonstrates a logical relationship between organisational structures, clinical processes and patient outcomes</w:t>
      </w:r>
      <w:r w:rsidR="007C6C04">
        <w:rPr>
          <w:rFonts w:ascii="Arial" w:hAnsi="Arial" w:cs="Arial"/>
          <w:lang w:val="en-US"/>
        </w:rPr>
        <w:t xml:space="preserve"> (</w:t>
      </w:r>
      <w:r w:rsidR="007C6C04" w:rsidRPr="007C6C04">
        <w:rPr>
          <w:rFonts w:ascii="Arial" w:hAnsi="Arial" w:cs="Arial"/>
        </w:rPr>
        <w:t>McCullough</w:t>
      </w:r>
      <w:r w:rsidR="007C6C04">
        <w:rPr>
          <w:rFonts w:ascii="Arial" w:hAnsi="Arial" w:cs="Arial"/>
        </w:rPr>
        <w:t xml:space="preserve"> et al, 2023)</w:t>
      </w:r>
      <w:r w:rsidR="00104018" w:rsidRPr="00A24CE4">
        <w:rPr>
          <w:rFonts w:ascii="Arial" w:hAnsi="Arial" w:cs="Arial"/>
          <w:lang w:val="en-US"/>
        </w:rPr>
        <w:t>.</w:t>
      </w:r>
    </w:p>
    <w:p w14:paraId="5B88C098" w14:textId="77777777" w:rsidR="00104018" w:rsidRPr="00A24CE4" w:rsidRDefault="00104018" w:rsidP="00A31640">
      <w:pPr>
        <w:pStyle w:val="Heading2"/>
      </w:pPr>
      <w:bookmarkStart w:id="9" w:name="_Toc237083442"/>
      <w:r w:rsidRPr="00A24CE4">
        <w:t>2.6 SWOT Analysis</w:t>
      </w:r>
      <w:bookmarkEnd w:id="9"/>
    </w:p>
    <w:p w14:paraId="6C1576EE" w14:textId="6C2C5765" w:rsidR="00D55F39" w:rsidRPr="00D55F39" w:rsidRDefault="00D55F39" w:rsidP="00D55F39">
      <w:pPr>
        <w:spacing w:line="360" w:lineRule="auto"/>
        <w:jc w:val="both"/>
        <w:rPr>
          <w:rFonts w:ascii="Arial" w:hAnsi="Arial" w:cs="Arial"/>
          <w:b/>
          <w:bCs/>
          <w:lang w:val="en-US"/>
        </w:rPr>
      </w:pPr>
      <w:r w:rsidRPr="00D55F39">
        <w:rPr>
          <w:rFonts w:ascii="Arial" w:hAnsi="Arial" w:cs="Arial"/>
          <w:b/>
          <w:bCs/>
          <w:lang w:val="en-US"/>
        </w:rPr>
        <w:t>Strengths and Weaknesses</w:t>
      </w:r>
      <w:r>
        <w:rPr>
          <w:rFonts w:ascii="Arial" w:hAnsi="Arial" w:cs="Arial"/>
          <w:b/>
          <w:bCs/>
          <w:lang w:val="en-US"/>
        </w:rPr>
        <w:t xml:space="preserve">: </w:t>
      </w:r>
      <w:r w:rsidRPr="00D55F39">
        <w:rPr>
          <w:rFonts w:ascii="Arial" w:hAnsi="Arial" w:cs="Arial"/>
          <w:lang w:val="en-US"/>
        </w:rPr>
        <w:t>The strengths of Bristol Royal Infirmary included the formal public inquiry, which independently examined clinical performance and organisational failures, increasing awareness of clinical governance, accountability and patient safety (Gopee and Galloway, 2017). However, weaknesses included inadequate clinical audit, poor performance monitoring, ineffective communication and limited organisational challenge</w:t>
      </w:r>
      <w:r w:rsidR="009B7BAB">
        <w:rPr>
          <w:rFonts w:ascii="Arial" w:hAnsi="Arial" w:cs="Arial"/>
          <w:lang w:val="en-US"/>
        </w:rPr>
        <w:t xml:space="preserve"> </w:t>
      </w:r>
      <w:r w:rsidR="009B7BAB" w:rsidRPr="00D55F39">
        <w:rPr>
          <w:rFonts w:ascii="Arial" w:hAnsi="Arial" w:cs="Arial"/>
          <w:lang w:val="en-US"/>
        </w:rPr>
        <w:t>(Lawson and Hearle, 2020)</w:t>
      </w:r>
      <w:r w:rsidRPr="00D55F39">
        <w:rPr>
          <w:rFonts w:ascii="Arial" w:hAnsi="Arial" w:cs="Arial"/>
          <w:lang w:val="en-US"/>
        </w:rPr>
        <w:t xml:space="preserve">. These weaknesses meant that concerns about </w:t>
      </w:r>
      <w:r w:rsidR="00A814C6" w:rsidRPr="00D55F39">
        <w:rPr>
          <w:rFonts w:ascii="Arial" w:hAnsi="Arial" w:cs="Arial"/>
          <w:lang w:val="en-US"/>
        </w:rPr>
        <w:t>pediatric</w:t>
      </w:r>
      <w:r w:rsidRPr="00D55F39">
        <w:rPr>
          <w:rFonts w:ascii="Arial" w:hAnsi="Arial" w:cs="Arial"/>
          <w:lang w:val="en-US"/>
        </w:rPr>
        <w:t xml:space="preserve"> cardiac surgery outcomes were not sufficiently recognised, escalated or acted upon. Weak benchmarking also reduced the ability to </w:t>
      </w:r>
      <w:r w:rsidRPr="00D55F39">
        <w:rPr>
          <w:rFonts w:ascii="Arial" w:hAnsi="Arial" w:cs="Arial"/>
          <w:lang w:val="en-US"/>
        </w:rPr>
        <w:lastRenderedPageBreak/>
        <w:t xml:space="preserve">identify unusually high mortality compared with other specialist </w:t>
      </w:r>
      <w:r w:rsidR="00A814C6" w:rsidRPr="00D55F39">
        <w:rPr>
          <w:rFonts w:ascii="Arial" w:hAnsi="Arial" w:cs="Arial"/>
          <w:lang w:val="en-US"/>
        </w:rPr>
        <w:t>centers</w:t>
      </w:r>
      <w:r w:rsidRPr="00D55F39">
        <w:rPr>
          <w:rFonts w:ascii="Arial" w:hAnsi="Arial" w:cs="Arial"/>
          <w:lang w:val="en-US"/>
        </w:rPr>
        <w:t xml:space="preserve"> (Lawson and Hearle, 2020).</w:t>
      </w:r>
    </w:p>
    <w:p w14:paraId="3E786C7F" w14:textId="0F3FA488" w:rsidR="00104018" w:rsidRPr="00D55F39" w:rsidRDefault="00D55F39" w:rsidP="00A24CE4">
      <w:pPr>
        <w:spacing w:line="360" w:lineRule="auto"/>
        <w:jc w:val="both"/>
        <w:rPr>
          <w:rFonts w:ascii="Arial" w:hAnsi="Arial" w:cs="Arial"/>
          <w:b/>
          <w:bCs/>
          <w:lang w:val="en-US"/>
        </w:rPr>
      </w:pPr>
      <w:r w:rsidRPr="00D55F39">
        <w:rPr>
          <w:rFonts w:ascii="Arial" w:hAnsi="Arial" w:cs="Arial"/>
          <w:b/>
          <w:bCs/>
          <w:lang w:val="en-US"/>
        </w:rPr>
        <w:t>Opportunities and Threats</w:t>
      </w:r>
      <w:r>
        <w:rPr>
          <w:rFonts w:ascii="Arial" w:hAnsi="Arial" w:cs="Arial"/>
          <w:b/>
          <w:bCs/>
          <w:lang w:val="en-US"/>
        </w:rPr>
        <w:t xml:space="preserve">: </w:t>
      </w:r>
      <w:r w:rsidRPr="00D55F39">
        <w:rPr>
          <w:rFonts w:ascii="Arial" w:hAnsi="Arial" w:cs="Arial"/>
          <w:lang w:val="en-US"/>
        </w:rPr>
        <w:t xml:space="preserve">The opportunities </w:t>
      </w:r>
      <w:r w:rsidR="009B7BAB" w:rsidRPr="00D55F39">
        <w:rPr>
          <w:rFonts w:ascii="Arial" w:hAnsi="Arial" w:cs="Arial"/>
          <w:lang w:val="en-US"/>
        </w:rPr>
        <w:t>include</w:t>
      </w:r>
      <w:r w:rsidRPr="00D55F39">
        <w:rPr>
          <w:rFonts w:ascii="Arial" w:hAnsi="Arial" w:cs="Arial"/>
          <w:lang w:val="en-US"/>
        </w:rPr>
        <w:t xml:space="preserve"> strengthening national outcome monitoring, improving transparency, developing stronger governance systems and creating organisational cultures where staff feel able to raise concerns</w:t>
      </w:r>
      <w:r w:rsidR="009B7BAB">
        <w:rPr>
          <w:rFonts w:ascii="Arial" w:hAnsi="Arial" w:cs="Arial"/>
          <w:lang w:val="en-US"/>
        </w:rPr>
        <w:t xml:space="preserve"> </w:t>
      </w:r>
      <w:r w:rsidR="009B7BAB" w:rsidRPr="00D55F39">
        <w:rPr>
          <w:rFonts w:ascii="Arial" w:hAnsi="Arial" w:cs="Arial"/>
          <w:lang w:val="en-US"/>
        </w:rPr>
        <w:t>(Lawson and Hearle, 2020)</w:t>
      </w:r>
      <w:r w:rsidRPr="00D55F39">
        <w:rPr>
          <w:rFonts w:ascii="Arial" w:hAnsi="Arial" w:cs="Arial"/>
          <w:lang w:val="en-US"/>
        </w:rPr>
        <w:t>. Regular benchmarking and multidisciplinary review could support earlier identification and correction of poor performance (Gopee and Galloway, 2017). However, threats included professional hierarchies, resistance to change, limited resources and the risk of normalising poor outcomes</w:t>
      </w:r>
      <w:r w:rsidR="009B7BAB">
        <w:rPr>
          <w:rFonts w:ascii="Arial" w:hAnsi="Arial" w:cs="Arial"/>
          <w:lang w:val="en-US"/>
        </w:rPr>
        <w:t xml:space="preserve"> </w:t>
      </w:r>
      <w:r w:rsidR="009B7BAB" w:rsidRPr="00D55F39">
        <w:rPr>
          <w:rFonts w:ascii="Arial" w:hAnsi="Arial" w:cs="Arial"/>
          <w:lang w:val="en-US"/>
        </w:rPr>
        <w:t>(Lawson and Hearle, 2020)</w:t>
      </w:r>
      <w:r w:rsidRPr="00D55F39">
        <w:rPr>
          <w:rFonts w:ascii="Arial" w:hAnsi="Arial" w:cs="Arial"/>
          <w:lang w:val="en-US"/>
        </w:rPr>
        <w:t>. Overall, SWOT demonstrates that quality failures resulted from interconnected organisational weaknesses. However, SWOT may oversimplify complex healthcare systems and should therefore be combined with causal frameworks and quality-improvement models to provide a more comprehensive analysis (Lawson and Hearle, 2020).</w:t>
      </w:r>
    </w:p>
    <w:p w14:paraId="17949B07" w14:textId="77777777" w:rsidR="00104018" w:rsidRPr="00A24CE4" w:rsidRDefault="00104018" w:rsidP="00A31640">
      <w:pPr>
        <w:pStyle w:val="Heading2"/>
      </w:pPr>
      <w:bookmarkStart w:id="10" w:name="_Toc237083443"/>
      <w:r w:rsidRPr="00A24CE4">
        <w:t>2.7 Impact on Healthcare Quality, Efficiency and Equity</w:t>
      </w:r>
      <w:bookmarkEnd w:id="10"/>
    </w:p>
    <w:p w14:paraId="3B0C1191" w14:textId="64813A65" w:rsidR="00104018" w:rsidRPr="00A24CE4" w:rsidRDefault="00104018" w:rsidP="00A24CE4">
      <w:pPr>
        <w:spacing w:line="360" w:lineRule="auto"/>
        <w:jc w:val="both"/>
        <w:rPr>
          <w:rFonts w:ascii="Arial" w:hAnsi="Arial" w:cs="Arial"/>
          <w:lang w:val="en-US"/>
        </w:rPr>
      </w:pPr>
      <w:r w:rsidRPr="00A24CE4">
        <w:rPr>
          <w:rFonts w:ascii="Arial" w:hAnsi="Arial" w:cs="Arial"/>
          <w:lang w:val="en-US"/>
        </w:rPr>
        <w:t>The Bristol failure had profound implications for healthcare quality because inadequate governance allowed unacceptable outcomes to persist. Poor monitoring reduced the ability of the organisation to identify performance deterioration and protect patients</w:t>
      </w:r>
      <w:r w:rsidR="000741D1">
        <w:rPr>
          <w:rFonts w:ascii="Arial" w:hAnsi="Arial" w:cs="Arial"/>
          <w:lang w:val="en-US"/>
        </w:rPr>
        <w:t xml:space="preserve"> (</w:t>
      </w:r>
      <w:r w:rsidR="000741D1" w:rsidRPr="000741D1">
        <w:rPr>
          <w:rFonts w:ascii="Arial" w:hAnsi="Arial" w:cs="Arial"/>
        </w:rPr>
        <w:t>Psotka</w:t>
      </w:r>
      <w:r w:rsidR="000741D1">
        <w:rPr>
          <w:rFonts w:ascii="Arial" w:hAnsi="Arial" w:cs="Arial"/>
        </w:rPr>
        <w:t xml:space="preserve"> et al, 2020)</w:t>
      </w:r>
      <w:r w:rsidRPr="00A24CE4">
        <w:rPr>
          <w:rFonts w:ascii="Arial" w:hAnsi="Arial" w:cs="Arial"/>
          <w:lang w:val="en-US"/>
        </w:rPr>
        <w:t>. The case demonstrated that quality cannot be assured solely through professional expertise; it requires continuous measurement, transparency and accountability (Gillam, 2022).</w:t>
      </w:r>
    </w:p>
    <w:p w14:paraId="590AC017" w14:textId="5A36E2E5" w:rsidR="00104018" w:rsidRPr="00A24CE4" w:rsidRDefault="00104018" w:rsidP="00A24CE4">
      <w:pPr>
        <w:spacing w:line="360" w:lineRule="auto"/>
        <w:jc w:val="both"/>
        <w:rPr>
          <w:rFonts w:ascii="Arial" w:hAnsi="Arial" w:cs="Arial"/>
          <w:lang w:val="en-US"/>
        </w:rPr>
      </w:pPr>
      <w:r w:rsidRPr="00A24CE4">
        <w:rPr>
          <w:rFonts w:ascii="Arial" w:hAnsi="Arial" w:cs="Arial"/>
          <w:lang w:val="en-US"/>
        </w:rPr>
        <w:t>The failure also affected efficiency. Preventable harm can generate additional treatment requirements, prolonged hospitalisation, repeat procedures and financial and legal consequences</w:t>
      </w:r>
      <w:r w:rsidR="00AF10F9">
        <w:rPr>
          <w:rFonts w:ascii="Arial" w:hAnsi="Arial" w:cs="Arial"/>
          <w:lang w:val="en-US"/>
        </w:rPr>
        <w:t xml:space="preserve"> (</w:t>
      </w:r>
      <w:r w:rsidR="00AF10F9" w:rsidRPr="000741D1">
        <w:rPr>
          <w:rFonts w:ascii="Arial" w:hAnsi="Arial" w:cs="Arial"/>
        </w:rPr>
        <w:t>Psotka</w:t>
      </w:r>
      <w:r w:rsidR="00AF10F9">
        <w:rPr>
          <w:rFonts w:ascii="Arial" w:hAnsi="Arial" w:cs="Arial"/>
        </w:rPr>
        <w:t xml:space="preserve"> et al, 2020)</w:t>
      </w:r>
      <w:r w:rsidRPr="00A24CE4">
        <w:rPr>
          <w:rFonts w:ascii="Arial" w:hAnsi="Arial" w:cs="Arial"/>
          <w:lang w:val="en-US"/>
        </w:rPr>
        <w:t>. Ineffective quality management therefore consumes resources that could otherwise support safe and effective care (Pande and Ghosh, 2023). Early identification of poor performance has the potential to reduce these avoidable costs</w:t>
      </w:r>
      <w:r w:rsidR="00AF10F9">
        <w:rPr>
          <w:rFonts w:ascii="Arial" w:hAnsi="Arial" w:cs="Arial"/>
          <w:lang w:val="en-US"/>
        </w:rPr>
        <w:t xml:space="preserve"> </w:t>
      </w:r>
      <w:r w:rsidR="00AF10F9" w:rsidRPr="00A24CE4">
        <w:rPr>
          <w:rFonts w:ascii="Arial" w:hAnsi="Arial" w:cs="Arial"/>
          <w:lang w:val="en-US"/>
        </w:rPr>
        <w:t>(Gillam, 2022)</w:t>
      </w:r>
      <w:r w:rsidRPr="00A24CE4">
        <w:rPr>
          <w:rFonts w:ascii="Arial" w:hAnsi="Arial" w:cs="Arial"/>
          <w:lang w:val="en-US"/>
        </w:rPr>
        <w:t>.</w:t>
      </w:r>
    </w:p>
    <w:p w14:paraId="76671597" w14:textId="3354105D" w:rsidR="00104018" w:rsidRPr="00A24CE4" w:rsidRDefault="00104018" w:rsidP="00A24CE4">
      <w:pPr>
        <w:spacing w:line="360" w:lineRule="auto"/>
        <w:jc w:val="both"/>
        <w:rPr>
          <w:rFonts w:ascii="Arial" w:hAnsi="Arial" w:cs="Arial"/>
          <w:lang w:val="en-US"/>
        </w:rPr>
      </w:pPr>
      <w:r w:rsidRPr="00A24CE4">
        <w:rPr>
          <w:rFonts w:ascii="Arial" w:hAnsi="Arial" w:cs="Arial"/>
          <w:lang w:val="en-US"/>
        </w:rPr>
        <w:t xml:space="preserve">Equity was also affected because children treated at Bristol experienced poorer outcomes than children receiving care in comparable specialist </w:t>
      </w:r>
      <w:r w:rsidR="00A814C6" w:rsidRPr="00A24CE4">
        <w:rPr>
          <w:rFonts w:ascii="Arial" w:hAnsi="Arial" w:cs="Arial"/>
          <w:lang w:val="en-US"/>
        </w:rPr>
        <w:t>centers</w:t>
      </w:r>
      <w:r w:rsidRPr="00A24CE4">
        <w:rPr>
          <w:rFonts w:ascii="Arial" w:hAnsi="Arial" w:cs="Arial"/>
          <w:lang w:val="en-US"/>
        </w:rPr>
        <w:t xml:space="preserve"> (Pande and Ghosh, 2023). Furthermore, limited transparency reduced families' ability to make fully informed decisions about treatment and provider performance</w:t>
      </w:r>
      <w:r w:rsidR="00AF10F9">
        <w:rPr>
          <w:rFonts w:ascii="Arial" w:hAnsi="Arial" w:cs="Arial"/>
          <w:lang w:val="en-US"/>
        </w:rPr>
        <w:t xml:space="preserve"> </w:t>
      </w:r>
      <w:r w:rsidR="00AF10F9" w:rsidRPr="00A24CE4">
        <w:rPr>
          <w:rFonts w:ascii="Arial" w:hAnsi="Arial" w:cs="Arial"/>
          <w:lang w:val="en-US"/>
        </w:rPr>
        <w:t>(Gillam, 2022)</w:t>
      </w:r>
      <w:r w:rsidRPr="00A24CE4">
        <w:rPr>
          <w:rFonts w:ascii="Arial" w:hAnsi="Arial" w:cs="Arial"/>
          <w:lang w:val="en-US"/>
        </w:rPr>
        <w:t xml:space="preserve">. The </w:t>
      </w:r>
      <w:r w:rsidRPr="00A24CE4">
        <w:rPr>
          <w:rFonts w:ascii="Arial" w:hAnsi="Arial" w:cs="Arial"/>
          <w:lang w:val="en-US"/>
        </w:rPr>
        <w:lastRenderedPageBreak/>
        <w:t>case therefore demonstrates that quality assurance is closely connected with equity because patients should receive consistently safe and effective care regardless of the healthcare organisation in which they are treated.</w:t>
      </w:r>
    </w:p>
    <w:p w14:paraId="6BB42F53" w14:textId="77777777" w:rsidR="00104018" w:rsidRPr="00A24CE4" w:rsidRDefault="00104018" w:rsidP="00A31640">
      <w:pPr>
        <w:pStyle w:val="Heading1"/>
        <w:rPr>
          <w:lang w:val="en-US"/>
        </w:rPr>
      </w:pPr>
      <w:bookmarkStart w:id="11" w:name="_Toc237083444"/>
      <w:r w:rsidRPr="00A24CE4">
        <w:rPr>
          <w:lang w:val="en-US"/>
        </w:rPr>
        <w:t>3. Recommendations</w:t>
      </w:r>
      <w:bookmarkEnd w:id="11"/>
    </w:p>
    <w:p w14:paraId="7A886B86" w14:textId="77777777" w:rsidR="00104018" w:rsidRPr="00A24CE4" w:rsidRDefault="00104018" w:rsidP="00A31640">
      <w:pPr>
        <w:pStyle w:val="Heading2"/>
      </w:pPr>
      <w:bookmarkStart w:id="12" w:name="_Toc237083445"/>
      <w:r w:rsidRPr="00A24CE4">
        <w:t>3.1 Strengthen National Clinical Outcome Monitoring</w:t>
      </w:r>
      <w:bookmarkEnd w:id="12"/>
    </w:p>
    <w:p w14:paraId="5E91F4EE" w14:textId="2BE32D26" w:rsidR="00104018" w:rsidRPr="00A24CE4" w:rsidRDefault="00104018" w:rsidP="00A24CE4">
      <w:pPr>
        <w:spacing w:line="360" w:lineRule="auto"/>
        <w:jc w:val="both"/>
        <w:rPr>
          <w:rFonts w:ascii="Arial" w:hAnsi="Arial" w:cs="Arial"/>
          <w:lang w:val="en-US"/>
        </w:rPr>
      </w:pPr>
      <w:r w:rsidRPr="00A24CE4">
        <w:rPr>
          <w:rFonts w:ascii="Arial" w:hAnsi="Arial" w:cs="Arial"/>
          <w:lang w:val="en-US"/>
        </w:rPr>
        <w:t>The first recommendation is to establish robust and continuous monitoring of clinical outcomes for high-risk specialist services</w:t>
      </w:r>
      <w:r w:rsidR="001951C5">
        <w:rPr>
          <w:rFonts w:ascii="Arial" w:hAnsi="Arial" w:cs="Arial"/>
          <w:lang w:val="en-US"/>
        </w:rPr>
        <w:t xml:space="preserve"> (</w:t>
      </w:r>
      <w:r w:rsidR="00E31FDB" w:rsidRPr="008D6B09">
        <w:rPr>
          <w:rFonts w:ascii="Arial" w:hAnsi="Arial" w:cs="Arial"/>
        </w:rPr>
        <w:t>Harpwood</w:t>
      </w:r>
      <w:r w:rsidR="001951C5">
        <w:rPr>
          <w:rFonts w:ascii="Arial" w:hAnsi="Arial" w:cs="Arial"/>
        </w:rPr>
        <w:t>, 20</w:t>
      </w:r>
      <w:r w:rsidR="00E31FDB">
        <w:rPr>
          <w:rFonts w:ascii="Arial" w:hAnsi="Arial" w:cs="Arial"/>
        </w:rPr>
        <w:t>1</w:t>
      </w:r>
      <w:r w:rsidR="001951C5">
        <w:rPr>
          <w:rFonts w:ascii="Arial" w:hAnsi="Arial" w:cs="Arial"/>
        </w:rPr>
        <w:t>6)</w:t>
      </w:r>
      <w:r w:rsidRPr="00A24CE4">
        <w:rPr>
          <w:rFonts w:ascii="Arial" w:hAnsi="Arial" w:cs="Arial"/>
          <w:lang w:val="en-US"/>
        </w:rPr>
        <w:t>. Organisations should routinely collect mortality, morbidity, complication and readmission data and compare performance against appropriate national and specialist benchmarks. This would allow unusual variations to be identified before they become established patterns</w:t>
      </w:r>
      <w:r w:rsidR="00AF10F9">
        <w:rPr>
          <w:rFonts w:ascii="Arial" w:hAnsi="Arial" w:cs="Arial"/>
          <w:lang w:val="en-US"/>
        </w:rPr>
        <w:t xml:space="preserve"> (</w:t>
      </w:r>
      <w:r w:rsidR="00E31FDB" w:rsidRPr="008D6B09">
        <w:rPr>
          <w:rFonts w:ascii="Arial" w:hAnsi="Arial" w:cs="Arial"/>
        </w:rPr>
        <w:t>Harpwood</w:t>
      </w:r>
      <w:r w:rsidR="00AF10F9">
        <w:rPr>
          <w:rFonts w:ascii="Arial" w:hAnsi="Arial" w:cs="Arial"/>
        </w:rPr>
        <w:t>, 20</w:t>
      </w:r>
      <w:r w:rsidR="00E31FDB">
        <w:rPr>
          <w:rFonts w:ascii="Arial" w:hAnsi="Arial" w:cs="Arial"/>
        </w:rPr>
        <w:t>1</w:t>
      </w:r>
      <w:r w:rsidR="00AF10F9">
        <w:rPr>
          <w:rFonts w:ascii="Arial" w:hAnsi="Arial" w:cs="Arial"/>
        </w:rPr>
        <w:t>6)</w:t>
      </w:r>
      <w:r w:rsidRPr="00A24CE4">
        <w:rPr>
          <w:rFonts w:ascii="Arial" w:hAnsi="Arial" w:cs="Arial"/>
          <w:lang w:val="en-US"/>
        </w:rPr>
        <w:t>.</w:t>
      </w:r>
    </w:p>
    <w:p w14:paraId="206E350A" w14:textId="51F40E6E" w:rsidR="00104018" w:rsidRPr="00A24CE4" w:rsidRDefault="00104018" w:rsidP="00A24CE4">
      <w:pPr>
        <w:spacing w:line="360" w:lineRule="auto"/>
        <w:jc w:val="both"/>
        <w:rPr>
          <w:rFonts w:ascii="Arial" w:hAnsi="Arial" w:cs="Arial"/>
          <w:lang w:val="en-US"/>
        </w:rPr>
      </w:pPr>
      <w:r w:rsidRPr="00A24CE4">
        <w:rPr>
          <w:rFonts w:ascii="Arial" w:hAnsi="Arial" w:cs="Arial"/>
          <w:lang w:val="en-US"/>
        </w:rPr>
        <w:t>Performance indicators should be reviewed regularly by clinical governance committees, with clearly defined escalation thresholds. Where performance falls outside acceptable limits, organisations should initiate formal investigation and improvement processes</w:t>
      </w:r>
      <w:r w:rsidR="001951C5">
        <w:rPr>
          <w:rFonts w:ascii="Arial" w:hAnsi="Arial" w:cs="Arial"/>
          <w:lang w:val="en-US"/>
        </w:rPr>
        <w:t xml:space="preserve"> (</w:t>
      </w:r>
      <w:r w:rsidR="00E31FDB" w:rsidRPr="008D6B09">
        <w:rPr>
          <w:rFonts w:ascii="Arial" w:hAnsi="Arial" w:cs="Arial"/>
        </w:rPr>
        <w:t>Harpwood</w:t>
      </w:r>
      <w:r w:rsidR="001951C5">
        <w:rPr>
          <w:rFonts w:ascii="Arial" w:hAnsi="Arial" w:cs="Arial"/>
        </w:rPr>
        <w:t>, 20</w:t>
      </w:r>
      <w:r w:rsidR="00E31FDB">
        <w:rPr>
          <w:rFonts w:ascii="Arial" w:hAnsi="Arial" w:cs="Arial"/>
        </w:rPr>
        <w:t>1</w:t>
      </w:r>
      <w:r w:rsidR="001951C5">
        <w:rPr>
          <w:rFonts w:ascii="Arial" w:hAnsi="Arial" w:cs="Arial"/>
        </w:rPr>
        <w:t>6)</w:t>
      </w:r>
      <w:r w:rsidRPr="00A24CE4">
        <w:rPr>
          <w:rFonts w:ascii="Arial" w:hAnsi="Arial" w:cs="Arial"/>
          <w:lang w:val="en-US"/>
        </w:rPr>
        <w:t>. McDonald (2016) highlights the importance of effective national reporting and accountability systems in preventing prolonged quality failures.</w:t>
      </w:r>
    </w:p>
    <w:p w14:paraId="3EF58DA9" w14:textId="77777777" w:rsidR="00104018" w:rsidRPr="00A24CE4" w:rsidRDefault="00104018" w:rsidP="00A31640">
      <w:pPr>
        <w:pStyle w:val="Heading2"/>
      </w:pPr>
      <w:bookmarkStart w:id="13" w:name="_Toc237083446"/>
      <w:r w:rsidRPr="00A24CE4">
        <w:t>3.2 Implement Six Sigma DMAIC</w:t>
      </w:r>
      <w:bookmarkEnd w:id="13"/>
    </w:p>
    <w:p w14:paraId="6D485BBE" w14:textId="77777777" w:rsidR="00104018" w:rsidRPr="00A24CE4" w:rsidRDefault="00104018" w:rsidP="00A24CE4">
      <w:pPr>
        <w:spacing w:line="360" w:lineRule="auto"/>
        <w:jc w:val="both"/>
        <w:rPr>
          <w:rFonts w:ascii="Arial" w:hAnsi="Arial" w:cs="Arial"/>
          <w:lang w:val="en-US"/>
        </w:rPr>
      </w:pPr>
      <w:r w:rsidRPr="00A24CE4">
        <w:rPr>
          <w:rFonts w:ascii="Arial" w:hAnsi="Arial" w:cs="Arial"/>
          <w:lang w:val="en-US"/>
        </w:rPr>
        <w:t>The Six Sigma methodology provides a structured approach for reducing variation and improving reliability. Its DMAIC stages—Define, Measure, Analyse, Improve and Control—can be applied directly to the Bristol quality problem.</w:t>
      </w:r>
    </w:p>
    <w:p w14:paraId="3B693571" w14:textId="38C5F4F9" w:rsidR="00104018" w:rsidRPr="00A24CE4" w:rsidRDefault="00104018" w:rsidP="00A24CE4">
      <w:pPr>
        <w:spacing w:line="360" w:lineRule="auto"/>
        <w:jc w:val="both"/>
        <w:rPr>
          <w:rFonts w:ascii="Arial" w:hAnsi="Arial" w:cs="Arial"/>
          <w:lang w:val="en-US"/>
        </w:rPr>
      </w:pPr>
      <w:r w:rsidRPr="00A24CE4">
        <w:rPr>
          <w:rFonts w:ascii="Arial" w:hAnsi="Arial" w:cs="Arial"/>
          <w:b/>
          <w:bCs/>
          <w:lang w:val="en-US"/>
        </w:rPr>
        <w:t>Define</w:t>
      </w:r>
      <w:r w:rsidRPr="00A24CE4">
        <w:rPr>
          <w:rFonts w:ascii="Arial" w:hAnsi="Arial" w:cs="Arial"/>
          <w:lang w:val="en-US"/>
        </w:rPr>
        <w:t xml:space="preserve">: The quality problem should first be clearly defined as unacceptable variation in </w:t>
      </w:r>
      <w:r w:rsidR="00A814C6" w:rsidRPr="00A24CE4">
        <w:rPr>
          <w:rFonts w:ascii="Arial" w:hAnsi="Arial" w:cs="Arial"/>
          <w:lang w:val="en-US"/>
        </w:rPr>
        <w:t>pediatric</w:t>
      </w:r>
      <w:r w:rsidRPr="00A24CE4">
        <w:rPr>
          <w:rFonts w:ascii="Arial" w:hAnsi="Arial" w:cs="Arial"/>
          <w:lang w:val="en-US"/>
        </w:rPr>
        <w:t xml:space="preserve"> cardiac outcomes and inadequate organisational mechanisms for identifying and responding to performance deterioration</w:t>
      </w:r>
      <w:r w:rsidR="00F53FDB">
        <w:rPr>
          <w:rFonts w:ascii="Arial" w:hAnsi="Arial" w:cs="Arial"/>
          <w:lang w:val="en-US"/>
        </w:rPr>
        <w:t xml:space="preserve"> (</w:t>
      </w:r>
      <w:r w:rsidR="00F53FDB" w:rsidRPr="00B12335">
        <w:rPr>
          <w:rFonts w:ascii="Arial" w:hAnsi="Arial" w:cs="Arial"/>
        </w:rPr>
        <w:t>Zhou</w:t>
      </w:r>
      <w:r w:rsidR="00F53FDB">
        <w:rPr>
          <w:rFonts w:ascii="Arial" w:hAnsi="Arial" w:cs="Arial"/>
        </w:rPr>
        <w:t xml:space="preserve"> et al, 2025)</w:t>
      </w:r>
      <w:r w:rsidRPr="00A24CE4">
        <w:rPr>
          <w:rFonts w:ascii="Arial" w:hAnsi="Arial" w:cs="Arial"/>
          <w:lang w:val="en-US"/>
        </w:rPr>
        <w:t>. The organisation should identify relevant stakeholders, including clinicians, managers, governance teams, patients and families</w:t>
      </w:r>
      <w:r w:rsidR="00B12335">
        <w:rPr>
          <w:rFonts w:ascii="Arial" w:hAnsi="Arial" w:cs="Arial"/>
          <w:lang w:val="en-US"/>
        </w:rPr>
        <w:t xml:space="preserve"> (</w:t>
      </w:r>
      <w:r w:rsidR="00B12335" w:rsidRPr="00B12335">
        <w:rPr>
          <w:rFonts w:ascii="Arial" w:hAnsi="Arial" w:cs="Arial"/>
        </w:rPr>
        <w:t>Zhou</w:t>
      </w:r>
      <w:r w:rsidR="00B12335">
        <w:rPr>
          <w:rFonts w:ascii="Arial" w:hAnsi="Arial" w:cs="Arial"/>
        </w:rPr>
        <w:t xml:space="preserve"> et al, 2025)</w:t>
      </w:r>
      <w:r w:rsidRPr="00A24CE4">
        <w:rPr>
          <w:rFonts w:ascii="Arial" w:hAnsi="Arial" w:cs="Arial"/>
          <w:lang w:val="en-US"/>
        </w:rPr>
        <w:t>.</w:t>
      </w:r>
    </w:p>
    <w:p w14:paraId="3BA8F5CE" w14:textId="7C19C890" w:rsidR="00104018" w:rsidRPr="00A24CE4" w:rsidRDefault="00104018" w:rsidP="00A24CE4">
      <w:pPr>
        <w:spacing w:line="360" w:lineRule="auto"/>
        <w:jc w:val="both"/>
        <w:rPr>
          <w:rFonts w:ascii="Arial" w:hAnsi="Arial" w:cs="Arial"/>
          <w:lang w:val="en-US"/>
        </w:rPr>
      </w:pPr>
      <w:r w:rsidRPr="00A24CE4">
        <w:rPr>
          <w:rFonts w:ascii="Arial" w:hAnsi="Arial" w:cs="Arial"/>
          <w:b/>
          <w:bCs/>
          <w:lang w:val="en-US"/>
        </w:rPr>
        <w:t>Measure</w:t>
      </w:r>
      <w:r w:rsidRPr="00A24CE4">
        <w:rPr>
          <w:rFonts w:ascii="Arial" w:hAnsi="Arial" w:cs="Arial"/>
          <w:lang w:val="en-US"/>
        </w:rPr>
        <w:t>: The organisation should establish measurable indicators such as risk-adjusted mortality, postoperative complications, readmission rates, waiting times and adverse events</w:t>
      </w:r>
      <w:r w:rsidR="00F53FDB">
        <w:rPr>
          <w:rFonts w:ascii="Arial" w:hAnsi="Arial" w:cs="Arial"/>
          <w:lang w:val="en-US"/>
        </w:rPr>
        <w:t xml:space="preserve"> (</w:t>
      </w:r>
      <w:r w:rsidR="00F53FDB" w:rsidRPr="00240558">
        <w:rPr>
          <w:rFonts w:ascii="Arial" w:hAnsi="Arial" w:cs="Arial"/>
        </w:rPr>
        <w:t>Wolfe</w:t>
      </w:r>
      <w:r w:rsidR="00F53FDB">
        <w:rPr>
          <w:rFonts w:ascii="Arial" w:hAnsi="Arial" w:cs="Arial"/>
        </w:rPr>
        <w:t xml:space="preserve"> et al, 2021)</w:t>
      </w:r>
      <w:r w:rsidRPr="00A24CE4">
        <w:rPr>
          <w:rFonts w:ascii="Arial" w:hAnsi="Arial" w:cs="Arial"/>
          <w:lang w:val="en-US"/>
        </w:rPr>
        <w:t xml:space="preserve">. Baseline data should be collected and compared </w:t>
      </w:r>
      <w:r w:rsidRPr="00A24CE4">
        <w:rPr>
          <w:rFonts w:ascii="Arial" w:hAnsi="Arial" w:cs="Arial"/>
          <w:lang w:val="en-US"/>
        </w:rPr>
        <w:lastRenderedPageBreak/>
        <w:t>with national standards and comparable specialist centres. Reliable measurement is essential because improvement cannot be demonstrated without an objective baseline</w:t>
      </w:r>
      <w:r w:rsidR="00E31530">
        <w:rPr>
          <w:rFonts w:ascii="Arial" w:hAnsi="Arial" w:cs="Arial"/>
          <w:lang w:val="en-US"/>
        </w:rPr>
        <w:t xml:space="preserve"> (</w:t>
      </w:r>
      <w:r w:rsidR="00E31530" w:rsidRPr="00E31530">
        <w:rPr>
          <w:rFonts w:ascii="Arial" w:hAnsi="Arial" w:cs="Arial"/>
        </w:rPr>
        <w:t>Pérez-Balboa</w:t>
      </w:r>
      <w:r w:rsidR="00E31530">
        <w:rPr>
          <w:rFonts w:ascii="Arial" w:hAnsi="Arial" w:cs="Arial"/>
        </w:rPr>
        <w:t xml:space="preserve"> et al, 2024)</w:t>
      </w:r>
      <w:r w:rsidRPr="00A24CE4">
        <w:rPr>
          <w:rFonts w:ascii="Arial" w:hAnsi="Arial" w:cs="Arial"/>
          <w:lang w:val="en-US"/>
        </w:rPr>
        <w:t>.</w:t>
      </w:r>
    </w:p>
    <w:p w14:paraId="560A5D38" w14:textId="7957B5B5" w:rsidR="00104018" w:rsidRPr="00A24CE4" w:rsidRDefault="00104018" w:rsidP="00A24CE4">
      <w:pPr>
        <w:spacing w:line="360" w:lineRule="auto"/>
        <w:jc w:val="both"/>
        <w:rPr>
          <w:rFonts w:ascii="Arial" w:hAnsi="Arial" w:cs="Arial"/>
          <w:lang w:val="en-US"/>
        </w:rPr>
      </w:pPr>
      <w:r w:rsidRPr="00A24CE4">
        <w:rPr>
          <w:rFonts w:ascii="Arial" w:hAnsi="Arial" w:cs="Arial"/>
          <w:b/>
          <w:bCs/>
          <w:lang w:val="en-US"/>
        </w:rPr>
        <w:t>Analyse</w:t>
      </w:r>
      <w:r w:rsidRPr="00A24CE4">
        <w:rPr>
          <w:rFonts w:ascii="Arial" w:hAnsi="Arial" w:cs="Arial"/>
          <w:lang w:val="en-US"/>
        </w:rPr>
        <w:t>: The analysis stage should identify the reasons for variation. RCA, Fishbone analysis and clinical audit findings should be integrated to identify whether problems originate from staffing, clinical processes, communication, governance, resources or organisational culture</w:t>
      </w:r>
      <w:r w:rsidR="00F53FDB">
        <w:rPr>
          <w:rFonts w:ascii="Arial" w:hAnsi="Arial" w:cs="Arial"/>
          <w:lang w:val="en-US"/>
        </w:rPr>
        <w:t xml:space="preserve"> (</w:t>
      </w:r>
      <w:r w:rsidR="00F53FDB" w:rsidRPr="00240558">
        <w:rPr>
          <w:rFonts w:ascii="Arial" w:hAnsi="Arial" w:cs="Arial"/>
        </w:rPr>
        <w:t>Wolfe</w:t>
      </w:r>
      <w:r w:rsidR="00F53FDB">
        <w:rPr>
          <w:rFonts w:ascii="Arial" w:hAnsi="Arial" w:cs="Arial"/>
        </w:rPr>
        <w:t xml:space="preserve"> et al, 2021)</w:t>
      </w:r>
      <w:r w:rsidRPr="00A24CE4">
        <w:rPr>
          <w:rFonts w:ascii="Arial" w:hAnsi="Arial" w:cs="Arial"/>
          <w:lang w:val="en-US"/>
        </w:rPr>
        <w:t>. Statistical analysis should be used where appropriate to distinguish genuine performance variation from differences in patient case mix</w:t>
      </w:r>
      <w:r w:rsidR="00240558">
        <w:rPr>
          <w:rFonts w:ascii="Arial" w:hAnsi="Arial" w:cs="Arial"/>
          <w:lang w:val="en-US"/>
        </w:rPr>
        <w:t xml:space="preserve"> (</w:t>
      </w:r>
      <w:r w:rsidR="00240558" w:rsidRPr="00240558">
        <w:rPr>
          <w:rFonts w:ascii="Arial" w:hAnsi="Arial" w:cs="Arial"/>
        </w:rPr>
        <w:t>Wolfe</w:t>
      </w:r>
      <w:r w:rsidR="00240558">
        <w:rPr>
          <w:rFonts w:ascii="Arial" w:hAnsi="Arial" w:cs="Arial"/>
        </w:rPr>
        <w:t xml:space="preserve"> et al, 2021)</w:t>
      </w:r>
      <w:r w:rsidRPr="00A24CE4">
        <w:rPr>
          <w:rFonts w:ascii="Arial" w:hAnsi="Arial" w:cs="Arial"/>
          <w:lang w:val="en-US"/>
        </w:rPr>
        <w:t>.</w:t>
      </w:r>
    </w:p>
    <w:p w14:paraId="310D84C6" w14:textId="49E1AA7A" w:rsidR="00104018" w:rsidRPr="00A24CE4" w:rsidRDefault="00104018" w:rsidP="00A24CE4">
      <w:pPr>
        <w:spacing w:line="360" w:lineRule="auto"/>
        <w:jc w:val="both"/>
        <w:rPr>
          <w:rFonts w:ascii="Arial" w:hAnsi="Arial" w:cs="Arial"/>
          <w:lang w:val="en-US"/>
        </w:rPr>
      </w:pPr>
      <w:r w:rsidRPr="00A24CE4">
        <w:rPr>
          <w:rFonts w:ascii="Arial" w:hAnsi="Arial" w:cs="Arial"/>
          <w:b/>
          <w:bCs/>
          <w:lang w:val="en-US"/>
        </w:rPr>
        <w:t>Improve</w:t>
      </w:r>
      <w:r w:rsidRPr="00A24CE4">
        <w:rPr>
          <w:rFonts w:ascii="Arial" w:hAnsi="Arial" w:cs="Arial"/>
          <w:lang w:val="en-US"/>
        </w:rPr>
        <w:t>: Improvement interventions should address identified causes rather than symptoms</w:t>
      </w:r>
      <w:r w:rsidR="00F53FDB">
        <w:rPr>
          <w:rFonts w:ascii="Arial" w:hAnsi="Arial" w:cs="Arial"/>
          <w:lang w:val="en-US"/>
        </w:rPr>
        <w:t xml:space="preserve"> (</w:t>
      </w:r>
      <w:r w:rsidR="00F53FDB" w:rsidRPr="00B12335">
        <w:rPr>
          <w:rFonts w:ascii="Arial" w:hAnsi="Arial" w:cs="Arial"/>
        </w:rPr>
        <w:t>Zhou</w:t>
      </w:r>
      <w:r w:rsidR="00F53FDB">
        <w:rPr>
          <w:rFonts w:ascii="Arial" w:hAnsi="Arial" w:cs="Arial"/>
        </w:rPr>
        <w:t xml:space="preserve"> et al, 2025)</w:t>
      </w:r>
      <w:r w:rsidRPr="00A24CE4">
        <w:rPr>
          <w:rFonts w:ascii="Arial" w:hAnsi="Arial" w:cs="Arial"/>
          <w:lang w:val="en-US"/>
        </w:rPr>
        <w:t>. These could include multidisciplinary case review, strengthened clinical supervision, standardised care pathways, improved escalation procedures, leadership development and mandatory review of unexpected deaths or serious complications. Staff should also receive opportunities to raise concerns without fear of inappropriate professional consequences</w:t>
      </w:r>
      <w:r w:rsidR="00F53FDB">
        <w:rPr>
          <w:rFonts w:ascii="Arial" w:hAnsi="Arial" w:cs="Arial"/>
          <w:lang w:val="en-US"/>
        </w:rPr>
        <w:t xml:space="preserve"> (</w:t>
      </w:r>
      <w:r w:rsidR="00F53FDB" w:rsidRPr="00B12335">
        <w:rPr>
          <w:rFonts w:ascii="Arial" w:hAnsi="Arial" w:cs="Arial"/>
        </w:rPr>
        <w:t>Zhou</w:t>
      </w:r>
      <w:r w:rsidR="00F53FDB">
        <w:rPr>
          <w:rFonts w:ascii="Arial" w:hAnsi="Arial" w:cs="Arial"/>
        </w:rPr>
        <w:t xml:space="preserve"> et al, 2025)</w:t>
      </w:r>
      <w:r w:rsidRPr="00A24CE4">
        <w:rPr>
          <w:rFonts w:ascii="Arial" w:hAnsi="Arial" w:cs="Arial"/>
          <w:lang w:val="en-US"/>
        </w:rPr>
        <w:t>.</w:t>
      </w:r>
    </w:p>
    <w:p w14:paraId="40A54C2F" w14:textId="457CD193" w:rsidR="00104018" w:rsidRPr="00A24CE4" w:rsidRDefault="00104018" w:rsidP="00A24CE4">
      <w:pPr>
        <w:spacing w:line="360" w:lineRule="auto"/>
        <w:jc w:val="both"/>
        <w:rPr>
          <w:rFonts w:ascii="Arial" w:hAnsi="Arial" w:cs="Arial"/>
          <w:lang w:val="en-US"/>
        </w:rPr>
      </w:pPr>
      <w:r w:rsidRPr="00A24CE4">
        <w:rPr>
          <w:rFonts w:ascii="Arial" w:hAnsi="Arial" w:cs="Arial"/>
          <w:b/>
          <w:bCs/>
          <w:lang w:val="en-US"/>
        </w:rPr>
        <w:t>Control</w:t>
      </w:r>
      <w:r w:rsidRPr="00A24CE4">
        <w:rPr>
          <w:rFonts w:ascii="Arial" w:hAnsi="Arial" w:cs="Arial"/>
          <w:lang w:val="en-US"/>
        </w:rPr>
        <w:t>: The final stage is essential for sustainability. Improved processes should be incorporated into routine clinical governance, with continuing audit and monitoring</w:t>
      </w:r>
      <w:r w:rsidR="00F53FDB">
        <w:rPr>
          <w:rFonts w:ascii="Arial" w:hAnsi="Arial" w:cs="Arial"/>
          <w:lang w:val="en-US"/>
        </w:rPr>
        <w:t xml:space="preserve"> (</w:t>
      </w:r>
      <w:r w:rsidR="00F53FDB" w:rsidRPr="00E31530">
        <w:rPr>
          <w:rFonts w:ascii="Arial" w:hAnsi="Arial" w:cs="Arial"/>
        </w:rPr>
        <w:t>Pérez-Balboa</w:t>
      </w:r>
      <w:r w:rsidR="00F53FDB">
        <w:rPr>
          <w:rFonts w:ascii="Arial" w:hAnsi="Arial" w:cs="Arial"/>
        </w:rPr>
        <w:t xml:space="preserve"> et al, 2024)</w:t>
      </w:r>
      <w:r w:rsidRPr="00A24CE4">
        <w:rPr>
          <w:rFonts w:ascii="Arial" w:hAnsi="Arial" w:cs="Arial"/>
          <w:lang w:val="en-US"/>
        </w:rPr>
        <w:t>. Control charts or other appropriate performance-monitoring methods can identify whether improvements are maintained over time. Any deterioration should trigger rapid review rather than waiting for cumulative evidence of harm</w:t>
      </w:r>
      <w:r w:rsidR="00F53FDB">
        <w:rPr>
          <w:rFonts w:ascii="Arial" w:hAnsi="Arial" w:cs="Arial"/>
          <w:lang w:val="en-US"/>
        </w:rPr>
        <w:t xml:space="preserve"> (</w:t>
      </w:r>
      <w:r w:rsidR="00F53FDB" w:rsidRPr="00E31530">
        <w:rPr>
          <w:rFonts w:ascii="Arial" w:hAnsi="Arial" w:cs="Arial"/>
        </w:rPr>
        <w:t>Pérez-Balboa</w:t>
      </w:r>
      <w:r w:rsidR="00F53FDB">
        <w:rPr>
          <w:rFonts w:ascii="Arial" w:hAnsi="Arial" w:cs="Arial"/>
        </w:rPr>
        <w:t xml:space="preserve"> et al, 2024)</w:t>
      </w:r>
      <w:r w:rsidRPr="00A24CE4">
        <w:rPr>
          <w:rFonts w:ascii="Arial" w:hAnsi="Arial" w:cs="Arial"/>
          <w:lang w:val="en-US"/>
        </w:rPr>
        <w:t>.</w:t>
      </w:r>
    </w:p>
    <w:p w14:paraId="6169023C" w14:textId="77777777" w:rsidR="00104018" w:rsidRPr="00A24CE4" w:rsidRDefault="00104018" w:rsidP="00A31640">
      <w:pPr>
        <w:pStyle w:val="Heading2"/>
      </w:pPr>
      <w:bookmarkStart w:id="14" w:name="_Toc237083447"/>
      <w:r w:rsidRPr="00A24CE4">
        <w:t>3.3 Strengthen Clinical Governance and Accountability</w:t>
      </w:r>
      <w:bookmarkEnd w:id="14"/>
    </w:p>
    <w:p w14:paraId="14879948" w14:textId="43E65AD8" w:rsidR="00104018" w:rsidRPr="00A24CE4" w:rsidRDefault="00104018" w:rsidP="00A24CE4">
      <w:pPr>
        <w:spacing w:line="360" w:lineRule="auto"/>
        <w:jc w:val="both"/>
        <w:rPr>
          <w:rFonts w:ascii="Arial" w:hAnsi="Arial" w:cs="Arial"/>
          <w:lang w:val="en-US"/>
        </w:rPr>
      </w:pPr>
      <w:r w:rsidRPr="00A24CE4">
        <w:rPr>
          <w:rFonts w:ascii="Arial" w:hAnsi="Arial" w:cs="Arial"/>
          <w:lang w:val="en-US"/>
        </w:rPr>
        <w:t>Healthcare organisations should establish clear responsibility for quality outcomes at clinical, managerial and board levels</w:t>
      </w:r>
      <w:r w:rsidR="001951C5">
        <w:rPr>
          <w:rFonts w:ascii="Arial" w:hAnsi="Arial" w:cs="Arial"/>
          <w:lang w:val="en-US"/>
        </w:rPr>
        <w:t xml:space="preserve"> (</w:t>
      </w:r>
      <w:r w:rsidR="001951C5" w:rsidRPr="00E66E47">
        <w:rPr>
          <w:rFonts w:ascii="Arial" w:hAnsi="Arial" w:cs="Arial"/>
        </w:rPr>
        <w:t>Mannion</w:t>
      </w:r>
      <w:r w:rsidR="001951C5">
        <w:rPr>
          <w:rFonts w:ascii="Arial" w:hAnsi="Arial" w:cs="Arial"/>
        </w:rPr>
        <w:t>, 2024)</w:t>
      </w:r>
      <w:r w:rsidRPr="00A24CE4">
        <w:rPr>
          <w:rFonts w:ascii="Arial" w:hAnsi="Arial" w:cs="Arial"/>
          <w:lang w:val="en-US"/>
        </w:rPr>
        <w:t>. Governance committees should regularly review mortality, morbidity, complaints, incidents, audit results and patient experience. Where concerns are identified, responsibilities and deadlines for corrective action should be documented</w:t>
      </w:r>
      <w:r w:rsidR="002D084D">
        <w:rPr>
          <w:rFonts w:ascii="Arial" w:hAnsi="Arial" w:cs="Arial"/>
          <w:lang w:val="en-US"/>
        </w:rPr>
        <w:t xml:space="preserve"> (</w:t>
      </w:r>
      <w:r w:rsidR="002D084D" w:rsidRPr="002D084D">
        <w:rPr>
          <w:rFonts w:ascii="Arial" w:hAnsi="Arial" w:cs="Arial"/>
        </w:rPr>
        <w:t>Powell</w:t>
      </w:r>
      <w:r w:rsidR="002D084D">
        <w:rPr>
          <w:rFonts w:ascii="Arial" w:hAnsi="Arial" w:cs="Arial"/>
        </w:rPr>
        <w:t xml:space="preserve"> et al, 2022)</w:t>
      </w:r>
      <w:r w:rsidRPr="00A24CE4">
        <w:rPr>
          <w:rFonts w:ascii="Arial" w:hAnsi="Arial" w:cs="Arial"/>
          <w:lang w:val="en-US"/>
        </w:rPr>
        <w:t>.</w:t>
      </w:r>
    </w:p>
    <w:p w14:paraId="31101EB2" w14:textId="20F3BEDC" w:rsidR="00104018" w:rsidRPr="00A24CE4" w:rsidRDefault="00104018" w:rsidP="00A24CE4">
      <w:pPr>
        <w:spacing w:line="360" w:lineRule="auto"/>
        <w:jc w:val="both"/>
        <w:rPr>
          <w:rFonts w:ascii="Arial" w:hAnsi="Arial" w:cs="Arial"/>
          <w:lang w:val="en-US"/>
        </w:rPr>
      </w:pPr>
      <w:r w:rsidRPr="00A24CE4">
        <w:rPr>
          <w:rFonts w:ascii="Arial" w:hAnsi="Arial" w:cs="Arial"/>
          <w:lang w:val="en-US"/>
        </w:rPr>
        <w:t xml:space="preserve">Accountability should be accompanied by transparency. Performance information should be communicated appropriately to professionals and, where relevant, patients </w:t>
      </w:r>
      <w:r w:rsidRPr="00A24CE4">
        <w:rPr>
          <w:rFonts w:ascii="Arial" w:hAnsi="Arial" w:cs="Arial"/>
          <w:lang w:val="en-US"/>
        </w:rPr>
        <w:lastRenderedPageBreak/>
        <w:t>and families. This can strengthen trust and ensure that quality information is used to support informed decision-making</w:t>
      </w:r>
      <w:r w:rsidR="006A2D0A">
        <w:rPr>
          <w:rFonts w:ascii="Arial" w:hAnsi="Arial" w:cs="Arial"/>
          <w:lang w:val="en-US"/>
        </w:rPr>
        <w:t xml:space="preserve"> (</w:t>
      </w:r>
      <w:r w:rsidR="006A2D0A" w:rsidRPr="006A2D0A">
        <w:rPr>
          <w:rFonts w:ascii="Arial" w:hAnsi="Arial" w:cs="Arial"/>
        </w:rPr>
        <w:t>Mahase</w:t>
      </w:r>
      <w:r w:rsidR="006A2D0A">
        <w:rPr>
          <w:rFonts w:ascii="Arial" w:hAnsi="Arial" w:cs="Arial"/>
        </w:rPr>
        <w:t>, 2020)</w:t>
      </w:r>
      <w:r w:rsidRPr="00A24CE4">
        <w:rPr>
          <w:rFonts w:ascii="Arial" w:hAnsi="Arial" w:cs="Arial"/>
          <w:lang w:val="en-US"/>
        </w:rPr>
        <w:t>.</w:t>
      </w:r>
    </w:p>
    <w:p w14:paraId="52766DB3" w14:textId="1BAF80BA" w:rsidR="00104018" w:rsidRPr="00A24CE4" w:rsidRDefault="00104018" w:rsidP="00A31640">
      <w:pPr>
        <w:pStyle w:val="Heading2"/>
      </w:pPr>
      <w:bookmarkStart w:id="15" w:name="_Toc237083448"/>
      <w:r w:rsidRPr="00A24CE4">
        <w:t xml:space="preserve">3.4 Develop </w:t>
      </w:r>
      <w:r w:rsidR="00B12335" w:rsidRPr="00A24CE4">
        <w:t>Positive</w:t>
      </w:r>
      <w:r w:rsidRPr="00A24CE4">
        <w:t xml:space="preserve"> Safety and Speaking-Up Culture</w:t>
      </w:r>
      <w:bookmarkEnd w:id="15"/>
    </w:p>
    <w:p w14:paraId="245B6078" w14:textId="417F97EB" w:rsidR="00104018" w:rsidRPr="00A24CE4" w:rsidRDefault="00104018" w:rsidP="00A24CE4">
      <w:pPr>
        <w:spacing w:line="360" w:lineRule="auto"/>
        <w:jc w:val="both"/>
        <w:rPr>
          <w:rFonts w:ascii="Arial" w:hAnsi="Arial" w:cs="Arial"/>
          <w:lang w:val="en-US"/>
        </w:rPr>
      </w:pPr>
      <w:r w:rsidRPr="00A24CE4">
        <w:rPr>
          <w:rFonts w:ascii="Arial" w:hAnsi="Arial" w:cs="Arial"/>
          <w:lang w:val="en-US"/>
        </w:rPr>
        <w:t>The organisation should create a culture in which staff are encouraged to question unsafe practices and report concerns</w:t>
      </w:r>
      <w:r w:rsidR="001951C5">
        <w:rPr>
          <w:rFonts w:ascii="Arial" w:hAnsi="Arial" w:cs="Arial"/>
          <w:lang w:val="en-US"/>
        </w:rPr>
        <w:t xml:space="preserve"> (</w:t>
      </w:r>
      <w:r w:rsidR="001951C5" w:rsidRPr="002D084D">
        <w:rPr>
          <w:rFonts w:ascii="Arial" w:hAnsi="Arial" w:cs="Arial"/>
        </w:rPr>
        <w:t>Powell</w:t>
      </w:r>
      <w:r w:rsidR="001951C5">
        <w:rPr>
          <w:rFonts w:ascii="Arial" w:hAnsi="Arial" w:cs="Arial"/>
        </w:rPr>
        <w:t xml:space="preserve"> et al, 2022)</w:t>
      </w:r>
      <w:r w:rsidRPr="00A24CE4">
        <w:rPr>
          <w:rFonts w:ascii="Arial" w:hAnsi="Arial" w:cs="Arial"/>
          <w:lang w:val="en-US"/>
        </w:rPr>
        <w:t>. Leadership development should emphasise psychological safety, openness and multidisciplinary collaboration. Staff should have accessible escalation mechanisms independent of immediate line management where appropriate</w:t>
      </w:r>
      <w:r w:rsidR="001951C5">
        <w:rPr>
          <w:rFonts w:ascii="Arial" w:hAnsi="Arial" w:cs="Arial"/>
          <w:lang w:val="en-US"/>
        </w:rPr>
        <w:t xml:space="preserve"> (</w:t>
      </w:r>
      <w:r w:rsidR="001951C5" w:rsidRPr="002D084D">
        <w:rPr>
          <w:rFonts w:ascii="Arial" w:hAnsi="Arial" w:cs="Arial"/>
        </w:rPr>
        <w:t>Powell</w:t>
      </w:r>
      <w:r w:rsidR="001951C5">
        <w:rPr>
          <w:rFonts w:ascii="Arial" w:hAnsi="Arial" w:cs="Arial"/>
        </w:rPr>
        <w:t xml:space="preserve"> et al, 2022)</w:t>
      </w:r>
      <w:r w:rsidRPr="00A24CE4">
        <w:rPr>
          <w:rFonts w:ascii="Arial" w:hAnsi="Arial" w:cs="Arial"/>
          <w:lang w:val="en-US"/>
        </w:rPr>
        <w:t>.</w:t>
      </w:r>
    </w:p>
    <w:p w14:paraId="60909968" w14:textId="58467CBA" w:rsidR="00104018" w:rsidRPr="00A24CE4" w:rsidRDefault="00104018" w:rsidP="00A24CE4">
      <w:pPr>
        <w:spacing w:line="360" w:lineRule="auto"/>
        <w:jc w:val="both"/>
        <w:rPr>
          <w:rFonts w:ascii="Arial" w:hAnsi="Arial" w:cs="Arial"/>
          <w:lang w:val="en-US"/>
        </w:rPr>
      </w:pPr>
      <w:r w:rsidRPr="00A24CE4">
        <w:rPr>
          <w:rFonts w:ascii="Arial" w:hAnsi="Arial" w:cs="Arial"/>
          <w:lang w:val="en-US"/>
        </w:rPr>
        <w:t xml:space="preserve">This recommendation directly addresses the environmental and leadership weaknesses identified through the Fishbone analysis. A strong safety culture can </w:t>
      </w:r>
      <w:r w:rsidR="00E31FDB">
        <w:rPr>
          <w:rFonts w:ascii="Arial" w:hAnsi="Arial" w:cs="Arial"/>
          <w:lang w:val="en-US"/>
        </w:rPr>
        <w:t>serve as an additional defensive layer within Reason's Swiss Cheese Model by increasing the likelihood that weaknesses will be identified before they cause</w:t>
      </w:r>
      <w:r w:rsidRPr="00A24CE4">
        <w:rPr>
          <w:rFonts w:ascii="Arial" w:hAnsi="Arial" w:cs="Arial"/>
          <w:lang w:val="en-US"/>
        </w:rPr>
        <w:t xml:space="preserve"> patient harm</w:t>
      </w:r>
      <w:r w:rsidR="001951C5">
        <w:rPr>
          <w:rFonts w:ascii="Arial" w:hAnsi="Arial" w:cs="Arial"/>
          <w:lang w:val="en-US"/>
        </w:rPr>
        <w:t xml:space="preserve"> (</w:t>
      </w:r>
      <w:r w:rsidR="00E31FDB" w:rsidRPr="008D6B09">
        <w:rPr>
          <w:rFonts w:ascii="Arial" w:hAnsi="Arial" w:cs="Arial"/>
        </w:rPr>
        <w:t>Harpwood</w:t>
      </w:r>
      <w:r w:rsidR="001951C5">
        <w:rPr>
          <w:rFonts w:ascii="Arial" w:hAnsi="Arial" w:cs="Arial"/>
        </w:rPr>
        <w:t>, 20</w:t>
      </w:r>
      <w:r w:rsidR="00E31FDB">
        <w:rPr>
          <w:rFonts w:ascii="Arial" w:hAnsi="Arial" w:cs="Arial"/>
        </w:rPr>
        <w:t>1</w:t>
      </w:r>
      <w:r w:rsidR="001951C5">
        <w:rPr>
          <w:rFonts w:ascii="Arial" w:hAnsi="Arial" w:cs="Arial"/>
        </w:rPr>
        <w:t>6)</w:t>
      </w:r>
      <w:r w:rsidRPr="00A24CE4">
        <w:rPr>
          <w:rFonts w:ascii="Arial" w:hAnsi="Arial" w:cs="Arial"/>
          <w:lang w:val="en-US"/>
        </w:rPr>
        <w:t>.</w:t>
      </w:r>
    </w:p>
    <w:p w14:paraId="265A255E" w14:textId="77777777" w:rsidR="00104018" w:rsidRPr="00A24CE4" w:rsidRDefault="00104018" w:rsidP="00A31640">
      <w:pPr>
        <w:pStyle w:val="Heading2"/>
      </w:pPr>
      <w:bookmarkStart w:id="16" w:name="_Toc237083449"/>
      <w:r w:rsidRPr="00A24CE4">
        <w:t>3.5 Integrate Continuous Audit and Organisational Learning</w:t>
      </w:r>
      <w:bookmarkEnd w:id="16"/>
    </w:p>
    <w:p w14:paraId="6B5840EA" w14:textId="755A9570" w:rsidR="00104018" w:rsidRPr="00A24CE4" w:rsidRDefault="00104018" w:rsidP="00A24CE4">
      <w:pPr>
        <w:spacing w:line="360" w:lineRule="auto"/>
        <w:jc w:val="both"/>
        <w:rPr>
          <w:rFonts w:ascii="Arial" w:hAnsi="Arial" w:cs="Arial"/>
          <w:lang w:val="en-US"/>
        </w:rPr>
      </w:pPr>
      <w:r w:rsidRPr="00A24CE4">
        <w:rPr>
          <w:rFonts w:ascii="Arial" w:hAnsi="Arial" w:cs="Arial"/>
          <w:lang w:val="en-US"/>
        </w:rPr>
        <w:t>Clinical audit should become a continuous component of service management rather than an occasional activity</w:t>
      </w:r>
      <w:r w:rsidR="001951C5">
        <w:rPr>
          <w:rFonts w:ascii="Arial" w:hAnsi="Arial" w:cs="Arial"/>
          <w:lang w:val="en-US"/>
        </w:rPr>
        <w:t xml:space="preserve"> (</w:t>
      </w:r>
      <w:r w:rsidR="001951C5" w:rsidRPr="00E66E47">
        <w:rPr>
          <w:rFonts w:ascii="Arial" w:hAnsi="Arial" w:cs="Arial"/>
        </w:rPr>
        <w:t>Mannion</w:t>
      </w:r>
      <w:r w:rsidR="001951C5">
        <w:rPr>
          <w:rFonts w:ascii="Arial" w:hAnsi="Arial" w:cs="Arial"/>
        </w:rPr>
        <w:t>, 2024)</w:t>
      </w:r>
      <w:r w:rsidRPr="00A24CE4">
        <w:rPr>
          <w:rFonts w:ascii="Arial" w:hAnsi="Arial" w:cs="Arial"/>
          <w:lang w:val="en-US"/>
        </w:rPr>
        <w:t>. Audit cycles should identify standards, measure current performance, implement changes and reassess outcomes. Findings should be shared across relevant clinical teams to promote organisational learning</w:t>
      </w:r>
      <w:r w:rsidR="001951C5">
        <w:rPr>
          <w:rFonts w:ascii="Arial" w:hAnsi="Arial" w:cs="Arial"/>
          <w:lang w:val="en-US"/>
        </w:rPr>
        <w:t xml:space="preserve"> (</w:t>
      </w:r>
      <w:r w:rsidR="001951C5" w:rsidRPr="00E66E47">
        <w:rPr>
          <w:rFonts w:ascii="Arial" w:hAnsi="Arial" w:cs="Arial"/>
        </w:rPr>
        <w:t>Mannion</w:t>
      </w:r>
      <w:r w:rsidR="001951C5">
        <w:rPr>
          <w:rFonts w:ascii="Arial" w:hAnsi="Arial" w:cs="Arial"/>
        </w:rPr>
        <w:t>, 2024)</w:t>
      </w:r>
      <w:r w:rsidRPr="00A24CE4">
        <w:rPr>
          <w:rFonts w:ascii="Arial" w:hAnsi="Arial" w:cs="Arial"/>
          <w:lang w:val="en-US"/>
        </w:rPr>
        <w:t>.</w:t>
      </w:r>
    </w:p>
    <w:p w14:paraId="33BF52EF" w14:textId="650A78B0" w:rsidR="00104018" w:rsidRPr="00A24CE4" w:rsidRDefault="00104018" w:rsidP="00A24CE4">
      <w:pPr>
        <w:spacing w:line="360" w:lineRule="auto"/>
        <w:jc w:val="both"/>
        <w:rPr>
          <w:rFonts w:ascii="Arial" w:hAnsi="Arial" w:cs="Arial"/>
          <w:lang w:val="en-US"/>
        </w:rPr>
      </w:pPr>
      <w:r w:rsidRPr="00A24CE4">
        <w:rPr>
          <w:rFonts w:ascii="Arial" w:hAnsi="Arial" w:cs="Arial"/>
          <w:lang w:val="en-US"/>
        </w:rPr>
        <w:t>Learning from adverse events should similarly focus on system improvement rather than individual blame unless there is evidence of deliberate or seriously unsafe conduct. This approach can encourage staff participation and increase the likelihood that near misses and emerging risks are reported</w:t>
      </w:r>
      <w:r w:rsidR="001951C5">
        <w:rPr>
          <w:rFonts w:ascii="Arial" w:hAnsi="Arial" w:cs="Arial"/>
          <w:lang w:val="en-US"/>
        </w:rPr>
        <w:t xml:space="preserve"> (</w:t>
      </w:r>
      <w:r w:rsidR="001951C5" w:rsidRPr="002D084D">
        <w:rPr>
          <w:rFonts w:ascii="Arial" w:hAnsi="Arial" w:cs="Arial"/>
        </w:rPr>
        <w:t>Powell</w:t>
      </w:r>
      <w:r w:rsidR="001951C5">
        <w:rPr>
          <w:rFonts w:ascii="Arial" w:hAnsi="Arial" w:cs="Arial"/>
        </w:rPr>
        <w:t xml:space="preserve"> et al, 2022)</w:t>
      </w:r>
      <w:r w:rsidRPr="00A24CE4">
        <w:rPr>
          <w:rFonts w:ascii="Arial" w:hAnsi="Arial" w:cs="Arial"/>
          <w:lang w:val="en-US"/>
        </w:rPr>
        <w:t>.</w:t>
      </w:r>
    </w:p>
    <w:p w14:paraId="4DDD7377" w14:textId="77777777" w:rsidR="00104018" w:rsidRPr="00A24CE4" w:rsidRDefault="00104018" w:rsidP="00A31640">
      <w:pPr>
        <w:pStyle w:val="Heading2"/>
      </w:pPr>
      <w:bookmarkStart w:id="17" w:name="_Toc237083450"/>
      <w:r w:rsidRPr="00A24CE4">
        <w:t>3.6 Establish Multidisciplinary Quality Improvement Teams</w:t>
      </w:r>
      <w:bookmarkEnd w:id="17"/>
    </w:p>
    <w:p w14:paraId="43A37180" w14:textId="3EAFFCE8" w:rsidR="00104018" w:rsidRPr="00A24CE4" w:rsidRDefault="00104018" w:rsidP="00A24CE4">
      <w:pPr>
        <w:spacing w:line="360" w:lineRule="auto"/>
        <w:jc w:val="both"/>
        <w:rPr>
          <w:rFonts w:ascii="Arial" w:hAnsi="Arial" w:cs="Arial"/>
          <w:lang w:val="en-US"/>
        </w:rPr>
      </w:pPr>
      <w:r w:rsidRPr="00A24CE4">
        <w:rPr>
          <w:rFonts w:ascii="Arial" w:hAnsi="Arial" w:cs="Arial"/>
          <w:lang w:val="en-US"/>
        </w:rPr>
        <w:t>Specialist services should establish multidisciplinary quality improvement teams involving surgeons, nurses, anaesthetists, allied health professionals, managers, governance specialists and patient representatives. Such teams can review performance data and coordinate improvement activities</w:t>
      </w:r>
      <w:r w:rsidR="00E66E47">
        <w:rPr>
          <w:rFonts w:ascii="Arial" w:hAnsi="Arial" w:cs="Arial"/>
          <w:lang w:val="en-US"/>
        </w:rPr>
        <w:t xml:space="preserve"> (</w:t>
      </w:r>
      <w:r w:rsidR="00E66E47" w:rsidRPr="00E66E47">
        <w:rPr>
          <w:rFonts w:ascii="Arial" w:hAnsi="Arial" w:cs="Arial"/>
        </w:rPr>
        <w:t>Mannion</w:t>
      </w:r>
      <w:r w:rsidR="00E66E47">
        <w:rPr>
          <w:rFonts w:ascii="Arial" w:hAnsi="Arial" w:cs="Arial"/>
        </w:rPr>
        <w:t>, 2024)</w:t>
      </w:r>
      <w:r w:rsidRPr="00A24CE4">
        <w:rPr>
          <w:rFonts w:ascii="Arial" w:hAnsi="Arial" w:cs="Arial"/>
          <w:lang w:val="en-US"/>
        </w:rPr>
        <w:t>.</w:t>
      </w:r>
    </w:p>
    <w:p w14:paraId="70460A19" w14:textId="22E1DCC3" w:rsidR="00104018" w:rsidRPr="00A24CE4" w:rsidRDefault="00104018" w:rsidP="00A24CE4">
      <w:pPr>
        <w:spacing w:line="360" w:lineRule="auto"/>
        <w:jc w:val="both"/>
        <w:rPr>
          <w:rFonts w:ascii="Arial" w:hAnsi="Arial" w:cs="Arial"/>
          <w:lang w:val="en-US"/>
        </w:rPr>
      </w:pPr>
      <w:r w:rsidRPr="00A24CE4">
        <w:rPr>
          <w:rFonts w:ascii="Arial" w:hAnsi="Arial" w:cs="Arial"/>
          <w:lang w:val="en-US"/>
        </w:rPr>
        <w:lastRenderedPageBreak/>
        <w:t>Patient and family involvement is particularly important because quality should not be defined exclusively by clinical outcomes</w:t>
      </w:r>
      <w:r w:rsidR="001951C5">
        <w:rPr>
          <w:rFonts w:ascii="Arial" w:hAnsi="Arial" w:cs="Arial"/>
          <w:lang w:val="en-US"/>
        </w:rPr>
        <w:t xml:space="preserve"> (</w:t>
      </w:r>
      <w:r w:rsidR="001951C5" w:rsidRPr="006A2D0A">
        <w:rPr>
          <w:rFonts w:ascii="Arial" w:hAnsi="Arial" w:cs="Arial"/>
        </w:rPr>
        <w:t>Mahase</w:t>
      </w:r>
      <w:r w:rsidR="001951C5">
        <w:rPr>
          <w:rFonts w:ascii="Arial" w:hAnsi="Arial" w:cs="Arial"/>
        </w:rPr>
        <w:t>, 2020)</w:t>
      </w:r>
      <w:r w:rsidRPr="00A24CE4">
        <w:rPr>
          <w:rFonts w:ascii="Arial" w:hAnsi="Arial" w:cs="Arial"/>
          <w:lang w:val="en-US"/>
        </w:rPr>
        <w:t>. Experience, communication, transparency and involvement in decision-making are also important dimensions of patient-</w:t>
      </w:r>
      <w:r w:rsidR="00A814C6" w:rsidRPr="00A24CE4">
        <w:rPr>
          <w:rFonts w:ascii="Arial" w:hAnsi="Arial" w:cs="Arial"/>
          <w:lang w:val="en-US"/>
        </w:rPr>
        <w:t>centered</w:t>
      </w:r>
      <w:r w:rsidRPr="00A24CE4">
        <w:rPr>
          <w:rFonts w:ascii="Arial" w:hAnsi="Arial" w:cs="Arial"/>
          <w:lang w:val="en-US"/>
        </w:rPr>
        <w:t xml:space="preserve"> care. Multidisciplinary collaboration can therefore reduce communication gaps while strengthening collective responsibility for quality</w:t>
      </w:r>
      <w:r w:rsidR="001951C5">
        <w:rPr>
          <w:rFonts w:ascii="Arial" w:hAnsi="Arial" w:cs="Arial"/>
          <w:lang w:val="en-US"/>
        </w:rPr>
        <w:t xml:space="preserve"> (</w:t>
      </w:r>
      <w:r w:rsidR="00E31FDB">
        <w:rPr>
          <w:rFonts w:ascii="Arial" w:hAnsi="Arial" w:cs="Arial"/>
        </w:rPr>
        <w:t>Harpwood</w:t>
      </w:r>
      <w:r w:rsidR="001951C5">
        <w:rPr>
          <w:rFonts w:ascii="Arial" w:hAnsi="Arial" w:cs="Arial"/>
        </w:rPr>
        <w:t>, 20</w:t>
      </w:r>
      <w:r w:rsidR="00E31FDB">
        <w:rPr>
          <w:rFonts w:ascii="Arial" w:hAnsi="Arial" w:cs="Arial"/>
        </w:rPr>
        <w:t>1</w:t>
      </w:r>
      <w:r w:rsidR="001951C5">
        <w:rPr>
          <w:rFonts w:ascii="Arial" w:hAnsi="Arial" w:cs="Arial"/>
        </w:rPr>
        <w:t>6)</w:t>
      </w:r>
      <w:r w:rsidRPr="00A24CE4">
        <w:rPr>
          <w:rFonts w:ascii="Arial" w:hAnsi="Arial" w:cs="Arial"/>
          <w:lang w:val="en-US"/>
        </w:rPr>
        <w:t>.</w:t>
      </w:r>
    </w:p>
    <w:p w14:paraId="49FE4FAD" w14:textId="77777777" w:rsidR="00104018" w:rsidRPr="00A24CE4" w:rsidRDefault="00104018" w:rsidP="00A31640">
      <w:pPr>
        <w:pStyle w:val="Heading2"/>
      </w:pPr>
      <w:bookmarkStart w:id="18" w:name="_Toc237083451"/>
      <w:r w:rsidRPr="00A24CE4">
        <w:t>3.7 Monitor Sustainability Through Continuous Improvement</w:t>
      </w:r>
      <w:bookmarkEnd w:id="18"/>
    </w:p>
    <w:p w14:paraId="3C437D95" w14:textId="59F140DB" w:rsidR="00104018" w:rsidRPr="00A24CE4" w:rsidRDefault="00104018" w:rsidP="00A24CE4">
      <w:pPr>
        <w:spacing w:line="360" w:lineRule="auto"/>
        <w:jc w:val="both"/>
        <w:rPr>
          <w:rFonts w:ascii="Arial" w:hAnsi="Arial" w:cs="Arial"/>
          <w:lang w:val="en-US"/>
        </w:rPr>
      </w:pPr>
      <w:r w:rsidRPr="00A24CE4">
        <w:rPr>
          <w:rFonts w:ascii="Arial" w:hAnsi="Arial" w:cs="Arial"/>
          <w:lang w:val="en-US"/>
        </w:rPr>
        <w:t>Finally, quality improvement should be treated as a continuing organisational responsibility rather than a temporary response to an inquiry. Regular audits, benchmarking, staff feedback, incident analysis and outcome monitoring should be integrated into routine governance</w:t>
      </w:r>
      <w:r w:rsidR="001951C5">
        <w:rPr>
          <w:rFonts w:ascii="Arial" w:hAnsi="Arial" w:cs="Arial"/>
          <w:lang w:val="en-US"/>
        </w:rPr>
        <w:t xml:space="preserve"> (</w:t>
      </w:r>
      <w:r w:rsidR="008D6B09" w:rsidRPr="008D6B09">
        <w:rPr>
          <w:rFonts w:ascii="Arial" w:hAnsi="Arial" w:cs="Arial"/>
        </w:rPr>
        <w:t>Harpwood</w:t>
      </w:r>
      <w:r w:rsidR="001951C5">
        <w:rPr>
          <w:rFonts w:ascii="Arial" w:hAnsi="Arial" w:cs="Arial"/>
        </w:rPr>
        <w:t>, 20</w:t>
      </w:r>
      <w:r w:rsidR="008D6B09">
        <w:rPr>
          <w:rFonts w:ascii="Arial" w:hAnsi="Arial" w:cs="Arial"/>
        </w:rPr>
        <w:t>1</w:t>
      </w:r>
      <w:r w:rsidR="001951C5">
        <w:rPr>
          <w:rFonts w:ascii="Arial" w:hAnsi="Arial" w:cs="Arial"/>
        </w:rPr>
        <w:t>6)</w:t>
      </w:r>
      <w:r w:rsidRPr="00A24CE4">
        <w:rPr>
          <w:rFonts w:ascii="Arial" w:hAnsi="Arial" w:cs="Arial"/>
          <w:lang w:val="en-US"/>
        </w:rPr>
        <w:t>.</w:t>
      </w:r>
    </w:p>
    <w:p w14:paraId="18438A61" w14:textId="4986AB79" w:rsidR="00104018" w:rsidRPr="00A24CE4" w:rsidRDefault="00104018" w:rsidP="00A24CE4">
      <w:pPr>
        <w:spacing w:line="360" w:lineRule="auto"/>
        <w:jc w:val="both"/>
        <w:rPr>
          <w:rFonts w:ascii="Arial" w:hAnsi="Arial" w:cs="Arial"/>
          <w:lang w:val="en-US"/>
        </w:rPr>
      </w:pPr>
      <w:r w:rsidRPr="00A24CE4">
        <w:rPr>
          <w:rFonts w:ascii="Arial" w:hAnsi="Arial" w:cs="Arial"/>
          <w:lang w:val="en-US"/>
        </w:rPr>
        <w:t>The recommendations should be reviewed periodically to determine whether improvements are sustained. Where outcomes deteriorate, organisations should return to the DMAIC cycle and identify new causes of variation. This establishes a continuous learning system capable of adapting to changing clinical circumstances rather than relying on static policies</w:t>
      </w:r>
      <w:r w:rsidR="001951C5">
        <w:rPr>
          <w:rFonts w:ascii="Arial" w:hAnsi="Arial" w:cs="Arial"/>
          <w:lang w:val="en-US"/>
        </w:rPr>
        <w:t xml:space="preserve"> (</w:t>
      </w:r>
      <w:r w:rsidR="001951C5" w:rsidRPr="006A2D0A">
        <w:rPr>
          <w:rFonts w:ascii="Arial" w:hAnsi="Arial" w:cs="Arial"/>
        </w:rPr>
        <w:t>Mahase</w:t>
      </w:r>
      <w:r w:rsidR="001951C5">
        <w:rPr>
          <w:rFonts w:ascii="Arial" w:hAnsi="Arial" w:cs="Arial"/>
        </w:rPr>
        <w:t>, 2020)</w:t>
      </w:r>
      <w:r w:rsidRPr="00A24CE4">
        <w:rPr>
          <w:rFonts w:ascii="Arial" w:hAnsi="Arial" w:cs="Arial"/>
          <w:lang w:val="en-US"/>
        </w:rPr>
        <w:t>.</w:t>
      </w:r>
    </w:p>
    <w:p w14:paraId="72206694" w14:textId="77777777" w:rsidR="00104018" w:rsidRPr="00A24CE4" w:rsidRDefault="00104018" w:rsidP="00A31640">
      <w:pPr>
        <w:pStyle w:val="Heading1"/>
        <w:rPr>
          <w:lang w:val="en-US"/>
        </w:rPr>
      </w:pPr>
      <w:bookmarkStart w:id="19" w:name="_Toc237083452"/>
      <w:r w:rsidRPr="00A24CE4">
        <w:rPr>
          <w:lang w:val="en-US"/>
        </w:rPr>
        <w:t>4. Conclusion</w:t>
      </w:r>
      <w:bookmarkEnd w:id="19"/>
    </w:p>
    <w:p w14:paraId="4FFD448A" w14:textId="77777777" w:rsidR="008D6B09" w:rsidRDefault="008D6B09" w:rsidP="00A24CE4">
      <w:pPr>
        <w:spacing w:line="360" w:lineRule="auto"/>
        <w:jc w:val="both"/>
        <w:rPr>
          <w:rFonts w:ascii="Arial" w:hAnsi="Arial" w:cs="Arial"/>
        </w:rPr>
      </w:pPr>
      <w:r w:rsidRPr="008D6B09">
        <w:rPr>
          <w:rFonts w:ascii="Arial" w:hAnsi="Arial" w:cs="Arial"/>
        </w:rPr>
        <w:t>The Bristol Royal Infirmary Inquiry illustrates how significant patient harm can result from interconnected weaknesses in quality assurance, clinical governance, leadership, communication and organisational accountability. The case highlights that failures in healthcare quality cannot be attributed solely to individual clinical errors. Maintaining patient safety requires robust organisational systems that can identify variations in performance, address emerging concerns and implement appropriate corrective measures without delay.</w:t>
      </w:r>
    </w:p>
    <w:p w14:paraId="4F967427" w14:textId="349EED2A" w:rsidR="00104018" w:rsidRPr="00A24CE4" w:rsidRDefault="00104018" w:rsidP="00A24CE4">
      <w:pPr>
        <w:spacing w:line="360" w:lineRule="auto"/>
        <w:jc w:val="both"/>
        <w:rPr>
          <w:rFonts w:ascii="Arial" w:hAnsi="Arial" w:cs="Arial"/>
          <w:lang w:val="en-US"/>
        </w:rPr>
      </w:pPr>
      <w:r w:rsidRPr="00A24CE4">
        <w:rPr>
          <w:rFonts w:ascii="Arial" w:hAnsi="Arial" w:cs="Arial"/>
          <w:lang w:val="en-US"/>
        </w:rPr>
        <w:t xml:space="preserve">The Swiss Cheese Model demonstrated how multiple defensive barriers failed simultaneously, while Root Cause Analysis and the Fishbone Diagram identified interconnected organisational, process, leadership and cultural contributors. The Donabedian Model further demonstrated the relationship between weaknesses in healthcare structures and processes and the resulting adverse outcomes. SWOT </w:t>
      </w:r>
      <w:r w:rsidRPr="00A24CE4">
        <w:rPr>
          <w:rFonts w:ascii="Arial" w:hAnsi="Arial" w:cs="Arial"/>
          <w:lang w:val="en-US"/>
        </w:rPr>
        <w:lastRenderedPageBreak/>
        <w:t>analysis highlighted the strategic opportunities for strengthening governance, monitoring and transparency.</w:t>
      </w:r>
    </w:p>
    <w:p w14:paraId="59F2D256" w14:textId="77777777" w:rsidR="00104018" w:rsidRPr="00A24CE4" w:rsidRDefault="00104018" w:rsidP="00A24CE4">
      <w:pPr>
        <w:spacing w:line="360" w:lineRule="auto"/>
        <w:jc w:val="both"/>
        <w:rPr>
          <w:rFonts w:ascii="Arial" w:hAnsi="Arial" w:cs="Arial"/>
          <w:lang w:val="en-US"/>
        </w:rPr>
      </w:pPr>
      <w:r w:rsidRPr="00A24CE4">
        <w:rPr>
          <w:rFonts w:ascii="Arial" w:hAnsi="Arial" w:cs="Arial"/>
          <w:lang w:val="en-US"/>
        </w:rPr>
        <w:t>The recommended approach combines stronger national outcome monitoring, clinical governance, staff engagement, multidisciplinary quality improvement and continuous clinical audit. The Six Sigma DMAIC framework provides a structured mechanism for implementing and sustaining these changes through systematic definition, measurement, analysis, improvement and control. Ultimately, the Bristol case demonstrates that effective quality assurance is not a one-time activity but a continuous organisational commitment to measurement, learning, accountability and patient safety.</w:t>
      </w:r>
    </w:p>
    <w:p w14:paraId="6B05F1D0" w14:textId="77777777" w:rsidR="00C974F8" w:rsidRDefault="00C974F8" w:rsidP="00A24CE4">
      <w:pPr>
        <w:spacing w:line="360" w:lineRule="auto"/>
        <w:jc w:val="both"/>
        <w:rPr>
          <w:rFonts w:ascii="Arial" w:hAnsi="Arial" w:cs="Arial"/>
        </w:rPr>
      </w:pPr>
    </w:p>
    <w:p w14:paraId="5F6015B8" w14:textId="77777777" w:rsidR="00A31640" w:rsidRDefault="00A31640" w:rsidP="00A24CE4">
      <w:pPr>
        <w:spacing w:line="360" w:lineRule="auto"/>
        <w:jc w:val="both"/>
        <w:rPr>
          <w:rFonts w:ascii="Arial" w:hAnsi="Arial" w:cs="Arial"/>
        </w:rPr>
      </w:pPr>
    </w:p>
    <w:p w14:paraId="33088B42" w14:textId="77777777" w:rsidR="00A31640" w:rsidRDefault="00A31640" w:rsidP="00A24CE4">
      <w:pPr>
        <w:spacing w:line="360" w:lineRule="auto"/>
        <w:jc w:val="both"/>
        <w:rPr>
          <w:rFonts w:ascii="Arial" w:hAnsi="Arial" w:cs="Arial"/>
        </w:rPr>
      </w:pPr>
    </w:p>
    <w:p w14:paraId="67D98F35" w14:textId="77777777" w:rsidR="00A31640" w:rsidRDefault="00A31640" w:rsidP="00A24CE4">
      <w:pPr>
        <w:spacing w:line="360" w:lineRule="auto"/>
        <w:jc w:val="both"/>
        <w:rPr>
          <w:rFonts w:ascii="Arial" w:hAnsi="Arial" w:cs="Arial"/>
        </w:rPr>
      </w:pPr>
    </w:p>
    <w:p w14:paraId="363038A1" w14:textId="77777777" w:rsidR="000E6EA1" w:rsidRDefault="000E6EA1" w:rsidP="00A24CE4">
      <w:pPr>
        <w:spacing w:line="360" w:lineRule="auto"/>
        <w:jc w:val="both"/>
        <w:rPr>
          <w:rFonts w:ascii="Arial" w:hAnsi="Arial" w:cs="Arial"/>
        </w:rPr>
      </w:pPr>
    </w:p>
    <w:p w14:paraId="620ECFBB" w14:textId="77777777" w:rsidR="000E6EA1" w:rsidRDefault="000E6EA1" w:rsidP="00A24CE4">
      <w:pPr>
        <w:spacing w:line="360" w:lineRule="auto"/>
        <w:jc w:val="both"/>
        <w:rPr>
          <w:rFonts w:ascii="Arial" w:hAnsi="Arial" w:cs="Arial"/>
        </w:rPr>
      </w:pPr>
    </w:p>
    <w:p w14:paraId="67464AF6" w14:textId="77777777" w:rsidR="000E6EA1" w:rsidRDefault="000E6EA1" w:rsidP="00A24CE4">
      <w:pPr>
        <w:spacing w:line="360" w:lineRule="auto"/>
        <w:jc w:val="both"/>
        <w:rPr>
          <w:rFonts w:ascii="Arial" w:hAnsi="Arial" w:cs="Arial"/>
        </w:rPr>
      </w:pPr>
    </w:p>
    <w:p w14:paraId="129E2433" w14:textId="77777777" w:rsidR="000E6EA1" w:rsidRDefault="000E6EA1" w:rsidP="00A24CE4">
      <w:pPr>
        <w:spacing w:line="360" w:lineRule="auto"/>
        <w:jc w:val="both"/>
        <w:rPr>
          <w:rFonts w:ascii="Arial" w:hAnsi="Arial" w:cs="Arial"/>
        </w:rPr>
      </w:pPr>
    </w:p>
    <w:p w14:paraId="315BF2BE" w14:textId="77777777" w:rsidR="000E6EA1" w:rsidRDefault="000E6EA1" w:rsidP="00A24CE4">
      <w:pPr>
        <w:spacing w:line="360" w:lineRule="auto"/>
        <w:jc w:val="both"/>
        <w:rPr>
          <w:rFonts w:ascii="Arial" w:hAnsi="Arial" w:cs="Arial"/>
        </w:rPr>
      </w:pPr>
    </w:p>
    <w:p w14:paraId="4BB941A6" w14:textId="77777777" w:rsidR="000E6EA1" w:rsidRDefault="000E6EA1" w:rsidP="00A24CE4">
      <w:pPr>
        <w:spacing w:line="360" w:lineRule="auto"/>
        <w:jc w:val="both"/>
        <w:rPr>
          <w:rFonts w:ascii="Arial" w:hAnsi="Arial" w:cs="Arial"/>
        </w:rPr>
      </w:pPr>
    </w:p>
    <w:p w14:paraId="48304AFF" w14:textId="77777777" w:rsidR="000E6EA1" w:rsidRDefault="000E6EA1" w:rsidP="00A24CE4">
      <w:pPr>
        <w:spacing w:line="360" w:lineRule="auto"/>
        <w:jc w:val="both"/>
        <w:rPr>
          <w:rFonts w:ascii="Arial" w:hAnsi="Arial" w:cs="Arial"/>
        </w:rPr>
      </w:pPr>
    </w:p>
    <w:p w14:paraId="19B519B9" w14:textId="77777777" w:rsidR="000E6EA1" w:rsidRDefault="000E6EA1" w:rsidP="00A24CE4">
      <w:pPr>
        <w:spacing w:line="360" w:lineRule="auto"/>
        <w:jc w:val="both"/>
        <w:rPr>
          <w:rFonts w:ascii="Arial" w:hAnsi="Arial" w:cs="Arial"/>
        </w:rPr>
      </w:pPr>
    </w:p>
    <w:p w14:paraId="02BD65AA" w14:textId="77777777" w:rsidR="000E6EA1" w:rsidRDefault="000E6EA1" w:rsidP="00A24CE4">
      <w:pPr>
        <w:spacing w:line="360" w:lineRule="auto"/>
        <w:jc w:val="both"/>
        <w:rPr>
          <w:rFonts w:ascii="Arial" w:hAnsi="Arial" w:cs="Arial"/>
        </w:rPr>
      </w:pPr>
    </w:p>
    <w:p w14:paraId="76FBC013" w14:textId="77777777" w:rsidR="000E6EA1" w:rsidRDefault="000E6EA1" w:rsidP="00A24CE4">
      <w:pPr>
        <w:spacing w:line="360" w:lineRule="auto"/>
        <w:jc w:val="both"/>
        <w:rPr>
          <w:rFonts w:ascii="Arial" w:hAnsi="Arial" w:cs="Arial"/>
        </w:rPr>
      </w:pPr>
    </w:p>
    <w:p w14:paraId="64F8A44A" w14:textId="77777777" w:rsidR="00A31640" w:rsidRDefault="00A31640" w:rsidP="00A24CE4">
      <w:pPr>
        <w:spacing w:line="360" w:lineRule="auto"/>
        <w:jc w:val="both"/>
        <w:rPr>
          <w:rFonts w:ascii="Arial" w:hAnsi="Arial" w:cs="Arial"/>
        </w:rPr>
      </w:pPr>
    </w:p>
    <w:p w14:paraId="2053E687" w14:textId="77777777" w:rsidR="00A31640" w:rsidRPr="00A24CE4" w:rsidRDefault="00A31640" w:rsidP="00A31640">
      <w:pPr>
        <w:pStyle w:val="Heading1"/>
        <w:rPr>
          <w:sz w:val="24"/>
          <w:szCs w:val="24"/>
        </w:rPr>
      </w:pPr>
      <w:bookmarkStart w:id="20" w:name="_Toc237083453"/>
      <w:r>
        <w:lastRenderedPageBreak/>
        <w:t>References</w:t>
      </w:r>
      <w:bookmarkEnd w:id="20"/>
    </w:p>
    <w:p w14:paraId="68B925C4" w14:textId="6B065E6F" w:rsidR="00C61096" w:rsidRDefault="00C61096" w:rsidP="003C421D">
      <w:pPr>
        <w:spacing w:line="360" w:lineRule="auto"/>
        <w:jc w:val="both"/>
        <w:rPr>
          <w:rFonts w:ascii="Arial" w:hAnsi="Arial" w:cs="Arial"/>
          <w:lang w:val="en-US"/>
        </w:rPr>
      </w:pPr>
      <w:r w:rsidRPr="00C61096">
        <w:rPr>
          <w:rFonts w:ascii="Arial" w:hAnsi="Arial" w:cs="Arial"/>
        </w:rPr>
        <w:t xml:space="preserve">Bellandi, T., Tartaglia, R., Forni, S., D'Arienzo, S. and Tulli, G., </w:t>
      </w:r>
      <w:r w:rsidR="00F53FDB">
        <w:rPr>
          <w:rFonts w:ascii="Arial" w:hAnsi="Arial" w:cs="Arial"/>
        </w:rPr>
        <w:t>(</w:t>
      </w:r>
      <w:r w:rsidRPr="00C61096">
        <w:rPr>
          <w:rFonts w:ascii="Arial" w:hAnsi="Arial" w:cs="Arial"/>
        </w:rPr>
        <w:t>2017</w:t>
      </w:r>
      <w:r w:rsidR="00F53FDB">
        <w:rPr>
          <w:rFonts w:ascii="Arial" w:hAnsi="Arial" w:cs="Arial"/>
        </w:rPr>
        <w:t>)</w:t>
      </w:r>
      <w:r w:rsidRPr="00C61096">
        <w:rPr>
          <w:rFonts w:ascii="Arial" w:hAnsi="Arial" w:cs="Arial"/>
        </w:rPr>
        <w:t>. Adverse events in cardiac surgery, a mixed methods retrospective study in an Italian teaching hospital. </w:t>
      </w:r>
      <w:r w:rsidRPr="00C61096">
        <w:rPr>
          <w:rFonts w:ascii="Arial" w:hAnsi="Arial" w:cs="Arial"/>
          <w:i/>
          <w:iCs/>
        </w:rPr>
        <w:t>Journal of Evaluation in Clinical Practice</w:t>
      </w:r>
      <w:r w:rsidRPr="00C61096">
        <w:rPr>
          <w:rFonts w:ascii="Arial" w:hAnsi="Arial" w:cs="Arial"/>
        </w:rPr>
        <w:t>, </w:t>
      </w:r>
      <w:r w:rsidRPr="00C61096">
        <w:rPr>
          <w:rFonts w:ascii="Arial" w:hAnsi="Arial" w:cs="Arial"/>
          <w:i/>
          <w:iCs/>
        </w:rPr>
        <w:t>23</w:t>
      </w:r>
      <w:r w:rsidRPr="00C61096">
        <w:rPr>
          <w:rFonts w:ascii="Arial" w:hAnsi="Arial" w:cs="Arial"/>
        </w:rPr>
        <w:t>(4), pp.839-847.</w:t>
      </w:r>
      <w:r>
        <w:rPr>
          <w:rFonts w:ascii="Arial" w:hAnsi="Arial" w:cs="Arial"/>
          <w:lang w:val="en-US"/>
        </w:rPr>
        <w:t xml:space="preserve"> </w:t>
      </w:r>
      <w:hyperlink r:id="rId9" w:history="1">
        <w:r w:rsidRPr="00110A9F">
          <w:rPr>
            <w:rStyle w:val="Hyperlink"/>
            <w:rFonts w:ascii="Arial" w:hAnsi="Arial" w:cs="Arial"/>
            <w:lang w:val="en-US"/>
          </w:rPr>
          <w:t>https://onlinelibrary.wiley.com/doi/abs/10.1111/jep.12727</w:t>
        </w:r>
      </w:hyperlink>
    </w:p>
    <w:p w14:paraId="7088EB66" w14:textId="34C77DDD" w:rsidR="00886136" w:rsidRDefault="00886136" w:rsidP="003C421D">
      <w:pPr>
        <w:spacing w:line="360" w:lineRule="auto"/>
        <w:jc w:val="both"/>
        <w:rPr>
          <w:rFonts w:ascii="Arial" w:hAnsi="Arial" w:cs="Arial"/>
          <w:lang w:val="en-US"/>
        </w:rPr>
      </w:pPr>
      <w:r w:rsidRPr="00886136">
        <w:rPr>
          <w:rFonts w:ascii="Arial" w:hAnsi="Arial" w:cs="Arial"/>
        </w:rPr>
        <w:t xml:space="preserve">Buist, M., </w:t>
      </w:r>
      <w:r w:rsidR="00F53FDB">
        <w:rPr>
          <w:rFonts w:ascii="Arial" w:hAnsi="Arial" w:cs="Arial"/>
        </w:rPr>
        <w:t>(</w:t>
      </w:r>
      <w:r w:rsidRPr="00886136">
        <w:rPr>
          <w:rFonts w:ascii="Arial" w:hAnsi="Arial" w:cs="Arial"/>
        </w:rPr>
        <w:t>2018</w:t>
      </w:r>
      <w:r w:rsidR="00F53FDB">
        <w:rPr>
          <w:rFonts w:ascii="Arial" w:hAnsi="Arial" w:cs="Arial"/>
        </w:rPr>
        <w:t>)</w:t>
      </w:r>
      <w:r w:rsidRPr="00886136">
        <w:rPr>
          <w:rFonts w:ascii="Arial" w:hAnsi="Arial" w:cs="Arial"/>
        </w:rPr>
        <w:t>. Adverse events in hospitals:“Swiss cheese” versus the “hierarchal referral model of care and clinical futile cycles”. In </w:t>
      </w:r>
      <w:r w:rsidRPr="00886136">
        <w:rPr>
          <w:rFonts w:ascii="Arial" w:hAnsi="Arial" w:cs="Arial"/>
          <w:i/>
          <w:iCs/>
        </w:rPr>
        <w:t>Vignettes in Patient Safety-Volume 3</w:t>
      </w:r>
      <w:r w:rsidRPr="00886136">
        <w:rPr>
          <w:rFonts w:ascii="Arial" w:hAnsi="Arial" w:cs="Arial"/>
        </w:rPr>
        <w:t>. IntechOpen.</w:t>
      </w:r>
      <w:r>
        <w:rPr>
          <w:rFonts w:ascii="Arial" w:hAnsi="Arial" w:cs="Arial"/>
          <w:lang w:val="en-US"/>
        </w:rPr>
        <w:t xml:space="preserve"> </w:t>
      </w:r>
      <w:hyperlink r:id="rId10" w:history="1">
        <w:r w:rsidRPr="00110A9F">
          <w:rPr>
            <w:rStyle w:val="Hyperlink"/>
            <w:rFonts w:ascii="Arial" w:hAnsi="Arial" w:cs="Arial"/>
            <w:lang w:val="en-US"/>
          </w:rPr>
          <w:t>https://www.intechopen.com/chapters/60108</w:t>
        </w:r>
      </w:hyperlink>
    </w:p>
    <w:p w14:paraId="3E39F097" w14:textId="4515019D" w:rsidR="003C421D" w:rsidRPr="003C421D" w:rsidRDefault="003C421D" w:rsidP="003C421D">
      <w:pPr>
        <w:spacing w:line="360" w:lineRule="auto"/>
        <w:jc w:val="both"/>
        <w:rPr>
          <w:rFonts w:ascii="Arial" w:hAnsi="Arial" w:cs="Arial"/>
          <w:lang w:val="en-US"/>
        </w:rPr>
      </w:pPr>
      <w:r w:rsidRPr="003C421D">
        <w:rPr>
          <w:rFonts w:ascii="Arial" w:hAnsi="Arial" w:cs="Arial"/>
          <w:lang w:val="en-US"/>
        </w:rPr>
        <w:t>Drury,</w:t>
      </w:r>
      <w:r w:rsidRPr="003C421D">
        <w:rPr>
          <w:rFonts w:ascii="Arial" w:hAnsi="Arial" w:cs="Arial"/>
          <w:cs/>
        </w:rPr>
        <w:t xml:space="preserve"> </w:t>
      </w:r>
      <w:r w:rsidRPr="003C421D">
        <w:rPr>
          <w:rFonts w:ascii="Arial" w:hAnsi="Arial" w:cs="Arial"/>
          <w:lang w:val="en-US"/>
        </w:rPr>
        <w:t>N.E., Patel, A.J., Oswald, N.K., Chong, C.R., Stickley, J., Barron, D.J. and</w:t>
      </w:r>
      <w:r w:rsidRPr="003C421D">
        <w:rPr>
          <w:rFonts w:ascii="Arial" w:hAnsi="Arial" w:cs="Arial"/>
          <w:cs/>
        </w:rPr>
        <w:t xml:space="preserve"> </w:t>
      </w:r>
      <w:r w:rsidRPr="003C421D">
        <w:rPr>
          <w:rFonts w:ascii="Arial" w:hAnsi="Arial" w:cs="Arial"/>
          <w:lang w:val="en-US"/>
        </w:rPr>
        <w:t xml:space="preserve">Jones, T.J., </w:t>
      </w:r>
      <w:r w:rsidR="00F53FDB">
        <w:rPr>
          <w:rFonts w:ascii="Arial" w:hAnsi="Arial" w:cs="Arial"/>
        </w:rPr>
        <w:t>(</w:t>
      </w:r>
      <w:r w:rsidRPr="003C421D">
        <w:rPr>
          <w:rFonts w:ascii="Arial" w:hAnsi="Arial" w:cs="Arial"/>
          <w:cs/>
        </w:rPr>
        <w:t>2018</w:t>
      </w:r>
      <w:r w:rsidR="00F53FDB">
        <w:rPr>
          <w:rFonts w:ascii="Arial" w:hAnsi="Arial" w:cs="Arial"/>
        </w:rPr>
        <w:t>)</w:t>
      </w:r>
      <w:r w:rsidRPr="003C421D">
        <w:rPr>
          <w:rFonts w:ascii="Arial" w:hAnsi="Arial" w:cs="Arial"/>
          <w:cs/>
        </w:rPr>
        <w:t xml:space="preserve">. </w:t>
      </w:r>
      <w:r w:rsidRPr="003C421D">
        <w:rPr>
          <w:rFonts w:ascii="Arial" w:hAnsi="Arial" w:cs="Arial"/>
          <w:lang w:val="en-US"/>
        </w:rPr>
        <w:t>Randomized controlled trials in children’s heart surgery in</w:t>
      </w:r>
      <w:r w:rsidRPr="003C421D">
        <w:rPr>
          <w:rFonts w:ascii="Arial" w:hAnsi="Arial" w:cs="Arial"/>
          <w:cs/>
        </w:rPr>
        <w:t xml:space="preserve"> </w:t>
      </w:r>
      <w:r w:rsidRPr="003C421D">
        <w:rPr>
          <w:rFonts w:ascii="Arial" w:hAnsi="Arial" w:cs="Arial"/>
          <w:lang w:val="en-US"/>
        </w:rPr>
        <w:t xml:space="preserve">the </w:t>
      </w:r>
      <w:r w:rsidRPr="003C421D">
        <w:rPr>
          <w:rFonts w:ascii="Arial" w:hAnsi="Arial" w:cs="Arial"/>
          <w:cs/>
        </w:rPr>
        <w:t>21</w:t>
      </w:r>
      <w:r w:rsidRPr="003C421D">
        <w:rPr>
          <w:rFonts w:ascii="Arial" w:hAnsi="Arial" w:cs="Arial"/>
          <w:lang w:val="en-US"/>
        </w:rPr>
        <w:t>st century: a systematic review. </w:t>
      </w:r>
      <w:r w:rsidRPr="003C421D">
        <w:rPr>
          <w:rFonts w:ascii="Arial" w:hAnsi="Arial" w:cs="Arial"/>
          <w:i/>
          <w:iCs/>
          <w:lang w:val="en-US"/>
        </w:rPr>
        <w:t>European</w:t>
      </w:r>
      <w:r w:rsidRPr="003C421D">
        <w:rPr>
          <w:rFonts w:ascii="Arial" w:hAnsi="Arial" w:cs="Arial"/>
          <w:i/>
          <w:iCs/>
          <w:cs/>
        </w:rPr>
        <w:t xml:space="preserve"> </w:t>
      </w:r>
      <w:r w:rsidRPr="003C421D">
        <w:rPr>
          <w:rFonts w:ascii="Arial" w:hAnsi="Arial" w:cs="Arial"/>
          <w:i/>
          <w:iCs/>
          <w:lang w:val="en-US"/>
        </w:rPr>
        <w:t>Journal of Cardio-Thoracic Surgery</w:t>
      </w:r>
      <w:r w:rsidRPr="003C421D">
        <w:rPr>
          <w:rFonts w:ascii="Arial" w:hAnsi="Arial" w:cs="Arial"/>
          <w:lang w:val="en-US"/>
        </w:rPr>
        <w:t>, </w:t>
      </w:r>
      <w:r w:rsidRPr="003C421D">
        <w:rPr>
          <w:rFonts w:ascii="Arial" w:hAnsi="Arial" w:cs="Arial"/>
          <w:i/>
          <w:iCs/>
          <w:cs/>
        </w:rPr>
        <w:t>53</w:t>
      </w:r>
      <w:r w:rsidRPr="003C421D">
        <w:rPr>
          <w:rFonts w:ascii="Arial" w:hAnsi="Arial" w:cs="Arial"/>
          <w:cs/>
        </w:rPr>
        <w:t>(4)</w:t>
      </w:r>
      <w:r w:rsidRPr="003C421D">
        <w:rPr>
          <w:rFonts w:ascii="Arial" w:hAnsi="Arial" w:cs="Arial"/>
          <w:lang w:val="en-US"/>
        </w:rPr>
        <w:t>,</w:t>
      </w:r>
      <w:r w:rsidRPr="003C421D">
        <w:rPr>
          <w:rFonts w:ascii="Arial" w:hAnsi="Arial" w:cs="Arial"/>
          <w:cs/>
        </w:rPr>
        <w:t xml:space="preserve"> </w:t>
      </w:r>
      <w:r w:rsidRPr="003C421D">
        <w:rPr>
          <w:rFonts w:ascii="Arial" w:hAnsi="Arial" w:cs="Arial"/>
          <w:lang w:val="en-US"/>
        </w:rPr>
        <w:t>pp.</w:t>
      </w:r>
      <w:r w:rsidRPr="003C421D">
        <w:rPr>
          <w:rFonts w:ascii="Arial" w:hAnsi="Arial" w:cs="Arial"/>
          <w:cs/>
        </w:rPr>
        <w:t>724-731.</w:t>
      </w:r>
      <w:r w:rsidRPr="003C421D">
        <w:rPr>
          <w:rFonts w:ascii="Arial" w:hAnsi="Arial" w:cs="Arial"/>
        </w:rPr>
        <w:t xml:space="preserve"> </w:t>
      </w:r>
      <w:hyperlink r:id="rId11" w:history="1">
        <w:r w:rsidRPr="003C421D">
          <w:rPr>
            <w:rStyle w:val="Hyperlink"/>
            <w:rFonts w:ascii="Arial" w:hAnsi="Arial" w:cs="Arial"/>
          </w:rPr>
          <w:t>https://academic.oup.com/ejcts/article-abstract/53/4/724/4644816</w:t>
        </w:r>
      </w:hyperlink>
    </w:p>
    <w:p w14:paraId="4FCFB256" w14:textId="59D4E395" w:rsidR="003C421D" w:rsidRPr="003C421D" w:rsidRDefault="003C421D" w:rsidP="003C421D">
      <w:pPr>
        <w:spacing w:line="360" w:lineRule="auto"/>
        <w:jc w:val="both"/>
        <w:rPr>
          <w:rFonts w:ascii="Arial" w:hAnsi="Arial" w:cs="Arial"/>
          <w:cs/>
        </w:rPr>
      </w:pPr>
      <w:r w:rsidRPr="003C421D">
        <w:rPr>
          <w:rFonts w:ascii="Arial" w:hAnsi="Arial" w:cs="Arial"/>
          <w:lang w:val="en-US"/>
        </w:rPr>
        <w:t>Enahoro,</w:t>
      </w:r>
      <w:r w:rsidRPr="003C421D">
        <w:rPr>
          <w:rFonts w:ascii="Arial" w:hAnsi="Arial" w:cs="Arial"/>
          <w:cs/>
        </w:rPr>
        <w:t xml:space="preserve"> </w:t>
      </w:r>
      <w:r w:rsidRPr="003C421D">
        <w:rPr>
          <w:rFonts w:ascii="Arial" w:hAnsi="Arial" w:cs="Arial"/>
          <w:lang w:val="en-US"/>
        </w:rPr>
        <w:t xml:space="preserve">A., Osunlaja, O., Maha, C.C., Kolawole, T.O. and Abdul, S., </w:t>
      </w:r>
      <w:r w:rsidR="00F53FDB">
        <w:rPr>
          <w:rFonts w:ascii="Arial" w:hAnsi="Arial" w:cs="Arial"/>
          <w:lang w:val="en-US"/>
        </w:rPr>
        <w:t>(</w:t>
      </w:r>
      <w:r w:rsidRPr="003C421D">
        <w:rPr>
          <w:rFonts w:ascii="Arial" w:hAnsi="Arial" w:cs="Arial"/>
          <w:cs/>
        </w:rPr>
        <w:t>2024</w:t>
      </w:r>
      <w:r w:rsidR="00F53FDB">
        <w:rPr>
          <w:rFonts w:ascii="Arial" w:hAnsi="Arial" w:cs="Arial"/>
        </w:rPr>
        <w:t>)</w:t>
      </w:r>
      <w:r w:rsidRPr="003C421D">
        <w:rPr>
          <w:rFonts w:ascii="Arial" w:hAnsi="Arial" w:cs="Arial"/>
          <w:cs/>
        </w:rPr>
        <w:t xml:space="preserve">. </w:t>
      </w:r>
      <w:r w:rsidRPr="003C421D">
        <w:rPr>
          <w:rFonts w:ascii="Arial" w:hAnsi="Arial" w:cs="Arial"/>
          <w:lang w:val="en-US"/>
        </w:rPr>
        <w:t>Reviewing</w:t>
      </w:r>
      <w:r w:rsidRPr="003C421D">
        <w:rPr>
          <w:rFonts w:ascii="Arial" w:hAnsi="Arial" w:cs="Arial"/>
          <w:cs/>
        </w:rPr>
        <w:t xml:space="preserve"> </w:t>
      </w:r>
      <w:r w:rsidRPr="003C421D">
        <w:rPr>
          <w:rFonts w:ascii="Arial" w:hAnsi="Arial" w:cs="Arial"/>
          <w:lang w:val="en-US"/>
        </w:rPr>
        <w:t>healthcare quality improvement initiatives: Best practices in management and</w:t>
      </w:r>
      <w:r w:rsidRPr="003C421D">
        <w:rPr>
          <w:rFonts w:ascii="Arial" w:hAnsi="Arial" w:cs="Arial"/>
          <w:cs/>
        </w:rPr>
        <w:t xml:space="preserve"> </w:t>
      </w:r>
      <w:r w:rsidRPr="003C421D">
        <w:rPr>
          <w:rFonts w:ascii="Arial" w:hAnsi="Arial" w:cs="Arial"/>
          <w:lang w:val="en-US"/>
        </w:rPr>
        <w:t>leadership. </w:t>
      </w:r>
      <w:r w:rsidRPr="003C421D">
        <w:rPr>
          <w:rFonts w:ascii="Arial" w:hAnsi="Arial" w:cs="Arial"/>
          <w:i/>
          <w:iCs/>
          <w:lang w:val="en-US"/>
        </w:rPr>
        <w:t>International</w:t>
      </w:r>
      <w:r w:rsidRPr="003C421D">
        <w:rPr>
          <w:rFonts w:ascii="Arial" w:hAnsi="Arial" w:cs="Arial"/>
          <w:i/>
          <w:iCs/>
          <w:cs/>
        </w:rPr>
        <w:t xml:space="preserve"> </w:t>
      </w:r>
      <w:r w:rsidRPr="003C421D">
        <w:rPr>
          <w:rFonts w:ascii="Arial" w:hAnsi="Arial" w:cs="Arial"/>
          <w:i/>
          <w:iCs/>
          <w:lang w:val="en-US"/>
        </w:rPr>
        <w:t>Journal of Management</w:t>
      </w:r>
      <w:r w:rsidRPr="003C421D">
        <w:rPr>
          <w:rFonts w:ascii="Arial" w:hAnsi="Arial" w:cs="Arial"/>
          <w:i/>
          <w:iCs/>
          <w:cs/>
        </w:rPr>
        <w:t xml:space="preserve"> </w:t>
      </w:r>
      <w:r w:rsidRPr="003C421D">
        <w:rPr>
          <w:rFonts w:ascii="Arial" w:hAnsi="Arial" w:cs="Arial"/>
          <w:i/>
          <w:iCs/>
          <w:lang w:val="en-US"/>
        </w:rPr>
        <w:t>&amp;</w:t>
      </w:r>
      <w:r w:rsidRPr="003C421D">
        <w:rPr>
          <w:rFonts w:ascii="Arial" w:hAnsi="Arial" w:cs="Arial"/>
          <w:i/>
          <w:iCs/>
          <w:cs/>
        </w:rPr>
        <w:t xml:space="preserve"> </w:t>
      </w:r>
      <w:r w:rsidRPr="003C421D">
        <w:rPr>
          <w:rFonts w:ascii="Arial" w:hAnsi="Arial" w:cs="Arial"/>
          <w:i/>
          <w:iCs/>
          <w:lang w:val="en-US"/>
        </w:rPr>
        <w:t>Entrepreneurship Research</w:t>
      </w:r>
      <w:r w:rsidRPr="003C421D">
        <w:rPr>
          <w:rFonts w:ascii="Arial" w:hAnsi="Arial" w:cs="Arial"/>
          <w:lang w:val="en-US"/>
        </w:rPr>
        <w:t>, </w:t>
      </w:r>
      <w:r w:rsidRPr="003C421D">
        <w:rPr>
          <w:rFonts w:ascii="Arial" w:hAnsi="Arial" w:cs="Arial"/>
          <w:i/>
          <w:iCs/>
          <w:cs/>
        </w:rPr>
        <w:t>6</w:t>
      </w:r>
      <w:r w:rsidRPr="003C421D">
        <w:rPr>
          <w:rFonts w:ascii="Arial" w:hAnsi="Arial" w:cs="Arial"/>
          <w:cs/>
        </w:rPr>
        <w:t>(6)</w:t>
      </w:r>
      <w:r w:rsidRPr="003C421D">
        <w:rPr>
          <w:rFonts w:ascii="Arial" w:hAnsi="Arial" w:cs="Arial"/>
          <w:lang w:val="en-US"/>
        </w:rPr>
        <w:t>,</w:t>
      </w:r>
      <w:r w:rsidRPr="003C421D">
        <w:rPr>
          <w:rFonts w:ascii="Arial" w:hAnsi="Arial" w:cs="Arial"/>
          <w:cs/>
        </w:rPr>
        <w:t xml:space="preserve"> </w:t>
      </w:r>
      <w:r w:rsidRPr="003C421D">
        <w:rPr>
          <w:rFonts w:ascii="Arial" w:hAnsi="Arial" w:cs="Arial"/>
          <w:lang w:val="en-US"/>
        </w:rPr>
        <w:t>pp.</w:t>
      </w:r>
      <w:r w:rsidRPr="003C421D">
        <w:rPr>
          <w:rFonts w:ascii="Arial" w:hAnsi="Arial" w:cs="Arial"/>
          <w:cs/>
        </w:rPr>
        <w:t>1869-1884.</w:t>
      </w:r>
      <w:r w:rsidRPr="003C421D">
        <w:rPr>
          <w:rFonts w:ascii="Arial" w:hAnsi="Arial" w:cs="Arial"/>
        </w:rPr>
        <w:t xml:space="preserve"> </w:t>
      </w:r>
    </w:p>
    <w:p w14:paraId="6DF97324" w14:textId="437DEC12" w:rsidR="003C421D" w:rsidRPr="003C421D" w:rsidRDefault="003C421D" w:rsidP="003C421D">
      <w:pPr>
        <w:spacing w:line="360" w:lineRule="auto"/>
        <w:jc w:val="both"/>
        <w:rPr>
          <w:rFonts w:ascii="Arial" w:hAnsi="Arial" w:cs="Arial"/>
          <w:cs/>
        </w:rPr>
      </w:pPr>
      <w:r w:rsidRPr="003C421D">
        <w:rPr>
          <w:rFonts w:ascii="Arial" w:hAnsi="Arial" w:cs="Arial"/>
          <w:lang w:val="en-US"/>
        </w:rPr>
        <w:t>Gillam,</w:t>
      </w:r>
      <w:r w:rsidRPr="003C421D">
        <w:rPr>
          <w:rFonts w:ascii="Arial" w:hAnsi="Arial" w:cs="Arial"/>
          <w:cs/>
        </w:rPr>
        <w:t xml:space="preserve"> </w:t>
      </w:r>
      <w:r w:rsidRPr="003C421D">
        <w:rPr>
          <w:rFonts w:ascii="Arial" w:hAnsi="Arial" w:cs="Arial"/>
          <w:lang w:val="en-US"/>
        </w:rPr>
        <w:t xml:space="preserve">S., </w:t>
      </w:r>
      <w:r w:rsidR="00F53FDB">
        <w:rPr>
          <w:rFonts w:ascii="Arial" w:hAnsi="Arial" w:cs="Arial"/>
        </w:rPr>
        <w:t>(</w:t>
      </w:r>
      <w:r w:rsidRPr="003C421D">
        <w:rPr>
          <w:rFonts w:ascii="Arial" w:hAnsi="Arial" w:cs="Arial"/>
          <w:cs/>
        </w:rPr>
        <w:t>2022</w:t>
      </w:r>
      <w:r w:rsidR="00F53FDB">
        <w:rPr>
          <w:rFonts w:ascii="Arial" w:hAnsi="Arial" w:cs="Arial"/>
        </w:rPr>
        <w:t>)</w:t>
      </w:r>
      <w:r w:rsidRPr="003C421D">
        <w:rPr>
          <w:rFonts w:ascii="Arial" w:hAnsi="Arial" w:cs="Arial"/>
          <w:cs/>
        </w:rPr>
        <w:t>.</w:t>
      </w:r>
      <w:r w:rsidRPr="003C421D">
        <w:rPr>
          <w:rFonts w:ascii="Arial" w:hAnsi="Arial" w:cs="Arial"/>
          <w:lang w:val="en-US"/>
        </w:rPr>
        <w:t> </w:t>
      </w:r>
      <w:r w:rsidRPr="003C421D">
        <w:rPr>
          <w:rFonts w:ascii="Arial" w:hAnsi="Arial" w:cs="Arial"/>
          <w:i/>
          <w:iCs/>
          <w:lang w:val="en-US"/>
        </w:rPr>
        <w:t>Quality</w:t>
      </w:r>
      <w:r w:rsidRPr="003C421D">
        <w:rPr>
          <w:rFonts w:ascii="Arial" w:hAnsi="Arial" w:cs="Arial"/>
          <w:i/>
          <w:iCs/>
          <w:cs/>
        </w:rPr>
        <w:t xml:space="preserve"> </w:t>
      </w:r>
      <w:r w:rsidRPr="003C421D">
        <w:rPr>
          <w:rFonts w:ascii="Arial" w:hAnsi="Arial" w:cs="Arial"/>
          <w:i/>
          <w:iCs/>
          <w:lang w:val="en-US"/>
        </w:rPr>
        <w:t>improvement in primary care: the essential guide</w:t>
      </w:r>
      <w:r w:rsidRPr="003C421D">
        <w:rPr>
          <w:rFonts w:ascii="Arial" w:hAnsi="Arial" w:cs="Arial"/>
          <w:cs/>
        </w:rPr>
        <w:t xml:space="preserve">. </w:t>
      </w:r>
      <w:r w:rsidRPr="003C421D">
        <w:rPr>
          <w:rFonts w:ascii="Arial" w:hAnsi="Arial" w:cs="Arial"/>
          <w:lang w:val="en-US"/>
        </w:rPr>
        <w:t>CRC</w:t>
      </w:r>
      <w:r w:rsidRPr="003C421D">
        <w:rPr>
          <w:rFonts w:ascii="Arial" w:hAnsi="Arial" w:cs="Arial"/>
          <w:cs/>
        </w:rPr>
        <w:t xml:space="preserve"> </w:t>
      </w:r>
      <w:r w:rsidRPr="003C421D">
        <w:rPr>
          <w:rFonts w:ascii="Arial" w:hAnsi="Arial" w:cs="Arial"/>
          <w:lang w:val="en-US"/>
        </w:rPr>
        <w:t>Press.</w:t>
      </w:r>
      <w:r w:rsidRPr="003C421D">
        <w:rPr>
          <w:rFonts w:ascii="Arial" w:hAnsi="Arial" w:cs="Arial"/>
          <w:cs/>
        </w:rPr>
        <w:t xml:space="preserve"> </w:t>
      </w:r>
      <w:hyperlink r:id="rId12" w:history="1">
        <w:r w:rsidRPr="003C421D">
          <w:rPr>
            <w:rStyle w:val="Hyperlink"/>
            <w:rFonts w:ascii="Arial" w:hAnsi="Arial" w:cs="Arial"/>
            <w:lang w:val="en-US"/>
          </w:rPr>
          <w:t>https://api.taylorfrancis.com/content/books/mono/download?identifierName=doi&amp;identifierValue=10.1201/9780429084041&amp;type=googlepdf</w:t>
        </w:r>
      </w:hyperlink>
    </w:p>
    <w:p w14:paraId="15530DA2" w14:textId="4997AC68" w:rsidR="005F27AE" w:rsidRDefault="005F27AE" w:rsidP="003C421D">
      <w:pPr>
        <w:spacing w:line="360" w:lineRule="auto"/>
        <w:jc w:val="both"/>
        <w:rPr>
          <w:rFonts w:ascii="Arial" w:hAnsi="Arial" w:cs="Arial"/>
        </w:rPr>
      </w:pPr>
      <w:r w:rsidRPr="005F27AE">
        <w:rPr>
          <w:rFonts w:ascii="Arial" w:hAnsi="Arial" w:cs="Arial"/>
        </w:rPr>
        <w:t xml:space="preserve">Gopee, N. and Galloway, J., </w:t>
      </w:r>
      <w:r w:rsidR="00F53FDB">
        <w:rPr>
          <w:rFonts w:ascii="Arial" w:hAnsi="Arial" w:cs="Arial"/>
        </w:rPr>
        <w:t>(</w:t>
      </w:r>
      <w:r w:rsidRPr="005F27AE">
        <w:rPr>
          <w:rFonts w:ascii="Arial" w:hAnsi="Arial" w:cs="Arial"/>
        </w:rPr>
        <w:t>2017</w:t>
      </w:r>
      <w:r w:rsidR="00F53FDB">
        <w:rPr>
          <w:rFonts w:ascii="Arial" w:hAnsi="Arial" w:cs="Arial"/>
        </w:rPr>
        <w:t>)</w:t>
      </w:r>
      <w:r w:rsidRPr="005F27AE">
        <w:rPr>
          <w:rFonts w:ascii="Arial" w:hAnsi="Arial" w:cs="Arial"/>
        </w:rPr>
        <w:t>. </w:t>
      </w:r>
      <w:r w:rsidRPr="005F27AE">
        <w:rPr>
          <w:rFonts w:ascii="Arial" w:hAnsi="Arial" w:cs="Arial"/>
          <w:i/>
          <w:iCs/>
        </w:rPr>
        <w:t>Leadership and management in healthcare</w:t>
      </w:r>
      <w:r w:rsidRPr="005F27AE">
        <w:rPr>
          <w:rFonts w:ascii="Arial" w:hAnsi="Arial" w:cs="Arial"/>
        </w:rPr>
        <w:t>. SAGE Publications Ltd.</w:t>
      </w:r>
      <w:r>
        <w:rPr>
          <w:rFonts w:ascii="Arial" w:hAnsi="Arial" w:cs="Arial"/>
        </w:rPr>
        <w:t xml:space="preserve"> </w:t>
      </w:r>
      <w:hyperlink r:id="rId13" w:history="1">
        <w:r w:rsidRPr="00110A9F">
          <w:rPr>
            <w:rStyle w:val="Hyperlink"/>
            <w:rFonts w:ascii="Arial" w:hAnsi="Arial" w:cs="Arial"/>
          </w:rPr>
          <w:t>https://sk.sagepub.com/book/mono/leadership-and-management-in-healthcare-3e/toc</w:t>
        </w:r>
      </w:hyperlink>
    </w:p>
    <w:p w14:paraId="211174F1" w14:textId="44B9F0C7" w:rsidR="00E02657" w:rsidRDefault="00E02657" w:rsidP="003C421D">
      <w:pPr>
        <w:spacing w:line="360" w:lineRule="auto"/>
        <w:jc w:val="both"/>
        <w:rPr>
          <w:rFonts w:ascii="Arial" w:hAnsi="Arial" w:cs="Arial"/>
        </w:rPr>
      </w:pPr>
      <w:r w:rsidRPr="00E02657">
        <w:rPr>
          <w:rFonts w:ascii="Arial" w:hAnsi="Arial" w:cs="Arial"/>
        </w:rPr>
        <w:t xml:space="preserve">Govindarajan, R., Kaur, H. and Yelam, A., </w:t>
      </w:r>
      <w:r w:rsidR="00F53FDB">
        <w:rPr>
          <w:rFonts w:ascii="Arial" w:hAnsi="Arial" w:cs="Arial"/>
        </w:rPr>
        <w:t>(</w:t>
      </w:r>
      <w:r w:rsidRPr="00E02657">
        <w:rPr>
          <w:rFonts w:ascii="Arial" w:hAnsi="Arial" w:cs="Arial"/>
        </w:rPr>
        <w:t>2019</w:t>
      </w:r>
      <w:r w:rsidR="00F53FDB">
        <w:rPr>
          <w:rFonts w:ascii="Arial" w:hAnsi="Arial" w:cs="Arial"/>
        </w:rPr>
        <w:t>)</w:t>
      </w:r>
      <w:r w:rsidRPr="00E02657">
        <w:rPr>
          <w:rFonts w:ascii="Arial" w:hAnsi="Arial" w:cs="Arial"/>
        </w:rPr>
        <w:t>. Tools and strategies for quality improvement and patient safety: A primer for healthcare providers. In </w:t>
      </w:r>
      <w:r w:rsidRPr="00E02657">
        <w:rPr>
          <w:rFonts w:ascii="Arial" w:hAnsi="Arial" w:cs="Arial"/>
          <w:i/>
          <w:iCs/>
        </w:rPr>
        <w:t>Improving patient safety</w:t>
      </w:r>
      <w:r w:rsidRPr="00E02657">
        <w:rPr>
          <w:rFonts w:ascii="Arial" w:hAnsi="Arial" w:cs="Arial"/>
        </w:rPr>
        <w:t> (pp. 263-273). Productivity Press.</w:t>
      </w:r>
      <w:r>
        <w:rPr>
          <w:rFonts w:ascii="Arial" w:hAnsi="Arial" w:cs="Arial"/>
        </w:rPr>
        <w:t xml:space="preserve"> </w:t>
      </w:r>
      <w:hyperlink r:id="rId14" w:history="1">
        <w:r w:rsidRPr="00110A9F">
          <w:rPr>
            <w:rStyle w:val="Hyperlink"/>
            <w:rFonts w:ascii="Arial" w:hAnsi="Arial" w:cs="Arial"/>
          </w:rPr>
          <w:t>https://api.taylorfrancis.com/content/chapters/edit/download?identifierName=doi&amp;identifierValue=10.1201/9781498785037-6&amp;type=chapterpdf</w:t>
        </w:r>
      </w:hyperlink>
    </w:p>
    <w:p w14:paraId="5F87647C" w14:textId="7E8BF76A" w:rsidR="008D6B09" w:rsidRDefault="008D6B09" w:rsidP="003C421D">
      <w:pPr>
        <w:spacing w:line="360" w:lineRule="auto"/>
        <w:jc w:val="both"/>
        <w:rPr>
          <w:rFonts w:ascii="Arial" w:hAnsi="Arial" w:cs="Arial"/>
        </w:rPr>
      </w:pPr>
      <w:r w:rsidRPr="008D6B09">
        <w:rPr>
          <w:rFonts w:ascii="Arial" w:hAnsi="Arial" w:cs="Arial"/>
        </w:rPr>
        <w:t>Harpwood, V., 2016. In defence of doctors. In </w:t>
      </w:r>
      <w:r w:rsidRPr="008D6B09">
        <w:rPr>
          <w:rFonts w:ascii="Arial" w:hAnsi="Arial" w:cs="Arial"/>
          <w:i/>
          <w:iCs/>
        </w:rPr>
        <w:t>First Do No Harm</w:t>
      </w:r>
      <w:r w:rsidRPr="008D6B09">
        <w:rPr>
          <w:rFonts w:ascii="Arial" w:hAnsi="Arial" w:cs="Arial"/>
        </w:rPr>
        <w:t> (pp. 587-605). Routledge.</w:t>
      </w:r>
      <w:r>
        <w:rPr>
          <w:rFonts w:ascii="Arial" w:hAnsi="Arial" w:cs="Arial"/>
        </w:rPr>
        <w:t xml:space="preserve"> </w:t>
      </w:r>
      <w:hyperlink r:id="rId15" w:history="1">
        <w:r w:rsidRPr="00110A9F">
          <w:rPr>
            <w:rStyle w:val="Hyperlink"/>
            <w:rFonts w:ascii="Arial" w:hAnsi="Arial" w:cs="Arial"/>
          </w:rPr>
          <w:t>https://api.taylorfrancis.com/content/chapters/edit/download?identifierName=doi&amp;identifierValue=10.4324/9781315582450-37&amp;type=chapterpdf</w:t>
        </w:r>
      </w:hyperlink>
    </w:p>
    <w:p w14:paraId="7132A107" w14:textId="3EC9D1EE" w:rsidR="00BA1852" w:rsidRDefault="00BA1852" w:rsidP="003C421D">
      <w:pPr>
        <w:spacing w:line="360" w:lineRule="auto"/>
        <w:jc w:val="both"/>
        <w:rPr>
          <w:rFonts w:ascii="Arial" w:hAnsi="Arial" w:cs="Arial"/>
          <w:lang w:val="en-US"/>
        </w:rPr>
      </w:pPr>
      <w:r w:rsidRPr="00BA1852">
        <w:rPr>
          <w:rFonts w:ascii="Arial" w:hAnsi="Arial" w:cs="Arial"/>
        </w:rPr>
        <w:t xml:space="preserve">Healy, J., </w:t>
      </w:r>
      <w:r w:rsidR="00F53FDB">
        <w:rPr>
          <w:rFonts w:ascii="Arial" w:hAnsi="Arial" w:cs="Arial"/>
        </w:rPr>
        <w:t>(</w:t>
      </w:r>
      <w:r w:rsidRPr="00BA1852">
        <w:rPr>
          <w:rFonts w:ascii="Arial" w:hAnsi="Arial" w:cs="Arial"/>
        </w:rPr>
        <w:t>2016</w:t>
      </w:r>
      <w:r w:rsidR="00F53FDB">
        <w:rPr>
          <w:rFonts w:ascii="Arial" w:hAnsi="Arial" w:cs="Arial"/>
        </w:rPr>
        <w:t>)</w:t>
      </w:r>
      <w:r w:rsidRPr="00BA1852">
        <w:rPr>
          <w:rFonts w:ascii="Arial" w:hAnsi="Arial" w:cs="Arial"/>
        </w:rPr>
        <w:t>. </w:t>
      </w:r>
      <w:r w:rsidRPr="00BA1852">
        <w:rPr>
          <w:rFonts w:ascii="Arial" w:hAnsi="Arial" w:cs="Arial"/>
          <w:i/>
          <w:iCs/>
        </w:rPr>
        <w:t>Improving health care safety and quality: reluctant regulators</w:t>
      </w:r>
      <w:r w:rsidRPr="00BA1852">
        <w:rPr>
          <w:rFonts w:ascii="Arial" w:hAnsi="Arial" w:cs="Arial"/>
        </w:rPr>
        <w:t>. Routledge.</w:t>
      </w:r>
      <w:r>
        <w:rPr>
          <w:rFonts w:ascii="Arial" w:hAnsi="Arial" w:cs="Arial"/>
          <w:lang w:val="en-US"/>
        </w:rPr>
        <w:t xml:space="preserve"> </w:t>
      </w:r>
      <w:hyperlink r:id="rId16" w:history="1">
        <w:r w:rsidRPr="00110A9F">
          <w:rPr>
            <w:rStyle w:val="Hyperlink"/>
            <w:rFonts w:ascii="Arial" w:hAnsi="Arial" w:cs="Arial"/>
            <w:lang w:val="en-US"/>
          </w:rPr>
          <w:t>https://books.google.com/books?hl=en&amp;lr=&amp;id=ruYoDAAAQBAJ&amp;oi=fnd&amp;pg=PP1&amp;dq=In+the+Bristol+case,+inadequate+quality+monitoring+was+a+major+underlying+cause,+as+insufficient+collection,+analysis+and+benchmarking+of+mortality+data+delayed+recognition+of+poor+performance.+&amp;ots=5Oeg6U6d_P&amp;sig=S0R7BBzRjKt2ITCK82GSB618k7s</w:t>
        </w:r>
      </w:hyperlink>
    </w:p>
    <w:p w14:paraId="15C32D7B" w14:textId="5A0194FB" w:rsidR="003C421D" w:rsidRPr="003C421D" w:rsidRDefault="003C421D" w:rsidP="003C421D">
      <w:pPr>
        <w:spacing w:line="360" w:lineRule="auto"/>
        <w:jc w:val="both"/>
        <w:rPr>
          <w:rFonts w:ascii="Arial" w:hAnsi="Arial" w:cs="Arial"/>
          <w:cs/>
        </w:rPr>
      </w:pPr>
      <w:r w:rsidRPr="003C421D">
        <w:rPr>
          <w:rFonts w:ascii="Arial" w:hAnsi="Arial" w:cs="Arial"/>
          <w:lang w:val="en-US"/>
        </w:rPr>
        <w:t>Hignett,</w:t>
      </w:r>
      <w:r w:rsidRPr="003C421D">
        <w:rPr>
          <w:rFonts w:ascii="Arial" w:hAnsi="Arial" w:cs="Arial"/>
          <w:cs/>
        </w:rPr>
        <w:t xml:space="preserve"> </w:t>
      </w:r>
      <w:r w:rsidRPr="003C421D">
        <w:rPr>
          <w:rFonts w:ascii="Arial" w:hAnsi="Arial" w:cs="Arial"/>
          <w:lang w:val="en-US"/>
        </w:rPr>
        <w:t>S., Lang, A., Pickup, L., Ives, C., Fray, M., McKeown, C., Tapley, S.,</w:t>
      </w:r>
      <w:r w:rsidRPr="003C421D">
        <w:rPr>
          <w:rFonts w:ascii="Arial" w:hAnsi="Arial" w:cs="Arial"/>
          <w:cs/>
        </w:rPr>
        <w:t xml:space="preserve"> </w:t>
      </w:r>
      <w:r w:rsidRPr="003C421D">
        <w:rPr>
          <w:rFonts w:ascii="Arial" w:hAnsi="Arial" w:cs="Arial"/>
          <w:lang w:val="en-US"/>
        </w:rPr>
        <w:t xml:space="preserve">Woodward, M. and Bowie, P., </w:t>
      </w:r>
      <w:r w:rsidR="00F53FDB">
        <w:rPr>
          <w:rFonts w:ascii="Arial" w:hAnsi="Arial" w:cs="Arial"/>
          <w:lang w:val="en-US"/>
        </w:rPr>
        <w:t>(</w:t>
      </w:r>
      <w:r w:rsidRPr="003C421D">
        <w:rPr>
          <w:rFonts w:ascii="Arial" w:hAnsi="Arial" w:cs="Arial"/>
          <w:cs/>
        </w:rPr>
        <w:t>2018</w:t>
      </w:r>
      <w:r w:rsidR="00F53FDB">
        <w:rPr>
          <w:rFonts w:ascii="Arial" w:hAnsi="Arial" w:cs="Arial"/>
        </w:rPr>
        <w:t>)</w:t>
      </w:r>
      <w:r w:rsidRPr="003C421D">
        <w:rPr>
          <w:rFonts w:ascii="Arial" w:hAnsi="Arial" w:cs="Arial"/>
          <w:cs/>
        </w:rPr>
        <w:t xml:space="preserve">. </w:t>
      </w:r>
      <w:r w:rsidRPr="003C421D">
        <w:rPr>
          <w:rFonts w:ascii="Arial" w:hAnsi="Arial" w:cs="Arial"/>
          <w:lang w:val="en-US"/>
        </w:rPr>
        <w:t>More holes than cheese. What prevents the</w:t>
      </w:r>
      <w:r w:rsidRPr="003C421D">
        <w:rPr>
          <w:rFonts w:ascii="Arial" w:hAnsi="Arial" w:cs="Arial"/>
          <w:cs/>
        </w:rPr>
        <w:t xml:space="preserve"> </w:t>
      </w:r>
      <w:r w:rsidRPr="003C421D">
        <w:rPr>
          <w:rFonts w:ascii="Arial" w:hAnsi="Arial" w:cs="Arial"/>
          <w:lang w:val="en-US"/>
        </w:rPr>
        <w:t>delivery of effective, high quality and safe health care in England?. </w:t>
      </w:r>
      <w:r w:rsidRPr="003C421D">
        <w:rPr>
          <w:rFonts w:ascii="Arial" w:hAnsi="Arial" w:cs="Arial"/>
          <w:i/>
          <w:iCs/>
          <w:lang w:val="en-US"/>
        </w:rPr>
        <w:t>Ergonomics</w:t>
      </w:r>
      <w:r w:rsidRPr="003C421D">
        <w:rPr>
          <w:rFonts w:ascii="Arial" w:hAnsi="Arial" w:cs="Arial"/>
          <w:lang w:val="en-US"/>
        </w:rPr>
        <w:t>, </w:t>
      </w:r>
      <w:r w:rsidRPr="003C421D">
        <w:rPr>
          <w:rFonts w:ascii="Arial" w:hAnsi="Arial" w:cs="Arial"/>
          <w:i/>
          <w:iCs/>
          <w:cs/>
        </w:rPr>
        <w:t>61</w:t>
      </w:r>
      <w:r w:rsidRPr="003C421D">
        <w:rPr>
          <w:rFonts w:ascii="Arial" w:hAnsi="Arial" w:cs="Arial"/>
          <w:cs/>
        </w:rPr>
        <w:t>(1)</w:t>
      </w:r>
      <w:r w:rsidRPr="003C421D">
        <w:rPr>
          <w:rFonts w:ascii="Arial" w:hAnsi="Arial" w:cs="Arial"/>
          <w:lang w:val="en-US"/>
        </w:rPr>
        <w:t>,</w:t>
      </w:r>
      <w:r w:rsidRPr="003C421D">
        <w:rPr>
          <w:rFonts w:ascii="Arial" w:hAnsi="Arial" w:cs="Arial"/>
          <w:cs/>
        </w:rPr>
        <w:t xml:space="preserve"> </w:t>
      </w:r>
      <w:r w:rsidRPr="003C421D">
        <w:rPr>
          <w:rFonts w:ascii="Arial" w:hAnsi="Arial" w:cs="Arial"/>
          <w:lang w:val="en-US"/>
        </w:rPr>
        <w:t>pp.</w:t>
      </w:r>
      <w:r w:rsidRPr="003C421D">
        <w:rPr>
          <w:rFonts w:ascii="Arial" w:hAnsi="Arial" w:cs="Arial"/>
          <w:cs/>
        </w:rPr>
        <w:t>5-14.</w:t>
      </w:r>
      <w:r w:rsidRPr="003C421D">
        <w:rPr>
          <w:rFonts w:ascii="Arial" w:hAnsi="Arial" w:cs="Arial"/>
        </w:rPr>
        <w:t xml:space="preserve"> </w:t>
      </w:r>
      <w:hyperlink r:id="rId17" w:history="1">
        <w:r w:rsidRPr="003C421D">
          <w:rPr>
            <w:rStyle w:val="Hyperlink"/>
            <w:rFonts w:ascii="Arial" w:hAnsi="Arial" w:cs="Arial"/>
          </w:rPr>
          <w:t>https://www.tandfonline.com/doi/abs/10.1080/00140139.2016.1245446</w:t>
        </w:r>
      </w:hyperlink>
    </w:p>
    <w:p w14:paraId="7BB495D5" w14:textId="3F093EC3" w:rsidR="003C421D" w:rsidRPr="003C421D" w:rsidRDefault="003C421D" w:rsidP="003C421D">
      <w:pPr>
        <w:spacing w:line="360" w:lineRule="auto"/>
        <w:jc w:val="both"/>
        <w:rPr>
          <w:rFonts w:ascii="Arial" w:hAnsi="Arial" w:cs="Arial"/>
          <w:cs/>
        </w:rPr>
      </w:pPr>
      <w:r w:rsidRPr="003C421D">
        <w:rPr>
          <w:rFonts w:ascii="Arial" w:hAnsi="Arial" w:cs="Arial"/>
          <w:lang w:val="en-US"/>
        </w:rPr>
        <w:t>Huang,</w:t>
      </w:r>
      <w:r w:rsidRPr="003C421D">
        <w:rPr>
          <w:rFonts w:ascii="Arial" w:hAnsi="Arial" w:cs="Arial"/>
          <w:cs/>
        </w:rPr>
        <w:t xml:space="preserve"> </w:t>
      </w:r>
      <w:r w:rsidRPr="003C421D">
        <w:rPr>
          <w:rFonts w:ascii="Arial" w:hAnsi="Arial" w:cs="Arial"/>
          <w:lang w:val="en-US"/>
        </w:rPr>
        <w:t xml:space="preserve">L.L., Yang, J.H., Hong, W.W., Wang, B.L. and Chen, H.F., </w:t>
      </w:r>
      <w:r w:rsidR="00F53FDB">
        <w:rPr>
          <w:rFonts w:ascii="Arial" w:hAnsi="Arial" w:cs="Arial"/>
        </w:rPr>
        <w:t>(</w:t>
      </w:r>
      <w:r w:rsidRPr="003C421D">
        <w:rPr>
          <w:rFonts w:ascii="Arial" w:hAnsi="Arial" w:cs="Arial"/>
          <w:cs/>
        </w:rPr>
        <w:t>2025</w:t>
      </w:r>
      <w:r w:rsidR="00F53FDB">
        <w:rPr>
          <w:rFonts w:ascii="Arial" w:hAnsi="Arial" w:cs="Arial"/>
        </w:rPr>
        <w:t>)</w:t>
      </w:r>
      <w:r w:rsidRPr="003C421D">
        <w:rPr>
          <w:rFonts w:ascii="Arial" w:hAnsi="Arial" w:cs="Arial"/>
          <w:cs/>
        </w:rPr>
        <w:t xml:space="preserve">. </w:t>
      </w:r>
      <w:r w:rsidRPr="003C421D">
        <w:rPr>
          <w:rFonts w:ascii="Arial" w:hAnsi="Arial" w:cs="Arial"/>
          <w:lang w:val="en-US"/>
        </w:rPr>
        <w:t>Tracing Missing</w:t>
      </w:r>
      <w:r w:rsidRPr="003C421D">
        <w:rPr>
          <w:rFonts w:ascii="Arial" w:hAnsi="Arial" w:cs="Arial"/>
          <w:cs/>
        </w:rPr>
        <w:t xml:space="preserve"> </w:t>
      </w:r>
      <w:r w:rsidRPr="003C421D">
        <w:rPr>
          <w:rFonts w:ascii="Arial" w:hAnsi="Arial" w:cs="Arial"/>
          <w:lang w:val="en-US"/>
        </w:rPr>
        <w:t>Surgical Specimens: A Quality Improvement Strategy for Adverse Events Based on</w:t>
      </w:r>
      <w:r w:rsidRPr="003C421D">
        <w:rPr>
          <w:rFonts w:ascii="Arial" w:hAnsi="Arial" w:cs="Arial"/>
          <w:cs/>
        </w:rPr>
        <w:t xml:space="preserve"> </w:t>
      </w:r>
      <w:r w:rsidRPr="003C421D">
        <w:rPr>
          <w:rFonts w:ascii="Arial" w:hAnsi="Arial" w:cs="Arial"/>
          <w:lang w:val="en-US"/>
        </w:rPr>
        <w:t>Root Cause Analysis. </w:t>
      </w:r>
      <w:r w:rsidRPr="003C421D">
        <w:rPr>
          <w:rFonts w:ascii="Arial" w:hAnsi="Arial" w:cs="Arial"/>
          <w:i/>
          <w:iCs/>
          <w:lang w:val="en-US"/>
        </w:rPr>
        <w:t>Risk</w:t>
      </w:r>
      <w:r w:rsidRPr="003C421D">
        <w:rPr>
          <w:rFonts w:ascii="Arial" w:hAnsi="Arial" w:cs="Arial"/>
          <w:i/>
          <w:iCs/>
          <w:cs/>
        </w:rPr>
        <w:t xml:space="preserve"> </w:t>
      </w:r>
      <w:r w:rsidRPr="003C421D">
        <w:rPr>
          <w:rFonts w:ascii="Arial" w:hAnsi="Arial" w:cs="Arial"/>
          <w:i/>
          <w:iCs/>
          <w:lang w:val="en-US"/>
        </w:rPr>
        <w:t>Management and Healthcare Policy</w:t>
      </w:r>
      <w:r w:rsidRPr="003C421D">
        <w:rPr>
          <w:rFonts w:ascii="Arial" w:hAnsi="Arial" w:cs="Arial"/>
          <w:lang w:val="en-US"/>
        </w:rPr>
        <w:t>,</w:t>
      </w:r>
      <w:r w:rsidRPr="003C421D">
        <w:rPr>
          <w:rFonts w:ascii="Arial" w:hAnsi="Arial" w:cs="Arial"/>
          <w:cs/>
        </w:rPr>
        <w:t xml:space="preserve"> </w:t>
      </w:r>
      <w:r w:rsidRPr="003C421D">
        <w:rPr>
          <w:rFonts w:ascii="Arial" w:hAnsi="Arial" w:cs="Arial"/>
          <w:lang w:val="en-US"/>
        </w:rPr>
        <w:t>pp.</w:t>
      </w:r>
      <w:r w:rsidRPr="003C421D">
        <w:rPr>
          <w:rFonts w:ascii="Arial" w:hAnsi="Arial" w:cs="Arial"/>
          <w:cs/>
        </w:rPr>
        <w:t xml:space="preserve">2139-2150. </w:t>
      </w:r>
      <w:hyperlink r:id="rId18" w:history="1">
        <w:r w:rsidRPr="003C421D">
          <w:rPr>
            <w:rStyle w:val="Hyperlink"/>
            <w:rFonts w:ascii="Arial" w:hAnsi="Arial" w:cs="Arial"/>
            <w:lang w:val="en-US"/>
          </w:rPr>
          <w:t>https://www.tandfonline.com/doi/abs/10.2147/RMHP.S527015</w:t>
        </w:r>
      </w:hyperlink>
    </w:p>
    <w:p w14:paraId="59E4F786" w14:textId="49573193" w:rsidR="003C421D" w:rsidRPr="003C421D" w:rsidRDefault="003C421D" w:rsidP="003C421D">
      <w:pPr>
        <w:spacing w:line="360" w:lineRule="auto"/>
        <w:jc w:val="both"/>
        <w:rPr>
          <w:rFonts w:ascii="Arial" w:hAnsi="Arial" w:cs="Arial"/>
          <w:cs/>
        </w:rPr>
      </w:pPr>
      <w:r w:rsidRPr="003C421D">
        <w:rPr>
          <w:rFonts w:ascii="Arial" w:hAnsi="Arial" w:cs="Arial"/>
          <w:lang w:val="en-US"/>
        </w:rPr>
        <w:t>Irvine,</w:t>
      </w:r>
      <w:r w:rsidRPr="003C421D">
        <w:rPr>
          <w:rFonts w:ascii="Arial" w:hAnsi="Arial" w:cs="Arial"/>
          <w:cs/>
        </w:rPr>
        <w:t xml:space="preserve"> </w:t>
      </w:r>
      <w:r w:rsidRPr="003C421D">
        <w:rPr>
          <w:rFonts w:ascii="Arial" w:hAnsi="Arial" w:cs="Arial"/>
          <w:lang w:val="en-US"/>
        </w:rPr>
        <w:t xml:space="preserve">D., </w:t>
      </w:r>
      <w:r w:rsidR="00F53FDB">
        <w:rPr>
          <w:rFonts w:ascii="Arial" w:hAnsi="Arial" w:cs="Arial"/>
        </w:rPr>
        <w:t>(</w:t>
      </w:r>
      <w:r w:rsidRPr="003C421D">
        <w:rPr>
          <w:rFonts w:ascii="Arial" w:hAnsi="Arial" w:cs="Arial"/>
          <w:cs/>
        </w:rPr>
        <w:t>2024</w:t>
      </w:r>
      <w:r w:rsidR="00F53FDB">
        <w:rPr>
          <w:rFonts w:ascii="Arial" w:hAnsi="Arial" w:cs="Arial"/>
        </w:rPr>
        <w:t>)</w:t>
      </w:r>
      <w:r w:rsidRPr="003C421D">
        <w:rPr>
          <w:rFonts w:ascii="Arial" w:hAnsi="Arial" w:cs="Arial"/>
          <w:cs/>
        </w:rPr>
        <w:t>.</w:t>
      </w:r>
      <w:r w:rsidRPr="003C421D">
        <w:rPr>
          <w:rFonts w:ascii="Arial" w:hAnsi="Arial" w:cs="Arial"/>
          <w:lang w:val="en-US"/>
        </w:rPr>
        <w:t> </w:t>
      </w:r>
      <w:r w:rsidRPr="003C421D">
        <w:rPr>
          <w:rFonts w:ascii="Arial" w:hAnsi="Arial" w:cs="Arial"/>
          <w:i/>
          <w:iCs/>
          <w:lang w:val="en-US"/>
        </w:rPr>
        <w:t>The</w:t>
      </w:r>
      <w:r w:rsidRPr="003C421D">
        <w:rPr>
          <w:rFonts w:ascii="Arial" w:hAnsi="Arial" w:cs="Arial"/>
          <w:i/>
          <w:iCs/>
          <w:cs/>
        </w:rPr>
        <w:t xml:space="preserve"> </w:t>
      </w:r>
      <w:r w:rsidRPr="003C421D">
        <w:rPr>
          <w:rFonts w:ascii="Arial" w:hAnsi="Arial" w:cs="Arial"/>
          <w:i/>
          <w:iCs/>
          <w:lang w:val="en-US"/>
        </w:rPr>
        <w:t>Doctors' Tale-Professionalism and Public Trust</w:t>
      </w:r>
      <w:r w:rsidRPr="003C421D">
        <w:rPr>
          <w:rFonts w:ascii="Arial" w:hAnsi="Arial" w:cs="Arial"/>
          <w:cs/>
        </w:rPr>
        <w:t xml:space="preserve">. </w:t>
      </w:r>
      <w:r w:rsidRPr="003C421D">
        <w:rPr>
          <w:rFonts w:ascii="Arial" w:hAnsi="Arial" w:cs="Arial"/>
          <w:lang w:val="en-US"/>
        </w:rPr>
        <w:t>CRC</w:t>
      </w:r>
      <w:r w:rsidRPr="003C421D">
        <w:rPr>
          <w:rFonts w:ascii="Arial" w:hAnsi="Arial" w:cs="Arial"/>
          <w:cs/>
        </w:rPr>
        <w:t xml:space="preserve"> </w:t>
      </w:r>
      <w:r w:rsidRPr="003C421D">
        <w:rPr>
          <w:rFonts w:ascii="Arial" w:hAnsi="Arial" w:cs="Arial"/>
          <w:lang w:val="en-US"/>
        </w:rPr>
        <w:t>Press.</w:t>
      </w:r>
      <w:r w:rsidRPr="003C421D">
        <w:rPr>
          <w:rFonts w:ascii="Arial" w:hAnsi="Arial" w:cs="Arial"/>
        </w:rPr>
        <w:t xml:space="preserve"> </w:t>
      </w:r>
      <w:hyperlink r:id="rId19" w:history="1">
        <w:r w:rsidRPr="003C421D">
          <w:rPr>
            <w:rStyle w:val="Hyperlink"/>
            <w:rFonts w:ascii="Arial" w:hAnsi="Arial" w:cs="Arial"/>
          </w:rPr>
          <w:t>https://www.taylorfrancis.com/books/mono/10.1201/9781315375823/doctors-tale-professionalism-public-trust-donald-irvine</w:t>
        </w:r>
      </w:hyperlink>
    </w:p>
    <w:p w14:paraId="3FF8C64B" w14:textId="28CD068F" w:rsidR="003C421D" w:rsidRPr="003C421D" w:rsidRDefault="003C421D" w:rsidP="003C421D">
      <w:pPr>
        <w:spacing w:line="360" w:lineRule="auto"/>
        <w:jc w:val="both"/>
        <w:rPr>
          <w:rFonts w:ascii="Arial" w:hAnsi="Arial" w:cs="Arial"/>
          <w:cs/>
        </w:rPr>
      </w:pPr>
      <w:r w:rsidRPr="003C421D">
        <w:rPr>
          <w:rFonts w:ascii="Arial" w:hAnsi="Arial" w:cs="Arial"/>
          <w:lang w:val="sv-SE"/>
        </w:rPr>
        <w:t>Jabeen,</w:t>
      </w:r>
      <w:r w:rsidRPr="003C421D">
        <w:rPr>
          <w:rFonts w:ascii="Arial" w:hAnsi="Arial" w:cs="Arial"/>
          <w:cs/>
        </w:rPr>
        <w:t xml:space="preserve"> </w:t>
      </w:r>
      <w:r w:rsidRPr="003C421D">
        <w:rPr>
          <w:rFonts w:ascii="Arial" w:hAnsi="Arial" w:cs="Arial"/>
          <w:lang w:val="sv-SE"/>
        </w:rPr>
        <w:t xml:space="preserve">G., Goli, G. and Kafila, </w:t>
      </w:r>
      <w:r w:rsidR="00F53FDB" w:rsidRPr="00F53FDB">
        <w:rPr>
          <w:rFonts w:ascii="Arial" w:hAnsi="Arial" w:cs="Arial"/>
          <w:lang w:val="sv-SE"/>
        </w:rPr>
        <w:t>(</w:t>
      </w:r>
      <w:r w:rsidRPr="003C421D">
        <w:rPr>
          <w:rFonts w:ascii="Arial" w:hAnsi="Arial" w:cs="Arial"/>
          <w:cs/>
        </w:rPr>
        <w:t>2024</w:t>
      </w:r>
      <w:r w:rsidR="00F53FDB" w:rsidRPr="00F53FDB">
        <w:rPr>
          <w:rFonts w:ascii="Arial" w:hAnsi="Arial" w:cs="Arial"/>
          <w:lang w:val="sv-SE"/>
        </w:rPr>
        <w:t>)</w:t>
      </w:r>
      <w:r w:rsidRPr="003C421D">
        <w:rPr>
          <w:rFonts w:ascii="Arial" w:hAnsi="Arial" w:cs="Arial"/>
          <w:cs/>
        </w:rPr>
        <w:t xml:space="preserve">. </w:t>
      </w:r>
      <w:r w:rsidRPr="003C421D">
        <w:rPr>
          <w:rFonts w:ascii="Arial" w:hAnsi="Arial" w:cs="Arial"/>
          <w:lang w:val="en-US"/>
        </w:rPr>
        <w:t>Building trust: The foundations of reliability</w:t>
      </w:r>
      <w:r w:rsidRPr="003C421D">
        <w:rPr>
          <w:rFonts w:ascii="Arial" w:hAnsi="Arial" w:cs="Arial"/>
          <w:cs/>
        </w:rPr>
        <w:t xml:space="preserve"> </w:t>
      </w:r>
      <w:r w:rsidRPr="003C421D">
        <w:rPr>
          <w:rFonts w:ascii="Arial" w:hAnsi="Arial" w:cs="Arial"/>
          <w:lang w:val="en-US"/>
        </w:rPr>
        <w:t>in healthcare. In </w:t>
      </w:r>
      <w:r w:rsidRPr="003C421D">
        <w:rPr>
          <w:rFonts w:ascii="Arial" w:hAnsi="Arial" w:cs="Arial"/>
          <w:i/>
          <w:iCs/>
          <w:lang w:val="en-US"/>
        </w:rPr>
        <w:t>Healthcare</w:t>
      </w:r>
      <w:r w:rsidRPr="003C421D">
        <w:rPr>
          <w:rFonts w:ascii="Arial" w:hAnsi="Arial" w:cs="Arial"/>
          <w:i/>
          <w:iCs/>
          <w:cs/>
        </w:rPr>
        <w:t xml:space="preserve"> </w:t>
      </w:r>
      <w:r w:rsidRPr="003C421D">
        <w:rPr>
          <w:rFonts w:ascii="Arial" w:hAnsi="Arial" w:cs="Arial"/>
          <w:i/>
          <w:iCs/>
          <w:lang w:val="en-US"/>
        </w:rPr>
        <w:t>Industry Assessment: analyzing risks, security, and reliability</w:t>
      </w:r>
      <w:r w:rsidRPr="003C421D">
        <w:rPr>
          <w:rFonts w:ascii="Arial" w:hAnsi="Arial" w:cs="Arial"/>
          <w:lang w:val="en-US"/>
        </w:rPr>
        <w:t> </w:t>
      </w:r>
      <w:r w:rsidRPr="003C421D">
        <w:rPr>
          <w:rFonts w:ascii="Arial" w:hAnsi="Arial" w:cs="Arial"/>
          <w:cs/>
        </w:rPr>
        <w:t>(</w:t>
      </w:r>
      <w:r w:rsidRPr="003C421D">
        <w:rPr>
          <w:rFonts w:ascii="Arial" w:hAnsi="Arial" w:cs="Arial"/>
          <w:lang w:val="en-US"/>
        </w:rPr>
        <w:t>pp.</w:t>
      </w:r>
      <w:r w:rsidRPr="003C421D">
        <w:rPr>
          <w:rFonts w:ascii="Arial" w:hAnsi="Arial" w:cs="Arial"/>
          <w:cs/>
        </w:rPr>
        <w:t xml:space="preserve"> 43-65). </w:t>
      </w:r>
      <w:r w:rsidRPr="003C421D">
        <w:rPr>
          <w:rFonts w:ascii="Arial" w:hAnsi="Arial" w:cs="Arial"/>
          <w:lang w:val="en-US"/>
        </w:rPr>
        <w:t>Cham: Springer Nature Switzerland.</w:t>
      </w:r>
      <w:r w:rsidRPr="003C421D">
        <w:rPr>
          <w:rFonts w:ascii="Arial" w:hAnsi="Arial" w:cs="Arial"/>
        </w:rPr>
        <w:t xml:space="preserve"> </w:t>
      </w:r>
      <w:hyperlink r:id="rId20" w:history="1">
        <w:r w:rsidRPr="003C421D">
          <w:rPr>
            <w:rStyle w:val="Hyperlink"/>
            <w:rFonts w:ascii="Arial" w:hAnsi="Arial" w:cs="Arial"/>
          </w:rPr>
          <w:t>https://link.springer.com/chapter/10.1007/978-3-031-65434-3_3</w:t>
        </w:r>
      </w:hyperlink>
    </w:p>
    <w:p w14:paraId="45DBF354" w14:textId="69A8450F" w:rsidR="003C421D" w:rsidRPr="003C421D" w:rsidRDefault="003C421D" w:rsidP="003C421D">
      <w:pPr>
        <w:spacing w:line="360" w:lineRule="auto"/>
        <w:jc w:val="both"/>
        <w:rPr>
          <w:rFonts w:ascii="Arial" w:hAnsi="Arial" w:cs="Arial"/>
          <w:cs/>
        </w:rPr>
      </w:pPr>
      <w:r w:rsidRPr="003C421D">
        <w:rPr>
          <w:rFonts w:ascii="Arial" w:hAnsi="Arial" w:cs="Arial"/>
          <w:lang w:val="en-US"/>
        </w:rPr>
        <w:t>Kellogg,</w:t>
      </w:r>
      <w:r w:rsidRPr="003C421D">
        <w:rPr>
          <w:rFonts w:ascii="Arial" w:hAnsi="Arial" w:cs="Arial"/>
          <w:cs/>
        </w:rPr>
        <w:t xml:space="preserve"> </w:t>
      </w:r>
      <w:r w:rsidRPr="003C421D">
        <w:rPr>
          <w:rFonts w:ascii="Arial" w:hAnsi="Arial" w:cs="Arial"/>
          <w:lang w:val="en-US"/>
        </w:rPr>
        <w:t>K.M., Hettinger, Z., Shah, M., Wears, R.L., Sellers, C.R., Squires, M. and</w:t>
      </w:r>
      <w:r w:rsidRPr="003C421D">
        <w:rPr>
          <w:rFonts w:ascii="Arial" w:hAnsi="Arial" w:cs="Arial"/>
          <w:cs/>
        </w:rPr>
        <w:t xml:space="preserve"> </w:t>
      </w:r>
      <w:r w:rsidRPr="003C421D">
        <w:rPr>
          <w:rFonts w:ascii="Arial" w:hAnsi="Arial" w:cs="Arial"/>
          <w:lang w:val="en-US"/>
        </w:rPr>
        <w:t xml:space="preserve">Fairbanks, R.J., </w:t>
      </w:r>
      <w:r w:rsidR="00F53FDB">
        <w:rPr>
          <w:rFonts w:ascii="Arial" w:hAnsi="Arial" w:cs="Arial"/>
        </w:rPr>
        <w:t>(</w:t>
      </w:r>
      <w:r w:rsidRPr="003C421D">
        <w:rPr>
          <w:rFonts w:ascii="Arial" w:hAnsi="Arial" w:cs="Arial"/>
          <w:cs/>
        </w:rPr>
        <w:t>2017</w:t>
      </w:r>
      <w:r w:rsidR="00F53FDB">
        <w:rPr>
          <w:rFonts w:ascii="Arial" w:hAnsi="Arial" w:cs="Arial"/>
        </w:rPr>
        <w:t>)</w:t>
      </w:r>
      <w:r w:rsidRPr="003C421D">
        <w:rPr>
          <w:rFonts w:ascii="Arial" w:hAnsi="Arial" w:cs="Arial"/>
          <w:cs/>
        </w:rPr>
        <w:t xml:space="preserve">. </w:t>
      </w:r>
      <w:r w:rsidRPr="003C421D">
        <w:rPr>
          <w:rFonts w:ascii="Arial" w:hAnsi="Arial" w:cs="Arial"/>
          <w:lang w:val="en-US"/>
        </w:rPr>
        <w:t>Our current approach to root cause analysis: is it</w:t>
      </w:r>
      <w:r w:rsidRPr="003C421D">
        <w:rPr>
          <w:rFonts w:ascii="Arial" w:hAnsi="Arial" w:cs="Arial"/>
          <w:cs/>
        </w:rPr>
        <w:t xml:space="preserve"> </w:t>
      </w:r>
      <w:r w:rsidRPr="003C421D">
        <w:rPr>
          <w:rFonts w:ascii="Arial" w:hAnsi="Arial" w:cs="Arial"/>
          <w:lang w:val="en-US"/>
        </w:rPr>
        <w:t>contributing to our failure to improve patient safety?. </w:t>
      </w:r>
      <w:r w:rsidRPr="003C421D">
        <w:rPr>
          <w:rFonts w:ascii="Arial" w:hAnsi="Arial" w:cs="Arial"/>
          <w:i/>
          <w:iCs/>
          <w:lang w:val="en-US"/>
        </w:rPr>
        <w:t>BMJ quality</w:t>
      </w:r>
      <w:r w:rsidRPr="003C421D">
        <w:rPr>
          <w:rFonts w:ascii="Arial" w:hAnsi="Arial" w:cs="Arial"/>
          <w:i/>
          <w:iCs/>
          <w:cs/>
        </w:rPr>
        <w:t xml:space="preserve"> </w:t>
      </w:r>
      <w:r w:rsidRPr="003C421D">
        <w:rPr>
          <w:rFonts w:ascii="Arial" w:hAnsi="Arial" w:cs="Arial"/>
          <w:i/>
          <w:iCs/>
          <w:lang w:val="en-US"/>
        </w:rPr>
        <w:t>&amp;</w:t>
      </w:r>
      <w:r w:rsidRPr="003C421D">
        <w:rPr>
          <w:rFonts w:ascii="Arial" w:hAnsi="Arial" w:cs="Arial"/>
          <w:i/>
          <w:iCs/>
          <w:cs/>
        </w:rPr>
        <w:t xml:space="preserve"> </w:t>
      </w:r>
      <w:r w:rsidRPr="003C421D">
        <w:rPr>
          <w:rFonts w:ascii="Arial" w:hAnsi="Arial" w:cs="Arial"/>
          <w:i/>
          <w:iCs/>
          <w:lang w:val="en-US"/>
        </w:rPr>
        <w:t>safety</w:t>
      </w:r>
      <w:r w:rsidRPr="003C421D">
        <w:rPr>
          <w:rFonts w:ascii="Arial" w:hAnsi="Arial" w:cs="Arial"/>
          <w:lang w:val="en-US"/>
        </w:rPr>
        <w:t>, </w:t>
      </w:r>
      <w:r w:rsidRPr="003C421D">
        <w:rPr>
          <w:rFonts w:ascii="Arial" w:hAnsi="Arial" w:cs="Arial"/>
          <w:i/>
          <w:iCs/>
          <w:cs/>
        </w:rPr>
        <w:t>26</w:t>
      </w:r>
      <w:r w:rsidRPr="003C421D">
        <w:rPr>
          <w:rFonts w:ascii="Arial" w:hAnsi="Arial" w:cs="Arial"/>
          <w:cs/>
        </w:rPr>
        <w:t>(5)</w:t>
      </w:r>
      <w:r w:rsidRPr="003C421D">
        <w:rPr>
          <w:rFonts w:ascii="Arial" w:hAnsi="Arial" w:cs="Arial"/>
          <w:lang w:val="en-US"/>
        </w:rPr>
        <w:t>,</w:t>
      </w:r>
      <w:r w:rsidRPr="003C421D">
        <w:rPr>
          <w:rFonts w:ascii="Arial" w:hAnsi="Arial" w:cs="Arial"/>
          <w:cs/>
        </w:rPr>
        <w:t xml:space="preserve"> </w:t>
      </w:r>
      <w:r w:rsidRPr="003C421D">
        <w:rPr>
          <w:rFonts w:ascii="Arial" w:hAnsi="Arial" w:cs="Arial"/>
          <w:lang w:val="en-US"/>
        </w:rPr>
        <w:t>pp.</w:t>
      </w:r>
      <w:r w:rsidRPr="003C421D">
        <w:rPr>
          <w:rFonts w:ascii="Arial" w:hAnsi="Arial" w:cs="Arial"/>
          <w:cs/>
        </w:rPr>
        <w:t xml:space="preserve">381-387. </w:t>
      </w:r>
      <w:hyperlink r:id="rId21" w:history="1">
        <w:r w:rsidRPr="005F27AE">
          <w:rPr>
            <w:rStyle w:val="Hyperlink"/>
            <w:rFonts w:ascii="Arial" w:hAnsi="Arial" w:cs="Arial"/>
            <w:lang w:val="en-US"/>
          </w:rPr>
          <w:t>https://qualitysafety.bmj.com/content/26/5/381.short</w:t>
        </w:r>
      </w:hyperlink>
    </w:p>
    <w:p w14:paraId="19EC2009" w14:textId="5A7B51FB" w:rsidR="005F27AE" w:rsidRDefault="005F27AE" w:rsidP="003C421D">
      <w:pPr>
        <w:spacing w:line="360" w:lineRule="auto"/>
        <w:jc w:val="both"/>
        <w:rPr>
          <w:rFonts w:ascii="Arial" w:hAnsi="Arial" w:cs="Arial"/>
          <w:lang w:val="en-US"/>
        </w:rPr>
      </w:pPr>
      <w:r w:rsidRPr="005F27AE">
        <w:rPr>
          <w:rFonts w:ascii="Arial" w:hAnsi="Arial" w:cs="Arial"/>
        </w:rPr>
        <w:t xml:space="preserve">Lawson, S. and Hearle, D., </w:t>
      </w:r>
      <w:r w:rsidR="00F53FDB">
        <w:rPr>
          <w:rFonts w:ascii="Arial" w:hAnsi="Arial" w:cs="Arial"/>
        </w:rPr>
        <w:t>(</w:t>
      </w:r>
      <w:r w:rsidRPr="005F27AE">
        <w:rPr>
          <w:rFonts w:ascii="Arial" w:hAnsi="Arial" w:cs="Arial"/>
        </w:rPr>
        <w:t>2020</w:t>
      </w:r>
      <w:r w:rsidR="00F53FDB">
        <w:rPr>
          <w:rFonts w:ascii="Arial" w:hAnsi="Arial" w:cs="Arial"/>
        </w:rPr>
        <w:t>)</w:t>
      </w:r>
      <w:r w:rsidRPr="005F27AE">
        <w:rPr>
          <w:rFonts w:ascii="Arial" w:hAnsi="Arial" w:cs="Arial"/>
        </w:rPr>
        <w:t>. </w:t>
      </w:r>
      <w:r w:rsidRPr="005F27AE">
        <w:rPr>
          <w:rFonts w:ascii="Arial" w:hAnsi="Arial" w:cs="Arial"/>
          <w:i/>
          <w:iCs/>
        </w:rPr>
        <w:t>A strategic guide to continuing professional development for health and care professionals: the TRAMm model</w:t>
      </w:r>
      <w:r w:rsidRPr="005F27AE">
        <w:rPr>
          <w:rFonts w:ascii="Arial" w:hAnsi="Arial" w:cs="Arial"/>
        </w:rPr>
        <w:t>. M&amp;K Update Ltd.</w:t>
      </w:r>
      <w:r>
        <w:rPr>
          <w:rFonts w:ascii="Arial" w:hAnsi="Arial" w:cs="Arial"/>
          <w:lang w:val="en-US"/>
        </w:rPr>
        <w:t xml:space="preserve"> </w:t>
      </w:r>
      <w:hyperlink r:id="rId22" w:history="1">
        <w:r w:rsidRPr="00110A9F">
          <w:rPr>
            <w:rStyle w:val="Hyperlink"/>
            <w:rFonts w:ascii="Arial" w:hAnsi="Arial" w:cs="Arial"/>
            <w:lang w:val="en-US"/>
          </w:rPr>
          <w:t>https://books.google.com/books?hl=en&amp;lr=&amp;id=mGv8DwAAQBAJ&amp;oi=fnd&amp;pg=PT7&amp;</w:t>
        </w:r>
        <w:r w:rsidRPr="00110A9F">
          <w:rPr>
            <w:rStyle w:val="Hyperlink"/>
            <w:rFonts w:ascii="Arial" w:hAnsi="Arial" w:cs="Arial"/>
            <w:lang w:val="en-US"/>
          </w:rPr>
          <w:lastRenderedPageBreak/>
          <w:t>dq=A+SWOT+analysis+provides+a+strategic+assessment+of+quality+assurance+at+Bristol+Royal+Infirmary.+&amp;ots=f1ubbGS0Qp&amp;sig=1-P4TRIPGadZUnjdiblfyGL2Hz8</w:t>
        </w:r>
      </w:hyperlink>
    </w:p>
    <w:p w14:paraId="2212AD51" w14:textId="01FF6593" w:rsidR="003C421D" w:rsidRPr="003C421D" w:rsidRDefault="003C421D" w:rsidP="003C421D">
      <w:pPr>
        <w:spacing w:line="360" w:lineRule="auto"/>
        <w:jc w:val="both"/>
        <w:rPr>
          <w:rFonts w:ascii="Arial" w:hAnsi="Arial" w:cs="Arial"/>
          <w:cs/>
        </w:rPr>
      </w:pPr>
      <w:r w:rsidRPr="003C421D">
        <w:rPr>
          <w:rFonts w:ascii="Arial" w:hAnsi="Arial" w:cs="Arial"/>
          <w:lang w:val="en-US"/>
        </w:rPr>
        <w:t>Lazányi,</w:t>
      </w:r>
      <w:r w:rsidRPr="003C421D">
        <w:rPr>
          <w:rFonts w:ascii="Arial" w:hAnsi="Arial" w:cs="Arial"/>
          <w:cs/>
        </w:rPr>
        <w:t xml:space="preserve"> </w:t>
      </w:r>
      <w:r w:rsidRPr="003C421D">
        <w:rPr>
          <w:rFonts w:ascii="Arial" w:hAnsi="Arial" w:cs="Arial"/>
          <w:lang w:val="en-US"/>
        </w:rPr>
        <w:t xml:space="preserve">K., </w:t>
      </w:r>
      <w:r w:rsidR="00F53FDB">
        <w:rPr>
          <w:rFonts w:ascii="Arial" w:hAnsi="Arial" w:cs="Arial"/>
          <w:lang w:val="en-US"/>
        </w:rPr>
        <w:t>(</w:t>
      </w:r>
      <w:r w:rsidRPr="003C421D">
        <w:rPr>
          <w:rFonts w:ascii="Arial" w:hAnsi="Arial" w:cs="Arial"/>
          <w:cs/>
        </w:rPr>
        <w:t>2025</w:t>
      </w:r>
      <w:r w:rsidR="00F53FDB">
        <w:rPr>
          <w:rFonts w:ascii="Arial" w:hAnsi="Arial" w:cs="Arial"/>
        </w:rPr>
        <w:t>)</w:t>
      </w:r>
      <w:r w:rsidRPr="003C421D">
        <w:rPr>
          <w:rFonts w:ascii="Arial" w:hAnsi="Arial" w:cs="Arial"/>
          <w:lang w:val="en-US"/>
        </w:rPr>
        <w:t>, March. Cheese? Exploring the inherent limits of safety and the human</w:t>
      </w:r>
      <w:r w:rsidRPr="003C421D">
        <w:rPr>
          <w:rFonts w:ascii="Arial" w:hAnsi="Arial" w:cs="Arial"/>
          <w:cs/>
        </w:rPr>
        <w:t xml:space="preserve"> </w:t>
      </w:r>
      <w:r w:rsidRPr="003C421D">
        <w:rPr>
          <w:rFonts w:ascii="Arial" w:hAnsi="Arial" w:cs="Arial"/>
          <w:lang w:val="en-US"/>
        </w:rPr>
        <w:t>factor. In </w:t>
      </w:r>
      <w:r w:rsidRPr="003C421D">
        <w:rPr>
          <w:rFonts w:ascii="Arial" w:hAnsi="Arial" w:cs="Arial"/>
          <w:i/>
          <w:iCs/>
          <w:lang w:val="en-US"/>
        </w:rPr>
        <w:t>The</w:t>
      </w:r>
      <w:r w:rsidRPr="003C421D">
        <w:rPr>
          <w:rFonts w:ascii="Arial" w:hAnsi="Arial" w:cs="Arial"/>
          <w:i/>
          <w:iCs/>
          <w:cs/>
        </w:rPr>
        <w:t xml:space="preserve"> </w:t>
      </w:r>
      <w:r w:rsidRPr="003C421D">
        <w:rPr>
          <w:rFonts w:ascii="Arial" w:hAnsi="Arial" w:cs="Arial"/>
          <w:i/>
          <w:iCs/>
          <w:lang w:val="en-US"/>
        </w:rPr>
        <w:t>Impact of the Energy Dependency on Critical Infrastructure Protection.</w:t>
      </w:r>
      <w:r w:rsidRPr="003C421D">
        <w:rPr>
          <w:rFonts w:ascii="Arial" w:hAnsi="Arial" w:cs="Arial"/>
          <w:i/>
          <w:iCs/>
          <w:cs/>
        </w:rPr>
        <w:t xml:space="preserve"> </w:t>
      </w:r>
      <w:r w:rsidRPr="003C421D">
        <w:rPr>
          <w:rFonts w:ascii="Arial" w:hAnsi="Arial" w:cs="Arial"/>
          <w:i/>
          <w:iCs/>
          <w:lang w:val="en-US"/>
        </w:rPr>
        <w:t xml:space="preserve">Proceedings of the </w:t>
      </w:r>
      <w:r w:rsidRPr="003C421D">
        <w:rPr>
          <w:rFonts w:ascii="Arial" w:hAnsi="Arial" w:cs="Arial"/>
          <w:i/>
          <w:iCs/>
          <w:cs/>
        </w:rPr>
        <w:t>5</w:t>
      </w:r>
      <w:r w:rsidRPr="003C421D">
        <w:rPr>
          <w:rFonts w:ascii="Arial" w:hAnsi="Arial" w:cs="Arial"/>
          <w:i/>
          <w:iCs/>
          <w:lang w:val="en-US"/>
        </w:rPr>
        <w:t>th International Conference on Central European Critical</w:t>
      </w:r>
      <w:r w:rsidRPr="003C421D">
        <w:rPr>
          <w:rFonts w:ascii="Arial" w:hAnsi="Arial" w:cs="Arial"/>
          <w:i/>
          <w:iCs/>
          <w:cs/>
        </w:rPr>
        <w:t xml:space="preserve"> </w:t>
      </w:r>
      <w:r w:rsidRPr="003C421D">
        <w:rPr>
          <w:rFonts w:ascii="Arial" w:hAnsi="Arial" w:cs="Arial"/>
          <w:i/>
          <w:iCs/>
          <w:lang w:val="en-US"/>
        </w:rPr>
        <w:t xml:space="preserve">Infrastructure Protection (ICCECIP </w:t>
      </w:r>
      <w:r w:rsidRPr="003C421D">
        <w:rPr>
          <w:rFonts w:ascii="Arial" w:hAnsi="Arial" w:cs="Arial"/>
          <w:i/>
          <w:iCs/>
          <w:cs/>
        </w:rPr>
        <w:t>2023)</w:t>
      </w:r>
      <w:r w:rsidRPr="003C421D">
        <w:rPr>
          <w:rFonts w:ascii="Arial" w:hAnsi="Arial" w:cs="Arial"/>
          <w:i/>
          <w:iCs/>
          <w:lang w:val="en-US"/>
        </w:rPr>
        <w:t>, Budapest, Hungary</w:t>
      </w:r>
      <w:r w:rsidRPr="003C421D">
        <w:rPr>
          <w:rFonts w:ascii="Arial" w:hAnsi="Arial" w:cs="Arial"/>
          <w:lang w:val="en-US"/>
        </w:rPr>
        <w:t> </w:t>
      </w:r>
      <w:r w:rsidRPr="003C421D">
        <w:rPr>
          <w:rFonts w:ascii="Arial" w:hAnsi="Arial" w:cs="Arial"/>
          <w:cs/>
        </w:rPr>
        <w:t>(</w:t>
      </w:r>
      <w:r w:rsidRPr="003C421D">
        <w:rPr>
          <w:rFonts w:ascii="Arial" w:hAnsi="Arial" w:cs="Arial"/>
          <w:lang w:val="en-US"/>
        </w:rPr>
        <w:t>p.</w:t>
      </w:r>
      <w:r w:rsidRPr="003C421D">
        <w:rPr>
          <w:rFonts w:ascii="Arial" w:hAnsi="Arial" w:cs="Arial"/>
          <w:cs/>
        </w:rPr>
        <w:t xml:space="preserve"> 17).</w:t>
      </w:r>
      <w:r w:rsidRPr="003C421D">
        <w:rPr>
          <w:rFonts w:ascii="Arial" w:hAnsi="Arial" w:cs="Arial"/>
        </w:rPr>
        <w:t xml:space="preserve"> </w:t>
      </w:r>
    </w:p>
    <w:p w14:paraId="418FC10F" w14:textId="19991BBE" w:rsidR="003C421D" w:rsidRPr="003C421D" w:rsidRDefault="003C421D" w:rsidP="003C421D">
      <w:pPr>
        <w:spacing w:line="360" w:lineRule="auto"/>
        <w:jc w:val="both"/>
        <w:rPr>
          <w:rFonts w:ascii="Arial" w:hAnsi="Arial" w:cs="Arial"/>
          <w:cs/>
        </w:rPr>
      </w:pPr>
      <w:r w:rsidRPr="003C421D">
        <w:rPr>
          <w:rFonts w:ascii="Arial" w:hAnsi="Arial" w:cs="Arial"/>
          <w:lang w:val="en-US"/>
        </w:rPr>
        <w:t xml:space="preserve">Loredana, E.M., </w:t>
      </w:r>
      <w:r w:rsidR="00F53FDB">
        <w:rPr>
          <w:rFonts w:ascii="Arial" w:hAnsi="Arial" w:cs="Arial"/>
        </w:rPr>
        <w:t>(</w:t>
      </w:r>
      <w:r w:rsidRPr="003C421D">
        <w:rPr>
          <w:rFonts w:ascii="Arial" w:hAnsi="Arial" w:cs="Arial"/>
          <w:cs/>
        </w:rPr>
        <w:t>2017</w:t>
      </w:r>
      <w:r w:rsidR="00F53FDB">
        <w:rPr>
          <w:rFonts w:ascii="Arial" w:hAnsi="Arial" w:cs="Arial"/>
        </w:rPr>
        <w:t>)</w:t>
      </w:r>
      <w:r w:rsidRPr="003C421D">
        <w:rPr>
          <w:rFonts w:ascii="Arial" w:hAnsi="Arial" w:cs="Arial"/>
          <w:cs/>
        </w:rPr>
        <w:t xml:space="preserve">. </w:t>
      </w:r>
      <w:r w:rsidRPr="003C421D">
        <w:rPr>
          <w:rFonts w:ascii="Arial" w:hAnsi="Arial" w:cs="Arial"/>
          <w:lang w:val="en-US"/>
        </w:rPr>
        <w:t>The analysis</w:t>
      </w:r>
      <w:r w:rsidRPr="003C421D">
        <w:rPr>
          <w:rFonts w:ascii="Arial" w:hAnsi="Arial" w:cs="Arial"/>
          <w:cs/>
        </w:rPr>
        <w:t xml:space="preserve"> </w:t>
      </w:r>
      <w:r w:rsidRPr="003C421D">
        <w:rPr>
          <w:rFonts w:ascii="Arial" w:hAnsi="Arial" w:cs="Arial"/>
          <w:lang w:val="en-US"/>
        </w:rPr>
        <w:t>of causes and effects of a phenomenon by means of the “fishbone” diagram. </w:t>
      </w:r>
      <w:r w:rsidRPr="003C421D">
        <w:rPr>
          <w:rFonts w:ascii="Arial" w:hAnsi="Arial" w:cs="Arial"/>
          <w:i/>
          <w:iCs/>
          <w:lang w:val="sv-SE"/>
        </w:rPr>
        <w:t>Ann Econ Ser</w:t>
      </w:r>
      <w:r w:rsidRPr="003C421D">
        <w:rPr>
          <w:rFonts w:ascii="Arial" w:hAnsi="Arial" w:cs="Arial"/>
          <w:lang w:val="sv-SE"/>
        </w:rPr>
        <w:t>, </w:t>
      </w:r>
      <w:r w:rsidRPr="003C421D">
        <w:rPr>
          <w:rFonts w:ascii="Arial" w:hAnsi="Arial" w:cs="Arial"/>
          <w:i/>
          <w:iCs/>
          <w:cs/>
        </w:rPr>
        <w:t>5</w:t>
      </w:r>
      <w:r w:rsidRPr="003C421D">
        <w:rPr>
          <w:rFonts w:ascii="Arial" w:hAnsi="Arial" w:cs="Arial"/>
          <w:lang w:val="sv-SE"/>
        </w:rPr>
        <w:t>,</w:t>
      </w:r>
      <w:r w:rsidRPr="003C421D">
        <w:rPr>
          <w:rFonts w:ascii="Arial" w:hAnsi="Arial" w:cs="Arial"/>
          <w:cs/>
        </w:rPr>
        <w:t xml:space="preserve"> </w:t>
      </w:r>
      <w:r w:rsidRPr="003C421D">
        <w:rPr>
          <w:rFonts w:ascii="Arial" w:hAnsi="Arial" w:cs="Arial"/>
          <w:lang w:val="sv-SE"/>
        </w:rPr>
        <w:t>pp.</w:t>
      </w:r>
      <w:r w:rsidRPr="003C421D">
        <w:rPr>
          <w:rFonts w:ascii="Arial" w:hAnsi="Arial" w:cs="Arial"/>
          <w:cs/>
        </w:rPr>
        <w:t>97-103.</w:t>
      </w:r>
      <w:r w:rsidRPr="003C421D">
        <w:rPr>
          <w:rFonts w:ascii="Arial" w:hAnsi="Arial" w:cs="Arial"/>
          <w:lang w:val="sv-SE"/>
        </w:rPr>
        <w:t xml:space="preserve"> </w:t>
      </w:r>
      <w:hyperlink r:id="rId23" w:history="1">
        <w:r w:rsidRPr="003C421D">
          <w:rPr>
            <w:rStyle w:val="Hyperlink"/>
            <w:rFonts w:ascii="Arial" w:hAnsi="Arial" w:cs="Arial"/>
            <w:lang w:val="sv-SE"/>
          </w:rPr>
          <w:t>https://www.utgjiu.ro/revista/ec/pdf/2017-05/11_Ecobici%20Loredana.pdf</w:t>
        </w:r>
      </w:hyperlink>
    </w:p>
    <w:p w14:paraId="0CDE0E4B" w14:textId="5D1B4B29" w:rsidR="00E66E47" w:rsidRDefault="00E66E47" w:rsidP="003C421D">
      <w:pPr>
        <w:spacing w:line="360" w:lineRule="auto"/>
        <w:jc w:val="both"/>
        <w:rPr>
          <w:rFonts w:ascii="Arial" w:hAnsi="Arial" w:cs="Arial"/>
        </w:rPr>
      </w:pPr>
      <w:r w:rsidRPr="00E66E47">
        <w:rPr>
          <w:rFonts w:ascii="Arial" w:hAnsi="Arial" w:cs="Arial"/>
        </w:rPr>
        <w:t xml:space="preserve">Mahase, E., </w:t>
      </w:r>
      <w:r w:rsidR="00F53FDB">
        <w:rPr>
          <w:rFonts w:ascii="Arial" w:hAnsi="Arial" w:cs="Arial"/>
        </w:rPr>
        <w:t>(</w:t>
      </w:r>
      <w:r w:rsidRPr="00E66E47">
        <w:rPr>
          <w:rFonts w:ascii="Arial" w:hAnsi="Arial" w:cs="Arial"/>
        </w:rPr>
        <w:t>2020</w:t>
      </w:r>
      <w:r w:rsidR="00F53FDB">
        <w:rPr>
          <w:rFonts w:ascii="Arial" w:hAnsi="Arial" w:cs="Arial"/>
        </w:rPr>
        <w:t>)</w:t>
      </w:r>
      <w:r w:rsidRPr="00E66E47">
        <w:rPr>
          <w:rFonts w:ascii="Arial" w:hAnsi="Arial" w:cs="Arial"/>
        </w:rPr>
        <w:t>. Half of patients with acute aortic dissection in England die before reaching a specialist centre.</w:t>
      </w:r>
      <w:r>
        <w:rPr>
          <w:rFonts w:ascii="Arial" w:hAnsi="Arial" w:cs="Arial"/>
        </w:rPr>
        <w:t xml:space="preserve"> </w:t>
      </w:r>
      <w:hyperlink r:id="rId24" w:history="1">
        <w:r w:rsidRPr="00110A9F">
          <w:rPr>
            <w:rStyle w:val="Hyperlink"/>
            <w:rFonts w:ascii="Arial" w:hAnsi="Arial" w:cs="Arial"/>
          </w:rPr>
          <w:t>https://www.bmj.com/content/368/bmj.m304</w:t>
        </w:r>
      </w:hyperlink>
    </w:p>
    <w:p w14:paraId="37DA9E2F" w14:textId="7C58DB62" w:rsidR="00E66E47" w:rsidRDefault="00E66E47" w:rsidP="003C421D">
      <w:pPr>
        <w:spacing w:line="360" w:lineRule="auto"/>
        <w:jc w:val="both"/>
        <w:rPr>
          <w:rFonts w:ascii="Arial" w:hAnsi="Arial" w:cs="Arial"/>
        </w:rPr>
      </w:pPr>
      <w:r w:rsidRPr="00E66E47">
        <w:rPr>
          <w:rFonts w:ascii="Arial" w:hAnsi="Arial" w:cs="Arial"/>
        </w:rPr>
        <w:t xml:space="preserve">Mannion, R., </w:t>
      </w:r>
      <w:r w:rsidR="00F53FDB">
        <w:rPr>
          <w:rFonts w:ascii="Arial" w:hAnsi="Arial" w:cs="Arial"/>
        </w:rPr>
        <w:t>(</w:t>
      </w:r>
      <w:r w:rsidRPr="00E66E47">
        <w:rPr>
          <w:rFonts w:ascii="Arial" w:hAnsi="Arial" w:cs="Arial"/>
        </w:rPr>
        <w:t>2024</w:t>
      </w:r>
      <w:r w:rsidR="00F53FDB">
        <w:rPr>
          <w:rFonts w:ascii="Arial" w:hAnsi="Arial" w:cs="Arial"/>
        </w:rPr>
        <w:t>)</w:t>
      </w:r>
      <w:r w:rsidRPr="00E66E47">
        <w:rPr>
          <w:rFonts w:ascii="Arial" w:hAnsi="Arial" w:cs="Arial"/>
        </w:rPr>
        <w:t>. A statutory public inquiry is not always the most effective vehicle for learning lessons in the NHS. </w:t>
      </w:r>
      <w:r w:rsidRPr="00E66E47">
        <w:rPr>
          <w:rFonts w:ascii="Arial" w:hAnsi="Arial" w:cs="Arial"/>
          <w:i/>
          <w:iCs/>
        </w:rPr>
        <w:t>bmj</w:t>
      </w:r>
      <w:r w:rsidRPr="00E66E47">
        <w:rPr>
          <w:rFonts w:ascii="Arial" w:hAnsi="Arial" w:cs="Arial"/>
        </w:rPr>
        <w:t>, </w:t>
      </w:r>
      <w:r w:rsidRPr="00E66E47">
        <w:rPr>
          <w:rFonts w:ascii="Arial" w:hAnsi="Arial" w:cs="Arial"/>
          <w:i/>
          <w:iCs/>
        </w:rPr>
        <w:t>386</w:t>
      </w:r>
      <w:r w:rsidRPr="00E66E47">
        <w:rPr>
          <w:rFonts w:ascii="Arial" w:hAnsi="Arial" w:cs="Arial"/>
        </w:rPr>
        <w:t>.</w:t>
      </w:r>
      <w:r>
        <w:rPr>
          <w:rFonts w:ascii="Arial" w:hAnsi="Arial" w:cs="Arial"/>
        </w:rPr>
        <w:t xml:space="preserve"> </w:t>
      </w:r>
      <w:hyperlink r:id="rId25" w:history="1">
        <w:r w:rsidRPr="00110A9F">
          <w:rPr>
            <w:rStyle w:val="Hyperlink"/>
            <w:rFonts w:ascii="Arial" w:hAnsi="Arial" w:cs="Arial"/>
          </w:rPr>
          <w:t>https://www.bmj.com/content/386/bmj.q1785.full</w:t>
        </w:r>
      </w:hyperlink>
    </w:p>
    <w:p w14:paraId="55F068C1" w14:textId="2F70C48D" w:rsidR="007C6C04" w:rsidRDefault="007C6C04" w:rsidP="003C421D">
      <w:pPr>
        <w:spacing w:line="360" w:lineRule="auto"/>
        <w:jc w:val="both"/>
        <w:rPr>
          <w:rFonts w:ascii="Arial" w:hAnsi="Arial" w:cs="Arial"/>
          <w:lang w:val="en-US"/>
        </w:rPr>
      </w:pPr>
      <w:r w:rsidRPr="007C6C04">
        <w:rPr>
          <w:rFonts w:ascii="Arial" w:hAnsi="Arial" w:cs="Arial"/>
        </w:rPr>
        <w:t xml:space="preserve">McCullough, K., Andrew, L., Genoni, A., Dunham, M., Whitehead, L. and Porock, D., </w:t>
      </w:r>
      <w:r w:rsidR="00F53FDB">
        <w:rPr>
          <w:rFonts w:ascii="Arial" w:hAnsi="Arial" w:cs="Arial"/>
        </w:rPr>
        <w:t>(</w:t>
      </w:r>
      <w:r w:rsidRPr="007C6C04">
        <w:rPr>
          <w:rFonts w:ascii="Arial" w:hAnsi="Arial" w:cs="Arial"/>
        </w:rPr>
        <w:t>2023</w:t>
      </w:r>
      <w:r w:rsidR="00F53FDB">
        <w:rPr>
          <w:rFonts w:ascii="Arial" w:hAnsi="Arial" w:cs="Arial"/>
        </w:rPr>
        <w:t>)</w:t>
      </w:r>
      <w:r w:rsidRPr="007C6C04">
        <w:rPr>
          <w:rFonts w:ascii="Arial" w:hAnsi="Arial" w:cs="Arial"/>
        </w:rPr>
        <w:t>. An examination of primary health care nursing service evaluation using the Donabedian model: A systematic review. </w:t>
      </w:r>
      <w:r w:rsidRPr="007C6C04">
        <w:rPr>
          <w:rFonts w:ascii="Arial" w:hAnsi="Arial" w:cs="Arial"/>
          <w:i/>
          <w:iCs/>
        </w:rPr>
        <w:t>Research in nursing &amp; health</w:t>
      </w:r>
      <w:r w:rsidRPr="007C6C04">
        <w:rPr>
          <w:rFonts w:ascii="Arial" w:hAnsi="Arial" w:cs="Arial"/>
        </w:rPr>
        <w:t>, </w:t>
      </w:r>
      <w:r w:rsidRPr="007C6C04">
        <w:rPr>
          <w:rFonts w:ascii="Arial" w:hAnsi="Arial" w:cs="Arial"/>
          <w:i/>
          <w:iCs/>
        </w:rPr>
        <w:t>46</w:t>
      </w:r>
      <w:r w:rsidRPr="007C6C04">
        <w:rPr>
          <w:rFonts w:ascii="Arial" w:hAnsi="Arial" w:cs="Arial"/>
        </w:rPr>
        <w:t>(1), pp.159-176.</w:t>
      </w:r>
      <w:r>
        <w:rPr>
          <w:rFonts w:ascii="Arial" w:hAnsi="Arial" w:cs="Arial"/>
          <w:lang w:val="en-US"/>
        </w:rPr>
        <w:t xml:space="preserve"> </w:t>
      </w:r>
      <w:hyperlink r:id="rId26" w:history="1">
        <w:r w:rsidRPr="00110A9F">
          <w:rPr>
            <w:rStyle w:val="Hyperlink"/>
            <w:rFonts w:ascii="Arial" w:hAnsi="Arial" w:cs="Arial"/>
            <w:lang w:val="en-US"/>
          </w:rPr>
          <w:t>https://onlinelibrary.wiley.com/doi/abs/10.1002/nur.22291</w:t>
        </w:r>
      </w:hyperlink>
    </w:p>
    <w:p w14:paraId="42EE44F9" w14:textId="3C99D97D" w:rsidR="003C421D" w:rsidRPr="003C421D" w:rsidRDefault="003C421D" w:rsidP="003C421D">
      <w:pPr>
        <w:spacing w:line="360" w:lineRule="auto"/>
        <w:jc w:val="both"/>
        <w:rPr>
          <w:rFonts w:ascii="Arial" w:hAnsi="Arial" w:cs="Arial"/>
          <w:cs/>
        </w:rPr>
      </w:pPr>
      <w:r w:rsidRPr="003C421D">
        <w:rPr>
          <w:rFonts w:ascii="Arial" w:hAnsi="Arial" w:cs="Arial"/>
          <w:lang w:val="en-US"/>
        </w:rPr>
        <w:t>McDonald,</w:t>
      </w:r>
      <w:r w:rsidRPr="003C421D">
        <w:rPr>
          <w:rFonts w:ascii="Arial" w:hAnsi="Arial" w:cs="Arial"/>
          <w:cs/>
        </w:rPr>
        <w:t xml:space="preserve"> </w:t>
      </w:r>
      <w:r w:rsidRPr="003C421D">
        <w:rPr>
          <w:rFonts w:ascii="Arial" w:hAnsi="Arial" w:cs="Arial"/>
          <w:lang w:val="en-US"/>
        </w:rPr>
        <w:t xml:space="preserve">F., </w:t>
      </w:r>
      <w:r w:rsidR="00F53FDB">
        <w:rPr>
          <w:rFonts w:ascii="Arial" w:hAnsi="Arial" w:cs="Arial"/>
        </w:rPr>
        <w:t>(</w:t>
      </w:r>
      <w:r w:rsidRPr="003C421D">
        <w:rPr>
          <w:rFonts w:ascii="Arial" w:hAnsi="Arial" w:cs="Arial"/>
          <w:cs/>
        </w:rPr>
        <w:t>2016</w:t>
      </w:r>
      <w:r w:rsidR="00F53FDB">
        <w:rPr>
          <w:rFonts w:ascii="Arial" w:hAnsi="Arial" w:cs="Arial"/>
        </w:rPr>
        <w:t>)</w:t>
      </w:r>
      <w:r w:rsidRPr="003C421D">
        <w:rPr>
          <w:rFonts w:ascii="Arial" w:hAnsi="Arial" w:cs="Arial"/>
          <w:cs/>
        </w:rPr>
        <w:t xml:space="preserve">. </w:t>
      </w:r>
      <w:r w:rsidRPr="003C421D">
        <w:rPr>
          <w:rFonts w:ascii="Arial" w:hAnsi="Arial" w:cs="Arial"/>
          <w:lang w:val="en-US"/>
        </w:rPr>
        <w:t>Scandals, public inquiries and health professional regulation.</w:t>
      </w:r>
      <w:r w:rsidRPr="003C421D">
        <w:rPr>
          <w:rFonts w:ascii="Arial" w:hAnsi="Arial" w:cs="Arial"/>
          <w:cs/>
        </w:rPr>
        <w:t xml:space="preserve"> </w:t>
      </w:r>
      <w:r w:rsidRPr="003C421D">
        <w:rPr>
          <w:rFonts w:ascii="Arial" w:hAnsi="Arial" w:cs="Arial"/>
          <w:lang w:val="en-US"/>
        </w:rPr>
        <w:t>In </w:t>
      </w:r>
      <w:r w:rsidRPr="003C421D">
        <w:rPr>
          <w:rFonts w:ascii="Arial" w:hAnsi="Arial" w:cs="Arial"/>
          <w:i/>
          <w:iCs/>
          <w:lang w:val="en-US"/>
        </w:rPr>
        <w:t>Health Workforce Governance</w:t>
      </w:r>
      <w:r w:rsidRPr="003C421D">
        <w:rPr>
          <w:rFonts w:ascii="Arial" w:hAnsi="Arial" w:cs="Arial"/>
          <w:lang w:val="en-US"/>
        </w:rPr>
        <w:t> </w:t>
      </w:r>
      <w:r w:rsidRPr="003C421D">
        <w:rPr>
          <w:rFonts w:ascii="Arial" w:hAnsi="Arial" w:cs="Arial"/>
          <w:cs/>
        </w:rPr>
        <w:t>(</w:t>
      </w:r>
      <w:r w:rsidRPr="003C421D">
        <w:rPr>
          <w:rFonts w:ascii="Arial" w:hAnsi="Arial" w:cs="Arial"/>
          <w:lang w:val="en-US"/>
        </w:rPr>
        <w:t>pp.</w:t>
      </w:r>
      <w:r w:rsidRPr="003C421D">
        <w:rPr>
          <w:rFonts w:ascii="Arial" w:hAnsi="Arial" w:cs="Arial"/>
          <w:cs/>
        </w:rPr>
        <w:t xml:space="preserve"> 223-248). </w:t>
      </w:r>
      <w:r w:rsidRPr="003C421D">
        <w:rPr>
          <w:rFonts w:ascii="Arial" w:hAnsi="Arial" w:cs="Arial"/>
          <w:lang w:val="en-US"/>
        </w:rPr>
        <w:t>Routledge.</w:t>
      </w:r>
      <w:r w:rsidRPr="003C421D">
        <w:rPr>
          <w:rFonts w:ascii="Arial" w:hAnsi="Arial" w:cs="Arial"/>
        </w:rPr>
        <w:t xml:space="preserve"> </w:t>
      </w:r>
      <w:hyperlink r:id="rId27" w:history="1">
        <w:r w:rsidRPr="003C421D">
          <w:rPr>
            <w:rStyle w:val="Hyperlink"/>
            <w:rFonts w:ascii="Arial" w:hAnsi="Arial" w:cs="Arial"/>
          </w:rPr>
          <w:t>https://api.taylorfrancis.com/content/chapters/edit/download?identifierName=doi&amp;identifierValue=10.4324/9781315586366-16&amp;type=chapterpdf</w:t>
        </w:r>
      </w:hyperlink>
    </w:p>
    <w:p w14:paraId="49D8ED35" w14:textId="33834F65" w:rsidR="003C421D" w:rsidRPr="003C421D" w:rsidRDefault="003C421D" w:rsidP="003C421D">
      <w:pPr>
        <w:spacing w:line="360" w:lineRule="auto"/>
        <w:jc w:val="both"/>
        <w:rPr>
          <w:rFonts w:ascii="Arial" w:hAnsi="Arial" w:cs="Arial"/>
          <w:cs/>
        </w:rPr>
      </w:pPr>
      <w:r w:rsidRPr="003C421D">
        <w:rPr>
          <w:rFonts w:ascii="Arial" w:hAnsi="Arial" w:cs="Arial"/>
          <w:lang w:val="en-US"/>
        </w:rPr>
        <w:t>Pande,</w:t>
      </w:r>
      <w:r w:rsidRPr="003C421D">
        <w:rPr>
          <w:rFonts w:ascii="Arial" w:hAnsi="Arial" w:cs="Arial"/>
          <w:cs/>
        </w:rPr>
        <w:t xml:space="preserve"> </w:t>
      </w:r>
      <w:r w:rsidRPr="003C421D">
        <w:rPr>
          <w:rFonts w:ascii="Arial" w:hAnsi="Arial" w:cs="Arial"/>
          <w:lang w:val="en-US"/>
        </w:rPr>
        <w:t xml:space="preserve">A. and Ghosh, S., </w:t>
      </w:r>
      <w:r w:rsidR="00F53FDB">
        <w:rPr>
          <w:rFonts w:ascii="Arial" w:hAnsi="Arial" w:cs="Arial"/>
        </w:rPr>
        <w:t>(</w:t>
      </w:r>
      <w:r w:rsidRPr="003C421D">
        <w:rPr>
          <w:rFonts w:ascii="Arial" w:hAnsi="Arial" w:cs="Arial"/>
          <w:cs/>
        </w:rPr>
        <w:t>2023</w:t>
      </w:r>
      <w:r w:rsidR="00F53FDB">
        <w:rPr>
          <w:rFonts w:ascii="Arial" w:hAnsi="Arial" w:cs="Arial"/>
        </w:rPr>
        <w:t>)</w:t>
      </w:r>
      <w:r w:rsidRPr="003C421D">
        <w:rPr>
          <w:rFonts w:ascii="Arial" w:hAnsi="Arial" w:cs="Arial"/>
          <w:cs/>
        </w:rPr>
        <w:t xml:space="preserve">. </w:t>
      </w:r>
      <w:r w:rsidRPr="003C421D">
        <w:rPr>
          <w:rFonts w:ascii="Arial" w:hAnsi="Arial" w:cs="Arial"/>
          <w:lang w:val="en-US"/>
        </w:rPr>
        <w:t>The Hawthorne effect: quality and outcomes in</w:t>
      </w:r>
      <w:r w:rsidRPr="003C421D">
        <w:rPr>
          <w:rFonts w:ascii="Arial" w:hAnsi="Arial" w:cs="Arial"/>
          <w:cs/>
        </w:rPr>
        <w:t xml:space="preserve"> </w:t>
      </w:r>
      <w:r w:rsidRPr="003C421D">
        <w:rPr>
          <w:rFonts w:ascii="Arial" w:hAnsi="Arial" w:cs="Arial"/>
          <w:lang w:val="en-US"/>
        </w:rPr>
        <w:t>neurosurgery. In </w:t>
      </w:r>
      <w:r w:rsidRPr="003C421D">
        <w:rPr>
          <w:rFonts w:ascii="Arial" w:hAnsi="Arial" w:cs="Arial"/>
          <w:i/>
          <w:iCs/>
          <w:lang w:val="en-US"/>
        </w:rPr>
        <w:t>Complications</w:t>
      </w:r>
      <w:r w:rsidRPr="003C421D">
        <w:rPr>
          <w:rFonts w:ascii="Arial" w:hAnsi="Arial" w:cs="Arial"/>
          <w:i/>
          <w:iCs/>
          <w:cs/>
        </w:rPr>
        <w:t xml:space="preserve"> </w:t>
      </w:r>
      <w:r w:rsidRPr="003C421D">
        <w:rPr>
          <w:rFonts w:ascii="Arial" w:hAnsi="Arial" w:cs="Arial"/>
          <w:i/>
          <w:iCs/>
          <w:lang w:val="en-US"/>
        </w:rPr>
        <w:t>in Neurosurgery</w:t>
      </w:r>
      <w:r w:rsidRPr="003C421D">
        <w:rPr>
          <w:rFonts w:ascii="Arial" w:hAnsi="Arial" w:cs="Arial"/>
          <w:lang w:val="en-US"/>
        </w:rPr>
        <w:t> </w:t>
      </w:r>
      <w:r w:rsidRPr="003C421D">
        <w:rPr>
          <w:rFonts w:ascii="Arial" w:hAnsi="Arial" w:cs="Arial"/>
          <w:cs/>
        </w:rPr>
        <w:t>(</w:t>
      </w:r>
      <w:r w:rsidRPr="003C421D">
        <w:rPr>
          <w:rFonts w:ascii="Arial" w:hAnsi="Arial" w:cs="Arial"/>
          <w:lang w:val="en-US"/>
        </w:rPr>
        <w:t xml:space="preserve">pp. </w:t>
      </w:r>
      <w:r w:rsidRPr="003C421D">
        <w:rPr>
          <w:rFonts w:ascii="Arial" w:hAnsi="Arial" w:cs="Arial"/>
          <w:cs/>
        </w:rPr>
        <w:t xml:space="preserve">207-216). </w:t>
      </w:r>
      <w:r w:rsidRPr="003C421D">
        <w:rPr>
          <w:rFonts w:ascii="Arial" w:hAnsi="Arial" w:cs="Arial"/>
          <w:lang w:val="en-US"/>
        </w:rPr>
        <w:t>Cham: Springer</w:t>
      </w:r>
      <w:r w:rsidRPr="003C421D">
        <w:rPr>
          <w:rFonts w:ascii="Arial" w:hAnsi="Arial" w:cs="Arial"/>
          <w:cs/>
        </w:rPr>
        <w:t xml:space="preserve"> </w:t>
      </w:r>
      <w:r w:rsidRPr="003C421D">
        <w:rPr>
          <w:rFonts w:ascii="Arial" w:hAnsi="Arial" w:cs="Arial"/>
          <w:lang w:val="en-US"/>
        </w:rPr>
        <w:t>International Publishing.</w:t>
      </w:r>
      <w:r w:rsidRPr="003C421D">
        <w:rPr>
          <w:rFonts w:ascii="Arial" w:hAnsi="Arial" w:cs="Arial"/>
          <w:cs/>
        </w:rPr>
        <w:t xml:space="preserve"> </w:t>
      </w:r>
      <w:hyperlink r:id="rId28" w:history="1">
        <w:r w:rsidRPr="003C421D">
          <w:rPr>
            <w:rStyle w:val="Hyperlink"/>
            <w:rFonts w:ascii="Arial" w:hAnsi="Arial" w:cs="Arial"/>
            <w:lang w:val="en-US"/>
          </w:rPr>
          <w:t>https://link.springer.com/chapter/10.1007/978-3-030-12887-6_25</w:t>
        </w:r>
      </w:hyperlink>
    </w:p>
    <w:p w14:paraId="2F27D0C7" w14:textId="6BFDF5AB" w:rsidR="00E31530" w:rsidRDefault="00E31530" w:rsidP="003C421D">
      <w:pPr>
        <w:spacing w:line="360" w:lineRule="auto"/>
        <w:jc w:val="both"/>
        <w:rPr>
          <w:rFonts w:ascii="Arial" w:hAnsi="Arial" w:cs="Arial"/>
        </w:rPr>
      </w:pPr>
      <w:r w:rsidRPr="00E31530">
        <w:rPr>
          <w:rFonts w:ascii="Arial" w:hAnsi="Arial" w:cs="Arial"/>
        </w:rPr>
        <w:t xml:space="preserve">Pérez-Balboa, I.C. and Caballero-Morales, S.O., </w:t>
      </w:r>
      <w:r w:rsidR="00F53FDB">
        <w:rPr>
          <w:rFonts w:ascii="Arial" w:hAnsi="Arial" w:cs="Arial"/>
        </w:rPr>
        <w:t>(</w:t>
      </w:r>
      <w:r w:rsidRPr="00E31530">
        <w:rPr>
          <w:rFonts w:ascii="Arial" w:hAnsi="Arial" w:cs="Arial"/>
        </w:rPr>
        <w:t>2024</w:t>
      </w:r>
      <w:r w:rsidR="00F53FDB">
        <w:rPr>
          <w:rFonts w:ascii="Arial" w:hAnsi="Arial" w:cs="Arial"/>
        </w:rPr>
        <w:t>)</w:t>
      </w:r>
      <w:r w:rsidRPr="00E31530">
        <w:rPr>
          <w:rFonts w:ascii="Arial" w:hAnsi="Arial" w:cs="Arial"/>
        </w:rPr>
        <w:t>. Define, measure, analyze, improve, control (DMAIC). In </w:t>
      </w:r>
      <w:r w:rsidRPr="00E31530">
        <w:rPr>
          <w:rFonts w:ascii="Arial" w:hAnsi="Arial" w:cs="Arial"/>
          <w:i/>
          <w:iCs/>
        </w:rPr>
        <w:t>Lean manufacturing in Latin America: Concepts, methodologies and applications</w:t>
      </w:r>
      <w:r w:rsidRPr="00E31530">
        <w:rPr>
          <w:rFonts w:ascii="Arial" w:hAnsi="Arial" w:cs="Arial"/>
        </w:rPr>
        <w:t> (pp. 333-352). Cham: Springer Nature Switzerland.</w:t>
      </w:r>
      <w:r>
        <w:rPr>
          <w:rFonts w:ascii="Arial" w:hAnsi="Arial" w:cs="Arial"/>
        </w:rPr>
        <w:t xml:space="preserve"> </w:t>
      </w:r>
      <w:hyperlink r:id="rId29" w:history="1">
        <w:r w:rsidRPr="00110A9F">
          <w:rPr>
            <w:rStyle w:val="Hyperlink"/>
            <w:rFonts w:ascii="Arial" w:hAnsi="Arial" w:cs="Arial"/>
          </w:rPr>
          <w:t>https://link.springer.com/chapter/10.1007/978-3-031-70984-5_15</w:t>
        </w:r>
      </w:hyperlink>
    </w:p>
    <w:p w14:paraId="12F939B4" w14:textId="44649EB7" w:rsidR="002D084D" w:rsidRDefault="002D084D" w:rsidP="003C421D">
      <w:pPr>
        <w:spacing w:line="360" w:lineRule="auto"/>
        <w:jc w:val="both"/>
        <w:rPr>
          <w:rFonts w:ascii="Arial" w:hAnsi="Arial" w:cs="Arial"/>
        </w:rPr>
      </w:pPr>
      <w:r w:rsidRPr="002D084D">
        <w:rPr>
          <w:rFonts w:ascii="Arial" w:hAnsi="Arial" w:cs="Arial"/>
        </w:rPr>
        <w:lastRenderedPageBreak/>
        <w:t xml:space="preserve">Powell, M., Blenkinsopp, J., Davies, H., Mannion, R., Millar, R., McHale, J. and Snowden, N., </w:t>
      </w:r>
      <w:r w:rsidR="00F53FDB">
        <w:rPr>
          <w:rFonts w:ascii="Arial" w:hAnsi="Arial" w:cs="Arial"/>
        </w:rPr>
        <w:t>(</w:t>
      </w:r>
      <w:r w:rsidRPr="002D084D">
        <w:rPr>
          <w:rFonts w:ascii="Arial" w:hAnsi="Arial" w:cs="Arial"/>
        </w:rPr>
        <w:t>2022</w:t>
      </w:r>
      <w:r w:rsidR="00F53FDB">
        <w:rPr>
          <w:rFonts w:ascii="Arial" w:hAnsi="Arial" w:cs="Arial"/>
        </w:rPr>
        <w:t>)</w:t>
      </w:r>
      <w:r w:rsidRPr="002D084D">
        <w:rPr>
          <w:rFonts w:ascii="Arial" w:hAnsi="Arial" w:cs="Arial"/>
        </w:rPr>
        <w:t>. The case of the disappearing whistleblower: an analysis of National Health Service inquiries. </w:t>
      </w:r>
      <w:r w:rsidRPr="002D084D">
        <w:rPr>
          <w:rFonts w:ascii="Arial" w:hAnsi="Arial" w:cs="Arial"/>
          <w:i/>
          <w:iCs/>
        </w:rPr>
        <w:t>Public Money &amp; Management</w:t>
      </w:r>
      <w:r w:rsidRPr="002D084D">
        <w:rPr>
          <w:rFonts w:ascii="Arial" w:hAnsi="Arial" w:cs="Arial"/>
        </w:rPr>
        <w:t>, </w:t>
      </w:r>
      <w:r w:rsidRPr="002D084D">
        <w:rPr>
          <w:rFonts w:ascii="Arial" w:hAnsi="Arial" w:cs="Arial"/>
          <w:i/>
          <w:iCs/>
        </w:rPr>
        <w:t>42</w:t>
      </w:r>
      <w:r w:rsidRPr="002D084D">
        <w:rPr>
          <w:rFonts w:ascii="Arial" w:hAnsi="Arial" w:cs="Arial"/>
        </w:rPr>
        <w:t>(2), pp.59-69.</w:t>
      </w:r>
      <w:r>
        <w:rPr>
          <w:rFonts w:ascii="Arial" w:hAnsi="Arial" w:cs="Arial"/>
        </w:rPr>
        <w:t xml:space="preserve"> </w:t>
      </w:r>
      <w:hyperlink r:id="rId30" w:history="1">
        <w:r w:rsidRPr="00110A9F">
          <w:rPr>
            <w:rStyle w:val="Hyperlink"/>
            <w:rFonts w:ascii="Arial" w:hAnsi="Arial" w:cs="Arial"/>
          </w:rPr>
          <w:t>https://www.tandfonline.com/doi/abs/10.1080/09540962.2021.1892959</w:t>
        </w:r>
      </w:hyperlink>
    </w:p>
    <w:p w14:paraId="1E5A9AAC" w14:textId="4E71923B" w:rsidR="00AF10F9" w:rsidRDefault="00AF10F9" w:rsidP="003C421D">
      <w:pPr>
        <w:spacing w:line="360" w:lineRule="auto"/>
        <w:jc w:val="both"/>
        <w:rPr>
          <w:rFonts w:ascii="Arial" w:hAnsi="Arial" w:cs="Arial"/>
          <w:lang w:val="en-US"/>
        </w:rPr>
      </w:pPr>
      <w:r w:rsidRPr="00AF10F9">
        <w:rPr>
          <w:rFonts w:ascii="Arial" w:hAnsi="Arial" w:cs="Arial"/>
        </w:rPr>
        <w:t xml:space="preserve">Psotka, M.A., Fonarow, G.C., Allen, L.A., Joynt Maddox, K.E., Fiuzat, M., Heidenreich, P., Hernandez, A.F., Konstam, M.A., Yancy, C.W. and O'Connor, C.M., </w:t>
      </w:r>
      <w:r w:rsidR="00F53FDB">
        <w:rPr>
          <w:rFonts w:ascii="Arial" w:hAnsi="Arial" w:cs="Arial"/>
        </w:rPr>
        <w:t>(</w:t>
      </w:r>
      <w:r w:rsidRPr="00AF10F9">
        <w:rPr>
          <w:rFonts w:ascii="Arial" w:hAnsi="Arial" w:cs="Arial"/>
        </w:rPr>
        <w:t>2020</w:t>
      </w:r>
      <w:r w:rsidR="00F53FDB">
        <w:rPr>
          <w:rFonts w:ascii="Arial" w:hAnsi="Arial" w:cs="Arial"/>
        </w:rPr>
        <w:t>)</w:t>
      </w:r>
      <w:r w:rsidRPr="00AF10F9">
        <w:rPr>
          <w:rFonts w:ascii="Arial" w:hAnsi="Arial" w:cs="Arial"/>
        </w:rPr>
        <w:t>. The hospital readmissions reduction program: nationwide perspectives and recommendations: a JACC: heart failure position paper. </w:t>
      </w:r>
      <w:r w:rsidRPr="00AF10F9">
        <w:rPr>
          <w:rFonts w:ascii="Arial" w:hAnsi="Arial" w:cs="Arial"/>
          <w:i/>
          <w:iCs/>
        </w:rPr>
        <w:t>JACC: Heart Failure</w:t>
      </w:r>
      <w:r w:rsidRPr="00AF10F9">
        <w:rPr>
          <w:rFonts w:ascii="Arial" w:hAnsi="Arial" w:cs="Arial"/>
        </w:rPr>
        <w:t>, </w:t>
      </w:r>
      <w:r w:rsidRPr="00AF10F9">
        <w:rPr>
          <w:rFonts w:ascii="Arial" w:hAnsi="Arial" w:cs="Arial"/>
          <w:i/>
          <w:iCs/>
        </w:rPr>
        <w:t>8</w:t>
      </w:r>
      <w:r w:rsidRPr="00AF10F9">
        <w:rPr>
          <w:rFonts w:ascii="Arial" w:hAnsi="Arial" w:cs="Arial"/>
        </w:rPr>
        <w:t>(1), pp.1-11.</w:t>
      </w:r>
      <w:r>
        <w:rPr>
          <w:rFonts w:ascii="Arial" w:hAnsi="Arial" w:cs="Arial"/>
          <w:lang w:val="en-US"/>
        </w:rPr>
        <w:t xml:space="preserve"> </w:t>
      </w:r>
      <w:hyperlink r:id="rId31" w:history="1">
        <w:r w:rsidRPr="00110A9F">
          <w:rPr>
            <w:rStyle w:val="Hyperlink"/>
            <w:rFonts w:ascii="Arial" w:hAnsi="Arial" w:cs="Arial"/>
            <w:lang w:val="en-US"/>
          </w:rPr>
          <w:t>https://www.jacc.org/doi/abs/10.1016/j.jchf.2019.07.012</w:t>
        </w:r>
      </w:hyperlink>
    </w:p>
    <w:p w14:paraId="2210E18C" w14:textId="097ECF3C" w:rsidR="003C421D" w:rsidRPr="003C421D" w:rsidRDefault="003C421D" w:rsidP="003C421D">
      <w:pPr>
        <w:spacing w:line="360" w:lineRule="auto"/>
        <w:jc w:val="both"/>
        <w:rPr>
          <w:rFonts w:ascii="Arial" w:hAnsi="Arial" w:cs="Arial"/>
          <w:cs/>
        </w:rPr>
      </w:pPr>
      <w:r w:rsidRPr="003C421D">
        <w:rPr>
          <w:rFonts w:ascii="Arial" w:hAnsi="Arial" w:cs="Arial"/>
          <w:lang w:val="en-US"/>
        </w:rPr>
        <w:t>Powell,</w:t>
      </w:r>
      <w:r w:rsidRPr="003C421D">
        <w:rPr>
          <w:rFonts w:ascii="Arial" w:hAnsi="Arial" w:cs="Arial"/>
          <w:cs/>
        </w:rPr>
        <w:t xml:space="preserve"> </w:t>
      </w:r>
      <w:r w:rsidRPr="003C421D">
        <w:rPr>
          <w:rFonts w:ascii="Arial" w:hAnsi="Arial" w:cs="Arial"/>
          <w:lang w:val="en-US"/>
        </w:rPr>
        <w:t xml:space="preserve">M., </w:t>
      </w:r>
      <w:r w:rsidR="00F53FDB">
        <w:rPr>
          <w:rFonts w:ascii="Arial" w:hAnsi="Arial" w:cs="Arial"/>
        </w:rPr>
        <w:t>(</w:t>
      </w:r>
      <w:r w:rsidRPr="003C421D">
        <w:rPr>
          <w:rFonts w:ascii="Arial" w:hAnsi="Arial" w:cs="Arial"/>
          <w:cs/>
        </w:rPr>
        <w:t>2019</w:t>
      </w:r>
      <w:r w:rsidR="00F53FDB">
        <w:rPr>
          <w:rFonts w:ascii="Arial" w:hAnsi="Arial" w:cs="Arial"/>
        </w:rPr>
        <w:t>)</w:t>
      </w:r>
      <w:r w:rsidRPr="003C421D">
        <w:rPr>
          <w:rFonts w:ascii="Arial" w:hAnsi="Arial" w:cs="Arial"/>
          <w:cs/>
        </w:rPr>
        <w:t xml:space="preserve">. </w:t>
      </w:r>
      <w:r w:rsidRPr="003C421D">
        <w:rPr>
          <w:rFonts w:ascii="Arial" w:hAnsi="Arial" w:cs="Arial"/>
          <w:lang w:val="en-US"/>
        </w:rPr>
        <w:t>Inquiries in the British National Health Service. </w:t>
      </w:r>
      <w:r w:rsidRPr="003C421D">
        <w:rPr>
          <w:rFonts w:ascii="Arial" w:hAnsi="Arial" w:cs="Arial"/>
          <w:i/>
          <w:iCs/>
          <w:lang w:val="en-US"/>
        </w:rPr>
        <w:t>Political Quarterly</w:t>
      </w:r>
      <w:r w:rsidRPr="003C421D">
        <w:rPr>
          <w:rFonts w:ascii="Arial" w:hAnsi="Arial" w:cs="Arial"/>
          <w:lang w:val="en-US"/>
        </w:rPr>
        <w:t>, </w:t>
      </w:r>
      <w:r w:rsidRPr="003C421D">
        <w:rPr>
          <w:rFonts w:ascii="Arial" w:hAnsi="Arial" w:cs="Arial"/>
          <w:i/>
          <w:iCs/>
          <w:cs/>
        </w:rPr>
        <w:t>90</w:t>
      </w:r>
      <w:r w:rsidRPr="003C421D">
        <w:rPr>
          <w:rFonts w:ascii="Arial" w:hAnsi="Arial" w:cs="Arial"/>
          <w:cs/>
        </w:rPr>
        <w:t>(2).</w:t>
      </w:r>
      <w:r w:rsidRPr="003C421D">
        <w:rPr>
          <w:rFonts w:ascii="Arial" w:hAnsi="Arial" w:cs="Arial"/>
        </w:rPr>
        <w:t xml:space="preserve"> </w:t>
      </w:r>
      <w:hyperlink r:id="rId32" w:history="1">
        <w:r w:rsidRPr="003C421D">
          <w:rPr>
            <w:rStyle w:val="Hyperlink"/>
            <w:rFonts w:ascii="Arial" w:hAnsi="Arial" w:cs="Arial"/>
          </w:rPr>
          <w:t>https://search.ebscohost.com/login.aspx?direct=true&amp;profile=ehost&amp;scope=site&amp;authtype=crawler&amp;jrnl=00323179&amp;asa=N&amp;AN=137200792&amp;h=v4FODa0zjd1MhSc4AWmVdiIZSOe4y52x%2BXtHufGKPvZ3ImWXinTRf1ms4H5DN9BhWsneBiv7MDz4JaCedqeYBg%3D%3D&amp;crl=c</w:t>
        </w:r>
      </w:hyperlink>
    </w:p>
    <w:p w14:paraId="3A08C005" w14:textId="588E4F56" w:rsidR="007C6C04" w:rsidRDefault="007C6C04" w:rsidP="003C421D">
      <w:pPr>
        <w:spacing w:line="360" w:lineRule="auto"/>
        <w:jc w:val="both"/>
        <w:rPr>
          <w:rFonts w:ascii="Arial" w:hAnsi="Arial" w:cs="Arial"/>
          <w:lang w:val="en-US"/>
        </w:rPr>
      </w:pPr>
      <w:r w:rsidRPr="007C6C04">
        <w:rPr>
          <w:rFonts w:ascii="Arial" w:hAnsi="Arial" w:cs="Arial"/>
        </w:rPr>
        <w:t xml:space="preserve">Santry, H.P., Strassels, S.A., Ingraham, A.M., Oslock, W.M., Ricci, K.B., Paredes, A.Z., Heh, V.K., Baselice, H.E., Rushing, A.P., Diaz, A. and Daniel, V.T., </w:t>
      </w:r>
      <w:r w:rsidR="00306136">
        <w:rPr>
          <w:rFonts w:ascii="Arial" w:hAnsi="Arial" w:cs="Arial"/>
        </w:rPr>
        <w:t>(</w:t>
      </w:r>
      <w:r w:rsidRPr="007C6C04">
        <w:rPr>
          <w:rFonts w:ascii="Arial" w:hAnsi="Arial" w:cs="Arial"/>
        </w:rPr>
        <w:t>2020</w:t>
      </w:r>
      <w:r w:rsidR="00306136">
        <w:rPr>
          <w:rFonts w:ascii="Arial" w:hAnsi="Arial" w:cs="Arial"/>
        </w:rPr>
        <w:t>)</w:t>
      </w:r>
      <w:r w:rsidRPr="007C6C04">
        <w:rPr>
          <w:rFonts w:ascii="Arial" w:hAnsi="Arial" w:cs="Arial"/>
        </w:rPr>
        <w:t>. Identifying the fundamental structures and processes of care contributing to emergency general surgery quality using a mixed-methods Donabedian approach. </w:t>
      </w:r>
      <w:r w:rsidRPr="007C6C04">
        <w:rPr>
          <w:rFonts w:ascii="Arial" w:hAnsi="Arial" w:cs="Arial"/>
          <w:i/>
          <w:iCs/>
        </w:rPr>
        <w:t>BMC medical research methodology</w:t>
      </w:r>
      <w:r w:rsidRPr="007C6C04">
        <w:rPr>
          <w:rFonts w:ascii="Arial" w:hAnsi="Arial" w:cs="Arial"/>
        </w:rPr>
        <w:t>, </w:t>
      </w:r>
      <w:r w:rsidRPr="007C6C04">
        <w:rPr>
          <w:rFonts w:ascii="Arial" w:hAnsi="Arial" w:cs="Arial"/>
          <w:i/>
          <w:iCs/>
        </w:rPr>
        <w:t>20</w:t>
      </w:r>
      <w:r w:rsidRPr="007C6C04">
        <w:rPr>
          <w:rFonts w:ascii="Arial" w:hAnsi="Arial" w:cs="Arial"/>
        </w:rPr>
        <w:t>(1), p.247.</w:t>
      </w:r>
      <w:r>
        <w:rPr>
          <w:rFonts w:ascii="Arial" w:hAnsi="Arial" w:cs="Arial"/>
          <w:lang w:val="en-US"/>
        </w:rPr>
        <w:t xml:space="preserve"> </w:t>
      </w:r>
      <w:hyperlink r:id="rId33" w:history="1">
        <w:r w:rsidRPr="00110A9F">
          <w:rPr>
            <w:rStyle w:val="Hyperlink"/>
            <w:rFonts w:ascii="Arial" w:hAnsi="Arial" w:cs="Arial"/>
            <w:lang w:val="en-US"/>
          </w:rPr>
          <w:t>https://link.springer.com/article/10.1186/s12874-020-01096-7</w:t>
        </w:r>
      </w:hyperlink>
    </w:p>
    <w:p w14:paraId="7CA982C9" w14:textId="50A8CEBA" w:rsidR="003C421D" w:rsidRPr="003C421D" w:rsidRDefault="003C421D" w:rsidP="003C421D">
      <w:pPr>
        <w:spacing w:line="360" w:lineRule="auto"/>
        <w:jc w:val="both"/>
        <w:rPr>
          <w:rFonts w:ascii="Arial" w:hAnsi="Arial" w:cs="Arial"/>
          <w:cs/>
        </w:rPr>
      </w:pPr>
      <w:r w:rsidRPr="003C421D">
        <w:rPr>
          <w:rFonts w:ascii="Arial" w:hAnsi="Arial" w:cs="Arial"/>
          <w:lang w:val="en-US"/>
        </w:rPr>
        <w:t>Sharew,</w:t>
      </w:r>
      <w:r w:rsidRPr="003C421D">
        <w:rPr>
          <w:rFonts w:ascii="Arial" w:hAnsi="Arial" w:cs="Arial"/>
          <w:cs/>
        </w:rPr>
        <w:t xml:space="preserve"> </w:t>
      </w:r>
      <w:r w:rsidRPr="003C421D">
        <w:rPr>
          <w:rFonts w:ascii="Arial" w:hAnsi="Arial" w:cs="Arial"/>
          <w:lang w:val="en-US"/>
        </w:rPr>
        <w:t xml:space="preserve">Y., Mullu, G., Abebe, N. and Mehare, T., </w:t>
      </w:r>
      <w:r w:rsidR="00306136">
        <w:rPr>
          <w:rFonts w:ascii="Arial" w:hAnsi="Arial" w:cs="Arial"/>
          <w:lang w:val="en-US"/>
        </w:rPr>
        <w:t>(</w:t>
      </w:r>
      <w:r w:rsidRPr="003C421D">
        <w:rPr>
          <w:rFonts w:ascii="Arial" w:hAnsi="Arial" w:cs="Arial"/>
          <w:cs/>
        </w:rPr>
        <w:t>2020</w:t>
      </w:r>
      <w:r w:rsidR="00306136">
        <w:rPr>
          <w:rFonts w:ascii="Arial" w:hAnsi="Arial" w:cs="Arial"/>
        </w:rPr>
        <w:t>)</w:t>
      </w:r>
      <w:r w:rsidRPr="003C421D">
        <w:rPr>
          <w:rFonts w:ascii="Arial" w:hAnsi="Arial" w:cs="Arial"/>
          <w:cs/>
        </w:rPr>
        <w:t xml:space="preserve">. </w:t>
      </w:r>
      <w:r w:rsidRPr="003C421D">
        <w:rPr>
          <w:rFonts w:ascii="Arial" w:hAnsi="Arial" w:cs="Arial"/>
          <w:lang w:val="en-US"/>
        </w:rPr>
        <w:t>Quality of health care service</w:t>
      </w:r>
      <w:r w:rsidRPr="003C421D">
        <w:rPr>
          <w:rFonts w:ascii="Arial" w:hAnsi="Arial" w:cs="Arial"/>
          <w:cs/>
        </w:rPr>
        <w:t xml:space="preserve"> </w:t>
      </w:r>
      <w:r w:rsidRPr="003C421D">
        <w:rPr>
          <w:rFonts w:ascii="Arial" w:hAnsi="Arial" w:cs="Arial"/>
          <w:lang w:val="en-US"/>
        </w:rPr>
        <w:t>assessment using Donabedian model in East Gojjam Zone, Northwest Ethiopia,</w:t>
      </w:r>
      <w:r w:rsidRPr="003C421D">
        <w:rPr>
          <w:rFonts w:ascii="Arial" w:hAnsi="Arial" w:cs="Arial"/>
          <w:cs/>
        </w:rPr>
        <w:t xml:space="preserve"> 2018.</w:t>
      </w:r>
      <w:r w:rsidRPr="003C421D">
        <w:rPr>
          <w:rFonts w:ascii="Arial" w:hAnsi="Arial" w:cs="Arial"/>
          <w:lang w:val="en-US"/>
        </w:rPr>
        <w:t> </w:t>
      </w:r>
      <w:r w:rsidRPr="003C421D">
        <w:rPr>
          <w:rFonts w:ascii="Arial" w:hAnsi="Arial" w:cs="Arial"/>
          <w:i/>
          <w:iCs/>
          <w:lang w:val="en-US"/>
        </w:rPr>
        <w:t>African Journal of Medical and</w:t>
      </w:r>
      <w:r w:rsidRPr="003C421D">
        <w:rPr>
          <w:rFonts w:ascii="Arial" w:hAnsi="Arial" w:cs="Arial"/>
          <w:i/>
          <w:iCs/>
          <w:cs/>
        </w:rPr>
        <w:t xml:space="preserve"> </w:t>
      </w:r>
      <w:r w:rsidRPr="003C421D">
        <w:rPr>
          <w:rFonts w:ascii="Arial" w:hAnsi="Arial" w:cs="Arial"/>
          <w:i/>
          <w:iCs/>
          <w:lang w:val="en-US"/>
        </w:rPr>
        <w:t>Health Sciences</w:t>
      </w:r>
      <w:r w:rsidRPr="003C421D">
        <w:rPr>
          <w:rFonts w:ascii="Arial" w:hAnsi="Arial" w:cs="Arial"/>
          <w:lang w:val="en-US"/>
        </w:rPr>
        <w:t>, </w:t>
      </w:r>
      <w:r w:rsidRPr="003C421D">
        <w:rPr>
          <w:rFonts w:ascii="Arial" w:hAnsi="Arial" w:cs="Arial"/>
          <w:i/>
          <w:iCs/>
          <w:cs/>
        </w:rPr>
        <w:t>19</w:t>
      </w:r>
      <w:r w:rsidRPr="003C421D">
        <w:rPr>
          <w:rFonts w:ascii="Arial" w:hAnsi="Arial" w:cs="Arial"/>
          <w:cs/>
        </w:rPr>
        <w:t>(9)</w:t>
      </w:r>
      <w:r w:rsidRPr="003C421D">
        <w:rPr>
          <w:rFonts w:ascii="Arial" w:hAnsi="Arial" w:cs="Arial"/>
          <w:lang w:val="en-US"/>
        </w:rPr>
        <w:t>,</w:t>
      </w:r>
      <w:r w:rsidRPr="003C421D">
        <w:rPr>
          <w:rFonts w:ascii="Arial" w:hAnsi="Arial" w:cs="Arial"/>
          <w:cs/>
        </w:rPr>
        <w:t xml:space="preserve"> </w:t>
      </w:r>
      <w:r w:rsidRPr="003C421D">
        <w:rPr>
          <w:rFonts w:ascii="Arial" w:hAnsi="Arial" w:cs="Arial"/>
          <w:lang w:val="en-US"/>
        </w:rPr>
        <w:t>pp.</w:t>
      </w:r>
      <w:r w:rsidRPr="003C421D">
        <w:rPr>
          <w:rFonts w:ascii="Arial" w:hAnsi="Arial" w:cs="Arial"/>
          <w:cs/>
        </w:rPr>
        <w:t>157-165.</w:t>
      </w:r>
      <w:r w:rsidRPr="003C421D">
        <w:rPr>
          <w:rFonts w:ascii="Arial" w:hAnsi="Arial" w:cs="Arial"/>
        </w:rPr>
        <w:t xml:space="preserve"> </w:t>
      </w:r>
      <w:hyperlink r:id="rId34" w:history="1">
        <w:r w:rsidRPr="003C421D">
          <w:rPr>
            <w:rStyle w:val="Hyperlink"/>
            <w:rFonts w:ascii="Arial" w:hAnsi="Arial" w:cs="Arial"/>
          </w:rPr>
          <w:t>https://academicjournals.org/journal/AJMHS/article-full-text/907FD8365504</w:t>
        </w:r>
      </w:hyperlink>
    </w:p>
    <w:p w14:paraId="0E0B4B70" w14:textId="2E505A8A" w:rsidR="003C421D" w:rsidRPr="003C421D" w:rsidRDefault="003C421D" w:rsidP="003C421D">
      <w:pPr>
        <w:spacing w:line="360" w:lineRule="auto"/>
        <w:jc w:val="both"/>
        <w:rPr>
          <w:rFonts w:ascii="Arial" w:hAnsi="Arial" w:cs="Arial"/>
          <w:cs/>
        </w:rPr>
      </w:pPr>
      <w:r w:rsidRPr="003C421D">
        <w:rPr>
          <w:rFonts w:ascii="Arial" w:hAnsi="Arial" w:cs="Arial"/>
          <w:lang w:val="en-US"/>
        </w:rPr>
        <w:t>Tagaram,</w:t>
      </w:r>
      <w:r w:rsidRPr="003C421D">
        <w:rPr>
          <w:rFonts w:ascii="Arial" w:hAnsi="Arial" w:cs="Arial"/>
          <w:cs/>
        </w:rPr>
        <w:t xml:space="preserve"> </w:t>
      </w:r>
      <w:r w:rsidRPr="003C421D">
        <w:rPr>
          <w:rFonts w:ascii="Arial" w:hAnsi="Arial" w:cs="Arial"/>
          <w:lang w:val="en-US"/>
        </w:rPr>
        <w:t xml:space="preserve">S.D. and Chen, C., </w:t>
      </w:r>
      <w:r w:rsidR="00306136">
        <w:rPr>
          <w:rFonts w:ascii="Arial" w:hAnsi="Arial" w:cs="Arial"/>
        </w:rPr>
        <w:t>(</w:t>
      </w:r>
      <w:r w:rsidRPr="003C421D">
        <w:rPr>
          <w:rFonts w:ascii="Arial" w:hAnsi="Arial" w:cs="Arial"/>
          <w:cs/>
        </w:rPr>
        <w:t>2024</w:t>
      </w:r>
      <w:r w:rsidR="00306136">
        <w:rPr>
          <w:rFonts w:ascii="Arial" w:hAnsi="Arial" w:cs="Arial"/>
        </w:rPr>
        <w:t>)</w:t>
      </w:r>
      <w:r w:rsidRPr="003C421D">
        <w:rPr>
          <w:rFonts w:ascii="Arial" w:hAnsi="Arial" w:cs="Arial"/>
          <w:cs/>
        </w:rPr>
        <w:t xml:space="preserve">. </w:t>
      </w:r>
      <w:r w:rsidRPr="003C421D">
        <w:rPr>
          <w:rFonts w:ascii="Arial" w:hAnsi="Arial" w:cs="Arial"/>
          <w:lang w:val="en-US"/>
        </w:rPr>
        <w:t>Quality tools and techniques (Fishbone diagram, Pareto</w:t>
      </w:r>
      <w:r w:rsidRPr="003C421D">
        <w:rPr>
          <w:rFonts w:ascii="Arial" w:hAnsi="Arial" w:cs="Arial"/>
          <w:cs/>
        </w:rPr>
        <w:t xml:space="preserve"> </w:t>
      </w:r>
      <w:r w:rsidRPr="003C421D">
        <w:rPr>
          <w:rFonts w:ascii="Arial" w:hAnsi="Arial" w:cs="Arial"/>
          <w:lang w:val="en-US"/>
        </w:rPr>
        <w:t>chart, process map). In </w:t>
      </w:r>
      <w:r w:rsidRPr="003C421D">
        <w:rPr>
          <w:rFonts w:ascii="Arial" w:hAnsi="Arial" w:cs="Arial"/>
          <w:i/>
          <w:iCs/>
          <w:lang w:val="en-US"/>
        </w:rPr>
        <w:t>StatPearls</w:t>
      </w:r>
      <w:r w:rsidRPr="003C421D">
        <w:rPr>
          <w:rFonts w:ascii="Arial" w:hAnsi="Arial" w:cs="Arial"/>
          <w:i/>
          <w:iCs/>
          <w:cs/>
        </w:rPr>
        <w:t xml:space="preserve"> [</w:t>
      </w:r>
      <w:r w:rsidRPr="003C421D">
        <w:rPr>
          <w:rFonts w:ascii="Arial" w:hAnsi="Arial" w:cs="Arial"/>
          <w:i/>
          <w:iCs/>
          <w:lang w:val="en-US"/>
        </w:rPr>
        <w:t>Internet]</w:t>
      </w:r>
      <w:r w:rsidRPr="003C421D">
        <w:rPr>
          <w:rFonts w:ascii="Arial" w:hAnsi="Arial" w:cs="Arial"/>
          <w:cs/>
        </w:rPr>
        <w:t xml:space="preserve">. </w:t>
      </w:r>
      <w:r w:rsidRPr="003C421D">
        <w:rPr>
          <w:rFonts w:ascii="Arial" w:hAnsi="Arial" w:cs="Arial"/>
          <w:lang w:val="en-US"/>
        </w:rPr>
        <w:t>StatPearls Publishing.</w:t>
      </w:r>
      <w:r w:rsidRPr="003C421D">
        <w:rPr>
          <w:rFonts w:ascii="Arial" w:hAnsi="Arial" w:cs="Arial"/>
        </w:rPr>
        <w:t xml:space="preserve"> </w:t>
      </w:r>
      <w:hyperlink r:id="rId35" w:history="1">
        <w:r w:rsidRPr="003C421D">
          <w:rPr>
            <w:rStyle w:val="Hyperlink"/>
            <w:rFonts w:ascii="Arial" w:hAnsi="Arial" w:cs="Arial"/>
          </w:rPr>
          <w:t>https://www.ncbi.nlm.nih.gov/books/NBK607994/</w:t>
        </w:r>
      </w:hyperlink>
    </w:p>
    <w:p w14:paraId="2A92085A" w14:textId="41528C69" w:rsidR="00F53FDB" w:rsidRDefault="00F53FDB" w:rsidP="003C421D">
      <w:pPr>
        <w:spacing w:line="360" w:lineRule="auto"/>
        <w:jc w:val="both"/>
        <w:rPr>
          <w:rFonts w:ascii="Arial" w:hAnsi="Arial" w:cs="Arial"/>
        </w:rPr>
      </w:pPr>
      <w:r w:rsidRPr="00F53FDB">
        <w:rPr>
          <w:rFonts w:ascii="Arial" w:hAnsi="Arial" w:cs="Arial"/>
        </w:rPr>
        <w:t xml:space="preserve">Wolfe, N., Teeling, S.P., Ward, M., McNamara, M. and Koshy, L., </w:t>
      </w:r>
      <w:r w:rsidR="00306136">
        <w:rPr>
          <w:rFonts w:ascii="Arial" w:hAnsi="Arial" w:cs="Arial"/>
        </w:rPr>
        <w:t>(</w:t>
      </w:r>
      <w:r w:rsidRPr="00F53FDB">
        <w:rPr>
          <w:rFonts w:ascii="Arial" w:hAnsi="Arial" w:cs="Arial"/>
        </w:rPr>
        <w:t>2021</w:t>
      </w:r>
      <w:r w:rsidR="00306136">
        <w:rPr>
          <w:rFonts w:ascii="Arial" w:hAnsi="Arial" w:cs="Arial"/>
        </w:rPr>
        <w:t>)</w:t>
      </w:r>
      <w:r w:rsidRPr="00F53FDB">
        <w:rPr>
          <w:rFonts w:ascii="Arial" w:hAnsi="Arial" w:cs="Arial"/>
        </w:rPr>
        <w:t>. Operation note transformation: The application of lean six sigma to improve the process of documenting the operation note in a private hospital setting. </w:t>
      </w:r>
      <w:r w:rsidRPr="00F53FDB">
        <w:rPr>
          <w:rFonts w:ascii="Arial" w:hAnsi="Arial" w:cs="Arial"/>
          <w:i/>
          <w:iCs/>
        </w:rPr>
        <w:t xml:space="preserve">International Journal of </w:t>
      </w:r>
      <w:r w:rsidRPr="00F53FDB">
        <w:rPr>
          <w:rFonts w:ascii="Arial" w:hAnsi="Arial" w:cs="Arial"/>
          <w:i/>
          <w:iCs/>
        </w:rPr>
        <w:lastRenderedPageBreak/>
        <w:t>Environmental Research and Public Health</w:t>
      </w:r>
      <w:r w:rsidRPr="00F53FDB">
        <w:rPr>
          <w:rFonts w:ascii="Arial" w:hAnsi="Arial" w:cs="Arial"/>
        </w:rPr>
        <w:t>, </w:t>
      </w:r>
      <w:r w:rsidRPr="00F53FDB">
        <w:rPr>
          <w:rFonts w:ascii="Arial" w:hAnsi="Arial" w:cs="Arial"/>
          <w:i/>
          <w:iCs/>
        </w:rPr>
        <w:t>18</w:t>
      </w:r>
      <w:r w:rsidRPr="00F53FDB">
        <w:rPr>
          <w:rFonts w:ascii="Arial" w:hAnsi="Arial" w:cs="Arial"/>
        </w:rPr>
        <w:t>(22), p.12217.</w:t>
      </w:r>
      <w:r>
        <w:rPr>
          <w:rFonts w:ascii="Arial" w:hAnsi="Arial" w:cs="Arial"/>
        </w:rPr>
        <w:t xml:space="preserve"> </w:t>
      </w:r>
      <w:hyperlink r:id="rId36" w:history="1">
        <w:r w:rsidRPr="00110A9F">
          <w:rPr>
            <w:rStyle w:val="Hyperlink"/>
            <w:rFonts w:ascii="Arial" w:hAnsi="Arial" w:cs="Arial"/>
          </w:rPr>
          <w:t>https://www.mdpi.com/1660-4601/18/22/12217</w:t>
        </w:r>
      </w:hyperlink>
    </w:p>
    <w:p w14:paraId="1EFCB0F1" w14:textId="6348D1EC" w:rsidR="00A31640" w:rsidRDefault="00E31530" w:rsidP="003C421D">
      <w:pPr>
        <w:spacing w:line="360" w:lineRule="auto"/>
        <w:jc w:val="both"/>
        <w:rPr>
          <w:rFonts w:ascii="Arial" w:hAnsi="Arial" w:cs="Arial"/>
        </w:rPr>
      </w:pPr>
      <w:r w:rsidRPr="00E31530">
        <w:rPr>
          <w:rFonts w:ascii="Arial" w:hAnsi="Arial" w:cs="Arial"/>
        </w:rPr>
        <w:t xml:space="preserve">Zhou, L., Zhao, F., Li, Y., Jinmei, A., Tan, F., Gu, X., Yang, F. and Yin, W., </w:t>
      </w:r>
      <w:r w:rsidR="00306136">
        <w:rPr>
          <w:rFonts w:ascii="Arial" w:hAnsi="Arial" w:cs="Arial"/>
        </w:rPr>
        <w:t>(</w:t>
      </w:r>
      <w:r w:rsidRPr="00E31530">
        <w:rPr>
          <w:rFonts w:ascii="Arial" w:hAnsi="Arial" w:cs="Arial"/>
        </w:rPr>
        <w:t>2025</w:t>
      </w:r>
      <w:r w:rsidR="00306136">
        <w:rPr>
          <w:rFonts w:ascii="Arial" w:hAnsi="Arial" w:cs="Arial"/>
        </w:rPr>
        <w:t>)</w:t>
      </w:r>
      <w:r w:rsidRPr="00E31530">
        <w:rPr>
          <w:rFonts w:ascii="Arial" w:hAnsi="Arial" w:cs="Arial"/>
        </w:rPr>
        <w:t>. Scientific Management for Healthcare Quality Improvement: The Practice of Six Sigma DMAIC in Prescription Pre</w:t>
      </w:r>
      <w:r w:rsidRPr="00E31530">
        <w:rPr>
          <w:rFonts w:ascii="Cambria Math" w:hAnsi="Cambria Math" w:cs="Cambria Math"/>
        </w:rPr>
        <w:t>‐</w:t>
      </w:r>
      <w:r w:rsidRPr="00E31530">
        <w:rPr>
          <w:rFonts w:ascii="Arial" w:hAnsi="Arial" w:cs="Arial"/>
        </w:rPr>
        <w:t>Review Work. </w:t>
      </w:r>
      <w:r w:rsidRPr="00E31530">
        <w:rPr>
          <w:rFonts w:ascii="Arial" w:hAnsi="Arial" w:cs="Arial"/>
          <w:i/>
          <w:iCs/>
        </w:rPr>
        <w:t>Journal of Evaluation in Clinical Practice</w:t>
      </w:r>
      <w:r w:rsidRPr="00E31530">
        <w:rPr>
          <w:rFonts w:ascii="Arial" w:hAnsi="Arial" w:cs="Arial"/>
        </w:rPr>
        <w:t>, </w:t>
      </w:r>
      <w:r w:rsidRPr="00E31530">
        <w:rPr>
          <w:rFonts w:ascii="Arial" w:hAnsi="Arial" w:cs="Arial"/>
          <w:i/>
          <w:iCs/>
        </w:rPr>
        <w:t>31</w:t>
      </w:r>
      <w:r w:rsidRPr="00E31530">
        <w:rPr>
          <w:rFonts w:ascii="Arial" w:hAnsi="Arial" w:cs="Arial"/>
        </w:rPr>
        <w:t>(5), p.e70187.</w:t>
      </w:r>
      <w:r>
        <w:rPr>
          <w:rFonts w:ascii="Arial" w:hAnsi="Arial" w:cs="Arial"/>
        </w:rPr>
        <w:t xml:space="preserve"> </w:t>
      </w:r>
      <w:hyperlink r:id="rId37" w:history="1">
        <w:r w:rsidRPr="00110A9F">
          <w:rPr>
            <w:rStyle w:val="Hyperlink"/>
            <w:rFonts w:ascii="Arial" w:hAnsi="Arial" w:cs="Arial"/>
          </w:rPr>
          <w:t>https://onlinelibrary.wiley.com/doi/abs/10.1111/jep.70187</w:t>
        </w:r>
      </w:hyperlink>
    </w:p>
    <w:p w14:paraId="6AA87688" w14:textId="77777777" w:rsidR="00E31530" w:rsidRDefault="00E31530" w:rsidP="003C421D">
      <w:pPr>
        <w:spacing w:line="360" w:lineRule="auto"/>
        <w:jc w:val="both"/>
        <w:rPr>
          <w:rFonts w:ascii="Arial" w:hAnsi="Arial" w:cs="Arial"/>
        </w:rPr>
      </w:pPr>
    </w:p>
    <w:p w14:paraId="6DC421BD" w14:textId="77777777" w:rsidR="00A31640" w:rsidRDefault="00A31640" w:rsidP="003C421D">
      <w:pPr>
        <w:spacing w:line="360" w:lineRule="auto"/>
        <w:jc w:val="both"/>
        <w:rPr>
          <w:rFonts w:ascii="Arial" w:hAnsi="Arial" w:cs="Arial"/>
        </w:rPr>
      </w:pPr>
    </w:p>
    <w:p w14:paraId="30C3FC24" w14:textId="77777777" w:rsidR="00A31640" w:rsidRDefault="00A31640" w:rsidP="003C421D">
      <w:pPr>
        <w:spacing w:line="360" w:lineRule="auto"/>
        <w:jc w:val="both"/>
        <w:rPr>
          <w:rFonts w:ascii="Arial" w:hAnsi="Arial" w:cs="Arial"/>
        </w:rPr>
      </w:pPr>
    </w:p>
    <w:p w14:paraId="235C1D48" w14:textId="77777777" w:rsidR="00A31640" w:rsidRDefault="00A31640" w:rsidP="003C421D">
      <w:pPr>
        <w:spacing w:line="360" w:lineRule="auto"/>
        <w:jc w:val="both"/>
        <w:rPr>
          <w:rFonts w:ascii="Arial" w:hAnsi="Arial" w:cs="Arial"/>
        </w:rPr>
      </w:pPr>
    </w:p>
    <w:sectPr w:rsidR="00A31640" w:rsidSect="008A67CA">
      <w:footerReference w:type="default" r:id="rId3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F9B7C1" w14:textId="77777777" w:rsidR="00637D15" w:rsidRDefault="00637D15" w:rsidP="008A67CA">
      <w:pPr>
        <w:spacing w:after="0" w:line="240" w:lineRule="auto"/>
      </w:pPr>
      <w:r>
        <w:separator/>
      </w:r>
    </w:p>
  </w:endnote>
  <w:endnote w:type="continuationSeparator" w:id="0">
    <w:p w14:paraId="3A1439C3" w14:textId="77777777" w:rsidR="00637D15" w:rsidRDefault="00637D15" w:rsidP="008A6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hruti">
    <w:panose1 w:val="02000500000000000000"/>
    <w:charset w:val="00"/>
    <w:family w:val="swiss"/>
    <w:pitch w:val="variable"/>
    <w:sig w:usb0="0004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0733694"/>
      <w:docPartObj>
        <w:docPartGallery w:val="Page Numbers (Bottom of Page)"/>
        <w:docPartUnique/>
      </w:docPartObj>
    </w:sdtPr>
    <w:sdtEndPr/>
    <w:sdtContent>
      <w:p w14:paraId="6B0C30CF" w14:textId="6355E38F" w:rsidR="008A67CA" w:rsidRDefault="008A67CA">
        <w:pPr>
          <w:pStyle w:val="Footer"/>
          <w:jc w:val="center"/>
        </w:pPr>
        <w:r>
          <w:fldChar w:fldCharType="begin"/>
        </w:r>
        <w:r>
          <w:instrText>PAGE   \* MERGEFORMAT</w:instrText>
        </w:r>
        <w:r>
          <w:fldChar w:fldCharType="separate"/>
        </w:r>
        <w:r>
          <w:t>2</w:t>
        </w:r>
        <w:r>
          <w:fldChar w:fldCharType="end"/>
        </w:r>
      </w:p>
    </w:sdtContent>
  </w:sdt>
  <w:p w14:paraId="2C247269" w14:textId="77777777" w:rsidR="008A67CA" w:rsidRDefault="008A67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9C3E17" w14:textId="77777777" w:rsidR="00637D15" w:rsidRDefault="00637D15" w:rsidP="008A67CA">
      <w:pPr>
        <w:spacing w:after="0" w:line="240" w:lineRule="auto"/>
      </w:pPr>
      <w:r>
        <w:separator/>
      </w:r>
    </w:p>
  </w:footnote>
  <w:footnote w:type="continuationSeparator" w:id="0">
    <w:p w14:paraId="7B38661A" w14:textId="77777777" w:rsidR="00637D15" w:rsidRDefault="00637D15" w:rsidP="008A67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606E78"/>
    <w:multiLevelType w:val="hybridMultilevel"/>
    <w:tmpl w:val="C8F28E22"/>
    <w:lvl w:ilvl="0" w:tplc="19F4F75E">
      <w:start w:val="1"/>
      <w:numFmt w:val="bullet"/>
      <w:lvlText w:val="•"/>
      <w:lvlJc w:val="left"/>
      <w:pPr>
        <w:tabs>
          <w:tab w:val="num" w:pos="720"/>
        </w:tabs>
        <w:ind w:left="720" w:hanging="360"/>
      </w:pPr>
      <w:rPr>
        <w:rFonts w:ascii="Shruti" w:hAnsi="Shruti" w:hint="default"/>
      </w:rPr>
    </w:lvl>
    <w:lvl w:ilvl="1" w:tplc="5400E1C0" w:tentative="1">
      <w:start w:val="1"/>
      <w:numFmt w:val="bullet"/>
      <w:lvlText w:val="•"/>
      <w:lvlJc w:val="left"/>
      <w:pPr>
        <w:tabs>
          <w:tab w:val="num" w:pos="1440"/>
        </w:tabs>
        <w:ind w:left="1440" w:hanging="360"/>
      </w:pPr>
      <w:rPr>
        <w:rFonts w:ascii="Shruti" w:hAnsi="Shruti" w:hint="default"/>
      </w:rPr>
    </w:lvl>
    <w:lvl w:ilvl="2" w:tplc="FF445E64" w:tentative="1">
      <w:start w:val="1"/>
      <w:numFmt w:val="bullet"/>
      <w:lvlText w:val="•"/>
      <w:lvlJc w:val="left"/>
      <w:pPr>
        <w:tabs>
          <w:tab w:val="num" w:pos="2160"/>
        </w:tabs>
        <w:ind w:left="2160" w:hanging="360"/>
      </w:pPr>
      <w:rPr>
        <w:rFonts w:ascii="Shruti" w:hAnsi="Shruti" w:hint="default"/>
      </w:rPr>
    </w:lvl>
    <w:lvl w:ilvl="3" w:tplc="7A2C46A8" w:tentative="1">
      <w:start w:val="1"/>
      <w:numFmt w:val="bullet"/>
      <w:lvlText w:val="•"/>
      <w:lvlJc w:val="left"/>
      <w:pPr>
        <w:tabs>
          <w:tab w:val="num" w:pos="2880"/>
        </w:tabs>
        <w:ind w:left="2880" w:hanging="360"/>
      </w:pPr>
      <w:rPr>
        <w:rFonts w:ascii="Shruti" w:hAnsi="Shruti" w:hint="default"/>
      </w:rPr>
    </w:lvl>
    <w:lvl w:ilvl="4" w:tplc="04A457C8" w:tentative="1">
      <w:start w:val="1"/>
      <w:numFmt w:val="bullet"/>
      <w:lvlText w:val="•"/>
      <w:lvlJc w:val="left"/>
      <w:pPr>
        <w:tabs>
          <w:tab w:val="num" w:pos="3600"/>
        </w:tabs>
        <w:ind w:left="3600" w:hanging="360"/>
      </w:pPr>
      <w:rPr>
        <w:rFonts w:ascii="Shruti" w:hAnsi="Shruti" w:hint="default"/>
      </w:rPr>
    </w:lvl>
    <w:lvl w:ilvl="5" w:tplc="06402798" w:tentative="1">
      <w:start w:val="1"/>
      <w:numFmt w:val="bullet"/>
      <w:lvlText w:val="•"/>
      <w:lvlJc w:val="left"/>
      <w:pPr>
        <w:tabs>
          <w:tab w:val="num" w:pos="4320"/>
        </w:tabs>
        <w:ind w:left="4320" w:hanging="360"/>
      </w:pPr>
      <w:rPr>
        <w:rFonts w:ascii="Shruti" w:hAnsi="Shruti" w:hint="default"/>
      </w:rPr>
    </w:lvl>
    <w:lvl w:ilvl="6" w:tplc="414ECF54" w:tentative="1">
      <w:start w:val="1"/>
      <w:numFmt w:val="bullet"/>
      <w:lvlText w:val="•"/>
      <w:lvlJc w:val="left"/>
      <w:pPr>
        <w:tabs>
          <w:tab w:val="num" w:pos="5040"/>
        </w:tabs>
        <w:ind w:left="5040" w:hanging="360"/>
      </w:pPr>
      <w:rPr>
        <w:rFonts w:ascii="Shruti" w:hAnsi="Shruti" w:hint="default"/>
      </w:rPr>
    </w:lvl>
    <w:lvl w:ilvl="7" w:tplc="56E04ED8" w:tentative="1">
      <w:start w:val="1"/>
      <w:numFmt w:val="bullet"/>
      <w:lvlText w:val="•"/>
      <w:lvlJc w:val="left"/>
      <w:pPr>
        <w:tabs>
          <w:tab w:val="num" w:pos="5760"/>
        </w:tabs>
        <w:ind w:left="5760" w:hanging="360"/>
      </w:pPr>
      <w:rPr>
        <w:rFonts w:ascii="Shruti" w:hAnsi="Shruti" w:hint="default"/>
      </w:rPr>
    </w:lvl>
    <w:lvl w:ilvl="8" w:tplc="3CB6609E" w:tentative="1">
      <w:start w:val="1"/>
      <w:numFmt w:val="bullet"/>
      <w:lvlText w:val="•"/>
      <w:lvlJc w:val="left"/>
      <w:pPr>
        <w:tabs>
          <w:tab w:val="num" w:pos="6480"/>
        </w:tabs>
        <w:ind w:left="6480" w:hanging="360"/>
      </w:pPr>
      <w:rPr>
        <w:rFonts w:ascii="Shruti" w:hAnsi="Shruti" w:hint="default"/>
      </w:rPr>
    </w:lvl>
  </w:abstractNum>
  <w:num w:numId="1" w16cid:durableId="1929002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200"/>
    <w:rsid w:val="0002060D"/>
    <w:rsid w:val="000741D1"/>
    <w:rsid w:val="000E6EA1"/>
    <w:rsid w:val="00104018"/>
    <w:rsid w:val="001767D3"/>
    <w:rsid w:val="00186F51"/>
    <w:rsid w:val="00194200"/>
    <w:rsid w:val="001951C5"/>
    <w:rsid w:val="001B5744"/>
    <w:rsid w:val="00240558"/>
    <w:rsid w:val="002A0761"/>
    <w:rsid w:val="002D084D"/>
    <w:rsid w:val="002F098C"/>
    <w:rsid w:val="00306136"/>
    <w:rsid w:val="00373E27"/>
    <w:rsid w:val="00385B38"/>
    <w:rsid w:val="003B3DCE"/>
    <w:rsid w:val="003C421D"/>
    <w:rsid w:val="00430A24"/>
    <w:rsid w:val="004413CA"/>
    <w:rsid w:val="004906DB"/>
    <w:rsid w:val="00504A66"/>
    <w:rsid w:val="005F27AE"/>
    <w:rsid w:val="00606CE2"/>
    <w:rsid w:val="00637D15"/>
    <w:rsid w:val="006A2D0A"/>
    <w:rsid w:val="006C5B10"/>
    <w:rsid w:val="00720933"/>
    <w:rsid w:val="00730D05"/>
    <w:rsid w:val="007B4F7B"/>
    <w:rsid w:val="007C6C04"/>
    <w:rsid w:val="00814898"/>
    <w:rsid w:val="00837282"/>
    <w:rsid w:val="00886136"/>
    <w:rsid w:val="008A4756"/>
    <w:rsid w:val="008A67CA"/>
    <w:rsid w:val="008C1BCC"/>
    <w:rsid w:val="008D6B09"/>
    <w:rsid w:val="008E4A9C"/>
    <w:rsid w:val="009B7BAB"/>
    <w:rsid w:val="00A06845"/>
    <w:rsid w:val="00A24CE4"/>
    <w:rsid w:val="00A260B1"/>
    <w:rsid w:val="00A31640"/>
    <w:rsid w:val="00A814C6"/>
    <w:rsid w:val="00AF10F9"/>
    <w:rsid w:val="00B12335"/>
    <w:rsid w:val="00B53A49"/>
    <w:rsid w:val="00BA1852"/>
    <w:rsid w:val="00BF0BE7"/>
    <w:rsid w:val="00C215B8"/>
    <w:rsid w:val="00C61096"/>
    <w:rsid w:val="00C974F8"/>
    <w:rsid w:val="00CC5543"/>
    <w:rsid w:val="00CF0973"/>
    <w:rsid w:val="00D103F1"/>
    <w:rsid w:val="00D55F39"/>
    <w:rsid w:val="00DB0A4C"/>
    <w:rsid w:val="00E02657"/>
    <w:rsid w:val="00E31530"/>
    <w:rsid w:val="00E31FDB"/>
    <w:rsid w:val="00E66E47"/>
    <w:rsid w:val="00E67361"/>
    <w:rsid w:val="00EF1E56"/>
    <w:rsid w:val="00EF47B0"/>
    <w:rsid w:val="00F53FDB"/>
    <w:rsid w:val="00F84C55"/>
    <w:rsid w:val="00FA6538"/>
    <w:rsid w:val="00FE3201"/>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926DC"/>
  <w15:chartTrackingRefBased/>
  <w15:docId w15:val="{63733271-CAFB-490A-ADE3-01BDEE02A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2F098C"/>
    <w:pPr>
      <w:keepNext/>
      <w:keepLines/>
      <w:spacing w:before="360" w:after="80"/>
      <w:outlineLvl w:val="0"/>
    </w:pPr>
    <w:rPr>
      <w:rFonts w:ascii="Arial" w:eastAsiaTheme="majorEastAsia" w:hAnsi="Arial" w:cs="Arial"/>
      <w:b/>
      <w:color w:val="000000" w:themeColor="text1"/>
      <w:sz w:val="28"/>
      <w:szCs w:val="28"/>
    </w:rPr>
  </w:style>
  <w:style w:type="paragraph" w:styleId="Heading2">
    <w:name w:val="heading 2"/>
    <w:basedOn w:val="Normal"/>
    <w:next w:val="Normal"/>
    <w:link w:val="Heading2Char"/>
    <w:autoRedefine/>
    <w:uiPriority w:val="9"/>
    <w:unhideWhenUsed/>
    <w:qFormat/>
    <w:rsid w:val="00A24CE4"/>
    <w:pPr>
      <w:keepNext/>
      <w:keepLines/>
      <w:spacing w:before="400" w:after="320"/>
      <w:outlineLvl w:val="1"/>
    </w:pPr>
    <w:rPr>
      <w:rFonts w:ascii="Arial" w:eastAsiaTheme="majorEastAsia" w:hAnsi="Arial" w:cs="Arial"/>
      <w:b/>
      <w:bCs/>
      <w:color w:val="000000" w:themeColor="text1"/>
      <w:lang w:val="en-US"/>
    </w:rPr>
  </w:style>
  <w:style w:type="paragraph" w:styleId="Heading3">
    <w:name w:val="heading 3"/>
    <w:basedOn w:val="Normal"/>
    <w:next w:val="Normal"/>
    <w:link w:val="Heading3Char"/>
    <w:uiPriority w:val="9"/>
    <w:unhideWhenUsed/>
    <w:qFormat/>
    <w:rsid w:val="00606CE2"/>
    <w:pPr>
      <w:keepNext/>
      <w:keepLines/>
      <w:spacing w:before="160" w:after="80"/>
      <w:outlineLvl w:val="2"/>
    </w:pPr>
    <w:rPr>
      <w:rFonts w:ascii="Arial" w:eastAsiaTheme="majorEastAsia" w:hAnsi="Arial" w:cs="Arial"/>
      <w:b/>
      <w:color w:val="000000" w:themeColor="text1"/>
    </w:rPr>
  </w:style>
  <w:style w:type="paragraph" w:styleId="Heading4">
    <w:name w:val="heading 4"/>
    <w:basedOn w:val="Normal"/>
    <w:next w:val="Normal"/>
    <w:link w:val="Heading4Char"/>
    <w:uiPriority w:val="9"/>
    <w:semiHidden/>
    <w:unhideWhenUsed/>
    <w:qFormat/>
    <w:rsid w:val="001942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42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42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42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42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42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98C"/>
    <w:rPr>
      <w:rFonts w:ascii="Arial" w:eastAsiaTheme="majorEastAsia" w:hAnsi="Arial" w:cs="Arial"/>
      <w:b/>
      <w:color w:val="000000" w:themeColor="text1"/>
      <w:sz w:val="28"/>
      <w:szCs w:val="28"/>
    </w:rPr>
  </w:style>
  <w:style w:type="character" w:customStyle="1" w:styleId="Heading2Char">
    <w:name w:val="Heading 2 Char"/>
    <w:basedOn w:val="DefaultParagraphFont"/>
    <w:link w:val="Heading2"/>
    <w:uiPriority w:val="9"/>
    <w:rsid w:val="00A24CE4"/>
    <w:rPr>
      <w:rFonts w:ascii="Arial" w:eastAsiaTheme="majorEastAsia" w:hAnsi="Arial" w:cs="Arial"/>
      <w:b/>
      <w:bCs/>
      <w:color w:val="000000" w:themeColor="text1"/>
    </w:rPr>
  </w:style>
  <w:style w:type="character" w:customStyle="1" w:styleId="Heading3Char">
    <w:name w:val="Heading 3 Char"/>
    <w:basedOn w:val="DefaultParagraphFont"/>
    <w:link w:val="Heading3"/>
    <w:uiPriority w:val="9"/>
    <w:rsid w:val="00606CE2"/>
    <w:rPr>
      <w:rFonts w:ascii="Arial" w:eastAsiaTheme="majorEastAsia" w:hAnsi="Arial" w:cs="Arial"/>
      <w:b/>
      <w:color w:val="000000" w:themeColor="text1"/>
      <w:lang w:val="en-GB"/>
    </w:rPr>
  </w:style>
  <w:style w:type="character" w:customStyle="1" w:styleId="Heading4Char">
    <w:name w:val="Heading 4 Char"/>
    <w:basedOn w:val="DefaultParagraphFont"/>
    <w:link w:val="Heading4"/>
    <w:uiPriority w:val="9"/>
    <w:semiHidden/>
    <w:rsid w:val="00194200"/>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194200"/>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19420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9420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9420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9420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942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420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942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420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94200"/>
    <w:pPr>
      <w:spacing w:before="160"/>
      <w:jc w:val="center"/>
    </w:pPr>
    <w:rPr>
      <w:i/>
      <w:iCs/>
      <w:color w:val="404040" w:themeColor="text1" w:themeTint="BF"/>
    </w:rPr>
  </w:style>
  <w:style w:type="character" w:customStyle="1" w:styleId="QuoteChar">
    <w:name w:val="Quote Char"/>
    <w:basedOn w:val="DefaultParagraphFont"/>
    <w:link w:val="Quote"/>
    <w:uiPriority w:val="29"/>
    <w:rsid w:val="00194200"/>
    <w:rPr>
      <w:i/>
      <w:iCs/>
      <w:color w:val="404040" w:themeColor="text1" w:themeTint="BF"/>
      <w:lang w:val="en-GB"/>
    </w:rPr>
  </w:style>
  <w:style w:type="paragraph" w:styleId="ListParagraph">
    <w:name w:val="List Paragraph"/>
    <w:basedOn w:val="Normal"/>
    <w:uiPriority w:val="34"/>
    <w:qFormat/>
    <w:rsid w:val="00194200"/>
    <w:pPr>
      <w:ind w:left="720"/>
      <w:contextualSpacing/>
    </w:pPr>
  </w:style>
  <w:style w:type="character" w:styleId="IntenseEmphasis">
    <w:name w:val="Intense Emphasis"/>
    <w:basedOn w:val="DefaultParagraphFont"/>
    <w:uiPriority w:val="21"/>
    <w:qFormat/>
    <w:rsid w:val="00194200"/>
    <w:rPr>
      <w:i/>
      <w:iCs/>
      <w:color w:val="0F4761" w:themeColor="accent1" w:themeShade="BF"/>
    </w:rPr>
  </w:style>
  <w:style w:type="paragraph" w:styleId="IntenseQuote">
    <w:name w:val="Intense Quote"/>
    <w:basedOn w:val="Normal"/>
    <w:next w:val="Normal"/>
    <w:link w:val="IntenseQuoteChar"/>
    <w:uiPriority w:val="30"/>
    <w:qFormat/>
    <w:rsid w:val="001942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4200"/>
    <w:rPr>
      <w:i/>
      <w:iCs/>
      <w:color w:val="0F4761" w:themeColor="accent1" w:themeShade="BF"/>
      <w:lang w:val="en-GB"/>
    </w:rPr>
  </w:style>
  <w:style w:type="character" w:styleId="IntenseReference">
    <w:name w:val="Intense Reference"/>
    <w:basedOn w:val="DefaultParagraphFont"/>
    <w:uiPriority w:val="32"/>
    <w:qFormat/>
    <w:rsid w:val="00194200"/>
    <w:rPr>
      <w:b/>
      <w:bCs/>
      <w:smallCaps/>
      <w:color w:val="0F4761" w:themeColor="accent1" w:themeShade="BF"/>
      <w:spacing w:val="5"/>
    </w:rPr>
  </w:style>
  <w:style w:type="character" w:styleId="Hyperlink">
    <w:name w:val="Hyperlink"/>
    <w:basedOn w:val="DefaultParagraphFont"/>
    <w:uiPriority w:val="99"/>
    <w:unhideWhenUsed/>
    <w:rsid w:val="003C421D"/>
    <w:rPr>
      <w:color w:val="467886" w:themeColor="hyperlink"/>
      <w:u w:val="single"/>
    </w:rPr>
  </w:style>
  <w:style w:type="character" w:styleId="UnresolvedMention">
    <w:name w:val="Unresolved Mention"/>
    <w:basedOn w:val="DefaultParagraphFont"/>
    <w:uiPriority w:val="99"/>
    <w:semiHidden/>
    <w:unhideWhenUsed/>
    <w:rsid w:val="003C421D"/>
    <w:rPr>
      <w:color w:val="605E5C"/>
      <w:shd w:val="clear" w:color="auto" w:fill="E1DFDD"/>
    </w:rPr>
  </w:style>
  <w:style w:type="paragraph" w:styleId="Header">
    <w:name w:val="header"/>
    <w:basedOn w:val="Normal"/>
    <w:link w:val="HeaderChar"/>
    <w:uiPriority w:val="99"/>
    <w:unhideWhenUsed/>
    <w:rsid w:val="008A67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7CA"/>
    <w:rPr>
      <w:lang w:val="en-GB"/>
    </w:rPr>
  </w:style>
  <w:style w:type="paragraph" w:styleId="Footer">
    <w:name w:val="footer"/>
    <w:basedOn w:val="Normal"/>
    <w:link w:val="FooterChar"/>
    <w:uiPriority w:val="99"/>
    <w:unhideWhenUsed/>
    <w:rsid w:val="008A67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7CA"/>
    <w:rPr>
      <w:lang w:val="en-GB"/>
    </w:rPr>
  </w:style>
  <w:style w:type="paragraph" w:styleId="TOCHeading">
    <w:name w:val="TOC Heading"/>
    <w:basedOn w:val="Heading1"/>
    <w:next w:val="Normal"/>
    <w:uiPriority w:val="39"/>
    <w:unhideWhenUsed/>
    <w:qFormat/>
    <w:rsid w:val="008A67CA"/>
    <w:pPr>
      <w:spacing w:before="240" w:after="0" w:line="259" w:lineRule="auto"/>
      <w:outlineLvl w:val="9"/>
    </w:pPr>
    <w:rPr>
      <w:rFonts w:asciiTheme="majorHAnsi" w:hAnsiTheme="majorHAnsi" w:cstheme="majorBid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8A67CA"/>
    <w:pPr>
      <w:spacing w:after="100"/>
    </w:pPr>
  </w:style>
  <w:style w:type="paragraph" w:styleId="TOC2">
    <w:name w:val="toc 2"/>
    <w:basedOn w:val="Normal"/>
    <w:next w:val="Normal"/>
    <w:autoRedefine/>
    <w:uiPriority w:val="39"/>
    <w:unhideWhenUsed/>
    <w:rsid w:val="008A67C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k.sagepub.com/book/mono/leadership-and-management-in-healthcare-3e/toc" TargetMode="External"/><Relationship Id="rId18" Type="http://schemas.openxmlformats.org/officeDocument/2006/relationships/hyperlink" Target="https://www.tandfonline.com/doi/abs/10.2147/RMHP.S527015" TargetMode="External"/><Relationship Id="rId26" Type="http://schemas.openxmlformats.org/officeDocument/2006/relationships/hyperlink" Target="https://onlinelibrary.wiley.com/doi/abs/10.1002/nur.22291" TargetMode="External"/><Relationship Id="rId39" Type="http://schemas.openxmlformats.org/officeDocument/2006/relationships/fontTable" Target="fontTable.xml"/><Relationship Id="rId21" Type="http://schemas.openxmlformats.org/officeDocument/2006/relationships/hyperlink" Target="https://qualitysafety.bmj.com/content/26/5/381.short" TargetMode="External"/><Relationship Id="rId34" Type="http://schemas.openxmlformats.org/officeDocument/2006/relationships/hyperlink" Target="https://academicjournals.org/journal/AJMHS/article-full-text/907FD8365504" TargetMode="External"/><Relationship Id="rId7" Type="http://schemas.openxmlformats.org/officeDocument/2006/relationships/image" Target="media/image1.png"/><Relationship Id="rId12" Type="http://schemas.openxmlformats.org/officeDocument/2006/relationships/hyperlink" Target="https://api.taylorfrancis.com/content/books/mono/download?identifierName=doi&amp;identifierValue=10.1201/9780429084041&amp;type=googlepdf" TargetMode="External"/><Relationship Id="rId17" Type="http://schemas.openxmlformats.org/officeDocument/2006/relationships/hyperlink" Target="https://www.tandfonline.com/doi/abs/10.1080/00140139.2016.1245446" TargetMode="External"/><Relationship Id="rId25" Type="http://schemas.openxmlformats.org/officeDocument/2006/relationships/hyperlink" Target="https://www.bmj.com/content/386/bmj.q1785.full" TargetMode="External"/><Relationship Id="rId33" Type="http://schemas.openxmlformats.org/officeDocument/2006/relationships/hyperlink" Target="https://link.springer.com/article/10.1186/s12874-020-01096-7"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books.google.com/books?hl=en&amp;lr=&amp;id=ruYoDAAAQBAJ&amp;oi=fnd&amp;pg=PP1&amp;dq=In+the+Bristol+case,+inadequate+quality+monitoring+was+a+major+underlying+cause,+as+insufficient+collection,+analysis+and+benchmarking+of+mortality+data+delayed+recognition+of+poor+performance.+&amp;ots=5Oeg6U6d_P&amp;sig=S0R7BBzRjKt2ITCK82GSB618k7s" TargetMode="External"/><Relationship Id="rId20" Type="http://schemas.openxmlformats.org/officeDocument/2006/relationships/hyperlink" Target="https://link.springer.com/chapter/10.1007/978-3-031-65434-3_3" TargetMode="External"/><Relationship Id="rId29" Type="http://schemas.openxmlformats.org/officeDocument/2006/relationships/hyperlink" Target="https://link.springer.com/chapter/10.1007/978-3-031-70984-5_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ademic.oup.com/ejcts/article-abstract/53/4/724/4644816" TargetMode="External"/><Relationship Id="rId24" Type="http://schemas.openxmlformats.org/officeDocument/2006/relationships/hyperlink" Target="https://www.bmj.com/content/368/bmj.m304" TargetMode="External"/><Relationship Id="rId32" Type="http://schemas.openxmlformats.org/officeDocument/2006/relationships/hyperlink" Target="https://search.ebscohost.com/login.aspx?direct=true&amp;profile=ehost&amp;scope=site&amp;authtype=crawler&amp;jrnl=00323179&amp;asa=N&amp;AN=137200792&amp;h=v4FODa0zjd1MhSc4AWmVdiIZSOe4y52x%2BXtHufGKPvZ3ImWXinTRf1ms4H5DN9BhWsneBiv7MDz4JaCedqeYBg%3D%3D&amp;crl=c" TargetMode="External"/><Relationship Id="rId37" Type="http://schemas.openxmlformats.org/officeDocument/2006/relationships/hyperlink" Target="https://onlinelibrary.wiley.com/doi/abs/10.1111/jep.70187"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pi.taylorfrancis.com/content/chapters/edit/download?identifierName=doi&amp;identifierValue=10.4324/9781315582450-37&amp;type=chapterpdf" TargetMode="External"/><Relationship Id="rId23" Type="http://schemas.openxmlformats.org/officeDocument/2006/relationships/hyperlink" Target="https://www.utgjiu.ro/revista/ec/pdf/2017-05/11_Ecobici%20Loredana.pdf" TargetMode="External"/><Relationship Id="rId28" Type="http://schemas.openxmlformats.org/officeDocument/2006/relationships/hyperlink" Target="https://link.springer.com/chapter/10.1007/978-3-030-12887-6_25" TargetMode="External"/><Relationship Id="rId36" Type="http://schemas.openxmlformats.org/officeDocument/2006/relationships/hyperlink" Target="https://www.mdpi.com/1660-4601/18/22/12217" TargetMode="External"/><Relationship Id="rId10" Type="http://schemas.openxmlformats.org/officeDocument/2006/relationships/hyperlink" Target="https://www.intechopen.com/chapters/60108" TargetMode="External"/><Relationship Id="rId19" Type="http://schemas.openxmlformats.org/officeDocument/2006/relationships/hyperlink" Target="https://www.taylorfrancis.com/books/mono/10.1201/9781315375823/doctors-tale-professionalism-public-trust-donald-irvine" TargetMode="External"/><Relationship Id="rId31" Type="http://schemas.openxmlformats.org/officeDocument/2006/relationships/hyperlink" Target="https://www.jacc.org/doi/abs/10.1016/j.jchf.2019.07.012" TargetMode="External"/><Relationship Id="rId4" Type="http://schemas.openxmlformats.org/officeDocument/2006/relationships/webSettings" Target="webSettings.xml"/><Relationship Id="rId9" Type="http://schemas.openxmlformats.org/officeDocument/2006/relationships/hyperlink" Target="https://onlinelibrary.wiley.com/doi/abs/10.1111/jep.12727" TargetMode="External"/><Relationship Id="rId14" Type="http://schemas.openxmlformats.org/officeDocument/2006/relationships/hyperlink" Target="https://api.taylorfrancis.com/content/chapters/edit/download?identifierName=doi&amp;identifierValue=10.1201/9781498785037-6&amp;type=chapterpdf" TargetMode="External"/><Relationship Id="rId22" Type="http://schemas.openxmlformats.org/officeDocument/2006/relationships/hyperlink" Target="https://books.google.com/books?hl=en&amp;lr=&amp;id=mGv8DwAAQBAJ&amp;oi=fnd&amp;pg=PT7&amp;dq=A+SWOT+analysis+provides+a+strategic+assessment+of+quality+assurance+at+Bristol+Royal+Infirmary.+&amp;ots=f1ubbGS0Qp&amp;sig=1-P4TRIPGadZUnjdiblfyGL2Hz8" TargetMode="External"/><Relationship Id="rId27" Type="http://schemas.openxmlformats.org/officeDocument/2006/relationships/hyperlink" Target="https://api.taylorfrancis.com/content/chapters/edit/download?identifierName=doi&amp;identifierValue=10.4324/9781315586366-16&amp;type=chapterpdf" TargetMode="External"/><Relationship Id="rId30" Type="http://schemas.openxmlformats.org/officeDocument/2006/relationships/hyperlink" Target="https://www.tandfonline.com/doi/abs/10.1080/09540962.2021.1892959" TargetMode="External"/><Relationship Id="rId35" Type="http://schemas.openxmlformats.org/officeDocument/2006/relationships/hyperlink" Target="https://www.ncbi.nlm.nih.gov/books/NBK607994/"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1377</TotalTime>
  <Pages>19</Pages>
  <Words>5677</Words>
  <Characters>32361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GAZALA SHAHJADA</dc:creator>
  <cp:keywords/>
  <dc:description/>
  <cp:lastModifiedBy>Darshan Patel</cp:lastModifiedBy>
  <cp:revision>52</cp:revision>
  <dcterms:created xsi:type="dcterms:W3CDTF">2026-08-08T10:22:00Z</dcterms:created>
  <dcterms:modified xsi:type="dcterms:W3CDTF">2026-08-13T13:56:00Z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9f871e0f-028e-4ae7-b62f-b28b1ec59357</vt:lpwstr>
  </property>
</Properties>
</file>