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480" w:lineRule="auto"/>
        <w:jc w:val="center"/>
        <w:rPr>
          <w:rFonts w:hint="eastAsia" w:eastAsia="宋体"/>
          <w:b/>
          <w:bCs/>
          <w:sz w:val="32"/>
          <w:szCs w:val="32"/>
          <w:lang w:val="en-US" w:eastAsia="zh-CN"/>
        </w:rPr>
      </w:pPr>
      <w:r>
        <w:rPr>
          <w:b/>
          <w:bCs/>
          <w:sz w:val="32"/>
          <w:szCs w:val="32"/>
        </w:rPr>
        <w:t>Corporate Social Responsibility in the Public Sector</w:t>
      </w:r>
      <w:r>
        <w:rPr>
          <w:rFonts w:hint="eastAsia" w:eastAsia="宋体"/>
          <w:b/>
          <w:bCs/>
          <w:sz w:val="32"/>
          <w:szCs w:val="32"/>
          <w:lang w:val="en-US" w:eastAsia="zh-CN"/>
        </w:rPr>
        <w:t>:Goal 13: Take urgent action to combat climate change and its impacts</w:t>
      </w:r>
    </w:p>
    <w:p>
      <w:pPr>
        <w:spacing w:after="0" w:line="480" w:lineRule="auto"/>
        <w:jc w:val="center"/>
        <w:rPr>
          <w:sz w:val="24"/>
          <w:szCs w:val="24"/>
        </w:rPr>
      </w:pPr>
    </w:p>
    <w:p>
      <w:pPr>
        <w:spacing w:after="0" w:line="480" w:lineRule="auto"/>
        <w:jc w:val="center"/>
        <w:rPr>
          <w:sz w:val="24"/>
          <w:szCs w:val="24"/>
        </w:rPr>
      </w:pPr>
    </w:p>
    <w:p>
      <w:pPr>
        <w:keepNext w:val="0"/>
        <w:keepLines w:val="0"/>
        <w:widowControl/>
        <w:suppressLineNumbers w:val="0"/>
        <w:ind w:firstLine="2200"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r>
        <w:rPr>
          <w:rFonts w:hint="eastAsia" w:ascii="Calibri" w:hAnsi="Calibri" w:eastAsia="宋体" w:cs="Calibri"/>
          <w:b w:val="0"/>
          <w:kern w:val="0"/>
          <w:sz w:val="22"/>
          <w:szCs w:val="22"/>
          <w:lang w:val="en-US" w:eastAsia="zh-CN"/>
        </w:rPr>
        <w:t xml:space="preserve">            </w:t>
      </w:r>
      <w:r>
        <w:rPr>
          <w:rFonts w:ascii="Calibri" w:hAnsi="Calibri" w:eastAsia="Calibri" w:cs="Calibri"/>
          <w:b w:val="0"/>
          <w:kern w:val="0"/>
          <w:sz w:val="22"/>
          <w:szCs w:val="22"/>
          <w:lang w:val="en-GB" w:eastAsia="en-GB"/>
        </w:rPr>
        <w:drawing>
          <wp:inline distT="0" distB="0" distL="114300" distR="114300">
            <wp:extent cx="2492375" cy="2764155"/>
            <wp:effectExtent l="0" t="0" r="3175" b="17145"/>
            <wp:docPr id="4"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descr="Crest of TSD.png"/>
                    <pic:cNvPicPr>
                      <a:picLocks noChangeAspect="1"/>
                    </pic:cNvPicPr>
                  </pic:nvPicPr>
                  <pic:blipFill>
                    <a:blip r:embed="rId6"/>
                    <a:stretch>
                      <a:fillRect/>
                    </a:stretch>
                  </pic:blipFill>
                  <pic:spPr>
                    <a:xfrm>
                      <a:off x="0" y="0"/>
                      <a:ext cx="2492375" cy="2764155"/>
                    </a:xfrm>
                    <a:prstGeom prst="rect">
                      <a:avLst/>
                    </a:prstGeom>
                    <a:noFill/>
                    <a:ln>
                      <a:noFill/>
                    </a:ln>
                  </pic:spPr>
                </pic:pic>
              </a:graphicData>
            </a:graphic>
          </wp:inline>
        </w:drawing>
      </w:r>
    </w:p>
    <w:p>
      <w:pPr>
        <w:keepNext w:val="0"/>
        <w:keepLines w:val="0"/>
        <w:widowControl/>
        <w:suppressLineNumbers w:val="0"/>
        <w:ind w:firstLine="3213"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Name:</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MingFei Xie</w:t>
      </w:r>
    </w:p>
    <w:p>
      <w:pPr>
        <w:keepNext w:val="0"/>
        <w:keepLines w:val="0"/>
        <w:widowControl/>
        <w:suppressLineNumbers w:val="0"/>
        <w:ind w:firstLine="3213"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Student</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 xml:space="preserve"> </w:t>
      </w: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ID:</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1903731</w:t>
      </w:r>
    </w:p>
    <w:p>
      <w:pPr>
        <w:keepNext w:val="0"/>
        <w:keepLines w:val="0"/>
        <w:widowControl/>
        <w:suppressLineNumbers w:val="0"/>
        <w:ind w:firstLine="3534" w:firstLineChars="1100"/>
        <w:jc w:val="left"/>
        <w:rPr>
          <w:rFonts w:hint="default" w:ascii="Times New Roman" w:hAnsi="Times New Roman" w:eastAsia="Times New Roman" w:cs="Times New Roman"/>
          <w:b/>
          <w:color w:val="auto"/>
          <w:sz w:val="32"/>
          <w:szCs w:val="32"/>
          <w:rtl w:val="0"/>
          <w:lang w:val="en-US"/>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Time:</w:t>
      </w:r>
      <w:r>
        <w:rPr>
          <w:rFonts w:hint="eastAsia" w:ascii="Times New Roman" w:hAnsi="Times New Roman" w:cs="Times New Roman"/>
          <w:b/>
          <w:bCs/>
          <w:i w:val="0"/>
          <w:smallCaps w:val="0"/>
          <w:strike w:val="0"/>
          <w:color w:val="000000"/>
          <w:kern w:val="0"/>
          <w:sz w:val="32"/>
          <w:szCs w:val="32"/>
          <w:u w:val="none"/>
          <w:vertAlign w:val="baseline"/>
          <w:lang w:val="en-US" w:eastAsia="zh-CN" w:bidi="ar"/>
        </w:rPr>
        <w:t>13</w:t>
      </w:r>
      <w:r>
        <w:rPr>
          <w:rFonts w:hint="eastAsia" w:ascii="Times New Roman" w:hAnsi="Times New Roman" w:eastAsia="宋体" w:cs="Times New Roman"/>
          <w:b/>
          <w:bCs/>
          <w:i w:val="0"/>
          <w:smallCaps w:val="0"/>
          <w:strike w:val="0"/>
          <w:color w:val="000000"/>
          <w:kern w:val="0"/>
          <w:sz w:val="32"/>
          <w:szCs w:val="32"/>
          <w:u w:val="none"/>
          <w:vertAlign w:val="baseline"/>
          <w:lang w:val="en-US" w:eastAsia="zh-CN" w:bidi="ar"/>
        </w:rPr>
        <w:t>/5/2020</w:t>
      </w:r>
    </w:p>
    <w:p>
      <w:pPr>
        <w:spacing w:after="0" w:line="480" w:lineRule="auto"/>
        <w:jc w:val="center"/>
        <w:rPr>
          <w:sz w:val="24"/>
          <w:szCs w:val="24"/>
        </w:rPr>
      </w:pPr>
    </w:p>
    <w:p>
      <w:pPr>
        <w:spacing w:after="0" w:line="480" w:lineRule="auto"/>
        <w:jc w:val="center"/>
        <w:rPr>
          <w:sz w:val="24"/>
          <w:szCs w:val="24"/>
        </w:rPr>
      </w:pPr>
    </w:p>
    <w:p>
      <w:pPr>
        <w:spacing w:after="0" w:line="480" w:lineRule="auto"/>
        <w:jc w:val="center"/>
        <w:rPr>
          <w:sz w:val="24"/>
          <w:szCs w:val="24"/>
        </w:rPr>
      </w:pPr>
    </w:p>
    <w:p>
      <w:pPr>
        <w:spacing w:after="0" w:line="480" w:lineRule="auto"/>
        <w:jc w:val="center"/>
        <w:rPr>
          <w:sz w:val="24"/>
          <w:szCs w:val="24"/>
        </w:rPr>
      </w:pPr>
    </w:p>
    <w:p>
      <w:pPr>
        <w:spacing w:after="0" w:line="480" w:lineRule="auto"/>
        <w:jc w:val="center"/>
        <w:rPr>
          <w:sz w:val="24"/>
          <w:szCs w:val="24"/>
        </w:rPr>
      </w:pPr>
    </w:p>
    <w:p>
      <w:pPr>
        <w:spacing w:after="0" w:line="480" w:lineRule="auto"/>
        <w:jc w:val="center"/>
        <w:rPr>
          <w:sz w:val="24"/>
          <w:szCs w:val="24"/>
        </w:rPr>
      </w:pPr>
    </w:p>
    <w:p>
      <w:pPr>
        <w:spacing w:after="0" w:line="480" w:lineRule="auto"/>
        <w:jc w:val="center"/>
        <w:rPr>
          <w:sz w:val="24"/>
          <w:szCs w:val="24"/>
        </w:rPr>
      </w:pPr>
    </w:p>
    <w:p>
      <w:pPr>
        <w:spacing w:after="0" w:line="480" w:lineRule="auto"/>
        <w:jc w:val="center"/>
        <w:rPr>
          <w:sz w:val="24"/>
          <w:szCs w:val="24"/>
        </w:rPr>
      </w:pPr>
    </w:p>
    <w:p>
      <w:pPr>
        <w:spacing w:after="0" w:line="480" w:lineRule="auto"/>
        <w:rPr>
          <w:b/>
          <w:color w:val="auto"/>
          <w:sz w:val="24"/>
          <w:szCs w:val="24"/>
        </w:rPr>
      </w:pPr>
      <w:bookmarkStart w:id="8" w:name="_GoBack"/>
      <w:bookmarkEnd w:id="8"/>
      <w:r>
        <w:rPr>
          <w:b/>
          <w:color w:val="auto"/>
          <w:sz w:val="24"/>
          <w:szCs w:val="24"/>
        </w:rPr>
        <w:t>Executive Summary</w:t>
      </w:r>
    </w:p>
    <w:p>
      <w:pPr>
        <w:spacing w:after="0" w:line="480" w:lineRule="auto"/>
        <w:ind w:firstLine="720"/>
        <w:jc w:val="both"/>
        <w:rPr>
          <w:color w:val="auto"/>
          <w:sz w:val="24"/>
          <w:szCs w:val="24"/>
        </w:rPr>
      </w:pPr>
      <w:r>
        <w:rPr>
          <w:color w:val="auto"/>
          <w:sz w:val="24"/>
          <w:szCs w:val="24"/>
        </w:rPr>
        <w:t>With respect to the context of the UN Sustainable Development Goals, this report evaluates the importance of the public sectors involvements in the need towards taking actions to limit climate change and its effects (13-CSR).  The report examines the manner in which the public sector organizations work collaboratively to promote the CSR initiatives to address the Sustainable development Goals.  The study examines the United Nations CSR initiatives with respect to the 13</w:t>
      </w:r>
      <w:r>
        <w:rPr>
          <w:color w:val="auto"/>
          <w:sz w:val="24"/>
          <w:szCs w:val="24"/>
          <w:vertAlign w:val="superscript"/>
        </w:rPr>
        <w:t>th</w:t>
      </w:r>
      <w:r>
        <w:rPr>
          <w:color w:val="auto"/>
          <w:sz w:val="24"/>
          <w:szCs w:val="24"/>
        </w:rPr>
        <w:t xml:space="preserve"> initiative that focuses on the actions implemented to limit climate change and its effects.  The process in which the initiatives are implemented are explained using the example of the collaboration between the 43 nations and the World Economic Forum alongside the Republic of Korea.  The primary stakeholders including the international organizations and governments are examined including their roles.  While the initiatives implemented gained increased success, certain challenges have been realized. Some of these challenges include the lack of transparency, honesty and poor communication channels. As a recommendation, the public sector organizations have to implement key measures towards promoting a consistent mechanism of implementing the initiatives towards reducing the impacts of climate change.  The organizations should also employ key efforts to establish the approaches toward implementing the development goals and climate action. </w:t>
      </w:r>
    </w:p>
    <w:p>
      <w:pPr>
        <w:spacing w:after="0" w:line="480" w:lineRule="auto"/>
        <w:ind w:firstLine="720"/>
        <w:jc w:val="both"/>
        <w:rPr>
          <w:color w:val="auto"/>
          <w:sz w:val="24"/>
          <w:szCs w:val="24"/>
        </w:rPr>
      </w:pPr>
    </w:p>
    <w:p>
      <w:pPr>
        <w:spacing w:after="0" w:line="480" w:lineRule="auto"/>
        <w:ind w:firstLine="720"/>
        <w:jc w:val="both"/>
        <w:rPr>
          <w:color w:val="auto"/>
          <w:sz w:val="24"/>
          <w:szCs w:val="24"/>
        </w:rPr>
      </w:pPr>
    </w:p>
    <w:p>
      <w:pPr>
        <w:spacing w:after="0" w:line="480" w:lineRule="auto"/>
        <w:ind w:firstLine="720"/>
        <w:jc w:val="both"/>
        <w:rPr>
          <w:color w:val="auto"/>
          <w:sz w:val="24"/>
          <w:szCs w:val="24"/>
        </w:rPr>
      </w:pPr>
    </w:p>
    <w:p>
      <w:pPr>
        <w:spacing w:after="0" w:line="480" w:lineRule="auto"/>
        <w:ind w:firstLine="720"/>
        <w:jc w:val="both"/>
        <w:rPr>
          <w:color w:val="auto"/>
          <w:sz w:val="24"/>
          <w:szCs w:val="24"/>
        </w:rPr>
      </w:pPr>
    </w:p>
    <w:p>
      <w:pPr>
        <w:spacing w:after="0" w:line="480" w:lineRule="auto"/>
        <w:ind w:firstLine="720"/>
        <w:jc w:val="both"/>
        <w:rPr>
          <w:color w:val="auto"/>
          <w:sz w:val="24"/>
          <w:szCs w:val="24"/>
        </w:rPr>
      </w:pPr>
    </w:p>
    <w:p>
      <w:pPr>
        <w:spacing w:after="0" w:line="480" w:lineRule="auto"/>
        <w:ind w:firstLine="720"/>
        <w:jc w:val="both"/>
        <w:rPr>
          <w:color w:val="auto"/>
          <w:sz w:val="24"/>
          <w:szCs w:val="24"/>
        </w:rPr>
      </w:pPr>
    </w:p>
    <w:sdt>
      <w:sdtPr>
        <w:rPr>
          <w:rFonts w:ascii="Times New Roman" w:hAnsi="Times New Roman" w:eastAsia="Times New Roman" w:cs="Times New Roman"/>
          <w:color w:val="auto"/>
          <w:sz w:val="24"/>
          <w:szCs w:val="24"/>
          <w:lang w:val="en-GB" w:eastAsia="en-GB"/>
        </w:rPr>
        <w:id w:val="-576985946"/>
        <w:docPartObj>
          <w:docPartGallery w:val="Table of Contents"/>
          <w:docPartUnique/>
        </w:docPartObj>
      </w:sdtPr>
      <w:sdtEndPr>
        <w:rPr>
          <w:rFonts w:ascii="Times New Roman" w:hAnsi="Times New Roman" w:eastAsia="Times New Roman" w:cs="Times New Roman"/>
          <w:b/>
          <w:bCs/>
          <w:color w:val="auto"/>
          <w:sz w:val="24"/>
          <w:szCs w:val="24"/>
          <w:lang w:val="en-GB" w:eastAsia="en-GB"/>
        </w:rPr>
      </w:sdtEndPr>
      <w:sdtContent>
        <w:p>
          <w:pPr>
            <w:pStyle w:val="14"/>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pPr>
            <w:pStyle w:val="5"/>
            <w:tabs>
              <w:tab w:val="right" w:leader="dot" w:pos="9350"/>
            </w:tabs>
            <w:spacing w:after="0" w:line="480" w:lineRule="auto"/>
            <w:rPr>
              <w:rFonts w:eastAsiaTheme="minorEastAsia"/>
              <w:color w:val="auto"/>
              <w:sz w:val="24"/>
              <w:szCs w:val="24"/>
              <w:lang w:val="en-US" w:eastAsia="en-US"/>
            </w:rPr>
          </w:pPr>
          <w:r>
            <w:rPr>
              <w:color w:val="auto"/>
              <w:sz w:val="24"/>
              <w:szCs w:val="24"/>
            </w:rPr>
            <w:fldChar w:fldCharType="begin"/>
          </w:r>
          <w:r>
            <w:rPr>
              <w:color w:val="auto"/>
              <w:sz w:val="24"/>
              <w:szCs w:val="24"/>
            </w:rPr>
            <w:instrText xml:space="preserve"> TOC \o "1-3" \h \z \u </w:instrText>
          </w:r>
          <w:r>
            <w:rPr>
              <w:color w:val="auto"/>
              <w:sz w:val="24"/>
              <w:szCs w:val="24"/>
            </w:rPr>
            <w:fldChar w:fldCharType="separate"/>
          </w:r>
          <w:r>
            <w:rPr>
              <w:color w:val="auto"/>
            </w:rPr>
            <w:fldChar w:fldCharType="begin"/>
          </w:r>
          <w:r>
            <w:rPr>
              <w:color w:val="auto"/>
            </w:rPr>
            <w:instrText xml:space="preserve"> HYPERLINK \l "_Toc37965747" </w:instrText>
          </w:r>
          <w:r>
            <w:rPr>
              <w:color w:val="auto"/>
            </w:rPr>
            <w:fldChar w:fldCharType="separate"/>
          </w:r>
          <w:r>
            <w:rPr>
              <w:rStyle w:val="9"/>
              <w:color w:val="auto"/>
              <w:sz w:val="24"/>
              <w:szCs w:val="24"/>
            </w:rPr>
            <w:t>Introduction</w:t>
          </w:r>
          <w:r>
            <w:rPr>
              <w:color w:val="auto"/>
              <w:sz w:val="24"/>
              <w:szCs w:val="24"/>
            </w:rPr>
            <w:tab/>
          </w:r>
          <w:r>
            <w:rPr>
              <w:color w:val="auto"/>
              <w:sz w:val="24"/>
              <w:szCs w:val="24"/>
            </w:rPr>
            <w:fldChar w:fldCharType="begin"/>
          </w:r>
          <w:r>
            <w:rPr>
              <w:color w:val="auto"/>
              <w:sz w:val="24"/>
              <w:szCs w:val="24"/>
            </w:rPr>
            <w:instrText xml:space="preserve"> PAGEREF _Toc37965747 \h </w:instrText>
          </w:r>
          <w:r>
            <w:rPr>
              <w:color w:val="auto"/>
              <w:sz w:val="24"/>
              <w:szCs w:val="24"/>
            </w:rPr>
            <w:fldChar w:fldCharType="separate"/>
          </w:r>
          <w:r>
            <w:rPr>
              <w:color w:val="auto"/>
              <w:sz w:val="24"/>
              <w:szCs w:val="24"/>
            </w:rPr>
            <w:t>1</w:t>
          </w:r>
          <w:r>
            <w:rPr>
              <w:color w:val="auto"/>
              <w:sz w:val="24"/>
              <w:szCs w:val="24"/>
            </w:rPr>
            <w:fldChar w:fldCharType="end"/>
          </w:r>
          <w:r>
            <w:rPr>
              <w:color w:val="auto"/>
              <w:sz w:val="24"/>
              <w:szCs w:val="24"/>
            </w:rPr>
            <w:fldChar w:fldCharType="end"/>
          </w:r>
        </w:p>
        <w:p>
          <w:pPr>
            <w:pStyle w:val="5"/>
            <w:tabs>
              <w:tab w:val="right" w:leader="dot" w:pos="9350"/>
            </w:tabs>
            <w:spacing w:after="0" w:line="480" w:lineRule="auto"/>
            <w:rPr>
              <w:rFonts w:eastAsiaTheme="minorEastAsia"/>
              <w:color w:val="auto"/>
              <w:sz w:val="24"/>
              <w:szCs w:val="24"/>
              <w:lang w:val="en-US" w:eastAsia="en-US"/>
            </w:rPr>
          </w:pPr>
          <w:r>
            <w:rPr>
              <w:color w:val="auto"/>
            </w:rPr>
            <w:fldChar w:fldCharType="begin"/>
          </w:r>
          <w:r>
            <w:rPr>
              <w:color w:val="auto"/>
            </w:rPr>
            <w:instrText xml:space="preserve"> HYPERLINK \l "_Toc37965748" </w:instrText>
          </w:r>
          <w:r>
            <w:rPr>
              <w:color w:val="auto"/>
            </w:rPr>
            <w:fldChar w:fldCharType="separate"/>
          </w:r>
          <w:r>
            <w:rPr>
              <w:rStyle w:val="9"/>
              <w:color w:val="auto"/>
              <w:sz w:val="24"/>
              <w:szCs w:val="24"/>
            </w:rPr>
            <w:t>Method</w:t>
          </w:r>
          <w:r>
            <w:rPr>
              <w:color w:val="auto"/>
              <w:sz w:val="24"/>
              <w:szCs w:val="24"/>
            </w:rPr>
            <w:tab/>
          </w:r>
          <w:r>
            <w:rPr>
              <w:color w:val="auto"/>
              <w:sz w:val="24"/>
              <w:szCs w:val="24"/>
            </w:rPr>
            <w:fldChar w:fldCharType="begin"/>
          </w:r>
          <w:r>
            <w:rPr>
              <w:color w:val="auto"/>
              <w:sz w:val="24"/>
              <w:szCs w:val="24"/>
            </w:rPr>
            <w:instrText xml:space="preserve"> PAGEREF _Toc37965748 \h </w:instrText>
          </w:r>
          <w:r>
            <w:rPr>
              <w:color w:val="auto"/>
              <w:sz w:val="24"/>
              <w:szCs w:val="24"/>
            </w:rPr>
            <w:fldChar w:fldCharType="separate"/>
          </w:r>
          <w:r>
            <w:rPr>
              <w:color w:val="auto"/>
              <w:sz w:val="24"/>
              <w:szCs w:val="24"/>
            </w:rPr>
            <w:t>2</w:t>
          </w:r>
          <w:r>
            <w:rPr>
              <w:color w:val="auto"/>
              <w:sz w:val="24"/>
              <w:szCs w:val="24"/>
            </w:rPr>
            <w:fldChar w:fldCharType="end"/>
          </w:r>
          <w:r>
            <w:rPr>
              <w:color w:val="auto"/>
              <w:sz w:val="24"/>
              <w:szCs w:val="24"/>
            </w:rPr>
            <w:fldChar w:fldCharType="end"/>
          </w:r>
        </w:p>
        <w:p>
          <w:pPr>
            <w:pStyle w:val="5"/>
            <w:tabs>
              <w:tab w:val="right" w:leader="dot" w:pos="9350"/>
            </w:tabs>
            <w:spacing w:after="0" w:line="480" w:lineRule="auto"/>
            <w:rPr>
              <w:rFonts w:eastAsiaTheme="minorEastAsia"/>
              <w:color w:val="auto"/>
              <w:sz w:val="24"/>
              <w:szCs w:val="24"/>
              <w:lang w:val="en-US" w:eastAsia="en-US"/>
            </w:rPr>
          </w:pPr>
          <w:r>
            <w:rPr>
              <w:color w:val="auto"/>
            </w:rPr>
            <w:fldChar w:fldCharType="begin"/>
          </w:r>
          <w:r>
            <w:rPr>
              <w:color w:val="auto"/>
            </w:rPr>
            <w:instrText xml:space="preserve"> HYPERLINK \l "_Toc37965749" </w:instrText>
          </w:r>
          <w:r>
            <w:rPr>
              <w:color w:val="auto"/>
            </w:rPr>
            <w:fldChar w:fldCharType="separate"/>
          </w:r>
          <w:r>
            <w:rPr>
              <w:rStyle w:val="9"/>
              <w:color w:val="auto"/>
              <w:sz w:val="24"/>
              <w:szCs w:val="24"/>
            </w:rPr>
            <w:t>Results/findings</w:t>
          </w:r>
          <w:r>
            <w:rPr>
              <w:color w:val="auto"/>
              <w:sz w:val="24"/>
              <w:szCs w:val="24"/>
            </w:rPr>
            <w:tab/>
          </w:r>
          <w:r>
            <w:rPr>
              <w:color w:val="auto"/>
              <w:sz w:val="24"/>
              <w:szCs w:val="24"/>
            </w:rPr>
            <w:fldChar w:fldCharType="begin"/>
          </w:r>
          <w:r>
            <w:rPr>
              <w:color w:val="auto"/>
              <w:sz w:val="24"/>
              <w:szCs w:val="24"/>
            </w:rPr>
            <w:instrText xml:space="preserve"> PAGEREF _Toc37965749 \h </w:instrText>
          </w:r>
          <w:r>
            <w:rPr>
              <w:color w:val="auto"/>
              <w:sz w:val="24"/>
              <w:szCs w:val="24"/>
            </w:rPr>
            <w:fldChar w:fldCharType="separate"/>
          </w:r>
          <w:r>
            <w:rPr>
              <w:color w:val="auto"/>
              <w:sz w:val="24"/>
              <w:szCs w:val="24"/>
            </w:rPr>
            <w:t>3</w:t>
          </w:r>
          <w:r>
            <w:rPr>
              <w:color w:val="auto"/>
              <w:sz w:val="24"/>
              <w:szCs w:val="24"/>
            </w:rPr>
            <w:fldChar w:fldCharType="end"/>
          </w:r>
          <w:r>
            <w:rPr>
              <w:color w:val="auto"/>
              <w:sz w:val="24"/>
              <w:szCs w:val="24"/>
            </w:rPr>
            <w:fldChar w:fldCharType="end"/>
          </w:r>
        </w:p>
        <w:p>
          <w:pPr>
            <w:pStyle w:val="5"/>
            <w:tabs>
              <w:tab w:val="right" w:leader="dot" w:pos="9350"/>
            </w:tabs>
            <w:spacing w:after="0" w:line="480" w:lineRule="auto"/>
            <w:rPr>
              <w:rFonts w:eastAsiaTheme="minorEastAsia"/>
              <w:color w:val="auto"/>
              <w:sz w:val="24"/>
              <w:szCs w:val="24"/>
              <w:lang w:val="en-US" w:eastAsia="en-US"/>
            </w:rPr>
          </w:pPr>
          <w:r>
            <w:rPr>
              <w:color w:val="auto"/>
            </w:rPr>
            <w:fldChar w:fldCharType="begin"/>
          </w:r>
          <w:r>
            <w:rPr>
              <w:color w:val="auto"/>
            </w:rPr>
            <w:instrText xml:space="preserve"> HYPERLINK \l "_Toc37965750" </w:instrText>
          </w:r>
          <w:r>
            <w:rPr>
              <w:color w:val="auto"/>
            </w:rPr>
            <w:fldChar w:fldCharType="separate"/>
          </w:r>
          <w:r>
            <w:rPr>
              <w:rStyle w:val="9"/>
              <w:color w:val="auto"/>
              <w:sz w:val="24"/>
              <w:szCs w:val="24"/>
            </w:rPr>
            <w:t>Discussion</w:t>
          </w:r>
          <w:r>
            <w:rPr>
              <w:color w:val="auto"/>
              <w:sz w:val="24"/>
              <w:szCs w:val="24"/>
            </w:rPr>
            <w:tab/>
          </w:r>
          <w:r>
            <w:rPr>
              <w:color w:val="auto"/>
              <w:sz w:val="24"/>
              <w:szCs w:val="24"/>
            </w:rPr>
            <w:fldChar w:fldCharType="begin"/>
          </w:r>
          <w:r>
            <w:rPr>
              <w:color w:val="auto"/>
              <w:sz w:val="24"/>
              <w:szCs w:val="24"/>
            </w:rPr>
            <w:instrText xml:space="preserve"> PAGEREF _Toc37965750 \h </w:instrText>
          </w:r>
          <w:r>
            <w:rPr>
              <w:color w:val="auto"/>
              <w:sz w:val="24"/>
              <w:szCs w:val="24"/>
            </w:rPr>
            <w:fldChar w:fldCharType="separate"/>
          </w:r>
          <w:r>
            <w:rPr>
              <w:color w:val="auto"/>
              <w:sz w:val="24"/>
              <w:szCs w:val="24"/>
            </w:rPr>
            <w:t>4</w:t>
          </w:r>
          <w:r>
            <w:rPr>
              <w:color w:val="auto"/>
              <w:sz w:val="24"/>
              <w:szCs w:val="24"/>
            </w:rPr>
            <w:fldChar w:fldCharType="end"/>
          </w:r>
          <w:r>
            <w:rPr>
              <w:color w:val="auto"/>
              <w:sz w:val="24"/>
              <w:szCs w:val="24"/>
            </w:rPr>
            <w:fldChar w:fldCharType="end"/>
          </w:r>
        </w:p>
        <w:p>
          <w:pPr>
            <w:pStyle w:val="5"/>
            <w:tabs>
              <w:tab w:val="right" w:leader="dot" w:pos="9350"/>
            </w:tabs>
            <w:spacing w:after="0" w:line="480" w:lineRule="auto"/>
            <w:rPr>
              <w:rFonts w:eastAsiaTheme="minorEastAsia"/>
              <w:color w:val="auto"/>
              <w:sz w:val="24"/>
              <w:szCs w:val="24"/>
              <w:lang w:val="en-US" w:eastAsia="en-US"/>
            </w:rPr>
          </w:pPr>
          <w:r>
            <w:rPr>
              <w:color w:val="auto"/>
            </w:rPr>
            <w:fldChar w:fldCharType="begin"/>
          </w:r>
          <w:r>
            <w:rPr>
              <w:color w:val="auto"/>
            </w:rPr>
            <w:instrText xml:space="preserve"> HYPERLINK \l "_Toc37965751" </w:instrText>
          </w:r>
          <w:r>
            <w:rPr>
              <w:color w:val="auto"/>
            </w:rPr>
            <w:fldChar w:fldCharType="separate"/>
          </w:r>
          <w:r>
            <w:rPr>
              <w:rStyle w:val="9"/>
              <w:color w:val="auto"/>
              <w:sz w:val="24"/>
              <w:szCs w:val="24"/>
            </w:rPr>
            <w:t>The Failures and Success of the Initiatives</w:t>
          </w:r>
          <w:r>
            <w:rPr>
              <w:color w:val="auto"/>
              <w:sz w:val="24"/>
              <w:szCs w:val="24"/>
            </w:rPr>
            <w:tab/>
          </w:r>
          <w:r>
            <w:rPr>
              <w:color w:val="auto"/>
              <w:sz w:val="24"/>
              <w:szCs w:val="24"/>
            </w:rPr>
            <w:fldChar w:fldCharType="begin"/>
          </w:r>
          <w:r>
            <w:rPr>
              <w:color w:val="auto"/>
              <w:sz w:val="24"/>
              <w:szCs w:val="24"/>
            </w:rPr>
            <w:instrText xml:space="preserve"> PAGEREF _Toc37965751 \h </w:instrText>
          </w:r>
          <w:r>
            <w:rPr>
              <w:color w:val="auto"/>
              <w:sz w:val="24"/>
              <w:szCs w:val="24"/>
            </w:rPr>
            <w:fldChar w:fldCharType="separate"/>
          </w:r>
          <w:r>
            <w:rPr>
              <w:color w:val="auto"/>
              <w:sz w:val="24"/>
              <w:szCs w:val="24"/>
            </w:rPr>
            <w:t>6</w:t>
          </w:r>
          <w:r>
            <w:rPr>
              <w:color w:val="auto"/>
              <w:sz w:val="24"/>
              <w:szCs w:val="24"/>
            </w:rPr>
            <w:fldChar w:fldCharType="end"/>
          </w:r>
          <w:r>
            <w:rPr>
              <w:color w:val="auto"/>
              <w:sz w:val="24"/>
              <w:szCs w:val="24"/>
            </w:rPr>
            <w:fldChar w:fldCharType="end"/>
          </w:r>
        </w:p>
        <w:p>
          <w:pPr>
            <w:pStyle w:val="5"/>
            <w:tabs>
              <w:tab w:val="right" w:leader="dot" w:pos="9350"/>
            </w:tabs>
            <w:spacing w:after="0" w:line="480" w:lineRule="auto"/>
            <w:rPr>
              <w:rFonts w:eastAsiaTheme="minorEastAsia"/>
              <w:color w:val="auto"/>
              <w:sz w:val="24"/>
              <w:szCs w:val="24"/>
              <w:lang w:val="en-US" w:eastAsia="en-US"/>
            </w:rPr>
          </w:pPr>
          <w:r>
            <w:rPr>
              <w:color w:val="auto"/>
            </w:rPr>
            <w:fldChar w:fldCharType="begin"/>
          </w:r>
          <w:r>
            <w:rPr>
              <w:color w:val="auto"/>
            </w:rPr>
            <w:instrText xml:space="preserve"> HYPERLINK \l "_Toc37965752" </w:instrText>
          </w:r>
          <w:r>
            <w:rPr>
              <w:color w:val="auto"/>
            </w:rPr>
            <w:fldChar w:fldCharType="separate"/>
          </w:r>
          <w:r>
            <w:rPr>
              <w:rStyle w:val="9"/>
              <w:color w:val="auto"/>
              <w:sz w:val="24"/>
              <w:szCs w:val="24"/>
            </w:rPr>
            <w:t>Conclusion</w:t>
          </w:r>
          <w:r>
            <w:rPr>
              <w:color w:val="auto"/>
              <w:sz w:val="24"/>
              <w:szCs w:val="24"/>
            </w:rPr>
            <w:tab/>
          </w:r>
          <w:r>
            <w:rPr>
              <w:color w:val="auto"/>
              <w:sz w:val="24"/>
              <w:szCs w:val="24"/>
            </w:rPr>
            <w:fldChar w:fldCharType="begin"/>
          </w:r>
          <w:r>
            <w:rPr>
              <w:color w:val="auto"/>
              <w:sz w:val="24"/>
              <w:szCs w:val="24"/>
            </w:rPr>
            <w:instrText xml:space="preserve"> PAGEREF _Toc37965752 \h </w:instrText>
          </w:r>
          <w:r>
            <w:rPr>
              <w:color w:val="auto"/>
              <w:sz w:val="24"/>
              <w:szCs w:val="24"/>
            </w:rPr>
            <w:fldChar w:fldCharType="separate"/>
          </w:r>
          <w:r>
            <w:rPr>
              <w:color w:val="auto"/>
              <w:sz w:val="24"/>
              <w:szCs w:val="24"/>
            </w:rPr>
            <w:t>7</w:t>
          </w:r>
          <w:r>
            <w:rPr>
              <w:color w:val="auto"/>
              <w:sz w:val="24"/>
              <w:szCs w:val="24"/>
            </w:rPr>
            <w:fldChar w:fldCharType="end"/>
          </w:r>
          <w:r>
            <w:rPr>
              <w:color w:val="auto"/>
              <w:sz w:val="24"/>
              <w:szCs w:val="24"/>
            </w:rPr>
            <w:fldChar w:fldCharType="end"/>
          </w:r>
        </w:p>
        <w:p>
          <w:pPr>
            <w:pStyle w:val="5"/>
            <w:tabs>
              <w:tab w:val="right" w:leader="dot" w:pos="9350"/>
            </w:tabs>
            <w:spacing w:after="0" w:line="480" w:lineRule="auto"/>
            <w:rPr>
              <w:rFonts w:eastAsiaTheme="minorEastAsia"/>
              <w:color w:val="auto"/>
              <w:sz w:val="24"/>
              <w:szCs w:val="24"/>
              <w:lang w:val="en-US" w:eastAsia="en-US"/>
            </w:rPr>
          </w:pPr>
          <w:r>
            <w:rPr>
              <w:color w:val="auto"/>
            </w:rPr>
            <w:fldChar w:fldCharType="begin"/>
          </w:r>
          <w:r>
            <w:rPr>
              <w:color w:val="auto"/>
            </w:rPr>
            <w:instrText xml:space="preserve"> HYPERLINK \l "_Toc37965753" </w:instrText>
          </w:r>
          <w:r>
            <w:rPr>
              <w:color w:val="auto"/>
            </w:rPr>
            <w:fldChar w:fldCharType="separate"/>
          </w:r>
          <w:r>
            <w:rPr>
              <w:rStyle w:val="9"/>
              <w:color w:val="auto"/>
              <w:sz w:val="24"/>
              <w:szCs w:val="24"/>
            </w:rPr>
            <w:t>Recommendations</w:t>
          </w:r>
          <w:r>
            <w:rPr>
              <w:color w:val="auto"/>
              <w:sz w:val="24"/>
              <w:szCs w:val="24"/>
            </w:rPr>
            <w:tab/>
          </w:r>
          <w:r>
            <w:rPr>
              <w:color w:val="auto"/>
              <w:sz w:val="24"/>
              <w:szCs w:val="24"/>
            </w:rPr>
            <w:fldChar w:fldCharType="begin"/>
          </w:r>
          <w:r>
            <w:rPr>
              <w:color w:val="auto"/>
              <w:sz w:val="24"/>
              <w:szCs w:val="24"/>
            </w:rPr>
            <w:instrText xml:space="preserve"> PAGEREF _Toc37965753 \h </w:instrText>
          </w:r>
          <w:r>
            <w:rPr>
              <w:color w:val="auto"/>
              <w:sz w:val="24"/>
              <w:szCs w:val="24"/>
            </w:rPr>
            <w:fldChar w:fldCharType="separate"/>
          </w:r>
          <w:r>
            <w:rPr>
              <w:color w:val="auto"/>
              <w:sz w:val="24"/>
              <w:szCs w:val="24"/>
            </w:rPr>
            <w:t>9</w:t>
          </w:r>
          <w:r>
            <w:rPr>
              <w:color w:val="auto"/>
              <w:sz w:val="24"/>
              <w:szCs w:val="24"/>
            </w:rPr>
            <w:fldChar w:fldCharType="end"/>
          </w:r>
          <w:r>
            <w:rPr>
              <w:color w:val="auto"/>
              <w:sz w:val="24"/>
              <w:szCs w:val="24"/>
            </w:rPr>
            <w:fldChar w:fldCharType="end"/>
          </w:r>
        </w:p>
        <w:p>
          <w:pPr>
            <w:pStyle w:val="5"/>
            <w:tabs>
              <w:tab w:val="right" w:leader="dot" w:pos="9350"/>
            </w:tabs>
            <w:spacing w:after="0" w:line="480" w:lineRule="auto"/>
            <w:rPr>
              <w:rFonts w:eastAsiaTheme="minorEastAsia"/>
              <w:color w:val="auto"/>
              <w:sz w:val="24"/>
              <w:szCs w:val="24"/>
              <w:lang w:val="en-US" w:eastAsia="en-US"/>
            </w:rPr>
          </w:pPr>
          <w:r>
            <w:rPr>
              <w:color w:val="auto"/>
            </w:rPr>
            <w:fldChar w:fldCharType="begin"/>
          </w:r>
          <w:r>
            <w:rPr>
              <w:color w:val="auto"/>
            </w:rPr>
            <w:instrText xml:space="preserve"> HYPERLINK \l "_Toc37965754" </w:instrText>
          </w:r>
          <w:r>
            <w:rPr>
              <w:color w:val="auto"/>
            </w:rPr>
            <w:fldChar w:fldCharType="separate"/>
          </w:r>
          <w:r>
            <w:rPr>
              <w:rStyle w:val="9"/>
              <w:color w:val="auto"/>
              <w:sz w:val="24"/>
              <w:szCs w:val="24"/>
            </w:rPr>
            <w:t>Reference list</w:t>
          </w:r>
          <w:r>
            <w:rPr>
              <w:color w:val="auto"/>
              <w:sz w:val="24"/>
              <w:szCs w:val="24"/>
            </w:rPr>
            <w:tab/>
          </w:r>
          <w:r>
            <w:rPr>
              <w:color w:val="auto"/>
              <w:sz w:val="24"/>
              <w:szCs w:val="24"/>
            </w:rPr>
            <w:fldChar w:fldCharType="begin"/>
          </w:r>
          <w:r>
            <w:rPr>
              <w:color w:val="auto"/>
              <w:sz w:val="24"/>
              <w:szCs w:val="24"/>
            </w:rPr>
            <w:instrText xml:space="preserve"> PAGEREF _Toc37965754 \h </w:instrText>
          </w:r>
          <w:r>
            <w:rPr>
              <w:color w:val="auto"/>
              <w:sz w:val="24"/>
              <w:szCs w:val="24"/>
            </w:rPr>
            <w:fldChar w:fldCharType="separate"/>
          </w:r>
          <w:r>
            <w:rPr>
              <w:color w:val="auto"/>
              <w:sz w:val="24"/>
              <w:szCs w:val="24"/>
            </w:rPr>
            <w:t>10</w:t>
          </w:r>
          <w:r>
            <w:rPr>
              <w:color w:val="auto"/>
              <w:sz w:val="24"/>
              <w:szCs w:val="24"/>
            </w:rPr>
            <w:fldChar w:fldCharType="end"/>
          </w:r>
          <w:r>
            <w:rPr>
              <w:color w:val="auto"/>
              <w:sz w:val="24"/>
              <w:szCs w:val="24"/>
            </w:rPr>
            <w:fldChar w:fldCharType="end"/>
          </w:r>
        </w:p>
        <w:p>
          <w:pPr>
            <w:spacing w:after="0" w:line="480" w:lineRule="auto"/>
            <w:rPr>
              <w:color w:val="auto"/>
              <w:sz w:val="24"/>
              <w:szCs w:val="24"/>
            </w:rPr>
          </w:pPr>
          <w:r>
            <w:rPr>
              <w:b/>
              <w:bCs/>
              <w:color w:val="auto"/>
              <w:sz w:val="24"/>
              <w:szCs w:val="24"/>
            </w:rPr>
            <w:fldChar w:fldCharType="end"/>
          </w:r>
        </w:p>
      </w:sdtContent>
    </w:sdt>
    <w:p>
      <w:pPr>
        <w:spacing w:after="0" w:line="480" w:lineRule="auto"/>
        <w:ind w:firstLine="720"/>
        <w:jc w:val="both"/>
        <w:rPr>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spacing w:after="0" w:line="480" w:lineRule="auto"/>
        <w:jc w:val="both"/>
        <w:rPr>
          <w:b/>
          <w:color w:val="auto"/>
          <w:sz w:val="24"/>
          <w:szCs w:val="24"/>
        </w:rPr>
      </w:pPr>
    </w:p>
    <w:p>
      <w:pPr>
        <w:pStyle w:val="2"/>
        <w:spacing w:line="480" w:lineRule="auto"/>
        <w:rPr>
          <w:rFonts w:ascii="Times New Roman" w:hAnsi="Times New Roman" w:cs="Times New Roman"/>
          <w:b/>
          <w:color w:val="auto"/>
          <w:sz w:val="24"/>
          <w:szCs w:val="24"/>
        </w:rPr>
        <w:sectPr>
          <w:headerReference r:id="rId3" w:type="default"/>
          <w:pgSz w:w="12240" w:h="15840"/>
          <w:pgMar w:top="1440" w:right="1440" w:bottom="1440" w:left="1440" w:header="720" w:footer="720" w:gutter="0"/>
          <w:pgNumType w:fmt="decimal"/>
          <w:cols w:space="720" w:num="1"/>
          <w:docGrid w:linePitch="360" w:charSpace="0"/>
        </w:sectPr>
      </w:pPr>
      <w:bookmarkStart w:id="0" w:name="_Toc37965747"/>
    </w:p>
    <w:p>
      <w:pPr>
        <w:pStyle w:val="2"/>
        <w:spacing w:line="480" w:lineRule="auto"/>
        <w:rPr>
          <w:rFonts w:ascii="Times New Roman" w:hAnsi="Times New Roman" w:cs="Times New Roman"/>
          <w:b/>
          <w:color w:val="auto"/>
          <w:sz w:val="24"/>
          <w:szCs w:val="24"/>
        </w:rPr>
      </w:pPr>
      <w:r>
        <w:rPr>
          <w:rFonts w:ascii="Times New Roman" w:hAnsi="Times New Roman" w:cs="Times New Roman"/>
          <w:b/>
          <w:color w:val="auto"/>
          <w:sz w:val="24"/>
          <w:szCs w:val="24"/>
        </w:rPr>
        <w:t>Introduction</w:t>
      </w:r>
      <w:bookmarkEnd w:id="0"/>
    </w:p>
    <w:p>
      <w:pPr>
        <w:spacing w:after="0" w:line="480" w:lineRule="auto"/>
        <w:ind w:firstLine="720"/>
        <w:jc w:val="both"/>
        <w:rPr>
          <w:color w:val="auto"/>
          <w:sz w:val="24"/>
          <w:szCs w:val="24"/>
        </w:rPr>
      </w:pPr>
      <w:r>
        <w:rPr>
          <w:color w:val="auto"/>
          <w:sz w:val="24"/>
          <w:szCs w:val="24"/>
        </w:rPr>
        <w:t>According to the United Nations (2020), under Goal 13: Take urgent action to combat climate change and its impacts, argue that climate change is currently impacting every nation across the globe. Subsequently, climate change has disrupted the nation’s economies and impacted their lives. This has cost the communities and individuals.  The weather trends have changed, extreme weather events are experienced, and the sea levels continue to rise (</w:t>
      </w:r>
      <w:r>
        <w:rPr>
          <w:color w:val="auto"/>
          <w:sz w:val="24"/>
          <w:szCs w:val="24"/>
          <w:shd w:val="clear" w:color="auto" w:fill="FFFFFF"/>
        </w:rPr>
        <w:t>Druckman and McGrath, 2019)</w:t>
      </w:r>
      <w:r>
        <w:rPr>
          <w:color w:val="auto"/>
          <w:sz w:val="24"/>
          <w:szCs w:val="24"/>
        </w:rPr>
        <w:t>. In addition, increased levels of greenhouse gas emissions have been witnessed.  With limited responses, the globe’s average surface temperatures are likely to increase to over 3</w:t>
      </w:r>
      <w:r>
        <w:rPr>
          <w:color w:val="auto"/>
          <w:sz w:val="24"/>
          <w:szCs w:val="24"/>
          <w:vertAlign w:val="superscript"/>
        </w:rPr>
        <w:t>0</w:t>
      </w:r>
      <w:r>
        <w:rPr>
          <w:color w:val="auto"/>
          <w:sz w:val="24"/>
          <w:szCs w:val="24"/>
        </w:rPr>
        <w:t xml:space="preserve">C. </w:t>
      </w:r>
      <w:r>
        <w:rPr>
          <w:color w:val="auto"/>
          <w:sz w:val="24"/>
          <w:szCs w:val="24"/>
          <w:shd w:val="clear" w:color="auto" w:fill="FFFFFF"/>
        </w:rPr>
        <w:t>Druckman and McGrath (2019</w:t>
      </w:r>
      <w:r>
        <w:rPr>
          <w:color w:val="auto"/>
          <w:sz w:val="24"/>
          <w:szCs w:val="24"/>
        </w:rPr>
        <w:t xml:space="preserve">) claimed that the changes in climate portrays a global problems that does not respect national boundaries. Regardless, various solutions and CSR initiatives have been implemented to allow nations to achieve clean economies (United Nations, 2020).  </w:t>
      </w:r>
    </w:p>
    <w:p>
      <w:pPr>
        <w:spacing w:after="0" w:line="480" w:lineRule="auto"/>
        <w:ind w:firstLine="720"/>
        <w:jc w:val="both"/>
        <w:rPr>
          <w:color w:val="auto"/>
          <w:sz w:val="24"/>
          <w:szCs w:val="24"/>
        </w:rPr>
      </w:pPr>
      <w:r>
        <w:rPr>
          <w:color w:val="auto"/>
          <w:sz w:val="24"/>
          <w:szCs w:val="24"/>
        </w:rPr>
        <w:t xml:space="preserve">Tate </w:t>
      </w:r>
      <w:r>
        <w:rPr>
          <w:i/>
          <w:color w:val="auto"/>
          <w:sz w:val="24"/>
          <w:szCs w:val="24"/>
        </w:rPr>
        <w:t>et al.</w:t>
      </w:r>
      <w:r>
        <w:rPr>
          <w:color w:val="auto"/>
          <w:sz w:val="24"/>
          <w:szCs w:val="24"/>
        </w:rPr>
        <w:t xml:space="preserve"> (2010) argued that Corporate Social Responsibility (CSR), represent the corporate initiatives, which are focused towards examining as well as taking responsibility of the impacts of the nations on the environment alongside the social welfare. As indicated in the sustainable development goal by the United Nations (2020) various individuals continue to turn to renewable energy sources. Furthermore, other measures focused on reducing emissions have been implemented.</w:t>
      </w:r>
    </w:p>
    <w:p>
      <w:pPr>
        <w:spacing w:after="0" w:line="480" w:lineRule="auto"/>
        <w:ind w:firstLine="720"/>
        <w:jc w:val="both"/>
        <w:rPr>
          <w:color w:val="auto"/>
          <w:sz w:val="24"/>
          <w:szCs w:val="24"/>
        </w:rPr>
      </w:pPr>
      <w:r>
        <w:rPr>
          <w:color w:val="auto"/>
          <w:sz w:val="24"/>
          <w:szCs w:val="24"/>
        </w:rPr>
        <w:t xml:space="preserve">Due to the broader objectives of the United Nation’s goals for sustainable development as well as climate action, the following report examines the CSR role as a mechanism for climate action alongside increased development.  The report focuses on illustrating the CSR initiatives transferability to various sector organizations and the problems experienced.  Besides, it demonstrates the implementation of values and reasoning via an ethical approach, which considers the public interests. </w:t>
      </w:r>
    </w:p>
    <w:p>
      <w:pPr>
        <w:spacing w:after="0" w:line="480" w:lineRule="auto"/>
        <w:ind w:firstLine="720"/>
        <w:jc w:val="both"/>
        <w:rPr>
          <w:color w:val="auto"/>
          <w:sz w:val="24"/>
          <w:szCs w:val="24"/>
        </w:rPr>
      </w:pPr>
      <w:r>
        <w:rPr>
          <w:color w:val="auto"/>
          <w:sz w:val="24"/>
          <w:szCs w:val="24"/>
        </w:rPr>
        <w:t>Based on this context, the report specifically examines the significance of public sector engagement in the 13</w:t>
      </w:r>
      <w:r>
        <w:rPr>
          <w:color w:val="auto"/>
          <w:sz w:val="24"/>
          <w:szCs w:val="24"/>
          <w:vertAlign w:val="superscript"/>
        </w:rPr>
        <w:t>th</w:t>
      </w:r>
      <w:r>
        <w:rPr>
          <w:color w:val="auto"/>
          <w:sz w:val="24"/>
          <w:szCs w:val="24"/>
        </w:rPr>
        <w:t xml:space="preserve"> CSR initiative (Goal 13: Take urgent action to combat climate change and its impacts). As underpinned by the illustrations of initiatives within the study, the report shows how the public sector firms work collectively to implement CSR initiatives and handle global development. </w:t>
      </w:r>
    </w:p>
    <w:p>
      <w:pPr>
        <w:pStyle w:val="2"/>
        <w:spacing w:line="480" w:lineRule="auto"/>
        <w:rPr>
          <w:rFonts w:ascii="Times New Roman" w:hAnsi="Times New Roman" w:cs="Times New Roman"/>
          <w:b/>
          <w:color w:val="auto"/>
          <w:sz w:val="24"/>
          <w:szCs w:val="24"/>
        </w:rPr>
      </w:pPr>
      <w:bookmarkStart w:id="1" w:name="_Toc37965748"/>
      <w:r>
        <w:rPr>
          <w:rFonts w:ascii="Times New Roman" w:hAnsi="Times New Roman" w:cs="Times New Roman"/>
          <w:b/>
          <w:color w:val="auto"/>
          <w:sz w:val="24"/>
          <w:szCs w:val="24"/>
        </w:rPr>
        <w:t>Method</w:t>
      </w:r>
      <w:bookmarkEnd w:id="1"/>
    </w:p>
    <w:p>
      <w:pPr>
        <w:spacing w:after="0" w:line="480" w:lineRule="auto"/>
        <w:ind w:firstLine="720"/>
        <w:jc w:val="both"/>
        <w:rPr>
          <w:color w:val="auto"/>
          <w:sz w:val="24"/>
          <w:szCs w:val="24"/>
        </w:rPr>
      </w:pPr>
      <w:r>
        <w:rPr>
          <w:color w:val="auto"/>
          <w:sz w:val="24"/>
          <w:szCs w:val="24"/>
        </w:rPr>
        <w:t xml:space="preserve">Secondary data collection method was applied by this research where information pertaining to the topic and its objective of UN DGs and the goal 13 were obtained.  The data was obtained from peer reviewed articles from the university library and also external sources. Data from accomplished authors on the topic of MDG of UN and specifically the Goal 13 was sought by the research.The report offers a synthesis of the various perspective on the implementation procedures of public sector organizations towards sustainable development alongside the integration of climate action approaches. Key illustrations are presented to support the avenues of the analysis and discussion of the various initiatives and future recommendations. Furthermore, the stakeholder evaluation is presented to evaluate their roles within the implementation of the CSR initiatives. According to the stakeholder theory, as noted by </w:t>
      </w:r>
      <w:r>
        <w:rPr>
          <w:color w:val="auto"/>
          <w:sz w:val="24"/>
          <w:szCs w:val="24"/>
          <w:shd w:val="clear" w:color="auto" w:fill="FFFFFF"/>
        </w:rPr>
        <w:t>Gangi and D’Angelo (2017</w:t>
      </w:r>
      <w:r>
        <w:rPr>
          <w:color w:val="auto"/>
          <w:sz w:val="24"/>
          <w:szCs w:val="24"/>
        </w:rPr>
        <w:t xml:space="preserve">), portrays stakeholders as external or internal beneficiaries within a firm who undertakes CSR initiatives.  In this report, the concept ideologies of how the government and international development firms (MDG Carbon and UNDP) engage in the promotion of the CSR initiatives within the framework of international climate action and SDGs are discussed. </w:t>
      </w:r>
    </w:p>
    <w:p>
      <w:pPr>
        <w:pStyle w:val="2"/>
        <w:spacing w:line="480" w:lineRule="auto"/>
        <w:rPr>
          <w:rFonts w:ascii="Times New Roman" w:hAnsi="Times New Roman" w:cs="Times New Roman"/>
          <w:b/>
          <w:color w:val="auto"/>
          <w:sz w:val="24"/>
          <w:szCs w:val="24"/>
        </w:rPr>
      </w:pPr>
      <w:bookmarkStart w:id="2" w:name="_Toc37965749"/>
      <w:r>
        <w:rPr>
          <w:rFonts w:ascii="Times New Roman" w:hAnsi="Times New Roman" w:cs="Times New Roman"/>
          <w:b/>
          <w:color w:val="auto"/>
          <w:sz w:val="24"/>
          <w:szCs w:val="24"/>
        </w:rPr>
        <w:t>Results/Findings</w:t>
      </w:r>
      <w:bookmarkEnd w:id="2"/>
    </w:p>
    <w:p>
      <w:pPr>
        <w:spacing w:after="0" w:line="480" w:lineRule="auto"/>
        <w:ind w:firstLine="720"/>
        <w:jc w:val="both"/>
        <w:rPr>
          <w:color w:val="auto"/>
          <w:sz w:val="24"/>
          <w:szCs w:val="24"/>
        </w:rPr>
      </w:pPr>
      <w:r>
        <w:rPr>
          <w:color w:val="auto"/>
          <w:sz w:val="24"/>
          <w:szCs w:val="24"/>
        </w:rPr>
        <w:t>The challenges of climate change portrays various public sectors including citizens, communities, organizations with the need to reconsider present perceptions on CSR from a spontaneous indulgence as being essential. The government has played various roles in the implementation of CSR initiatives worldwide. For instance, the Government of the Republic Of Korea implemented different plans and regulations with various targets and goals linked to Sustainable Development (</w:t>
      </w:r>
      <w:r>
        <w:rPr>
          <w:color w:val="auto"/>
          <w:sz w:val="24"/>
          <w:szCs w:val="24"/>
          <w:shd w:val="clear" w:color="auto" w:fill="FFFFFF"/>
        </w:rPr>
        <w:t xml:space="preserve">Wismans </w:t>
      </w:r>
      <w:r>
        <w:rPr>
          <w:i/>
          <w:color w:val="auto"/>
          <w:sz w:val="24"/>
          <w:szCs w:val="24"/>
          <w:shd w:val="clear" w:color="auto" w:fill="FFFFFF"/>
        </w:rPr>
        <w:t>et al.</w:t>
      </w:r>
      <w:r>
        <w:rPr>
          <w:color w:val="auto"/>
          <w:sz w:val="24"/>
          <w:szCs w:val="24"/>
          <w:shd w:val="clear" w:color="auto" w:fill="FFFFFF"/>
        </w:rPr>
        <w:t>, 2017)</w:t>
      </w:r>
      <w:r>
        <w:rPr>
          <w:color w:val="auto"/>
          <w:sz w:val="24"/>
          <w:szCs w:val="24"/>
        </w:rPr>
        <w:t xml:space="preserve">.  To elaborate further, the nation in collaboration with the </w:t>
      </w:r>
      <w:r>
        <w:rPr>
          <w:color w:val="auto"/>
        </w:rPr>
        <w:t xml:space="preserve">government, business representatives and civil society </w:t>
      </w:r>
      <w:r>
        <w:rPr>
          <w:color w:val="auto"/>
          <w:sz w:val="24"/>
          <w:szCs w:val="24"/>
        </w:rPr>
        <w:t>formulated CSR guidelines for initiatives towards promoting sustainable development.</w:t>
      </w:r>
    </w:p>
    <w:p>
      <w:pPr>
        <w:spacing w:after="0" w:line="480" w:lineRule="auto"/>
        <w:ind w:firstLine="720"/>
        <w:jc w:val="both"/>
        <w:rPr>
          <w:color w:val="auto"/>
          <w:sz w:val="24"/>
          <w:szCs w:val="24"/>
        </w:rPr>
      </w:pPr>
      <w:r>
        <w:rPr>
          <w:color w:val="auto"/>
          <w:sz w:val="24"/>
          <w:szCs w:val="24"/>
        </w:rPr>
        <w:t>The key function of the government is to establish an enabling environment.  This is achieved through formulating policies and initiatives to enhance CSR, offer capacity building and technical assistance in addition to enabling easier access to information to interested individuals. Besides, the government can create CSR policies, introduce multi-stakeholder meetings and perform public studies which focus on significant social and environmental challenges experienced by the society. The government can promote public awareness of Corporate Social Responsibility via CSR awards and commend systems, principles and policies related to CSR. With respect to the roles played by stakeholder to promote global development and implement CSR initiative, UNDP was formed to provide assistance to the national governments in establishing a CSR Roadmap.</w:t>
      </w:r>
    </w:p>
    <w:p>
      <w:pPr>
        <w:spacing w:after="0" w:line="480" w:lineRule="auto"/>
        <w:ind w:firstLine="720"/>
        <w:jc w:val="both"/>
        <w:rPr>
          <w:color w:val="auto"/>
          <w:sz w:val="24"/>
          <w:szCs w:val="24"/>
        </w:rPr>
      </w:pPr>
      <w:r>
        <w:rPr>
          <w:color w:val="auto"/>
          <w:sz w:val="24"/>
          <w:szCs w:val="24"/>
        </w:rPr>
        <w:t>In the year 2010, the Securities &amp; Exchange Commission of United States provided a guide linked to climate change that demanded public sectors to acknowledge impacts of climate on business and strategies to address those effects (</w:t>
      </w:r>
      <w:r>
        <w:rPr>
          <w:color w:val="auto"/>
          <w:sz w:val="24"/>
          <w:szCs w:val="24"/>
          <w:shd w:val="clear" w:color="auto" w:fill="FFFFFF"/>
        </w:rPr>
        <w:t xml:space="preserve">Abel </w:t>
      </w:r>
      <w:r>
        <w:rPr>
          <w:i/>
          <w:color w:val="auto"/>
          <w:sz w:val="24"/>
          <w:szCs w:val="24"/>
          <w:shd w:val="clear" w:color="auto" w:fill="FFFFFF"/>
        </w:rPr>
        <w:t>et al.,</w:t>
      </w:r>
      <w:r>
        <w:rPr>
          <w:color w:val="auto"/>
          <w:sz w:val="24"/>
          <w:szCs w:val="24"/>
          <w:shd w:val="clear" w:color="auto" w:fill="FFFFFF"/>
        </w:rPr>
        <w:t xml:space="preserve"> 2018</w:t>
      </w:r>
      <w:r>
        <w:rPr>
          <w:color w:val="auto"/>
          <w:sz w:val="24"/>
          <w:szCs w:val="24"/>
        </w:rPr>
        <w:t xml:space="preserve">). This allowed the organizations to discover the material opportunities and risks for different sectors associated with climate change. </w:t>
      </w:r>
      <w:r>
        <w:rPr>
          <w:color w:val="auto"/>
          <w:sz w:val="24"/>
          <w:szCs w:val="24"/>
          <w:shd w:val="clear" w:color="auto" w:fill="FFFFFF"/>
        </w:rPr>
        <w:t>Allen and Craig (2016</w:t>
      </w:r>
      <w:r>
        <w:rPr>
          <w:color w:val="auto"/>
          <w:sz w:val="24"/>
          <w:szCs w:val="24"/>
        </w:rPr>
        <w:t>) noted that one of the initiatives considered for analysis is that presented by the CEOs of forty-three firms operating within 150 nations in collaboration with the World Economic Forum in 2015. The study incorporates the analysis of the Earth Summit, which constituted an imperative background for the adoption of the Republic of Korea’s 2030 Agenda (</w:t>
      </w:r>
      <w:r>
        <w:rPr>
          <w:color w:val="auto"/>
          <w:sz w:val="24"/>
          <w:szCs w:val="24"/>
          <w:shd w:val="clear" w:color="auto" w:fill="FFFFFF"/>
        </w:rPr>
        <w:t xml:space="preserve">Wismans </w:t>
      </w:r>
      <w:r>
        <w:rPr>
          <w:i/>
          <w:color w:val="auto"/>
          <w:sz w:val="24"/>
          <w:szCs w:val="24"/>
          <w:shd w:val="clear" w:color="auto" w:fill="FFFFFF"/>
        </w:rPr>
        <w:t>et al.</w:t>
      </w:r>
      <w:r>
        <w:rPr>
          <w:color w:val="auto"/>
          <w:sz w:val="24"/>
          <w:szCs w:val="24"/>
          <w:shd w:val="clear" w:color="auto" w:fill="FFFFFF"/>
        </w:rPr>
        <w:t>, 2017</w:t>
      </w:r>
      <w:r>
        <w:rPr>
          <w:color w:val="auto"/>
          <w:sz w:val="24"/>
          <w:szCs w:val="24"/>
        </w:rPr>
        <w:t xml:space="preserve">). The researcher argued that the voluntary and vibrant civil society movements cheered the adoption of Local Councils for Sustainable Development to launch different campaigns linked to governance and environmental issues. In reviewing the initiatives implemented, various meetings were held by the Ministry for Foreign Affairs in close collaboration with the government. The Ministry for Foreign Affairs also invited various academic experts and United Nation’s Organizations. The process involved collecting different information from various stakeholders and providing key support. </w:t>
      </w:r>
    </w:p>
    <w:p>
      <w:pPr>
        <w:pStyle w:val="2"/>
        <w:spacing w:before="0" w:line="480" w:lineRule="auto"/>
        <w:jc w:val="both"/>
        <w:rPr>
          <w:rFonts w:ascii="Times New Roman" w:hAnsi="Times New Roman" w:cs="Times New Roman"/>
          <w:b/>
          <w:color w:val="auto"/>
          <w:sz w:val="24"/>
          <w:szCs w:val="24"/>
        </w:rPr>
      </w:pPr>
      <w:bookmarkStart w:id="3" w:name="_Toc37965750"/>
      <w:r>
        <w:rPr>
          <w:rFonts w:ascii="Times New Roman" w:hAnsi="Times New Roman" w:cs="Times New Roman"/>
          <w:b/>
          <w:color w:val="auto"/>
          <w:sz w:val="24"/>
          <w:szCs w:val="24"/>
        </w:rPr>
        <w:t>Discussion</w:t>
      </w:r>
      <w:bookmarkEnd w:id="3"/>
    </w:p>
    <w:p>
      <w:pPr>
        <w:spacing w:after="0" w:line="480" w:lineRule="auto"/>
        <w:ind w:firstLine="720"/>
        <w:jc w:val="both"/>
        <w:rPr>
          <w:color w:val="auto"/>
          <w:sz w:val="24"/>
          <w:szCs w:val="24"/>
        </w:rPr>
      </w:pPr>
      <w:r>
        <w:rPr>
          <w:color w:val="auto"/>
          <w:sz w:val="24"/>
          <w:szCs w:val="24"/>
        </w:rPr>
        <w:t>The discussion focuses on the information obtained from the findings based on the 13</w:t>
      </w:r>
      <w:r>
        <w:rPr>
          <w:color w:val="auto"/>
          <w:sz w:val="24"/>
          <w:szCs w:val="24"/>
          <w:vertAlign w:val="superscript"/>
        </w:rPr>
        <w:t>th</w:t>
      </w:r>
      <w:r>
        <w:rPr>
          <w:color w:val="auto"/>
          <w:sz w:val="24"/>
          <w:szCs w:val="24"/>
        </w:rPr>
        <w:t xml:space="preserve"> CSR initiative (Goal 13: Take urgent action to combat climate change and its impacts)/. The findings distinctively focuses on the World Bank Forum that incorporated 43 companies from 150 nations. The initiatives adopted are discussed in details. Further, the CSR initiatives implemented in Republic Of Korea and examined including the key stakeholders and the implementation mechanisms. The challenges and success of the initiatives are also presented. </w:t>
      </w:r>
    </w:p>
    <w:p>
      <w:pPr>
        <w:spacing w:after="0" w:line="480" w:lineRule="auto"/>
        <w:ind w:firstLine="720"/>
        <w:jc w:val="both"/>
        <w:rPr>
          <w:color w:val="auto"/>
          <w:sz w:val="24"/>
          <w:szCs w:val="24"/>
        </w:rPr>
      </w:pPr>
      <w:r>
        <w:rPr>
          <w:color w:val="auto"/>
          <w:sz w:val="24"/>
          <w:szCs w:val="24"/>
        </w:rPr>
        <w:t xml:space="preserve">In the year 2015, in collaboration with the World Economic Forum, the Chief Executive Officers of forty- three firms operating in over 150 nations that depicted 20 economic industries signed a significant letter on climate action. The context of the letter indicated that the nations concurred on the need for profound global actions. The CEOs emphasized on the need for acting as the climate action ambassadors. The primary focus was on the solutions to climate change and promoting increased awareness (Open Letter, 2015). The initiatives promoted included managing climate risks to promote key opportunities for growth by strengthening both the public and the firms across the nations. </w:t>
      </w:r>
    </w:p>
    <w:p>
      <w:pPr>
        <w:spacing w:after="0" w:line="480" w:lineRule="auto"/>
        <w:ind w:firstLine="720"/>
        <w:jc w:val="both"/>
        <w:rPr>
          <w:color w:val="auto"/>
          <w:sz w:val="24"/>
          <w:szCs w:val="24"/>
        </w:rPr>
      </w:pPr>
      <w:r>
        <w:rPr>
          <w:color w:val="auto"/>
          <w:sz w:val="24"/>
          <w:szCs w:val="24"/>
        </w:rPr>
        <w:t>The climate challenges as well as the increased need towards reducing various carbon emission forms were addressed at the UN Conference linked to the changes in climate in the year 2009 in Copenhagen (UNCCC, 2015). The discussions underpinned the Paris meeting in 2015, in which 186 nations provided guides for reducing carbon emissions. The discussions marked the change towards a new globe, which focused on maintaining global temperatures under 2</w:t>
      </w:r>
      <w:r>
        <w:rPr>
          <w:color w:val="auto"/>
          <w:sz w:val="24"/>
          <w:szCs w:val="24"/>
          <w:vertAlign w:val="superscript"/>
        </w:rPr>
        <w:t>0</w:t>
      </w:r>
      <w:r>
        <w:rPr>
          <w:color w:val="auto"/>
          <w:sz w:val="24"/>
          <w:szCs w:val="24"/>
        </w:rPr>
        <w:t>C.  To illustrate further, the discussions identified the key aims for reducing the increased levels of temperatures to 1.5</w:t>
      </w:r>
      <w:r>
        <w:rPr>
          <w:color w:val="auto"/>
          <w:sz w:val="24"/>
          <w:szCs w:val="24"/>
          <w:vertAlign w:val="superscript"/>
        </w:rPr>
        <w:t>0</w:t>
      </w:r>
      <w:r>
        <w:rPr>
          <w:color w:val="auto"/>
          <w:sz w:val="24"/>
          <w:szCs w:val="24"/>
        </w:rPr>
        <w:t xml:space="preserve">C with the aim of safeguarding the Island States that are vulnerable to the increase in sea levels.  The analysis of the proposed climate action plan shows that with the climate alterations, the global warming rates is likely to increase above the threshold. </w:t>
      </w:r>
    </w:p>
    <w:p>
      <w:pPr>
        <w:spacing w:after="0" w:line="480" w:lineRule="auto"/>
        <w:ind w:firstLine="720"/>
        <w:jc w:val="both"/>
        <w:rPr>
          <w:color w:val="auto"/>
          <w:sz w:val="24"/>
          <w:szCs w:val="24"/>
        </w:rPr>
      </w:pPr>
      <w:r>
        <w:rPr>
          <w:color w:val="auto"/>
          <w:sz w:val="24"/>
          <w:szCs w:val="24"/>
        </w:rPr>
        <w:t xml:space="preserve">Similarly, the Republic Of Korea implemented various plans and policies with various targets and goals linked to Sustainable Development.  In the year 2015, about 210 local authorities within the ROK has formulated the Local Agenda 21fcoused on sustainable development. About 100 local governments such as the Seoul Metropolitan Government, formulated key teams to adopt significant sustainable initiatives.  The organizational initiatives by the local government emerged following the formulation of the Presidential Council for Sustainable Development (PCD). In the year 2008, the Framework Act on sustainable development initiative was created and the Ministry for environment played the role of implementing the initiatives (Pawar and Huh, 2014). The implementation of the Framework Act on Low Carbon and Green Growth identified a significant committee for climate change.  The strategies involves key actions towards significant responses to climate change.  The other plans implemented included the Second Master Plan for Energy, Five year Plan for Green growth and Plans for Environmental Protection.  In line with the SDGs, key reports are drafted to consolidate the outcomes of the national sustainability analysis. </w:t>
      </w:r>
    </w:p>
    <w:p>
      <w:pPr>
        <w:spacing w:after="0" w:line="480" w:lineRule="auto"/>
        <w:ind w:firstLine="720"/>
        <w:jc w:val="both"/>
        <w:rPr>
          <w:color w:val="auto"/>
          <w:sz w:val="24"/>
          <w:szCs w:val="24"/>
        </w:rPr>
      </w:pPr>
      <w:r>
        <w:rPr>
          <w:color w:val="auto"/>
          <w:sz w:val="24"/>
          <w:szCs w:val="24"/>
        </w:rPr>
        <w:t xml:space="preserve">The civil society, business industries and media among others played core roles in promoting the development goals via their organization’s requests to promote a national institution that meets the Sustainable Development Goals. From its establishment, development goals has focused on guiding and shaping the plans and policies towards promoting sustainable development. The sector works by integrating the conventions on sustainable development and climate actions including the UN Convention associated with the changes in climate as well as the RIO 21 Agenda. Alongside the inputs the public sector promoted key measures for sustainable development in key areas including water, energy and climate change. The measures are also integrated in the national regulations via consensus-building and effective collaborations. </w:t>
      </w:r>
    </w:p>
    <w:p>
      <w:pPr>
        <w:pStyle w:val="2"/>
        <w:spacing w:line="480" w:lineRule="auto"/>
        <w:rPr>
          <w:rFonts w:ascii="Times New Roman" w:hAnsi="Times New Roman" w:cs="Times New Roman"/>
          <w:b/>
          <w:color w:val="auto"/>
          <w:sz w:val="24"/>
          <w:szCs w:val="24"/>
        </w:rPr>
      </w:pPr>
      <w:bookmarkStart w:id="4" w:name="_Toc37965751"/>
      <w:r>
        <w:rPr>
          <w:rFonts w:ascii="Times New Roman" w:hAnsi="Times New Roman" w:cs="Times New Roman"/>
          <w:b/>
          <w:color w:val="auto"/>
          <w:sz w:val="24"/>
          <w:szCs w:val="24"/>
        </w:rPr>
        <w:t>The Failures and Success of the Initiatives</w:t>
      </w:r>
      <w:bookmarkEnd w:id="4"/>
    </w:p>
    <w:p>
      <w:pPr>
        <w:spacing w:after="0" w:line="480" w:lineRule="auto"/>
        <w:ind w:firstLine="720"/>
        <w:jc w:val="both"/>
        <w:rPr>
          <w:color w:val="auto"/>
          <w:sz w:val="24"/>
          <w:szCs w:val="24"/>
        </w:rPr>
      </w:pPr>
      <w:r>
        <w:rPr>
          <w:color w:val="auto"/>
          <w:sz w:val="24"/>
          <w:szCs w:val="24"/>
        </w:rPr>
        <w:t xml:space="preserve">In moving ahead amidst the threats attributed to climate change, Allen and Craig (2016) argued that the national governments and the public sectors are not the only actors. The responses by the public sectors have been impacted by limited commitments to engage in meaningful responsiveness initiatives.  Corporate actors within different nations across the globe have posed key challenges. Consider the illustration by Goldenberg (2015). As noted by the scholar, the current proofs show that Exxon had ideologies of climate change in the 80s. However, they made key actions by providing relevant funds to boost various CSR-based initiatives after 27 years. Other different corporations have showed interest only on activities that promote increased profits and the exploitation of resources.  Nevertheless, the corporations have addressed the need to reduce carbon emission.  In the year 2013, about 500 enterprises such as Nike, Levi Strauss, General Motors as well as Unilever agreed on a climate declaration that included the economic benefits linked to addressing the issues of climate change.  Different scholars have examined the evolution alongside the content of social reports presented in the 80s (Bowers, 2010; Tate </w:t>
      </w:r>
      <w:r>
        <w:rPr>
          <w:i/>
          <w:color w:val="auto"/>
          <w:sz w:val="24"/>
          <w:szCs w:val="24"/>
        </w:rPr>
        <w:t>et al.,</w:t>
      </w:r>
      <w:r>
        <w:rPr>
          <w:color w:val="auto"/>
          <w:sz w:val="24"/>
          <w:szCs w:val="24"/>
        </w:rPr>
        <w:t xml:space="preserve"> 2010). The reports indicated, lacked honesty, profound quantitative evaluations and transparency. </w:t>
      </w:r>
    </w:p>
    <w:p>
      <w:pPr>
        <w:spacing w:after="0" w:line="480" w:lineRule="auto"/>
        <w:ind w:firstLine="720"/>
        <w:jc w:val="both"/>
        <w:rPr>
          <w:color w:val="auto"/>
          <w:sz w:val="24"/>
          <w:szCs w:val="24"/>
        </w:rPr>
      </w:pPr>
      <w:r>
        <w:rPr>
          <w:color w:val="auto"/>
          <w:sz w:val="24"/>
          <w:szCs w:val="24"/>
        </w:rPr>
        <w:t xml:space="preserve">While key failures have been witnessed, key success have been achieved.  The most significant success has been witnessed in the potentials to collaborate to plan, evaluate, examine and solve the ongoing measures on climate actions. The collaboration frameworks have increased with respect to climate challenges experienced. The collaboration efforts by the international firms are centred on different stakeholders working closely to make relevant plans and adopt core interventions to sustainable development goals and climate change.  Increased communication has been promoted to increase collaboration. Nevertheless, further research to illustrate the manner in which cross-sector communication plans can result to the development or resilient sectors and increased sustainable development. </w:t>
      </w:r>
    </w:p>
    <w:p>
      <w:pPr>
        <w:pStyle w:val="2"/>
        <w:spacing w:line="480" w:lineRule="auto"/>
        <w:rPr>
          <w:rFonts w:ascii="Times New Roman" w:hAnsi="Times New Roman" w:cs="Times New Roman"/>
          <w:b/>
          <w:color w:val="auto"/>
          <w:sz w:val="24"/>
          <w:szCs w:val="24"/>
        </w:rPr>
      </w:pPr>
      <w:bookmarkStart w:id="5" w:name="_Toc37965752"/>
      <w:r>
        <w:rPr>
          <w:rFonts w:ascii="Times New Roman" w:hAnsi="Times New Roman" w:cs="Times New Roman"/>
          <w:b/>
          <w:color w:val="auto"/>
          <w:sz w:val="24"/>
          <w:szCs w:val="24"/>
        </w:rPr>
        <w:t>Conclusion</w:t>
      </w:r>
      <w:bookmarkEnd w:id="5"/>
      <w:r>
        <w:rPr>
          <w:rFonts w:ascii="Times New Roman" w:hAnsi="Times New Roman" w:cs="Times New Roman"/>
          <w:b/>
          <w:color w:val="auto"/>
          <w:sz w:val="24"/>
          <w:szCs w:val="24"/>
        </w:rPr>
        <w:t xml:space="preserve"> </w:t>
      </w:r>
    </w:p>
    <w:p>
      <w:pPr>
        <w:spacing w:after="0" w:line="480" w:lineRule="auto"/>
        <w:ind w:firstLine="720"/>
        <w:jc w:val="both"/>
        <w:rPr>
          <w:color w:val="auto"/>
          <w:sz w:val="24"/>
          <w:szCs w:val="24"/>
        </w:rPr>
      </w:pPr>
      <w:r>
        <w:rPr>
          <w:color w:val="auto"/>
          <w:sz w:val="24"/>
          <w:szCs w:val="24"/>
        </w:rPr>
        <w:t xml:space="preserve">The report focused on examining the manner in which the public sector organizations have worked collectively to handle the issues of global development and the adoption of CSR initiatives ion a global scale.  The study has involved the evaluation of the methods employed by the public sectors in implementing the CSR initiatives. The key stakeholders including the government and the international development firms (MDG Carbon and UNDP) have been identified including their roles.  The government plays a key role in promoting an enabling settings by developing policies to promote the CSR initiatives.  The international development organizations provides key support to the government to promote the pathways to the CSR initiatives.  The success and failures of the initiatives implemented have been illustrated effectively.  The initial engagement of the various public sectors including the 43 nations in collaboration with the United Nations as well as the Republic of Korea have promoted favourable  measures for promoting mechanisms for the adoption of the Sustainable Development Goals. </w:t>
      </w:r>
    </w:p>
    <w:p>
      <w:pPr>
        <w:spacing w:after="0" w:line="480" w:lineRule="auto"/>
        <w:ind w:firstLine="720"/>
        <w:jc w:val="both"/>
        <w:rPr>
          <w:color w:val="auto"/>
          <w:sz w:val="24"/>
          <w:szCs w:val="24"/>
        </w:rPr>
      </w:pPr>
      <w:r>
        <w:rPr>
          <w:color w:val="auto"/>
          <w:sz w:val="24"/>
          <w:szCs w:val="24"/>
        </w:rPr>
        <w:t xml:space="preserve"> Various policies and regulations in addition to the public sector organizations for promoting the climate actions have promoted collaborative measures towards addressing the issues of climate change. Besides, the efforts by the public sector organizations in enhancing Sustainable Development goals and climate actions have featured various challenges and success.  The initial active involvement of various stakeholders within the development of the development goals within the initial phases have led to favourable conditions for integrated and inclusive measures for climate action.  The public sector organizations have to promote and enhance increased collaboration of the various stakeholders towards the implementation of the development goals.  Promoting the international development collaborations measures with respect to the development goals is critical. Via the multilateral and bilateral collaboration, the public sector organizations have to implement innovative measures to involve all stakeholders to promote the sustainable goals and climate action. The long-run mechanisms for capacity establishment in connection with different nations and the development of local alongside national ownership for the development goals have to be promoted. Sharing the experience and knowledge of the public sector organizations promote key measures for further evaluation into the implementation of the Sustainable Development Goals and climate action. The report provides significant frameworks towards promoting the significance of the CSR-based initiatives towards limiting the impacts of climate change.</w:t>
      </w:r>
    </w:p>
    <w:p>
      <w:pPr>
        <w:pStyle w:val="2"/>
        <w:spacing w:line="480" w:lineRule="auto"/>
        <w:rPr>
          <w:rFonts w:ascii="Times New Roman" w:hAnsi="Times New Roman" w:cs="Times New Roman"/>
          <w:b/>
          <w:color w:val="auto"/>
          <w:sz w:val="24"/>
          <w:szCs w:val="24"/>
        </w:rPr>
      </w:pPr>
      <w:bookmarkStart w:id="6" w:name="_Toc37965753"/>
      <w:r>
        <w:rPr>
          <w:rFonts w:ascii="Times New Roman" w:hAnsi="Times New Roman" w:cs="Times New Roman"/>
          <w:b/>
          <w:color w:val="auto"/>
          <w:sz w:val="24"/>
          <w:szCs w:val="24"/>
        </w:rPr>
        <w:t>Recommendations</w:t>
      </w:r>
      <w:bookmarkEnd w:id="6"/>
    </w:p>
    <w:p>
      <w:pPr>
        <w:spacing w:after="0" w:line="480" w:lineRule="auto"/>
        <w:ind w:firstLine="720"/>
        <w:jc w:val="both"/>
        <w:rPr>
          <w:color w:val="auto"/>
          <w:sz w:val="24"/>
          <w:szCs w:val="24"/>
        </w:rPr>
      </w:pPr>
      <w:r>
        <w:rPr>
          <w:color w:val="auto"/>
          <w:sz w:val="24"/>
          <w:szCs w:val="24"/>
        </w:rPr>
        <w:t xml:space="preserve">Future CSR initiatives need to adhere to the illustrations presented by </w:t>
      </w:r>
      <w:r>
        <w:rPr>
          <w:color w:val="auto"/>
          <w:sz w:val="24"/>
          <w:szCs w:val="24"/>
          <w:shd w:val="clear" w:color="auto" w:fill="FCFCFC"/>
        </w:rPr>
        <w:t>Uysal (</w:t>
      </w:r>
      <w:r>
        <w:rPr>
          <w:color w:val="auto"/>
        </w:rPr>
        <w:fldChar w:fldCharType="begin"/>
      </w:r>
      <w:r>
        <w:rPr>
          <w:color w:val="auto"/>
        </w:rPr>
        <w:instrText xml:space="preserve"> HYPERLINK "https://link.springer.com/article/10.1186/s40991-016-0002-8" \l "ref-CR62" \o "Uysal, N. (2014). The expanded role of investor relations: socially responsible investing, shareholder activism, and organizational legitimacy. International Journal of Strategic Communication, 8, 215–30. doi:
                    10.1080/1553118X.2014.905478
 " </w:instrText>
      </w:r>
      <w:r>
        <w:rPr>
          <w:color w:val="auto"/>
        </w:rPr>
        <w:fldChar w:fldCharType="separate"/>
      </w:r>
      <w:r>
        <w:rPr>
          <w:rStyle w:val="9"/>
          <w:color w:val="auto"/>
          <w:sz w:val="24"/>
          <w:szCs w:val="24"/>
          <w:u w:val="none"/>
          <w:shd w:val="clear" w:color="auto" w:fill="FCFCFC"/>
        </w:rPr>
        <w:t>2014</w:t>
      </w:r>
      <w:r>
        <w:rPr>
          <w:rStyle w:val="9"/>
          <w:color w:val="auto"/>
          <w:sz w:val="24"/>
          <w:szCs w:val="24"/>
          <w:u w:val="none"/>
          <w:shd w:val="clear" w:color="auto" w:fill="FCFCFC"/>
        </w:rPr>
        <w:fldChar w:fldCharType="end"/>
      </w:r>
      <w:r>
        <w:rPr>
          <w:color w:val="auto"/>
          <w:sz w:val="24"/>
          <w:szCs w:val="24"/>
          <w:shd w:val="clear" w:color="auto" w:fill="FCFCFC"/>
        </w:rPr>
        <w:t xml:space="preserve">). The researcher examined how shareholder activism can promote positive change in </w:t>
      </w:r>
      <w:r>
        <w:rPr>
          <w:color w:val="auto"/>
          <w:sz w:val="24"/>
          <w:szCs w:val="24"/>
        </w:rPr>
        <w:t xml:space="preserve">Corporate Social Responsibility </w:t>
      </w:r>
      <w:r>
        <w:rPr>
          <w:color w:val="auto"/>
          <w:sz w:val="24"/>
          <w:szCs w:val="24"/>
          <w:shd w:val="clear" w:color="auto" w:fill="FCFCFC"/>
        </w:rPr>
        <w:t xml:space="preserve">behaviours. The public sector organizations should implement its </w:t>
      </w:r>
      <w:r>
        <w:rPr>
          <w:color w:val="auto"/>
          <w:sz w:val="24"/>
          <w:szCs w:val="24"/>
        </w:rPr>
        <w:t>quadruple mechanisms to develop a consistent process to implement CSR initiatives worldwide. The government needs to modify the goals and policies to conform the Sustainable Development Goals. The government is expected to hasten the discussions regarding developing a coordinating framework for the implementation</w:t>
      </w:r>
      <w:r>
        <w:rPr>
          <w:color w:val="auto"/>
          <w:sz w:val="24"/>
          <w:szCs w:val="24"/>
          <w:shd w:val="clear" w:color="auto" w:fill="FCFCFC"/>
        </w:rPr>
        <w:t xml:space="preserve"> of </w:t>
      </w:r>
      <w:r>
        <w:rPr>
          <w:color w:val="auto"/>
          <w:sz w:val="24"/>
          <w:szCs w:val="24"/>
        </w:rPr>
        <w:t xml:space="preserve">SDGs. The </w:t>
      </w:r>
      <w:r>
        <w:rPr>
          <w:color w:val="auto"/>
          <w:sz w:val="24"/>
          <w:szCs w:val="24"/>
          <w:shd w:val="clear" w:color="auto" w:fill="FCFCFC"/>
        </w:rPr>
        <w:t>public sector organizations</w:t>
      </w:r>
      <w:r>
        <w:rPr>
          <w:color w:val="auto"/>
          <w:sz w:val="24"/>
          <w:szCs w:val="24"/>
        </w:rPr>
        <w:t xml:space="preserve"> has to make coordinated efforts to incorporate SDGs aspirations into its global development cooperation.</w:t>
      </w:r>
    </w:p>
    <w:p>
      <w:pPr>
        <w:spacing w:after="0" w:line="480" w:lineRule="auto"/>
        <w:ind w:firstLine="720"/>
        <w:jc w:val="both"/>
        <w:rPr>
          <w:color w:val="auto"/>
          <w:sz w:val="24"/>
          <w:szCs w:val="24"/>
        </w:rPr>
      </w:pPr>
      <w:r>
        <w:rPr>
          <w:color w:val="auto"/>
          <w:sz w:val="24"/>
          <w:szCs w:val="24"/>
        </w:rPr>
        <w:t xml:space="preserve"> Based on the findings and discussions, the </w:t>
      </w:r>
      <w:r>
        <w:rPr>
          <w:color w:val="auto"/>
          <w:sz w:val="24"/>
          <w:szCs w:val="24"/>
          <w:shd w:val="clear" w:color="auto" w:fill="FCFCFC"/>
        </w:rPr>
        <w:t>public sector organizations</w:t>
      </w:r>
      <w:r>
        <w:rPr>
          <w:color w:val="auto"/>
          <w:sz w:val="24"/>
          <w:szCs w:val="24"/>
        </w:rPr>
        <w:t xml:space="preserve"> need to establish the initiatives and make concerted efforts to identify the frameworks to implement the SDGs. These include a solid system of initiatives and examining the SDGs implementation. </w:t>
      </w:r>
    </w:p>
    <w:p>
      <w:pPr>
        <w:rPr>
          <w:color w:val="auto"/>
        </w:rPr>
      </w:pPr>
      <w:bookmarkStart w:id="7" w:name="_Toc37965754"/>
    </w:p>
    <w:p>
      <w:pPr>
        <w:pStyle w:val="2"/>
        <w:spacing w:line="480" w:lineRule="auto"/>
        <w:jc w:val="both"/>
        <w:rPr>
          <w:rFonts w:ascii="Times New Roman" w:hAnsi="Times New Roman" w:cs="Times New Roman"/>
          <w:b/>
          <w:color w:val="auto"/>
          <w:sz w:val="24"/>
          <w:szCs w:val="24"/>
        </w:rPr>
      </w:pPr>
    </w:p>
    <w:p>
      <w:pPr>
        <w:pStyle w:val="2"/>
        <w:spacing w:line="480" w:lineRule="auto"/>
        <w:jc w:val="both"/>
        <w:rPr>
          <w:rFonts w:ascii="Times New Roman" w:hAnsi="Times New Roman" w:cs="Times New Roman"/>
          <w:b/>
          <w:color w:val="auto"/>
          <w:sz w:val="24"/>
          <w:szCs w:val="24"/>
        </w:rPr>
      </w:pPr>
    </w:p>
    <w:p>
      <w:pPr>
        <w:pStyle w:val="2"/>
        <w:spacing w:line="480" w:lineRule="auto"/>
        <w:jc w:val="both"/>
        <w:rPr>
          <w:rFonts w:ascii="Times New Roman" w:hAnsi="Times New Roman" w:cs="Times New Roman"/>
          <w:b/>
          <w:color w:val="auto"/>
          <w:sz w:val="24"/>
          <w:szCs w:val="24"/>
        </w:rPr>
      </w:pPr>
    </w:p>
    <w:p>
      <w:pPr>
        <w:rPr>
          <w:rFonts w:ascii="Times New Roman" w:hAnsi="Times New Roman" w:cs="Times New Roman"/>
          <w:b/>
          <w:color w:val="auto"/>
          <w:sz w:val="24"/>
          <w:szCs w:val="24"/>
        </w:rPr>
      </w:pPr>
    </w:p>
    <w:p>
      <w:pPr>
        <w:rPr>
          <w:rFonts w:ascii="Times New Roman" w:hAnsi="Times New Roman" w:cs="Times New Roman"/>
          <w:b/>
          <w:color w:val="auto"/>
          <w:sz w:val="24"/>
          <w:szCs w:val="24"/>
        </w:rPr>
      </w:pPr>
    </w:p>
    <w:p>
      <w:pPr>
        <w:rPr>
          <w:rFonts w:ascii="Times New Roman" w:hAnsi="Times New Roman" w:cs="Times New Roman"/>
          <w:b/>
          <w:color w:val="auto"/>
          <w:sz w:val="24"/>
          <w:szCs w:val="24"/>
        </w:rPr>
      </w:pPr>
    </w:p>
    <w:p>
      <w:pPr>
        <w:rPr>
          <w:rFonts w:ascii="Times New Roman" w:hAnsi="Times New Roman" w:cs="Times New Roman"/>
          <w:b/>
          <w:color w:val="auto"/>
          <w:sz w:val="24"/>
          <w:szCs w:val="24"/>
        </w:rPr>
      </w:pPr>
    </w:p>
    <w:p>
      <w:pPr>
        <w:pStyle w:val="2"/>
        <w:spacing w:line="480" w:lineRule="auto"/>
        <w:jc w:val="both"/>
        <w:rPr>
          <w:rFonts w:ascii="Times New Roman" w:hAnsi="Times New Roman" w:cs="Times New Roman"/>
          <w:b/>
          <w:color w:val="auto"/>
          <w:sz w:val="24"/>
          <w:szCs w:val="24"/>
        </w:rPr>
      </w:pPr>
      <w:r>
        <w:rPr>
          <w:rFonts w:ascii="Times New Roman" w:hAnsi="Times New Roman" w:cs="Times New Roman"/>
          <w:b/>
          <w:color w:val="auto"/>
          <w:sz w:val="24"/>
          <w:szCs w:val="24"/>
        </w:rPr>
        <w:t>Reference list</w:t>
      </w:r>
      <w:bookmarkEnd w:id="7"/>
    </w:p>
    <w:p>
      <w:pPr>
        <w:spacing w:after="0" w:line="480" w:lineRule="auto"/>
        <w:ind w:left="720" w:hanging="720"/>
        <w:jc w:val="both"/>
        <w:rPr>
          <w:color w:val="auto"/>
          <w:sz w:val="24"/>
          <w:szCs w:val="24"/>
        </w:rPr>
      </w:pPr>
      <w:r>
        <w:rPr>
          <w:color w:val="auto"/>
          <w:sz w:val="24"/>
          <w:szCs w:val="24"/>
        </w:rPr>
        <w:t xml:space="preserve">Abel, D.W., Holloway, T., Harkey, M., Meier, P., Ahl, D., Limaye, V.S. and Patz, J.A., 2018. Air-quality-related health impacts from climate change and from adaptation of cooling demand for buildings in the eastern United States: An interdisciplinary modeling study. </w:t>
      </w:r>
      <w:r>
        <w:rPr>
          <w:i/>
          <w:color w:val="auto"/>
          <w:sz w:val="24"/>
          <w:szCs w:val="24"/>
        </w:rPr>
        <w:t>PLoS medicine</w:t>
      </w:r>
      <w:r>
        <w:rPr>
          <w:color w:val="auto"/>
          <w:sz w:val="24"/>
          <w:szCs w:val="24"/>
        </w:rPr>
        <w:t>, 15(7).</w:t>
      </w:r>
    </w:p>
    <w:p>
      <w:pPr>
        <w:spacing w:after="0" w:line="480" w:lineRule="auto"/>
        <w:ind w:left="720" w:hanging="720"/>
        <w:jc w:val="both"/>
        <w:rPr>
          <w:color w:val="auto"/>
          <w:sz w:val="24"/>
          <w:szCs w:val="24"/>
        </w:rPr>
      </w:pPr>
      <w:r>
        <w:rPr>
          <w:color w:val="auto"/>
          <w:sz w:val="24"/>
          <w:szCs w:val="24"/>
        </w:rPr>
        <w:t>Allen, M. W., 2016. Strategic communication for sustainable organizations: theory and practice. New York: Springer Publishing Company.</w:t>
      </w:r>
    </w:p>
    <w:p>
      <w:pPr>
        <w:spacing w:after="0" w:line="480" w:lineRule="auto"/>
        <w:ind w:left="720" w:hanging="720"/>
        <w:jc w:val="both"/>
        <w:rPr>
          <w:color w:val="auto"/>
          <w:sz w:val="24"/>
          <w:szCs w:val="24"/>
        </w:rPr>
      </w:pPr>
      <w:r>
        <w:rPr>
          <w:color w:val="auto"/>
          <w:sz w:val="24"/>
          <w:szCs w:val="24"/>
        </w:rPr>
        <w:t xml:space="preserve">Allen, M.W. and Craig, C.A., 2016. Rethinking corporate social responsibility in the age of climate change: a communication perspective. </w:t>
      </w:r>
      <w:r>
        <w:rPr>
          <w:i/>
          <w:color w:val="auto"/>
          <w:sz w:val="24"/>
          <w:szCs w:val="24"/>
        </w:rPr>
        <w:t>International Journal of Corporate Social Responsibility</w:t>
      </w:r>
      <w:r>
        <w:rPr>
          <w:color w:val="auto"/>
          <w:sz w:val="24"/>
          <w:szCs w:val="24"/>
        </w:rPr>
        <w:t>, 1(1), p.1.</w:t>
      </w:r>
    </w:p>
    <w:p>
      <w:pPr>
        <w:spacing w:after="0" w:line="480" w:lineRule="auto"/>
        <w:ind w:left="720" w:hanging="720"/>
        <w:jc w:val="both"/>
        <w:rPr>
          <w:color w:val="auto"/>
          <w:sz w:val="24"/>
          <w:szCs w:val="24"/>
        </w:rPr>
      </w:pPr>
      <w:r>
        <w:rPr>
          <w:color w:val="auto"/>
          <w:sz w:val="24"/>
          <w:szCs w:val="24"/>
        </w:rPr>
        <w:t xml:space="preserve">Bowers, T., 201. From image to economic value: a genre analysis of sustainability reporting. Corporate Communications: </w:t>
      </w:r>
      <w:r>
        <w:rPr>
          <w:i/>
          <w:color w:val="auto"/>
          <w:sz w:val="24"/>
          <w:szCs w:val="24"/>
        </w:rPr>
        <w:t>An International Journal</w:t>
      </w:r>
      <w:r>
        <w:rPr>
          <w:color w:val="auto"/>
          <w:sz w:val="24"/>
          <w:szCs w:val="24"/>
        </w:rPr>
        <w:t>, 15, pp. 249–62.</w:t>
      </w:r>
    </w:p>
    <w:p>
      <w:pPr>
        <w:spacing w:after="0" w:line="480" w:lineRule="auto"/>
        <w:ind w:left="720" w:hanging="720"/>
        <w:jc w:val="both"/>
        <w:rPr>
          <w:color w:val="auto"/>
          <w:sz w:val="24"/>
          <w:szCs w:val="24"/>
        </w:rPr>
      </w:pPr>
      <w:r>
        <w:rPr>
          <w:color w:val="auto"/>
          <w:sz w:val="24"/>
          <w:szCs w:val="24"/>
        </w:rPr>
        <w:t>Charlier, F., 2016. Cluster Country Program Evaluation on Small States: Mauritius Country Case Study, Enhancing Competitiveness and Private Sector Development. World Bank.</w:t>
      </w:r>
    </w:p>
    <w:p>
      <w:pPr>
        <w:spacing w:after="0" w:line="480" w:lineRule="auto"/>
        <w:ind w:left="720" w:hanging="720"/>
        <w:jc w:val="both"/>
        <w:rPr>
          <w:color w:val="auto"/>
          <w:sz w:val="24"/>
          <w:szCs w:val="24"/>
        </w:rPr>
      </w:pPr>
      <w:r>
        <w:rPr>
          <w:color w:val="auto"/>
          <w:sz w:val="24"/>
          <w:szCs w:val="24"/>
        </w:rPr>
        <w:t xml:space="preserve">Dhanesh, G. S., 2015. Why corporate social responsibility? An analysis of drivers of CSR in India. </w:t>
      </w:r>
      <w:r>
        <w:rPr>
          <w:i/>
          <w:color w:val="auto"/>
          <w:sz w:val="24"/>
          <w:szCs w:val="24"/>
        </w:rPr>
        <w:t>Management Communication Quarterly</w:t>
      </w:r>
      <w:r>
        <w:rPr>
          <w:color w:val="auto"/>
          <w:sz w:val="24"/>
          <w:szCs w:val="24"/>
        </w:rPr>
        <w:t>, 29, 114–29.</w:t>
      </w:r>
    </w:p>
    <w:p>
      <w:pPr>
        <w:spacing w:after="0" w:line="480" w:lineRule="auto"/>
        <w:ind w:left="720" w:hanging="720"/>
        <w:jc w:val="both"/>
        <w:rPr>
          <w:color w:val="auto"/>
          <w:sz w:val="24"/>
          <w:szCs w:val="24"/>
        </w:rPr>
      </w:pPr>
      <w:r>
        <w:rPr>
          <w:color w:val="auto"/>
          <w:sz w:val="24"/>
          <w:szCs w:val="24"/>
        </w:rPr>
        <w:t xml:space="preserve">Druckman, J.N. and McGrath, M.C., 2019. The evidence for motivated reasoning in climate change preference formation. </w:t>
      </w:r>
      <w:r>
        <w:rPr>
          <w:i/>
          <w:color w:val="auto"/>
          <w:sz w:val="24"/>
          <w:szCs w:val="24"/>
        </w:rPr>
        <w:t>Nature Climate Change</w:t>
      </w:r>
      <w:r>
        <w:rPr>
          <w:color w:val="auto"/>
          <w:sz w:val="24"/>
          <w:szCs w:val="24"/>
        </w:rPr>
        <w:t>, 9(2), pp.111-119.</w:t>
      </w:r>
    </w:p>
    <w:p>
      <w:pPr>
        <w:spacing w:after="0" w:line="480" w:lineRule="auto"/>
        <w:ind w:left="720" w:hanging="720"/>
        <w:jc w:val="both"/>
        <w:rPr>
          <w:color w:val="auto"/>
          <w:sz w:val="24"/>
          <w:szCs w:val="24"/>
        </w:rPr>
      </w:pPr>
      <w:r>
        <w:rPr>
          <w:color w:val="auto"/>
          <w:sz w:val="24"/>
          <w:szCs w:val="24"/>
        </w:rPr>
        <w:t>Gangi, F. and D’Angelo, E., 2017. “Make” or “Buy” the Choice of Governance Modes for Corporate Social Responsibility Projects from a Stakeholder Management Perspective. International Business Research, 10(8), pp.80-92.</w:t>
      </w:r>
    </w:p>
    <w:p>
      <w:pPr>
        <w:spacing w:after="0" w:line="480" w:lineRule="auto"/>
        <w:ind w:left="720" w:hanging="720"/>
        <w:jc w:val="both"/>
        <w:rPr>
          <w:color w:val="auto"/>
          <w:sz w:val="24"/>
          <w:szCs w:val="24"/>
        </w:rPr>
      </w:pPr>
      <w:r>
        <w:rPr>
          <w:color w:val="auto"/>
          <w:sz w:val="24"/>
          <w:szCs w:val="24"/>
        </w:rPr>
        <w:t>Goldenberg, S., 2015. Exxon knew of climate change in 1983, email says – but it funded deniers for 27 more years. [Online]. Available At:  from http://www.theguardian.com/environment/2015/jul/08/exxon-climate-change-1981-climate-denier-funding[Accessed April 16, 2020]</w:t>
      </w:r>
    </w:p>
    <w:p>
      <w:pPr>
        <w:spacing w:after="0" w:line="480" w:lineRule="auto"/>
        <w:ind w:left="720" w:hanging="720"/>
        <w:jc w:val="both"/>
        <w:rPr>
          <w:color w:val="auto"/>
          <w:sz w:val="24"/>
          <w:szCs w:val="24"/>
        </w:rPr>
      </w:pPr>
      <w:r>
        <w:rPr>
          <w:color w:val="auto"/>
          <w:sz w:val="24"/>
          <w:szCs w:val="24"/>
        </w:rPr>
        <w:t xml:space="preserve">IPCC., 2013. Climate Change 2013: The Physical Science Basis. Contribution of Working Group I to the Fifth Assessment Report of the Intergovernmental Panel on Climate Change. In: T.F. Stocker, D. Qin, G.-K. Plattner, M. Tignor, S.K. Allen, J. Boschung, A. Nauels, Y. Xia, V. Bex, P.M. Midgley (Eds.). Cambridge University Press, Cambridge and New York. </w:t>
      </w:r>
    </w:p>
    <w:p>
      <w:pPr>
        <w:spacing w:after="0" w:line="480" w:lineRule="auto"/>
        <w:ind w:left="720" w:hanging="720"/>
        <w:jc w:val="both"/>
        <w:rPr>
          <w:color w:val="auto"/>
          <w:sz w:val="24"/>
          <w:szCs w:val="24"/>
        </w:rPr>
      </w:pPr>
      <w:r>
        <w:rPr>
          <w:color w:val="auto"/>
          <w:sz w:val="24"/>
          <w:szCs w:val="24"/>
        </w:rPr>
        <w:t>Open letter., 2015. Open letter from global CEOs to world leaders urging concrete climate action. [Online]. Available At: http://www.dsm.com/corporate/media/informationcenter-pub/2015/04/2015-04-17-open-letter-from-global-ceos-to-world-leaders-urging-concrete-climate-action.html. [Accessed April 16, 2020]</w:t>
      </w:r>
    </w:p>
    <w:p>
      <w:pPr>
        <w:spacing w:after="0" w:line="480" w:lineRule="auto"/>
        <w:ind w:left="720" w:hanging="720"/>
        <w:jc w:val="both"/>
        <w:rPr>
          <w:color w:val="auto"/>
          <w:sz w:val="24"/>
          <w:szCs w:val="24"/>
        </w:rPr>
      </w:pPr>
      <w:r>
        <w:rPr>
          <w:color w:val="auto"/>
          <w:sz w:val="24"/>
          <w:szCs w:val="24"/>
        </w:rPr>
        <w:t xml:space="preserve">Tate, W. L., Ellram, L. M., and Kirchoff, J. F., 2010. Corporate social responsibility: thematic analysis related to supply chain management. </w:t>
      </w:r>
      <w:r>
        <w:rPr>
          <w:i/>
          <w:color w:val="auto"/>
          <w:sz w:val="24"/>
          <w:szCs w:val="24"/>
        </w:rPr>
        <w:t>Supply Chain Management</w:t>
      </w:r>
      <w:r>
        <w:rPr>
          <w:color w:val="auto"/>
          <w:sz w:val="24"/>
          <w:szCs w:val="24"/>
        </w:rPr>
        <w:t>, 46, pp. 19–44.</w:t>
      </w:r>
    </w:p>
    <w:p>
      <w:pPr>
        <w:spacing w:after="0" w:line="480" w:lineRule="auto"/>
        <w:ind w:left="720" w:hanging="720"/>
        <w:jc w:val="both"/>
        <w:rPr>
          <w:color w:val="auto"/>
          <w:sz w:val="24"/>
          <w:szCs w:val="24"/>
        </w:rPr>
      </w:pPr>
      <w:r>
        <w:rPr>
          <w:color w:val="auto"/>
          <w:sz w:val="24"/>
          <w:szCs w:val="24"/>
        </w:rPr>
        <w:t xml:space="preserve">United Nation., 2020. Sustainable development Goals. [Online]. Available At; </w:t>
      </w:r>
      <w:r>
        <w:rPr>
          <w:color w:val="auto"/>
        </w:rPr>
        <w:fldChar w:fldCharType="begin"/>
      </w:r>
      <w:r>
        <w:rPr>
          <w:color w:val="auto"/>
        </w:rPr>
        <w:instrText xml:space="preserve"> HYPERLINK "https://www.un.org/sustainabledevelopment/climate-change/" </w:instrText>
      </w:r>
      <w:r>
        <w:rPr>
          <w:color w:val="auto"/>
        </w:rPr>
        <w:fldChar w:fldCharType="separate"/>
      </w:r>
      <w:r>
        <w:rPr>
          <w:rStyle w:val="9"/>
          <w:color w:val="auto"/>
          <w:sz w:val="24"/>
          <w:szCs w:val="24"/>
          <w:u w:val="none"/>
        </w:rPr>
        <w:t>https://www.un.org/sustainabledevelopment/climate-change/</w:t>
      </w:r>
      <w:r>
        <w:rPr>
          <w:rStyle w:val="9"/>
          <w:color w:val="auto"/>
          <w:sz w:val="24"/>
          <w:szCs w:val="24"/>
          <w:u w:val="none"/>
        </w:rPr>
        <w:fldChar w:fldCharType="end"/>
      </w:r>
      <w:r>
        <w:rPr>
          <w:color w:val="auto"/>
          <w:sz w:val="24"/>
          <w:szCs w:val="24"/>
        </w:rPr>
        <w:t xml:space="preserve"> [Accessed April 16, 2020]</w:t>
      </w:r>
    </w:p>
    <w:p>
      <w:pPr>
        <w:spacing w:after="0" w:line="480" w:lineRule="auto"/>
        <w:ind w:left="720" w:hanging="720"/>
        <w:jc w:val="both"/>
        <w:rPr>
          <w:color w:val="auto"/>
          <w:sz w:val="24"/>
          <w:szCs w:val="24"/>
        </w:rPr>
      </w:pPr>
      <w:r>
        <w:rPr>
          <w:color w:val="auto"/>
          <w:sz w:val="24"/>
          <w:szCs w:val="24"/>
        </w:rPr>
        <w:t>United Nations Conference on Climate Change., 2015. The world talks about the Paris agreement. [Online]. Available At: http://www.cop21.gouv.fr/en/the-world-talks-about-parisagreement/. [Accessed April 16, 2020]</w:t>
      </w:r>
    </w:p>
    <w:p>
      <w:pPr>
        <w:spacing w:after="0" w:line="480" w:lineRule="auto"/>
        <w:ind w:left="720" w:hanging="720"/>
        <w:jc w:val="both"/>
        <w:rPr>
          <w:color w:val="auto"/>
          <w:sz w:val="24"/>
          <w:szCs w:val="24"/>
        </w:rPr>
      </w:pPr>
      <w:r>
        <w:rPr>
          <w:color w:val="auto"/>
          <w:sz w:val="24"/>
          <w:szCs w:val="24"/>
        </w:rPr>
        <w:t>Uysal, N., 2014. The expanded role of investor relations: socially responsible investing, shareholder activism, and organizational legitimacy. International Journal of Strategic Communication, 8, pp. 215–30. doi:10.1080/1553118X.2014.905478.</w:t>
      </w:r>
    </w:p>
    <w:p>
      <w:pPr>
        <w:spacing w:after="0" w:line="480" w:lineRule="auto"/>
        <w:ind w:left="720" w:hanging="720"/>
        <w:jc w:val="both"/>
        <w:rPr>
          <w:color w:val="auto"/>
          <w:sz w:val="24"/>
          <w:szCs w:val="24"/>
        </w:rPr>
      </w:pPr>
      <w:r>
        <w:rPr>
          <w:color w:val="auto"/>
          <w:sz w:val="24"/>
          <w:szCs w:val="24"/>
        </w:rPr>
        <w:t>Wismans, J., Thynell, M. and Lindberg, G., 2017, April. Economics of Road Safety–What does it imply under the 2030 Agenda for Sustainable Development. In Intergovernmental Tenth Regional Environmentally Sustainable Transport (EST) Forum in Asia, 14-16 March 2017, Vientiane, Lao PDR.</w:t>
      </w:r>
    </w:p>
    <w:p>
      <w:pPr>
        <w:spacing w:after="0" w:line="480" w:lineRule="auto"/>
        <w:ind w:left="720" w:hanging="720"/>
        <w:jc w:val="both"/>
        <w:rPr>
          <w:color w:val="auto"/>
          <w:sz w:val="24"/>
          <w:szCs w:val="24"/>
        </w:rPr>
      </w:pPr>
      <w:r>
        <w:rPr>
          <w:color w:val="auto"/>
          <w:sz w:val="24"/>
          <w:szCs w:val="24"/>
        </w:rPr>
        <w:t>Pawar, M., and T. Huh. 2014. “Korean Response to Environmental Challenges: Origins, Drivers and Impacts of Green Growth on Development.” In Learning from the South Korean developmental success: Effective developmental cooperation and synergies institutions and policies, edited by Ilcheong Yi and Thandika Mkandawire. Basingstoke and New York: UNRISD and Palgrave Macmillan.</w:t>
      </w:r>
    </w:p>
    <w:p>
      <w:pPr>
        <w:spacing w:after="0" w:line="480" w:lineRule="auto"/>
        <w:rPr>
          <w:color w:val="auto"/>
          <w:sz w:val="24"/>
          <w:szCs w:val="24"/>
        </w:rPr>
      </w:pPr>
    </w:p>
    <w:sectPr>
      <w:footerReference r:id="rId4" w:type="default"/>
      <w:pgSz w:w="12240" w:h="15840"/>
      <w:pgMar w:top="1440" w:right="1440" w:bottom="1440" w:left="144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20"/>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4</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ufGT8ICAADWBQAADgAAAAAA&#10;AAABACAAAAAfAQAAZHJzL2Uyb0RvYy54bWxQSwUGAAAAAAYABgBZAQAAUwYAAAAA&#10;">
              <v:fill on="f" focussize="0,0"/>
              <v:stroke on="f" weight="0.5pt"/>
              <v:imagedata o:title=""/>
              <o:lock v:ext="edit" aspectratio="f"/>
              <v:textbox inset="0mm,0mm,0mm,0mm" style="mso-fit-shape-to-text:t;">
                <w:txbxContent>
                  <w:p>
                    <w:pPr>
                      <w:pStyle w:val="3"/>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4</w:t>
                    </w:r>
                    <w:r>
                      <w:rPr>
                        <w:rFonts w:hint="eastAsia" w:eastAsia="宋体"/>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ind w:left="3600"/>
      <w:jc w:val="center"/>
      <w:rPr>
        <w:sz w:val="24"/>
        <w:szCs w:val="24"/>
      </w:rPr>
    </w:pPr>
    <w:sdt>
      <w:sdtPr>
        <w:rPr>
          <w:sz w:val="24"/>
          <w:szCs w:val="24"/>
        </w:rPr>
        <w:id w:val="614638001"/>
        <w:showingPlcHdr/>
        <w:docPartObj>
          <w:docPartGallery w:val="autotext"/>
        </w:docPartObj>
      </w:sdtPr>
      <w:sdtEndPr>
        <w:rPr>
          <w:sz w:val="24"/>
          <w:szCs w:val="24"/>
        </w:rPr>
      </w:sdtEndPr>
      <w:sdtContent/>
    </w:sdt>
  </w:p>
  <w:p>
    <w:pPr>
      <w:pStyle w:val="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Q1NLawMLQwNbewsDRX0lEKTi0uzszPAykwqwUA6lg5uywAAAA="/>
  </w:docVars>
  <w:rsids>
    <w:rsidRoot w:val="00934BE3"/>
    <w:rsid w:val="00024CA2"/>
    <w:rsid w:val="00026678"/>
    <w:rsid w:val="00062AE1"/>
    <w:rsid w:val="00096302"/>
    <w:rsid w:val="000A3075"/>
    <w:rsid w:val="00113D62"/>
    <w:rsid w:val="00134569"/>
    <w:rsid w:val="00136B80"/>
    <w:rsid w:val="00151A29"/>
    <w:rsid w:val="00165C04"/>
    <w:rsid w:val="0018616F"/>
    <w:rsid w:val="00195A9A"/>
    <w:rsid w:val="001E5F83"/>
    <w:rsid w:val="001E66A9"/>
    <w:rsid w:val="00234ECF"/>
    <w:rsid w:val="0026224B"/>
    <w:rsid w:val="00295257"/>
    <w:rsid w:val="00304EB1"/>
    <w:rsid w:val="00305989"/>
    <w:rsid w:val="003265DD"/>
    <w:rsid w:val="003802AC"/>
    <w:rsid w:val="003A6C04"/>
    <w:rsid w:val="003E665F"/>
    <w:rsid w:val="00402A94"/>
    <w:rsid w:val="00453168"/>
    <w:rsid w:val="004645F1"/>
    <w:rsid w:val="0047595C"/>
    <w:rsid w:val="004804B5"/>
    <w:rsid w:val="00491CA1"/>
    <w:rsid w:val="0049685D"/>
    <w:rsid w:val="004B028E"/>
    <w:rsid w:val="004D4EBF"/>
    <w:rsid w:val="004F61EF"/>
    <w:rsid w:val="00503BE3"/>
    <w:rsid w:val="0055349A"/>
    <w:rsid w:val="00593DBC"/>
    <w:rsid w:val="005A119B"/>
    <w:rsid w:val="005E004D"/>
    <w:rsid w:val="006351B2"/>
    <w:rsid w:val="006F5931"/>
    <w:rsid w:val="00714B5A"/>
    <w:rsid w:val="00742218"/>
    <w:rsid w:val="00791634"/>
    <w:rsid w:val="007E6FDF"/>
    <w:rsid w:val="00815752"/>
    <w:rsid w:val="008311BD"/>
    <w:rsid w:val="008547B1"/>
    <w:rsid w:val="008807DE"/>
    <w:rsid w:val="008A52E8"/>
    <w:rsid w:val="008B46E1"/>
    <w:rsid w:val="00933D16"/>
    <w:rsid w:val="00934BE3"/>
    <w:rsid w:val="00980E26"/>
    <w:rsid w:val="00981F79"/>
    <w:rsid w:val="009C5D1F"/>
    <w:rsid w:val="009E472F"/>
    <w:rsid w:val="009F4348"/>
    <w:rsid w:val="009F4D9A"/>
    <w:rsid w:val="009F536A"/>
    <w:rsid w:val="00A078BD"/>
    <w:rsid w:val="00A2720A"/>
    <w:rsid w:val="00A51860"/>
    <w:rsid w:val="00A66019"/>
    <w:rsid w:val="00A66F52"/>
    <w:rsid w:val="00A81210"/>
    <w:rsid w:val="00A8356D"/>
    <w:rsid w:val="00A855DF"/>
    <w:rsid w:val="00AD069A"/>
    <w:rsid w:val="00AD69AC"/>
    <w:rsid w:val="00B76CE0"/>
    <w:rsid w:val="00BD2A4F"/>
    <w:rsid w:val="00BF4081"/>
    <w:rsid w:val="00BF5A98"/>
    <w:rsid w:val="00C145A2"/>
    <w:rsid w:val="00C83DB6"/>
    <w:rsid w:val="00CB0BD1"/>
    <w:rsid w:val="00CC29A1"/>
    <w:rsid w:val="00CC4359"/>
    <w:rsid w:val="00CC51B8"/>
    <w:rsid w:val="00CC7A37"/>
    <w:rsid w:val="00CE28E8"/>
    <w:rsid w:val="00CF2146"/>
    <w:rsid w:val="00D2537F"/>
    <w:rsid w:val="00D25EE7"/>
    <w:rsid w:val="00D77356"/>
    <w:rsid w:val="00D946B9"/>
    <w:rsid w:val="00DB14FF"/>
    <w:rsid w:val="00DE2AB3"/>
    <w:rsid w:val="00DE4099"/>
    <w:rsid w:val="00E40BEF"/>
    <w:rsid w:val="00E754B7"/>
    <w:rsid w:val="00EF0FD7"/>
    <w:rsid w:val="00EF323E"/>
    <w:rsid w:val="00F224E2"/>
    <w:rsid w:val="00F275FA"/>
    <w:rsid w:val="00F37463"/>
    <w:rsid w:val="00F528C0"/>
    <w:rsid w:val="03CB2129"/>
    <w:rsid w:val="098D77CD"/>
    <w:rsid w:val="140E620A"/>
    <w:rsid w:val="18750BC6"/>
    <w:rsid w:val="1B651B58"/>
    <w:rsid w:val="1D6B721E"/>
    <w:rsid w:val="223F4A19"/>
    <w:rsid w:val="31D979EF"/>
    <w:rsid w:val="34E84EA0"/>
    <w:rsid w:val="36B061AB"/>
    <w:rsid w:val="39670478"/>
    <w:rsid w:val="421F0DB5"/>
    <w:rsid w:val="4696539A"/>
    <w:rsid w:val="486C55D9"/>
    <w:rsid w:val="4AFB171C"/>
    <w:rsid w:val="50830A1A"/>
    <w:rsid w:val="5E3551AC"/>
    <w:rsid w:val="635049E6"/>
    <w:rsid w:val="6B497019"/>
    <w:rsid w:val="6E234D56"/>
    <w:rsid w:val="72556840"/>
    <w:rsid w:val="7AB01183"/>
    <w:rsid w:val="7EC171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nhideWhenUsed="0" w:uiPriority="99" w:semiHidden="0" w:name="Table Professional"/>
    <w:lsdException w:uiPriority="99" w:name="Table Subtle 1"/>
    <w:lsdException w:uiPriority="99" w:name="Table Subtle 2"/>
    <w:lsdException w:unhideWhenUsed="0" w:uiPriority="99" w:semiHidden="0" w:name="Table Web 1"/>
    <w:lsdException w:unhideWhenUsed="0" w:uiPriority="99" w:semiHidden="0"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imes New Roman" w:cs="Times New Roman"/>
      <w:sz w:val="20"/>
      <w:szCs w:val="20"/>
      <w:lang w:val="en-GB" w:eastAsia="en-GB" w:bidi="ar-SA"/>
    </w:rPr>
  </w:style>
  <w:style w:type="paragraph" w:styleId="2">
    <w:name w:val="heading 1"/>
    <w:basedOn w:val="1"/>
    <w:next w:val="1"/>
    <w:link w:val="10"/>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8">
    <w:name w:val="Default Paragraph Font"/>
    <w:semiHidden/>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3">
    <w:name w:val="footer"/>
    <w:basedOn w:val="1"/>
    <w:link w:val="13"/>
    <w:unhideWhenUsed/>
    <w:qFormat/>
    <w:uiPriority w:val="99"/>
    <w:pPr>
      <w:tabs>
        <w:tab w:val="center" w:pos="4680"/>
        <w:tab w:val="right" w:pos="9360"/>
      </w:tabs>
      <w:spacing w:after="0" w:line="240" w:lineRule="auto"/>
    </w:pPr>
  </w:style>
  <w:style w:type="paragraph" w:styleId="4">
    <w:name w:val="header"/>
    <w:basedOn w:val="1"/>
    <w:link w:val="12"/>
    <w:unhideWhenUsed/>
    <w:uiPriority w:val="99"/>
    <w:pPr>
      <w:tabs>
        <w:tab w:val="center" w:pos="4680"/>
        <w:tab w:val="right" w:pos="9360"/>
      </w:tabs>
      <w:spacing w:after="0" w:line="240" w:lineRule="auto"/>
    </w:pPr>
  </w:style>
  <w:style w:type="paragraph" w:styleId="5">
    <w:name w:val="toc 1"/>
    <w:basedOn w:val="1"/>
    <w:next w:val="1"/>
    <w:unhideWhenUsed/>
    <w:qFormat/>
    <w:uiPriority w:val="39"/>
    <w:pPr>
      <w:spacing w:after="100"/>
    </w:pPr>
  </w:style>
  <w:style w:type="paragraph" w:styleId="6">
    <w:name w:val="Normal (Web)"/>
    <w:basedOn w:val="1"/>
    <w:semiHidden/>
    <w:unhideWhenUsed/>
    <w:qFormat/>
    <w:uiPriority w:val="99"/>
    <w:pPr>
      <w:spacing w:before="100" w:beforeAutospacing="1" w:after="100" w:afterAutospacing="1" w:line="240" w:lineRule="auto"/>
    </w:pPr>
    <w:rPr>
      <w:sz w:val="24"/>
      <w:szCs w:val="24"/>
      <w:lang w:val="en-US" w:eastAsia="en-US"/>
    </w:rPr>
  </w:style>
  <w:style w:type="character" w:styleId="9">
    <w:name w:val="Hyperlink"/>
    <w:basedOn w:val="8"/>
    <w:unhideWhenUsed/>
    <w:qFormat/>
    <w:uiPriority w:val="99"/>
    <w:rPr>
      <w:color w:val="0000FF"/>
      <w:u w:val="single"/>
    </w:rPr>
  </w:style>
  <w:style w:type="character" w:customStyle="1" w:styleId="10">
    <w:name w:val="Heading 1 Char"/>
    <w:basedOn w:val="8"/>
    <w:link w:val="2"/>
    <w:qFormat/>
    <w:uiPriority w:val="9"/>
    <w:rPr>
      <w:rFonts w:asciiTheme="majorHAnsi" w:hAnsiTheme="majorHAnsi" w:eastAsiaTheme="majorEastAsia" w:cstheme="majorBidi"/>
      <w:color w:val="2E75B6" w:themeColor="accent1" w:themeShade="BF"/>
      <w:sz w:val="32"/>
      <w:szCs w:val="32"/>
      <w:lang w:val="en-GB" w:eastAsia="en-GB"/>
    </w:rPr>
  </w:style>
  <w:style w:type="paragraph" w:styleId="11">
    <w:name w:val="List Paragraph"/>
    <w:basedOn w:val="1"/>
    <w:qFormat/>
    <w:uiPriority w:val="34"/>
    <w:pPr>
      <w:spacing w:line="256" w:lineRule="auto"/>
      <w:ind w:left="720"/>
      <w:contextualSpacing/>
    </w:pPr>
  </w:style>
  <w:style w:type="character" w:customStyle="1" w:styleId="12">
    <w:name w:val="Header Char"/>
    <w:basedOn w:val="8"/>
    <w:link w:val="4"/>
    <w:qFormat/>
    <w:uiPriority w:val="99"/>
    <w:rPr>
      <w:rFonts w:ascii="Times New Roman" w:hAnsi="Times New Roman" w:eastAsia="Times New Roman" w:cs="Times New Roman"/>
      <w:sz w:val="20"/>
      <w:szCs w:val="20"/>
      <w:lang w:val="en-GB" w:eastAsia="en-GB"/>
    </w:rPr>
  </w:style>
  <w:style w:type="character" w:customStyle="1" w:styleId="13">
    <w:name w:val="Footer Char"/>
    <w:basedOn w:val="8"/>
    <w:link w:val="3"/>
    <w:qFormat/>
    <w:uiPriority w:val="99"/>
    <w:rPr>
      <w:rFonts w:ascii="Times New Roman" w:hAnsi="Times New Roman" w:eastAsia="Times New Roman" w:cs="Times New Roman"/>
      <w:sz w:val="20"/>
      <w:szCs w:val="20"/>
      <w:lang w:val="en-GB" w:eastAsia="en-GB"/>
    </w:rPr>
  </w:style>
  <w:style w:type="paragraph" w:customStyle="1" w:styleId="14">
    <w:name w:val="TOC Heading"/>
    <w:basedOn w:val="2"/>
    <w:next w:val="1"/>
    <w:unhideWhenUsed/>
    <w:qFormat/>
    <w:uiPriority w:val="39"/>
    <w:pPr>
      <w:outlineLvl w:val="9"/>
    </w:pPr>
    <w:rPr>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7969BF2-CF38-304C-987D-9998049FDA96}">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3655</Words>
  <Characters>19487</Characters>
  <Lines>309</Lines>
  <Paragraphs>72</Paragraphs>
  <TotalTime>1</TotalTime>
  <ScaleCrop>false</ScaleCrop>
  <LinksUpToDate>false</LinksUpToDate>
  <CharactersWithSpaces>23070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2020-04-22T16:44:00Z</dcterms:created>
  <dc:creator>User</dc:creator>
  <cp:lastModifiedBy>我头像上的人没我帅</cp:lastModifiedBy>
  <dcterms:modified xsi:type="dcterms:W3CDTF">2020-05-13T12:22:07Z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