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87502" w14:textId="77777777" w:rsidR="00F77537" w:rsidRDefault="00F77537" w:rsidP="00F77537">
      <w:pPr>
        <w:spacing w:after="160" w:line="259" w:lineRule="auto"/>
        <w:ind w:firstLine="0"/>
        <w:jc w:val="center"/>
        <w:rPr>
          <w:b/>
          <w:bCs/>
        </w:rPr>
      </w:pPr>
    </w:p>
    <w:p w14:paraId="37EDA133" w14:textId="77777777" w:rsidR="00F77537" w:rsidRDefault="00F77537" w:rsidP="00F77537">
      <w:pPr>
        <w:spacing w:after="160" w:line="259" w:lineRule="auto"/>
        <w:ind w:firstLine="0"/>
        <w:jc w:val="center"/>
        <w:rPr>
          <w:b/>
          <w:bCs/>
        </w:rPr>
      </w:pPr>
    </w:p>
    <w:p w14:paraId="324DE257" w14:textId="77777777" w:rsidR="00F77537" w:rsidRDefault="00F77537" w:rsidP="00F77537">
      <w:pPr>
        <w:spacing w:after="160" w:line="259" w:lineRule="auto"/>
        <w:ind w:firstLine="0"/>
        <w:jc w:val="center"/>
        <w:rPr>
          <w:b/>
          <w:bCs/>
        </w:rPr>
      </w:pPr>
    </w:p>
    <w:p w14:paraId="70F10203" w14:textId="77777777" w:rsidR="00F77537" w:rsidRDefault="00F77537" w:rsidP="00F77537">
      <w:pPr>
        <w:spacing w:after="160" w:line="259" w:lineRule="auto"/>
        <w:ind w:firstLine="0"/>
        <w:jc w:val="center"/>
        <w:rPr>
          <w:b/>
          <w:bCs/>
        </w:rPr>
      </w:pPr>
    </w:p>
    <w:p w14:paraId="68E72832" w14:textId="77777777" w:rsidR="00F77537" w:rsidRDefault="00F77537" w:rsidP="00F77537">
      <w:pPr>
        <w:spacing w:after="160" w:line="259" w:lineRule="auto"/>
        <w:ind w:firstLine="0"/>
        <w:jc w:val="center"/>
        <w:rPr>
          <w:b/>
          <w:bCs/>
        </w:rPr>
      </w:pPr>
    </w:p>
    <w:p w14:paraId="06FDF0CA" w14:textId="77777777" w:rsidR="00F77537" w:rsidRDefault="00F77537" w:rsidP="00F77537">
      <w:pPr>
        <w:spacing w:after="160" w:line="259" w:lineRule="auto"/>
        <w:ind w:firstLine="0"/>
        <w:jc w:val="center"/>
        <w:rPr>
          <w:b/>
          <w:bCs/>
        </w:rPr>
      </w:pPr>
    </w:p>
    <w:p w14:paraId="570B3B11" w14:textId="77777777" w:rsidR="00F77537" w:rsidRDefault="00F77537" w:rsidP="00F77537">
      <w:pPr>
        <w:spacing w:after="160" w:line="259" w:lineRule="auto"/>
        <w:ind w:firstLine="0"/>
        <w:jc w:val="center"/>
        <w:rPr>
          <w:b/>
          <w:bCs/>
        </w:rPr>
      </w:pPr>
    </w:p>
    <w:p w14:paraId="64E5D22A" w14:textId="77777777" w:rsidR="00F77537" w:rsidRDefault="00F77537" w:rsidP="00F77537">
      <w:pPr>
        <w:spacing w:after="160" w:line="259" w:lineRule="auto"/>
        <w:ind w:firstLine="0"/>
        <w:jc w:val="center"/>
        <w:rPr>
          <w:b/>
          <w:bCs/>
        </w:rPr>
      </w:pPr>
    </w:p>
    <w:p w14:paraId="5FBC910A" w14:textId="77777777" w:rsidR="00F77537" w:rsidRDefault="00F77537" w:rsidP="00F77537">
      <w:pPr>
        <w:spacing w:after="160" w:line="259" w:lineRule="auto"/>
        <w:ind w:firstLine="0"/>
        <w:jc w:val="center"/>
        <w:rPr>
          <w:b/>
          <w:bCs/>
        </w:rPr>
      </w:pPr>
    </w:p>
    <w:p w14:paraId="6015092B" w14:textId="77777777" w:rsidR="00F77537" w:rsidRDefault="00F77537" w:rsidP="00F77537">
      <w:pPr>
        <w:spacing w:after="160" w:line="259" w:lineRule="auto"/>
        <w:ind w:firstLine="0"/>
        <w:jc w:val="center"/>
        <w:rPr>
          <w:b/>
          <w:bCs/>
        </w:rPr>
      </w:pPr>
    </w:p>
    <w:p w14:paraId="220D9CFA" w14:textId="77777777" w:rsidR="00F77537" w:rsidRDefault="00F77537" w:rsidP="00F77537">
      <w:pPr>
        <w:spacing w:after="160" w:line="259" w:lineRule="auto"/>
        <w:ind w:firstLine="0"/>
        <w:jc w:val="center"/>
        <w:rPr>
          <w:b/>
          <w:bCs/>
        </w:rPr>
      </w:pPr>
    </w:p>
    <w:p w14:paraId="7F4BDAF0" w14:textId="77777777" w:rsidR="00F77537" w:rsidRPr="00F77537" w:rsidRDefault="00F77537" w:rsidP="00F77537">
      <w:pPr>
        <w:spacing w:after="160" w:line="259" w:lineRule="auto"/>
        <w:ind w:firstLine="0"/>
        <w:jc w:val="center"/>
        <w:rPr>
          <w:b/>
          <w:bCs/>
        </w:rPr>
      </w:pPr>
      <w:r w:rsidRPr="00F77537">
        <w:rPr>
          <w:b/>
          <w:bCs/>
        </w:rPr>
        <w:t>Preparing for Professional Police Practice</w:t>
      </w:r>
    </w:p>
    <w:p w14:paraId="1C1B2B44" w14:textId="77777777" w:rsidR="00F77537" w:rsidRPr="00F77537" w:rsidRDefault="00F77537" w:rsidP="00F77537">
      <w:pPr>
        <w:spacing w:after="160" w:line="259" w:lineRule="auto"/>
        <w:ind w:firstLine="0"/>
        <w:jc w:val="center"/>
        <w:rPr>
          <w:b/>
          <w:bCs/>
        </w:rPr>
      </w:pPr>
      <w:r w:rsidRPr="00F77537">
        <w:rPr>
          <w:b/>
          <w:bCs/>
        </w:rPr>
        <w:t>BMPL 4002</w:t>
      </w:r>
    </w:p>
    <w:p w14:paraId="59578FC4" w14:textId="77777777" w:rsidR="00F77537" w:rsidRDefault="00F77537" w:rsidP="00F77537">
      <w:pPr>
        <w:spacing w:after="160" w:line="259" w:lineRule="auto"/>
        <w:ind w:firstLine="0"/>
        <w:jc w:val="center"/>
        <w:rPr>
          <w:b/>
          <w:bCs/>
        </w:rPr>
      </w:pPr>
      <w:r w:rsidRPr="00F77537">
        <w:rPr>
          <w:b/>
          <w:bCs/>
        </w:rPr>
        <w:t>Examin</w:t>
      </w:r>
      <w:r>
        <w:rPr>
          <w:b/>
          <w:bCs/>
        </w:rPr>
        <w:t>ing</w:t>
      </w:r>
      <w:r w:rsidRPr="00F77537">
        <w:rPr>
          <w:b/>
          <w:bCs/>
        </w:rPr>
        <w:t xml:space="preserve"> The Importance Of ‘Policing by Consent’ And the Impact It Has Upon a Modern-Day Police Service</w:t>
      </w:r>
    </w:p>
    <w:p w14:paraId="0F3337A9" w14:textId="77777777" w:rsidR="00F77537" w:rsidRDefault="00F77537" w:rsidP="00F77537">
      <w:pPr>
        <w:spacing w:after="160" w:line="259" w:lineRule="auto"/>
        <w:ind w:firstLine="0"/>
        <w:jc w:val="center"/>
        <w:rPr>
          <w:b/>
          <w:bCs/>
        </w:rPr>
      </w:pPr>
    </w:p>
    <w:p w14:paraId="147851D7" w14:textId="77777777" w:rsidR="00F77537" w:rsidRDefault="00F77537">
      <w:pPr>
        <w:spacing w:after="160" w:line="259" w:lineRule="auto"/>
        <w:ind w:firstLine="0"/>
        <w:jc w:val="left"/>
        <w:rPr>
          <w:b/>
          <w:bCs/>
        </w:rPr>
      </w:pPr>
      <w:r>
        <w:br w:type="page"/>
      </w:r>
    </w:p>
    <w:sdt>
      <w:sdtPr>
        <w:rPr>
          <w:rFonts w:ascii="Times New Roman" w:eastAsiaTheme="minorHAnsi" w:hAnsi="Times New Roman" w:cstheme="minorBidi"/>
          <w:color w:val="000000" w:themeColor="text1"/>
          <w:sz w:val="24"/>
          <w:szCs w:val="22"/>
          <w:lang w:val="en-GB"/>
        </w:rPr>
        <w:id w:val="1485431418"/>
        <w:docPartObj>
          <w:docPartGallery w:val="Table of Contents"/>
          <w:docPartUnique/>
        </w:docPartObj>
      </w:sdtPr>
      <w:sdtEndPr>
        <w:rPr>
          <w:b/>
          <w:bCs/>
          <w:noProof/>
        </w:rPr>
      </w:sdtEndPr>
      <w:sdtContent>
        <w:p w14:paraId="66E85D00" w14:textId="77777777" w:rsidR="00F77537" w:rsidRPr="00F77537" w:rsidRDefault="00F77537" w:rsidP="00F77537">
          <w:pPr>
            <w:pStyle w:val="TOCHeading"/>
            <w:jc w:val="center"/>
            <w:rPr>
              <w:rFonts w:ascii="Times New Roman" w:hAnsi="Times New Roman" w:cs="Times New Roman"/>
              <w:b/>
              <w:bCs/>
              <w:color w:val="000000" w:themeColor="text1"/>
              <w:sz w:val="24"/>
              <w:szCs w:val="24"/>
            </w:rPr>
          </w:pPr>
          <w:r w:rsidRPr="00F77537">
            <w:rPr>
              <w:rFonts w:ascii="Times New Roman" w:hAnsi="Times New Roman" w:cs="Times New Roman"/>
              <w:b/>
              <w:bCs/>
              <w:color w:val="000000" w:themeColor="text1"/>
              <w:sz w:val="24"/>
              <w:szCs w:val="24"/>
            </w:rPr>
            <w:t>Table of Contents</w:t>
          </w:r>
        </w:p>
        <w:p w14:paraId="7B44B62B" w14:textId="77777777" w:rsidR="00F77537" w:rsidRDefault="00F77537" w:rsidP="00F77537">
          <w:pPr>
            <w:pStyle w:val="TOC1"/>
            <w:tabs>
              <w:tab w:val="right" w:leader="dot" w:pos="9350"/>
            </w:tabs>
            <w:ind w:firstLine="0"/>
            <w:rPr>
              <w:noProof/>
            </w:rPr>
          </w:pPr>
          <w:r>
            <w:fldChar w:fldCharType="begin"/>
          </w:r>
          <w:r>
            <w:instrText xml:space="preserve"> TOC \o "1-3" \h \z \u </w:instrText>
          </w:r>
          <w:r>
            <w:fldChar w:fldCharType="separate"/>
          </w:r>
          <w:hyperlink w:anchor="_Toc118927853" w:history="1">
            <w:r w:rsidRPr="000B2598">
              <w:rPr>
                <w:rStyle w:val="Hyperlink"/>
                <w:noProof/>
              </w:rPr>
              <w:t>Introduction</w:t>
            </w:r>
            <w:r>
              <w:rPr>
                <w:noProof/>
                <w:webHidden/>
              </w:rPr>
              <w:tab/>
            </w:r>
            <w:r>
              <w:rPr>
                <w:noProof/>
                <w:webHidden/>
              </w:rPr>
              <w:fldChar w:fldCharType="begin"/>
            </w:r>
            <w:r>
              <w:rPr>
                <w:noProof/>
                <w:webHidden/>
              </w:rPr>
              <w:instrText xml:space="preserve"> PAGEREF _Toc118927853 \h </w:instrText>
            </w:r>
            <w:r>
              <w:rPr>
                <w:noProof/>
                <w:webHidden/>
              </w:rPr>
            </w:r>
            <w:r>
              <w:rPr>
                <w:noProof/>
                <w:webHidden/>
              </w:rPr>
              <w:fldChar w:fldCharType="separate"/>
            </w:r>
            <w:r>
              <w:rPr>
                <w:noProof/>
                <w:webHidden/>
              </w:rPr>
              <w:t>3</w:t>
            </w:r>
            <w:r>
              <w:rPr>
                <w:noProof/>
                <w:webHidden/>
              </w:rPr>
              <w:fldChar w:fldCharType="end"/>
            </w:r>
          </w:hyperlink>
        </w:p>
        <w:p w14:paraId="160D826A" w14:textId="77777777" w:rsidR="00F77537" w:rsidRDefault="002D3B04" w:rsidP="00F77537">
          <w:pPr>
            <w:pStyle w:val="TOC1"/>
            <w:tabs>
              <w:tab w:val="right" w:leader="dot" w:pos="9350"/>
            </w:tabs>
            <w:ind w:firstLine="0"/>
            <w:rPr>
              <w:noProof/>
            </w:rPr>
          </w:pPr>
          <w:hyperlink w:anchor="_Toc118927854" w:history="1">
            <w:r w:rsidR="00F77537" w:rsidRPr="000B2598">
              <w:rPr>
                <w:rStyle w:val="Hyperlink"/>
                <w:noProof/>
              </w:rPr>
              <w:t>Importance of Policing by Consent</w:t>
            </w:r>
            <w:r w:rsidR="00F77537">
              <w:rPr>
                <w:noProof/>
                <w:webHidden/>
              </w:rPr>
              <w:tab/>
            </w:r>
            <w:r w:rsidR="00F77537">
              <w:rPr>
                <w:noProof/>
                <w:webHidden/>
              </w:rPr>
              <w:fldChar w:fldCharType="begin"/>
            </w:r>
            <w:r w:rsidR="00F77537">
              <w:rPr>
                <w:noProof/>
                <w:webHidden/>
              </w:rPr>
              <w:instrText xml:space="preserve"> PAGEREF _Toc118927854 \h </w:instrText>
            </w:r>
            <w:r w:rsidR="00F77537">
              <w:rPr>
                <w:noProof/>
                <w:webHidden/>
              </w:rPr>
            </w:r>
            <w:r w:rsidR="00F77537">
              <w:rPr>
                <w:noProof/>
                <w:webHidden/>
              </w:rPr>
              <w:fldChar w:fldCharType="separate"/>
            </w:r>
            <w:r w:rsidR="00F77537">
              <w:rPr>
                <w:noProof/>
                <w:webHidden/>
              </w:rPr>
              <w:t>3</w:t>
            </w:r>
            <w:r w:rsidR="00F77537">
              <w:rPr>
                <w:noProof/>
                <w:webHidden/>
              </w:rPr>
              <w:fldChar w:fldCharType="end"/>
            </w:r>
          </w:hyperlink>
        </w:p>
        <w:p w14:paraId="1F50DA7A" w14:textId="77777777" w:rsidR="00F77537" w:rsidRDefault="002D3B04" w:rsidP="00F77537">
          <w:pPr>
            <w:pStyle w:val="TOC1"/>
            <w:tabs>
              <w:tab w:val="right" w:leader="dot" w:pos="9350"/>
            </w:tabs>
            <w:ind w:firstLine="0"/>
            <w:rPr>
              <w:noProof/>
            </w:rPr>
          </w:pPr>
          <w:hyperlink w:anchor="_Toc118927855" w:history="1">
            <w:r w:rsidR="00F77537" w:rsidRPr="000B2598">
              <w:rPr>
                <w:rStyle w:val="Hyperlink"/>
                <w:noProof/>
              </w:rPr>
              <w:t>Impact on Modern-Day Police Service</w:t>
            </w:r>
            <w:r w:rsidR="00F77537">
              <w:rPr>
                <w:noProof/>
                <w:webHidden/>
              </w:rPr>
              <w:tab/>
            </w:r>
            <w:r w:rsidR="00F77537">
              <w:rPr>
                <w:noProof/>
                <w:webHidden/>
              </w:rPr>
              <w:fldChar w:fldCharType="begin"/>
            </w:r>
            <w:r w:rsidR="00F77537">
              <w:rPr>
                <w:noProof/>
                <w:webHidden/>
              </w:rPr>
              <w:instrText xml:space="preserve"> PAGEREF _Toc118927855 \h </w:instrText>
            </w:r>
            <w:r w:rsidR="00F77537">
              <w:rPr>
                <w:noProof/>
                <w:webHidden/>
              </w:rPr>
            </w:r>
            <w:r w:rsidR="00F77537">
              <w:rPr>
                <w:noProof/>
                <w:webHidden/>
              </w:rPr>
              <w:fldChar w:fldCharType="separate"/>
            </w:r>
            <w:r w:rsidR="00F77537">
              <w:rPr>
                <w:noProof/>
                <w:webHidden/>
              </w:rPr>
              <w:t>4</w:t>
            </w:r>
            <w:r w:rsidR="00F77537">
              <w:rPr>
                <w:noProof/>
                <w:webHidden/>
              </w:rPr>
              <w:fldChar w:fldCharType="end"/>
            </w:r>
          </w:hyperlink>
        </w:p>
        <w:p w14:paraId="7BDA361C" w14:textId="77777777" w:rsidR="00F77537" w:rsidRDefault="002D3B04" w:rsidP="00F77537">
          <w:pPr>
            <w:pStyle w:val="TOC1"/>
            <w:tabs>
              <w:tab w:val="right" w:leader="dot" w:pos="9350"/>
            </w:tabs>
            <w:ind w:firstLine="0"/>
            <w:rPr>
              <w:noProof/>
            </w:rPr>
          </w:pPr>
          <w:hyperlink w:anchor="_Toc118927856" w:history="1">
            <w:r w:rsidR="00F77537" w:rsidRPr="000B2598">
              <w:rPr>
                <w:rStyle w:val="Hyperlink"/>
                <w:noProof/>
              </w:rPr>
              <w:t>Conclusion</w:t>
            </w:r>
            <w:r w:rsidR="00F77537">
              <w:rPr>
                <w:noProof/>
                <w:webHidden/>
              </w:rPr>
              <w:tab/>
            </w:r>
            <w:r w:rsidR="00F77537">
              <w:rPr>
                <w:noProof/>
                <w:webHidden/>
              </w:rPr>
              <w:fldChar w:fldCharType="begin"/>
            </w:r>
            <w:r w:rsidR="00F77537">
              <w:rPr>
                <w:noProof/>
                <w:webHidden/>
              </w:rPr>
              <w:instrText xml:space="preserve"> PAGEREF _Toc118927856 \h </w:instrText>
            </w:r>
            <w:r w:rsidR="00F77537">
              <w:rPr>
                <w:noProof/>
                <w:webHidden/>
              </w:rPr>
            </w:r>
            <w:r w:rsidR="00F77537">
              <w:rPr>
                <w:noProof/>
                <w:webHidden/>
              </w:rPr>
              <w:fldChar w:fldCharType="separate"/>
            </w:r>
            <w:r w:rsidR="00F77537">
              <w:rPr>
                <w:noProof/>
                <w:webHidden/>
              </w:rPr>
              <w:t>5</w:t>
            </w:r>
            <w:r w:rsidR="00F77537">
              <w:rPr>
                <w:noProof/>
                <w:webHidden/>
              </w:rPr>
              <w:fldChar w:fldCharType="end"/>
            </w:r>
          </w:hyperlink>
        </w:p>
        <w:p w14:paraId="7D5ACE6C" w14:textId="77777777" w:rsidR="00F77537" w:rsidRDefault="002D3B04" w:rsidP="00F77537">
          <w:pPr>
            <w:pStyle w:val="TOC1"/>
            <w:tabs>
              <w:tab w:val="right" w:leader="dot" w:pos="9350"/>
            </w:tabs>
            <w:ind w:firstLine="0"/>
            <w:rPr>
              <w:noProof/>
            </w:rPr>
          </w:pPr>
          <w:hyperlink w:anchor="_Toc118927857" w:history="1">
            <w:r w:rsidR="00F77537" w:rsidRPr="000B2598">
              <w:rPr>
                <w:rStyle w:val="Hyperlink"/>
                <w:noProof/>
              </w:rPr>
              <w:t>References</w:t>
            </w:r>
            <w:r w:rsidR="00F77537">
              <w:rPr>
                <w:noProof/>
                <w:webHidden/>
              </w:rPr>
              <w:tab/>
            </w:r>
            <w:r w:rsidR="00F77537">
              <w:rPr>
                <w:noProof/>
                <w:webHidden/>
              </w:rPr>
              <w:fldChar w:fldCharType="begin"/>
            </w:r>
            <w:r w:rsidR="00F77537">
              <w:rPr>
                <w:noProof/>
                <w:webHidden/>
              </w:rPr>
              <w:instrText xml:space="preserve"> PAGEREF _Toc118927857 \h </w:instrText>
            </w:r>
            <w:r w:rsidR="00F77537">
              <w:rPr>
                <w:noProof/>
                <w:webHidden/>
              </w:rPr>
            </w:r>
            <w:r w:rsidR="00F77537">
              <w:rPr>
                <w:noProof/>
                <w:webHidden/>
              </w:rPr>
              <w:fldChar w:fldCharType="separate"/>
            </w:r>
            <w:r w:rsidR="00F77537">
              <w:rPr>
                <w:noProof/>
                <w:webHidden/>
              </w:rPr>
              <w:t>7</w:t>
            </w:r>
            <w:r w:rsidR="00F77537">
              <w:rPr>
                <w:noProof/>
                <w:webHidden/>
              </w:rPr>
              <w:fldChar w:fldCharType="end"/>
            </w:r>
          </w:hyperlink>
        </w:p>
        <w:p w14:paraId="1FAE07FD" w14:textId="77777777" w:rsidR="00F77537" w:rsidRDefault="00F77537">
          <w:r>
            <w:rPr>
              <w:b/>
              <w:bCs/>
              <w:noProof/>
            </w:rPr>
            <w:fldChar w:fldCharType="end"/>
          </w:r>
        </w:p>
      </w:sdtContent>
    </w:sdt>
    <w:p w14:paraId="72752709" w14:textId="77777777" w:rsidR="00F77537" w:rsidRDefault="00F77537">
      <w:pPr>
        <w:spacing w:after="160" w:line="259" w:lineRule="auto"/>
        <w:ind w:firstLine="0"/>
        <w:jc w:val="left"/>
      </w:pPr>
    </w:p>
    <w:p w14:paraId="136771F8" w14:textId="77777777" w:rsidR="00F77537" w:rsidRDefault="00F77537">
      <w:pPr>
        <w:spacing w:after="160" w:line="259" w:lineRule="auto"/>
        <w:ind w:firstLine="0"/>
        <w:jc w:val="left"/>
        <w:rPr>
          <w:b/>
          <w:bCs/>
        </w:rPr>
      </w:pPr>
      <w:r>
        <w:br w:type="page"/>
      </w:r>
    </w:p>
    <w:p w14:paraId="028BE794" w14:textId="77777777" w:rsidR="00E6052C" w:rsidRDefault="002D3B04" w:rsidP="00E6052C">
      <w:pPr>
        <w:pStyle w:val="Heading1"/>
      </w:pPr>
      <w:bookmarkStart w:id="0" w:name="_Toc118927853"/>
      <w:r>
        <w:lastRenderedPageBreak/>
        <w:t>Introduction</w:t>
      </w:r>
      <w:bookmarkEnd w:id="0"/>
    </w:p>
    <w:p w14:paraId="4C3FB9E2" w14:textId="77777777" w:rsidR="00CD0F84" w:rsidRDefault="002D3B04" w:rsidP="00CD0F84">
      <w:r>
        <w:t xml:space="preserve">In this essay, the importance of </w:t>
      </w:r>
      <w:r>
        <w:t>policing by consent is discussed, as its impact on the modern-day police service in their daily life. For almost two centuries, "policing by agreement" has been the guiding concept of the British police. This claims that the legitimacy of the police is not</w:t>
      </w:r>
      <w:r>
        <w:t xml:space="preserve"> founded on the use of force alone but also on the trust of the population</w:t>
      </w:r>
      <w:r w:rsidR="009D658D">
        <w:t xml:space="preserve"> (</w:t>
      </w:r>
      <w:r w:rsidR="009D658D">
        <w:rPr>
          <w:shd w:val="clear" w:color="auto" w:fill="FFFFFF"/>
        </w:rPr>
        <w:t>Movement, 2018</w:t>
      </w:r>
      <w:r w:rsidR="009D658D">
        <w:t>)</w:t>
      </w:r>
      <w:r>
        <w:t>. Those who are accustomed to being the target of police violence and other forms of police action may have trouble understanding why they need to provide their agre</w:t>
      </w:r>
      <w:r>
        <w:t xml:space="preserve">ement. Police personnel are constantly disciplined for rejecting public consent and told to restore it whenever police aggressiveness makes headlines, whether via blatant violence against people, the suppression of demonstrations and public disruption, or </w:t>
      </w:r>
      <w:r>
        <w:t>the revealing of fresh, damaging data.</w:t>
      </w:r>
    </w:p>
    <w:p w14:paraId="43CAF7E2" w14:textId="77777777" w:rsidR="00CD0F84" w:rsidRDefault="002D3B04" w:rsidP="00CD0F84">
      <w:r>
        <w:t>On the other side of the coin, anarchists and libertarians often argue that the police have the right to employ deadly force and coercive measures whenever they see fit. According to this point of view, consent is onl</w:t>
      </w:r>
      <w:r>
        <w:t>y an elaborate smokescreen for something far more sinister. If people stopped backing the government, then only force could keep it in power, and this is an idea that has some merit. Focusing on this fantastical extreme, however, serves only to hide the re</w:t>
      </w:r>
      <w:r>
        <w:t>ality that this is not the current situation</w:t>
      </w:r>
      <w:r w:rsidR="009D658D">
        <w:t xml:space="preserve"> (</w:t>
      </w:r>
      <w:proofErr w:type="spellStart"/>
      <w:r w:rsidR="009D658D">
        <w:rPr>
          <w:shd w:val="clear" w:color="auto" w:fill="FFFFFF"/>
        </w:rPr>
        <w:t>Monkova</w:t>
      </w:r>
      <w:proofErr w:type="spellEnd"/>
      <w:r w:rsidR="009D658D">
        <w:rPr>
          <w:shd w:val="clear" w:color="auto" w:fill="FFFFFF"/>
        </w:rPr>
        <w:t>, 2021</w:t>
      </w:r>
      <w:r w:rsidR="009D658D">
        <w:t>)</w:t>
      </w:r>
      <w:r>
        <w:t xml:space="preserve">. In light of this, some argue that police should be held to a standard of "consent-based policing," while others dismiss this as an impossible ideal. The two arguments against this are baseless. </w:t>
      </w:r>
      <w:r>
        <w:t>In reality, public consent for police is granted, and maintaining this consent is critical to maintaining state authority. Knowing what this "permission" involves and how to get it are the two most crucial parts of this puzzle</w:t>
      </w:r>
      <w:r w:rsidR="009D658D">
        <w:t xml:space="preserve"> </w:t>
      </w:r>
      <w:r w:rsidR="009D658D">
        <w:rPr>
          <w:shd w:val="clear" w:color="auto" w:fill="FFFFFF"/>
        </w:rPr>
        <w:t>(Clark-Darby, 2020</w:t>
      </w:r>
      <w:r w:rsidR="009D658D">
        <w:t>)</w:t>
      </w:r>
      <w:r>
        <w:t>.</w:t>
      </w:r>
    </w:p>
    <w:p w14:paraId="5C946F58" w14:textId="77777777" w:rsidR="00E6052C" w:rsidRDefault="00E6052C" w:rsidP="00E6052C"/>
    <w:p w14:paraId="45805F6E" w14:textId="77777777" w:rsidR="00E6052C" w:rsidRDefault="002D3B04" w:rsidP="00E6052C">
      <w:pPr>
        <w:pStyle w:val="Heading1"/>
      </w:pPr>
      <w:bookmarkStart w:id="1" w:name="_Toc118927854"/>
      <w:r>
        <w:t>Importa</w:t>
      </w:r>
      <w:r>
        <w:t>nce of Policing by Consent</w:t>
      </w:r>
      <w:bookmarkEnd w:id="1"/>
    </w:p>
    <w:p w14:paraId="68D9DE58" w14:textId="77777777" w:rsidR="00CD0F84" w:rsidRDefault="002D3B04" w:rsidP="00CD0F84">
      <w:r>
        <w:t xml:space="preserve">People treat everyone as if they are a part of a single, unified group when they talk about what "the public" wants. When everyone is collectively labelled "the public" or "the people," disagreements, distinctions, and competing </w:t>
      </w:r>
      <w:r>
        <w:t xml:space="preserve">interests are overlooked. Consent is not necessarily the outcome of positive police attitudes, and this is something people need to keep in mind. People often accept being observed because they do not give it much consideration and because they anticipate </w:t>
      </w:r>
      <w:r>
        <w:t>being monitored.</w:t>
      </w:r>
    </w:p>
    <w:p w14:paraId="0933B894" w14:textId="77777777" w:rsidR="00CD0F84" w:rsidRDefault="002D3B04" w:rsidP="00CD0F84">
      <w:r>
        <w:t>More subtle forms of consent may be shown via actions like voting for political parties that promise to strengthen law enforcement or reporting crimes to one another. This degree of general approval might be attained by doing nothing</w:t>
      </w:r>
      <w:r w:rsidR="009D658D">
        <w:t xml:space="preserve"> (</w:t>
      </w:r>
      <w:r w:rsidR="009D658D">
        <w:rPr>
          <w:shd w:val="clear" w:color="auto" w:fill="FFFFFF"/>
        </w:rPr>
        <w:t>Farrow, 2020</w:t>
      </w:r>
      <w:r w:rsidR="009D658D">
        <w:t>)</w:t>
      </w:r>
      <w:r>
        <w:t xml:space="preserve">. The Metropolitan Opera released a </w:t>
      </w:r>
      <w:r>
        <w:lastRenderedPageBreak/>
        <w:t>video in 2020 justifying their use of force in reaction to widespread criticism in the media. Both the opening and closing lines of this video are direct quotations from Reith's Peelian ideas. When people show t</w:t>
      </w:r>
      <w:r>
        <w:t>heir support in this way, they are effectively saying, "Please stand aside, give the police room, and do not interfere or hinder the cops if anyone sees them engaged in a street situation." There are a number of methods to withdraw consent, including filmi</w:t>
      </w:r>
      <w:r>
        <w:t>ng and criticising police behaviour when they use force or harass someone</w:t>
      </w:r>
      <w:r w:rsidR="009D658D">
        <w:t xml:space="preserve"> (</w:t>
      </w:r>
      <w:r w:rsidR="009D658D">
        <w:rPr>
          <w:shd w:val="clear" w:color="auto" w:fill="FFFFFF"/>
        </w:rPr>
        <w:t>Olisa, 2021</w:t>
      </w:r>
      <w:r w:rsidR="009D658D">
        <w:t>)</w:t>
      </w:r>
      <w:r>
        <w:t>. Support for the police is evident from the number of people walking past.</w:t>
      </w:r>
    </w:p>
    <w:p w14:paraId="203CBABE" w14:textId="77777777" w:rsidR="00CD0F84" w:rsidRDefault="002D3B04" w:rsidP="00CD0F84">
      <w:r>
        <w:t>More importantly, the overwhelming majority of people who complain about police behaviour als</w:t>
      </w:r>
      <w:r>
        <w:t>o want to be policed. First, people must agree that police and police are necessary before they can develop standards for how they should act or how policing should be structured</w:t>
      </w:r>
      <w:r w:rsidR="009D658D">
        <w:t xml:space="preserve"> (</w:t>
      </w:r>
      <w:r w:rsidR="009D658D">
        <w:rPr>
          <w:shd w:val="clear" w:color="auto" w:fill="FFFFFF"/>
        </w:rPr>
        <w:t>Pickard, 2019</w:t>
      </w:r>
      <w:r w:rsidR="009D658D">
        <w:t>)</w:t>
      </w:r>
      <w:r>
        <w:t>. Most people are against law enforcement, either because they</w:t>
      </w:r>
      <w:r>
        <w:t xml:space="preserve"> are against authority in general or because they do not understand what cops do. The very foundations of the capitalist system are what give this economic model such widespread support.</w:t>
      </w:r>
    </w:p>
    <w:p w14:paraId="54D4CE9C" w14:textId="77777777" w:rsidR="00E6052C" w:rsidRDefault="00E6052C" w:rsidP="00E6052C"/>
    <w:p w14:paraId="03070A5F" w14:textId="77777777" w:rsidR="00E6052C" w:rsidRDefault="002D3B04" w:rsidP="00E6052C">
      <w:pPr>
        <w:pStyle w:val="Heading1"/>
      </w:pPr>
      <w:bookmarkStart w:id="2" w:name="_Toc118927855"/>
      <w:r>
        <w:t>Impact on Modern-Day Police Service</w:t>
      </w:r>
      <w:bookmarkEnd w:id="2"/>
    </w:p>
    <w:p w14:paraId="40258DDE" w14:textId="77777777" w:rsidR="00CD0F84" w:rsidRDefault="002D3B04" w:rsidP="00CD0F84">
      <w:r>
        <w:t>Dependence works both ways. It i</w:t>
      </w:r>
      <w:r>
        <w:t xml:space="preserve">s an admission of the state's limited power that it claims consent as the basis of its policing. Despite these factors, the police cannot afford to take the public's support for granted and must work tirelessly to maintain it. The Directorate of Media and </w:t>
      </w:r>
      <w:r>
        <w:t>Communication manages approximately 600 official Twitter accounts for the Metropolitan Police Service at an annual cost of millions of British pounds, in addition to handling press relations</w:t>
      </w:r>
      <w:r w:rsidR="009D658D">
        <w:t xml:space="preserve"> (</w:t>
      </w:r>
      <w:r w:rsidR="009D658D">
        <w:rPr>
          <w:shd w:val="clear" w:color="auto" w:fill="FFFFFF"/>
        </w:rPr>
        <w:t>Bailey, 2021</w:t>
      </w:r>
      <w:r w:rsidR="009D658D">
        <w:t>)</w:t>
      </w:r>
      <w:r>
        <w:t xml:space="preserve">. Consent is fostered by a fresh round of promises </w:t>
      </w:r>
      <w:r>
        <w:t>to "restore trust" in the police and "rebuild the connection between the police and the community" after every tragic incident of police brutality that makes headlines.</w:t>
      </w:r>
    </w:p>
    <w:p w14:paraId="7BC04FB2" w14:textId="77777777" w:rsidR="00CD0F84" w:rsidRDefault="002D3B04" w:rsidP="00CD0F84">
      <w:r>
        <w:t>The goal of discussing racial bias in the police force is to gain support for reform. E</w:t>
      </w:r>
      <w:r>
        <w:t>ven though the police are not an invading force per se, there are certain communities where their input is not sought. Police are appealing to the general public, yet one kind of political and social marginalisation is being framed as a threat that the pub</w:t>
      </w:r>
      <w:r>
        <w:t>lic needs protection against</w:t>
      </w:r>
      <w:r w:rsidR="009D658D">
        <w:t xml:space="preserve"> (</w:t>
      </w:r>
      <w:r w:rsidR="009D658D">
        <w:rPr>
          <w:shd w:val="clear" w:color="auto" w:fill="FFFFFF"/>
        </w:rPr>
        <w:t>Greener, 2021</w:t>
      </w:r>
      <w:r w:rsidR="009D658D">
        <w:t>)</w:t>
      </w:r>
      <w:r>
        <w:t>. However, this kind of exclusion is not always the best approach to strengthen a state's preeminence. Making people subject to government oversight by forcing them to appear in public and cooperate with police d</w:t>
      </w:r>
      <w:r>
        <w:t xml:space="preserve">emands is another tactic. With its recommendation that police be "friendly to all members of the public, regardless of income or social status," Reith's list defines a core idea of </w:t>
      </w:r>
      <w:r>
        <w:lastRenderedPageBreak/>
        <w:t>equality without drawing explicit racial linkages</w:t>
      </w:r>
      <w:r w:rsidR="009D658D">
        <w:t xml:space="preserve"> (</w:t>
      </w:r>
      <w:r w:rsidR="009D658D">
        <w:rPr>
          <w:shd w:val="clear" w:color="auto" w:fill="FFFFFF"/>
        </w:rPr>
        <w:t>Hendy, 2022</w:t>
      </w:r>
      <w:r w:rsidR="009D658D">
        <w:t>)</w:t>
      </w:r>
      <w:r>
        <w:t>. The police</w:t>
      </w:r>
      <w:r>
        <w:t xml:space="preserve"> invest a great deal of time and resources in winning the trust and cooperation of the exact individuals they torture the most cruelly.</w:t>
      </w:r>
    </w:p>
    <w:p w14:paraId="1BBE4C8A" w14:textId="77777777" w:rsidR="00CD0F84" w:rsidRDefault="002D3B04" w:rsidP="00CD0F84">
      <w:r>
        <w:t>The 2013 recruitment drive by the Metropolitan Police Department is a prime example. Black and Asian police officers wer</w:t>
      </w:r>
      <w:r>
        <w:t>e shown smiling on posters that were distributed in traditionally anti-police areas of London. This is a direct paraphrase of the famous Peelian saying, "the public is the police, and the police are the public." The police can only effectively do their job</w:t>
      </w:r>
      <w:r>
        <w:t>s if they are not perceived as apart from the community</w:t>
      </w:r>
      <w:r w:rsidR="009D658D">
        <w:t xml:space="preserve"> (</w:t>
      </w:r>
      <w:r w:rsidR="009D658D">
        <w:rPr>
          <w:shd w:val="clear" w:color="auto" w:fill="FFFFFF"/>
        </w:rPr>
        <w:t>Palmer, 2020</w:t>
      </w:r>
      <w:r w:rsidR="009D658D">
        <w:t>)</w:t>
      </w:r>
      <w:r>
        <w:t>. The Scarman report on the 1981 Brixton riots is only one example of several that call for increased recruitment of Black officers into the Met in reaction to public discontent with law</w:t>
      </w:r>
      <w:r>
        <w:t xml:space="preserve"> enforcement. The 1999 Macpherson Report included recruitment goals with an emphasis on increasing </w:t>
      </w:r>
      <w:r w:rsidR="009D658D">
        <w:t>“</w:t>
      </w:r>
      <w:r>
        <w:t>trust and confidence in the police among minority ethnic communities</w:t>
      </w:r>
      <w:r w:rsidR="009D658D">
        <w:t>” (</w:t>
      </w:r>
      <w:r w:rsidR="009D658D">
        <w:rPr>
          <w:shd w:val="clear" w:color="auto" w:fill="FFFFFF"/>
        </w:rPr>
        <w:t>Stott et al., 2020</w:t>
      </w:r>
      <w:r w:rsidR="009D658D">
        <w:t>)</w:t>
      </w:r>
      <w:r>
        <w:t xml:space="preserve">. However, the report's main goal was not to eliminate bias. </w:t>
      </w:r>
      <w:r>
        <w:t>Metropolitan Police Service has devised new recruitment targets for Black and minority ethnic officers in reaction to the Black Lives Matter demonstrations of 2020 and the heightened public attention on racial profiling and police brutality, while senior o</w:t>
      </w:r>
      <w:r>
        <w:t>fficers warn of a credibility issue</w:t>
      </w:r>
      <w:r w:rsidR="009D658D">
        <w:t xml:space="preserve"> (</w:t>
      </w:r>
      <w:r w:rsidR="009D658D">
        <w:rPr>
          <w:shd w:val="clear" w:color="auto" w:fill="FFFFFF"/>
        </w:rPr>
        <w:t>Wong and Christmann, 2020</w:t>
      </w:r>
      <w:r w:rsidR="009D658D">
        <w:t>)</w:t>
      </w:r>
      <w:r>
        <w:t>. This happened before there was a large-scale effort to hire African-American police officers. Norwell Roberts, who became the department's first Black officer in 1967, was the subject of much</w:t>
      </w:r>
      <w:r>
        <w:t xml:space="preserve"> coverage. His colleagues may have been violently biassed behind closed doors, but Black activists needed to see police as part of their own "community," therefore they promptly asked him to make an appearance at anti-apartheid activities.</w:t>
      </w:r>
    </w:p>
    <w:p w14:paraId="6E8AFAC2" w14:textId="77777777" w:rsidR="00CD0F84" w:rsidRDefault="002D3B04" w:rsidP="00CD0F84">
      <w:r>
        <w:t>Concerns are rai</w:t>
      </w:r>
      <w:r>
        <w:t>sed when racial bias among police officers causes the public to lose faith in the force. The police have as much of an interest in reducing prejudice as they do in combating it, as public acceptance is the ultimate goal</w:t>
      </w:r>
      <w:r w:rsidR="009D658D">
        <w:t xml:space="preserve"> (</w:t>
      </w:r>
      <w:proofErr w:type="spellStart"/>
      <w:r w:rsidR="009D658D">
        <w:rPr>
          <w:shd w:val="clear" w:color="auto" w:fill="FFFFFF"/>
        </w:rPr>
        <w:t>Torrible</w:t>
      </w:r>
      <w:proofErr w:type="spellEnd"/>
      <w:r w:rsidR="009D658D">
        <w:rPr>
          <w:shd w:val="clear" w:color="auto" w:fill="FFFFFF"/>
        </w:rPr>
        <w:t>, 2022</w:t>
      </w:r>
      <w:r w:rsidR="009D658D">
        <w:t>)</w:t>
      </w:r>
      <w:r>
        <w:t>. Not because she ca</w:t>
      </w:r>
      <w:r>
        <w:t xml:space="preserve">n disprove that it is appropriate, Commissioner Cressida Dick has spoken out against the usage of the phrase "institutional racism" to describe the Metropolitan Police because "it inhibits individuals from giving us with information, evidence, joining and </w:t>
      </w:r>
      <w:r>
        <w:t>working with us."</w:t>
      </w:r>
    </w:p>
    <w:p w14:paraId="64C2E042" w14:textId="77777777" w:rsidR="00E6052C" w:rsidRDefault="00E6052C" w:rsidP="00E6052C"/>
    <w:p w14:paraId="23222084" w14:textId="77777777" w:rsidR="00E6052C" w:rsidRPr="00E6052C" w:rsidRDefault="002D3B04" w:rsidP="00E6052C">
      <w:pPr>
        <w:pStyle w:val="Heading1"/>
      </w:pPr>
      <w:bookmarkStart w:id="3" w:name="_Toc118927856"/>
      <w:r w:rsidRPr="00E6052C">
        <w:t>Conclusion</w:t>
      </w:r>
      <w:bookmarkEnd w:id="3"/>
    </w:p>
    <w:p w14:paraId="6F4627F0" w14:textId="77777777" w:rsidR="00CD0F84" w:rsidRDefault="002D3B04" w:rsidP="00CD0F84">
      <w:r>
        <w:t xml:space="preserve">Sceptics fail to see that the current low level of violence helps maintain police authority. When a leader has the support of the people, they are far more likely to be successful in office. </w:t>
      </w:r>
      <w:r>
        <w:lastRenderedPageBreak/>
        <w:t xml:space="preserve">When public support for the police </w:t>
      </w:r>
      <w:r>
        <w:t>is high, the police are in a stronger position to make behavioural changes in response to that support. Reform obstacles are often cited by abolitionists as proof that efforts to correct the wrongs committed by the police are really designed to increase th</w:t>
      </w:r>
      <w:r>
        <w:t>e size and scope of the police force. Increases in funding, training, technology and recruitment in response to calls for police reform typically result in an increase in police power. The public's acceptance of a police force is the end purpose of the ref</w:t>
      </w:r>
      <w:r>
        <w:t>orms, regardless of whether or not specific resource problems are addressed. The public's ability to affect police behaviour strengthens the police's hand when the public learns to use that power effectively.</w:t>
      </w:r>
    </w:p>
    <w:p w14:paraId="71772708" w14:textId="77777777" w:rsidR="00CD0F84" w:rsidRDefault="002D3B04" w:rsidP="00CD0F84">
      <w:r>
        <w:t>Refusing permission to the police would mean ab</w:t>
      </w:r>
      <w:r>
        <w:t>andoning calls for reform, restoring trust, and a more diverse police force. The immense potential of mutual support as a form of resistance to this forced battle is reinforced by the realisation that consent in this society is not based on ignorance but o</w:t>
      </w:r>
      <w:r>
        <w:t>n the ties between people. If people can figure out how to have children in a cooperative rather than competing manner, they may not need the government to monitor their relationships. People can show that they care about those most affected by police brut</w:t>
      </w:r>
      <w:r>
        <w:t>ality if they do not respond to police wrongdoing by calling for more and better police.</w:t>
      </w:r>
    </w:p>
    <w:p w14:paraId="03216010" w14:textId="77777777" w:rsidR="00BA4308" w:rsidRDefault="00BA4308">
      <w:pPr>
        <w:spacing w:after="160" w:line="259" w:lineRule="auto"/>
        <w:ind w:firstLine="0"/>
        <w:jc w:val="left"/>
        <w:rPr>
          <w:highlight w:val="yellow"/>
        </w:rPr>
      </w:pPr>
      <w:r>
        <w:rPr>
          <w:highlight w:val="yellow"/>
        </w:rPr>
        <w:br w:type="page"/>
      </w:r>
    </w:p>
    <w:p w14:paraId="326EE68F" w14:textId="77777777" w:rsidR="00E6052C" w:rsidRPr="00BA4308" w:rsidRDefault="00BA4308" w:rsidP="00BA4308">
      <w:pPr>
        <w:pStyle w:val="Heading1"/>
      </w:pPr>
      <w:bookmarkStart w:id="4" w:name="_Toc118927857"/>
      <w:r w:rsidRPr="00BA4308">
        <w:lastRenderedPageBreak/>
        <w:t>References</w:t>
      </w:r>
      <w:bookmarkEnd w:id="4"/>
    </w:p>
    <w:p w14:paraId="638FBDE3" w14:textId="77777777" w:rsidR="00BA4308" w:rsidRDefault="00BA4308" w:rsidP="00BA4308">
      <w:pPr>
        <w:ind w:left="720" w:hanging="720"/>
        <w:rPr>
          <w:shd w:val="clear" w:color="auto" w:fill="FFFFFF"/>
        </w:rPr>
      </w:pPr>
      <w:r>
        <w:rPr>
          <w:shd w:val="clear" w:color="auto" w:fill="FFFFFF"/>
        </w:rPr>
        <w:t>Bailey, R., 2021. Book review: Good Policing: Trust, Legitimacy and Authority.</w:t>
      </w:r>
    </w:p>
    <w:p w14:paraId="1C749851" w14:textId="77777777" w:rsidR="00BA4308" w:rsidRDefault="00BA4308" w:rsidP="00BA4308">
      <w:pPr>
        <w:ind w:left="720" w:hanging="720"/>
        <w:rPr>
          <w:shd w:val="clear" w:color="auto" w:fill="FFFFFF"/>
        </w:rPr>
      </w:pPr>
      <w:r>
        <w:rPr>
          <w:shd w:val="clear" w:color="auto" w:fill="FFFFFF"/>
        </w:rPr>
        <w:t>Clark-Darby, O., 2020. </w:t>
      </w:r>
      <w:r>
        <w:rPr>
          <w:i/>
          <w:iCs/>
          <w:shd w:val="clear" w:color="auto" w:fill="FFFFFF"/>
        </w:rPr>
        <w:t>Armed Policing in England</w:t>
      </w:r>
      <w:r>
        <w:rPr>
          <w:shd w:val="clear" w:color="auto" w:fill="FFFFFF"/>
        </w:rPr>
        <w:t> (Doctoral dissertation, University of Southampton).</w:t>
      </w:r>
    </w:p>
    <w:p w14:paraId="40040FA7" w14:textId="77777777" w:rsidR="00BA4308" w:rsidRDefault="00BA4308" w:rsidP="00BA4308">
      <w:pPr>
        <w:ind w:left="720" w:hanging="720"/>
        <w:rPr>
          <w:shd w:val="clear" w:color="auto" w:fill="FFFFFF"/>
        </w:rPr>
      </w:pPr>
      <w:r>
        <w:rPr>
          <w:shd w:val="clear" w:color="auto" w:fill="FFFFFF"/>
        </w:rPr>
        <w:t>Farrow, K., 2020. Policing the pandemic in the UK using the principles of procedural justice. </w:t>
      </w:r>
      <w:r>
        <w:rPr>
          <w:i/>
          <w:iCs/>
          <w:shd w:val="clear" w:color="auto" w:fill="FFFFFF"/>
        </w:rPr>
        <w:t>Policing: a journal of policy and practice</w:t>
      </w:r>
      <w:r>
        <w:rPr>
          <w:shd w:val="clear" w:color="auto" w:fill="FFFFFF"/>
        </w:rPr>
        <w:t>, </w:t>
      </w:r>
      <w:r>
        <w:rPr>
          <w:i/>
          <w:iCs/>
          <w:shd w:val="clear" w:color="auto" w:fill="FFFFFF"/>
        </w:rPr>
        <w:t>14</w:t>
      </w:r>
      <w:r>
        <w:rPr>
          <w:shd w:val="clear" w:color="auto" w:fill="FFFFFF"/>
        </w:rPr>
        <w:t>(3), pp.587-592.</w:t>
      </w:r>
    </w:p>
    <w:p w14:paraId="76D9444B" w14:textId="77777777" w:rsidR="00BA4308" w:rsidRDefault="00BA4308" w:rsidP="00BA4308">
      <w:pPr>
        <w:ind w:left="720" w:hanging="720"/>
        <w:rPr>
          <w:shd w:val="clear" w:color="auto" w:fill="FFFFFF"/>
        </w:rPr>
      </w:pPr>
      <w:r>
        <w:rPr>
          <w:shd w:val="clear" w:color="auto" w:fill="FFFFFF"/>
        </w:rPr>
        <w:t>Greener, B., 2021. Policing by consent is not woke-it is fundamental to a democratic society.</w:t>
      </w:r>
    </w:p>
    <w:p w14:paraId="081DEE28" w14:textId="77777777" w:rsidR="00BA4308" w:rsidRDefault="00BA4308" w:rsidP="00BA4308">
      <w:pPr>
        <w:ind w:left="720" w:hanging="720"/>
        <w:rPr>
          <w:shd w:val="clear" w:color="auto" w:fill="FFFFFF"/>
        </w:rPr>
      </w:pPr>
      <w:r>
        <w:rPr>
          <w:shd w:val="clear" w:color="auto" w:fill="FFFFFF"/>
        </w:rPr>
        <w:t xml:space="preserve">Hendy, R., 2022. The Myth of ‘Routinely </w:t>
      </w:r>
      <w:proofErr w:type="spellStart"/>
      <w:r>
        <w:rPr>
          <w:shd w:val="clear" w:color="auto" w:fill="FFFFFF"/>
        </w:rPr>
        <w:t>Unarmed’Policing</w:t>
      </w:r>
      <w:proofErr w:type="spellEnd"/>
      <w:r>
        <w:rPr>
          <w:shd w:val="clear" w:color="auto" w:fill="FFFFFF"/>
        </w:rPr>
        <w:t>. In </w:t>
      </w:r>
      <w:r>
        <w:rPr>
          <w:i/>
          <w:iCs/>
          <w:shd w:val="clear" w:color="auto" w:fill="FFFFFF"/>
        </w:rPr>
        <w:t>Policing &amp; Firearms</w:t>
      </w:r>
      <w:r>
        <w:rPr>
          <w:shd w:val="clear" w:color="auto" w:fill="FFFFFF"/>
        </w:rPr>
        <w:t> (pp. 169-191). Springer, Cham.</w:t>
      </w:r>
    </w:p>
    <w:p w14:paraId="7F462036" w14:textId="77777777" w:rsidR="00BA4308" w:rsidRDefault="00BA4308" w:rsidP="00BA4308">
      <w:pPr>
        <w:ind w:left="720" w:hanging="720"/>
        <w:rPr>
          <w:shd w:val="clear" w:color="auto" w:fill="FFFFFF"/>
        </w:rPr>
      </w:pPr>
      <w:proofErr w:type="spellStart"/>
      <w:r>
        <w:rPr>
          <w:shd w:val="clear" w:color="auto" w:fill="FFFFFF"/>
        </w:rPr>
        <w:t>Monkova</w:t>
      </w:r>
      <w:proofErr w:type="spellEnd"/>
      <w:r>
        <w:rPr>
          <w:shd w:val="clear" w:color="auto" w:fill="FFFFFF"/>
        </w:rPr>
        <w:t>, T., 2021. </w:t>
      </w:r>
      <w:r>
        <w:rPr>
          <w:i/>
          <w:iCs/>
          <w:shd w:val="clear" w:color="auto" w:fill="FFFFFF"/>
        </w:rPr>
        <w:t>Policing in Britain and America: Between Consent and Force</w:t>
      </w:r>
      <w:r>
        <w:rPr>
          <w:shd w:val="clear" w:color="auto" w:fill="FFFFFF"/>
        </w:rPr>
        <w:t> (Doctoral dissertation, McGill University (Canada)).</w:t>
      </w:r>
    </w:p>
    <w:p w14:paraId="404EB3D9" w14:textId="77777777" w:rsidR="00BA4308" w:rsidRDefault="00BA4308" w:rsidP="00BA4308">
      <w:pPr>
        <w:ind w:left="720" w:hanging="720"/>
        <w:rPr>
          <w:shd w:val="clear" w:color="auto" w:fill="FFFFFF"/>
        </w:rPr>
      </w:pPr>
      <w:r>
        <w:rPr>
          <w:shd w:val="clear" w:color="auto" w:fill="FFFFFF"/>
        </w:rPr>
        <w:t>Movement, T., 2018. Policing by consent: Understanding and improving relations between Gypsies, Roma and Irish Travellers. </w:t>
      </w:r>
      <w:r>
        <w:rPr>
          <w:i/>
          <w:iCs/>
          <w:shd w:val="clear" w:color="auto" w:fill="FFFFFF"/>
        </w:rPr>
        <w:t>London: Traveller Movement</w:t>
      </w:r>
      <w:r>
        <w:rPr>
          <w:shd w:val="clear" w:color="auto" w:fill="FFFFFF"/>
        </w:rPr>
        <w:t>.</w:t>
      </w:r>
    </w:p>
    <w:p w14:paraId="26566BF8" w14:textId="77777777" w:rsidR="00BA4308" w:rsidRDefault="00BA4308" w:rsidP="00BA4308">
      <w:pPr>
        <w:ind w:left="720" w:hanging="720"/>
        <w:rPr>
          <w:shd w:val="clear" w:color="auto" w:fill="FFFFFF"/>
        </w:rPr>
      </w:pPr>
      <w:r>
        <w:rPr>
          <w:shd w:val="clear" w:color="auto" w:fill="FFFFFF"/>
        </w:rPr>
        <w:t>Olisa, V., 2021. Policing in an Age of Reform—An Overview of the United Kingdom Community-Centred Police Model. </w:t>
      </w:r>
      <w:r>
        <w:rPr>
          <w:i/>
          <w:iCs/>
          <w:shd w:val="clear" w:color="auto" w:fill="FFFFFF"/>
        </w:rPr>
        <w:t>Policing in an Age of Reform</w:t>
      </w:r>
      <w:r>
        <w:rPr>
          <w:shd w:val="clear" w:color="auto" w:fill="FFFFFF"/>
        </w:rPr>
        <w:t>, pp.49-60.</w:t>
      </w:r>
    </w:p>
    <w:p w14:paraId="5C78BE4B" w14:textId="77777777" w:rsidR="00BA4308" w:rsidRDefault="00BA4308" w:rsidP="00BA4308">
      <w:pPr>
        <w:ind w:left="720" w:hanging="720"/>
        <w:rPr>
          <w:shd w:val="clear" w:color="auto" w:fill="FFFFFF"/>
        </w:rPr>
      </w:pPr>
      <w:r>
        <w:rPr>
          <w:shd w:val="clear" w:color="auto" w:fill="FFFFFF"/>
        </w:rPr>
        <w:t>Palmer, D., 2020. Pandemic policing needs to be done with the public's trust, not confusion. </w:t>
      </w:r>
      <w:r>
        <w:rPr>
          <w:i/>
          <w:iCs/>
          <w:shd w:val="clear" w:color="auto" w:fill="FFFFFF"/>
        </w:rPr>
        <w:t>Australasian Policing</w:t>
      </w:r>
      <w:r>
        <w:rPr>
          <w:shd w:val="clear" w:color="auto" w:fill="FFFFFF"/>
        </w:rPr>
        <w:t>, </w:t>
      </w:r>
      <w:r>
        <w:rPr>
          <w:i/>
          <w:iCs/>
          <w:shd w:val="clear" w:color="auto" w:fill="FFFFFF"/>
        </w:rPr>
        <w:t>12</w:t>
      </w:r>
      <w:r>
        <w:rPr>
          <w:shd w:val="clear" w:color="auto" w:fill="FFFFFF"/>
        </w:rPr>
        <w:t>(3), pp.47-48.</w:t>
      </w:r>
    </w:p>
    <w:p w14:paraId="1F291BBD" w14:textId="77777777" w:rsidR="00BA4308" w:rsidRDefault="00BA4308" w:rsidP="00BA4308">
      <w:pPr>
        <w:ind w:left="720" w:hanging="720"/>
        <w:rPr>
          <w:shd w:val="clear" w:color="auto" w:fill="FFFFFF"/>
        </w:rPr>
      </w:pPr>
      <w:r>
        <w:rPr>
          <w:shd w:val="clear" w:color="auto" w:fill="FFFFFF"/>
        </w:rPr>
        <w:t>Pickard, S., 2019. Excessive force, coercive policing and criminalisation of dissent: repressing young people’s protest in twenty-first century Britain. </w:t>
      </w:r>
      <w:proofErr w:type="spellStart"/>
      <w:r>
        <w:rPr>
          <w:i/>
          <w:iCs/>
          <w:shd w:val="clear" w:color="auto" w:fill="FFFFFF"/>
        </w:rPr>
        <w:t>Revista</w:t>
      </w:r>
      <w:proofErr w:type="spellEnd"/>
      <w:r>
        <w:rPr>
          <w:i/>
          <w:iCs/>
          <w:shd w:val="clear" w:color="auto" w:fill="FFFFFF"/>
        </w:rPr>
        <w:t xml:space="preserve"> </w:t>
      </w:r>
      <w:proofErr w:type="spellStart"/>
      <w:r>
        <w:rPr>
          <w:i/>
          <w:iCs/>
          <w:shd w:val="clear" w:color="auto" w:fill="FFFFFF"/>
        </w:rPr>
        <w:t>Internacional</w:t>
      </w:r>
      <w:proofErr w:type="spellEnd"/>
      <w:r>
        <w:rPr>
          <w:i/>
          <w:iCs/>
          <w:shd w:val="clear" w:color="auto" w:fill="FFFFFF"/>
        </w:rPr>
        <w:t xml:space="preserve"> de </w:t>
      </w:r>
      <w:proofErr w:type="spellStart"/>
      <w:r>
        <w:rPr>
          <w:i/>
          <w:iCs/>
          <w:shd w:val="clear" w:color="auto" w:fill="FFFFFF"/>
        </w:rPr>
        <w:t>Sociología</w:t>
      </w:r>
      <w:proofErr w:type="spellEnd"/>
      <w:r>
        <w:rPr>
          <w:shd w:val="clear" w:color="auto" w:fill="FFFFFF"/>
        </w:rPr>
        <w:t>, </w:t>
      </w:r>
      <w:r>
        <w:rPr>
          <w:i/>
          <w:iCs/>
          <w:shd w:val="clear" w:color="auto" w:fill="FFFFFF"/>
        </w:rPr>
        <w:t>77</w:t>
      </w:r>
      <w:r>
        <w:rPr>
          <w:shd w:val="clear" w:color="auto" w:fill="FFFFFF"/>
        </w:rPr>
        <w:t>(4), p.e139.</w:t>
      </w:r>
    </w:p>
    <w:p w14:paraId="0719E8FF" w14:textId="77777777" w:rsidR="00BA4308" w:rsidRDefault="00BA4308" w:rsidP="00BA4308">
      <w:pPr>
        <w:ind w:left="720" w:hanging="720"/>
        <w:rPr>
          <w:shd w:val="clear" w:color="auto" w:fill="FFFFFF"/>
        </w:rPr>
      </w:pPr>
      <w:r>
        <w:rPr>
          <w:shd w:val="clear" w:color="auto" w:fill="FFFFFF"/>
        </w:rPr>
        <w:t xml:space="preserve">Stott, C., West, O. and Harrison, M., 2020. A turning point, securitization, and policing in the context of Covid-19: building a new social contract between state and </w:t>
      </w:r>
      <w:proofErr w:type="gramStart"/>
      <w:r>
        <w:rPr>
          <w:shd w:val="clear" w:color="auto" w:fill="FFFFFF"/>
        </w:rPr>
        <w:t>nation?.</w:t>
      </w:r>
      <w:proofErr w:type="gramEnd"/>
      <w:r>
        <w:rPr>
          <w:shd w:val="clear" w:color="auto" w:fill="FFFFFF"/>
        </w:rPr>
        <w:t> </w:t>
      </w:r>
      <w:r>
        <w:rPr>
          <w:i/>
          <w:iCs/>
          <w:shd w:val="clear" w:color="auto" w:fill="FFFFFF"/>
        </w:rPr>
        <w:t>Policing: A Journal of Policy and Practice</w:t>
      </w:r>
      <w:r>
        <w:rPr>
          <w:shd w:val="clear" w:color="auto" w:fill="FFFFFF"/>
        </w:rPr>
        <w:t>, </w:t>
      </w:r>
      <w:r>
        <w:rPr>
          <w:i/>
          <w:iCs/>
          <w:shd w:val="clear" w:color="auto" w:fill="FFFFFF"/>
        </w:rPr>
        <w:t>14</w:t>
      </w:r>
      <w:r>
        <w:rPr>
          <w:shd w:val="clear" w:color="auto" w:fill="FFFFFF"/>
        </w:rPr>
        <w:t>(3), pp.574-578.</w:t>
      </w:r>
    </w:p>
    <w:p w14:paraId="080C2F1E" w14:textId="77777777" w:rsidR="00BA4308" w:rsidRDefault="00BA4308" w:rsidP="00BA4308">
      <w:pPr>
        <w:ind w:left="720" w:hanging="720"/>
        <w:rPr>
          <w:shd w:val="clear" w:color="auto" w:fill="FFFFFF"/>
        </w:rPr>
      </w:pPr>
      <w:proofErr w:type="spellStart"/>
      <w:r>
        <w:rPr>
          <w:shd w:val="clear" w:color="auto" w:fill="FFFFFF"/>
        </w:rPr>
        <w:t>Torrible</w:t>
      </w:r>
      <w:proofErr w:type="spellEnd"/>
      <w:r>
        <w:rPr>
          <w:shd w:val="clear" w:color="auto" w:fill="FFFFFF"/>
        </w:rPr>
        <w:t>, C., 2022. Trust in the police and policing by consent in turbulent times. </w:t>
      </w:r>
      <w:r>
        <w:rPr>
          <w:i/>
          <w:iCs/>
          <w:shd w:val="clear" w:color="auto" w:fill="FFFFFF"/>
        </w:rPr>
        <w:t>Safer Communities</w:t>
      </w:r>
      <w:r>
        <w:rPr>
          <w:shd w:val="clear" w:color="auto" w:fill="FFFFFF"/>
        </w:rPr>
        <w:t>, (ahead-of-print).</w:t>
      </w:r>
    </w:p>
    <w:p w14:paraId="56785961" w14:textId="77777777" w:rsidR="00BA4308" w:rsidRDefault="00BA4308" w:rsidP="00BA4308">
      <w:pPr>
        <w:ind w:left="720" w:hanging="720"/>
        <w:rPr>
          <w:shd w:val="clear" w:color="auto" w:fill="FFFFFF"/>
        </w:rPr>
      </w:pPr>
      <w:r>
        <w:rPr>
          <w:shd w:val="clear" w:color="auto" w:fill="FFFFFF"/>
        </w:rPr>
        <w:t>Wong, K. and Christmann, K., 2020. Policing and Consent. </w:t>
      </w:r>
      <w:r>
        <w:rPr>
          <w:i/>
          <w:iCs/>
          <w:shd w:val="clear" w:color="auto" w:fill="FFFFFF"/>
        </w:rPr>
        <w:t>Metropolis</w:t>
      </w:r>
      <w:r>
        <w:rPr>
          <w:shd w:val="clear" w:color="auto" w:fill="FFFFFF"/>
        </w:rPr>
        <w:t>.</w:t>
      </w:r>
    </w:p>
    <w:sectPr w:rsidR="00BA4308" w:rsidSect="001124A4">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20957" w14:textId="77777777" w:rsidR="00DC0E2E" w:rsidRDefault="00DC0E2E" w:rsidP="001124A4">
      <w:pPr>
        <w:spacing w:line="240" w:lineRule="auto"/>
      </w:pPr>
      <w:r>
        <w:separator/>
      </w:r>
    </w:p>
  </w:endnote>
  <w:endnote w:type="continuationSeparator" w:id="0">
    <w:p w14:paraId="57ED29F1" w14:textId="77777777" w:rsidR="00DC0E2E" w:rsidRDefault="00DC0E2E" w:rsidP="001124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DAE9C" w14:textId="77777777" w:rsidR="00DC0E2E" w:rsidRDefault="00DC0E2E" w:rsidP="001124A4">
      <w:pPr>
        <w:spacing w:line="240" w:lineRule="auto"/>
      </w:pPr>
      <w:r>
        <w:separator/>
      </w:r>
    </w:p>
  </w:footnote>
  <w:footnote w:type="continuationSeparator" w:id="0">
    <w:p w14:paraId="75E06CFC" w14:textId="77777777" w:rsidR="00DC0E2E" w:rsidRDefault="00DC0E2E" w:rsidP="001124A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1032007"/>
      <w:docPartObj>
        <w:docPartGallery w:val="Page Numbers (Top of Page)"/>
        <w:docPartUnique/>
      </w:docPartObj>
    </w:sdtPr>
    <w:sdtEndPr>
      <w:rPr>
        <w:noProof/>
      </w:rPr>
    </w:sdtEndPr>
    <w:sdtContent>
      <w:p w14:paraId="2461EFBE" w14:textId="77777777" w:rsidR="001124A4" w:rsidRDefault="001124A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C370B69" w14:textId="77777777" w:rsidR="001124A4" w:rsidRDefault="001124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F33193" w14:textId="30D45560" w:rsidR="006E7A72" w:rsidRPr="006E7A72" w:rsidRDefault="006E7A72" w:rsidP="006E7A72">
    <w:pPr>
      <w:pStyle w:val="Header"/>
      <w:rPr>
        <w:b/>
        <w:bCs/>
      </w:rPr>
    </w:pPr>
    <w:r>
      <w:rPr>
        <w:b/>
        <w:bCs/>
      </w:rPr>
      <w:t>Rohid Hussain: 1805526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52C"/>
    <w:rsid w:val="001124A4"/>
    <w:rsid w:val="001B63BB"/>
    <w:rsid w:val="006E7A72"/>
    <w:rsid w:val="009D658D"/>
    <w:rsid w:val="00BA4308"/>
    <w:rsid w:val="00C0441A"/>
    <w:rsid w:val="00CD0F84"/>
    <w:rsid w:val="00DC0E2E"/>
    <w:rsid w:val="00E108D5"/>
    <w:rsid w:val="00E6052C"/>
    <w:rsid w:val="00F23A13"/>
    <w:rsid w:val="00F62582"/>
    <w:rsid w:val="00F775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F7C36"/>
  <w15:chartTrackingRefBased/>
  <w15:docId w15:val="{A412F6BC-6B10-4FFD-9852-58D2CB076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3BB"/>
    <w:pPr>
      <w:spacing w:after="0" w:line="360" w:lineRule="auto"/>
      <w:ind w:firstLine="720"/>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E6052C"/>
    <w:pPr>
      <w:ind w:firstLine="0"/>
      <w:outlineLvl w:val="0"/>
    </w:pPr>
    <w:rPr>
      <w:b/>
      <w:bCs/>
    </w:rPr>
  </w:style>
  <w:style w:type="paragraph" w:styleId="Heading2">
    <w:name w:val="heading 2"/>
    <w:basedOn w:val="Normal"/>
    <w:next w:val="Normal"/>
    <w:link w:val="Heading2Char"/>
    <w:autoRedefine/>
    <w:uiPriority w:val="9"/>
    <w:unhideWhenUsed/>
    <w:qFormat/>
    <w:rsid w:val="001B63BB"/>
    <w:pPr>
      <w:keepNext/>
      <w:keepLines/>
      <w:ind w:firstLine="0"/>
      <w:outlineLvl w:val="1"/>
    </w:pPr>
    <w:rPr>
      <w:rFonts w:eastAsiaTheme="majorEastAsia" w:cstheme="majorBidi"/>
      <w:b/>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52C"/>
    <w:rPr>
      <w:rFonts w:ascii="Times New Roman" w:hAnsi="Times New Roman"/>
      <w:b/>
      <w:bCs/>
      <w:color w:val="000000" w:themeColor="text1"/>
      <w:sz w:val="24"/>
      <w:lang w:val="en-GB"/>
    </w:rPr>
  </w:style>
  <w:style w:type="character" w:customStyle="1" w:styleId="Heading2Char">
    <w:name w:val="Heading 2 Char"/>
    <w:basedOn w:val="DefaultParagraphFont"/>
    <w:link w:val="Heading2"/>
    <w:uiPriority w:val="9"/>
    <w:rsid w:val="001B63BB"/>
    <w:rPr>
      <w:rFonts w:ascii="Times New Roman" w:eastAsiaTheme="majorEastAsia" w:hAnsi="Times New Roman" w:cstheme="majorBidi"/>
      <w:b/>
      <w:i/>
      <w:color w:val="000000" w:themeColor="text1"/>
      <w:sz w:val="26"/>
      <w:szCs w:val="26"/>
    </w:rPr>
  </w:style>
  <w:style w:type="paragraph" w:styleId="NoSpacing">
    <w:name w:val="No Spacing"/>
    <w:uiPriority w:val="1"/>
    <w:qFormat/>
    <w:rsid w:val="00E6052C"/>
    <w:pPr>
      <w:spacing w:after="0" w:line="240" w:lineRule="auto"/>
      <w:ind w:firstLine="720"/>
      <w:jc w:val="both"/>
    </w:pPr>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F77537"/>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F77537"/>
    <w:pPr>
      <w:spacing w:after="100"/>
    </w:pPr>
  </w:style>
  <w:style w:type="character" w:styleId="Hyperlink">
    <w:name w:val="Hyperlink"/>
    <w:basedOn w:val="DefaultParagraphFont"/>
    <w:uiPriority w:val="99"/>
    <w:unhideWhenUsed/>
    <w:rsid w:val="00F77537"/>
    <w:rPr>
      <w:color w:val="0563C1" w:themeColor="hyperlink"/>
      <w:u w:val="single"/>
    </w:rPr>
  </w:style>
  <w:style w:type="paragraph" w:styleId="Header">
    <w:name w:val="header"/>
    <w:basedOn w:val="Normal"/>
    <w:link w:val="HeaderChar"/>
    <w:uiPriority w:val="99"/>
    <w:unhideWhenUsed/>
    <w:rsid w:val="001124A4"/>
    <w:pPr>
      <w:tabs>
        <w:tab w:val="center" w:pos="4680"/>
        <w:tab w:val="right" w:pos="9360"/>
      </w:tabs>
      <w:spacing w:line="240" w:lineRule="auto"/>
    </w:pPr>
  </w:style>
  <w:style w:type="character" w:customStyle="1" w:styleId="HeaderChar">
    <w:name w:val="Header Char"/>
    <w:basedOn w:val="DefaultParagraphFont"/>
    <w:link w:val="Header"/>
    <w:uiPriority w:val="99"/>
    <w:rsid w:val="001124A4"/>
    <w:rPr>
      <w:rFonts w:ascii="Times New Roman" w:hAnsi="Times New Roman"/>
      <w:color w:val="000000" w:themeColor="text1"/>
      <w:sz w:val="24"/>
      <w:lang w:val="en-GB"/>
    </w:rPr>
  </w:style>
  <w:style w:type="paragraph" w:styleId="Footer">
    <w:name w:val="footer"/>
    <w:basedOn w:val="Normal"/>
    <w:link w:val="FooterChar"/>
    <w:uiPriority w:val="99"/>
    <w:unhideWhenUsed/>
    <w:rsid w:val="001124A4"/>
    <w:pPr>
      <w:tabs>
        <w:tab w:val="center" w:pos="4680"/>
        <w:tab w:val="right" w:pos="9360"/>
      </w:tabs>
      <w:spacing w:line="240" w:lineRule="auto"/>
    </w:pPr>
  </w:style>
  <w:style w:type="character" w:customStyle="1" w:styleId="FooterChar">
    <w:name w:val="Footer Char"/>
    <w:basedOn w:val="DefaultParagraphFont"/>
    <w:link w:val="Footer"/>
    <w:uiPriority w:val="99"/>
    <w:rsid w:val="001124A4"/>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FEEF1D-21F0-4456-849C-2E8498BD0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1753</Words>
  <Characters>9997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Rohid Hussain</cp:lastModifiedBy>
  <cp:revision>2</cp:revision>
  <dcterms:created xsi:type="dcterms:W3CDTF">2022-11-11T13:15:00Z</dcterms:created>
  <dcterms:modified xsi:type="dcterms:W3CDTF">2022-11-11T13:15:00Z</dcterms:modified>
</cp:coreProperties>
</file>