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AF" w:rsidRDefault="00633D77" w:rsidP="00633D77">
      <w:pPr>
        <w:jc w:val="right"/>
        <w:rPr>
          <w:u w:val="single"/>
        </w:rPr>
      </w:pPr>
      <w:r>
        <w:rPr>
          <w:u w:val="single"/>
        </w:rPr>
        <w:t>Laura Jane Evans</w:t>
      </w:r>
    </w:p>
    <w:p w:rsidR="00633D77" w:rsidRPr="00633D77" w:rsidRDefault="00633D77" w:rsidP="00633D77">
      <w:pPr>
        <w:jc w:val="right"/>
        <w:rPr>
          <w:u w:val="single"/>
        </w:rPr>
      </w:pPr>
      <w:r w:rsidRPr="00633D77">
        <w:rPr>
          <w:u w:val="single"/>
        </w:rPr>
        <w:t>Identity and Myth: HPHI5009</w:t>
      </w:r>
    </w:p>
    <w:p w:rsidR="00633D77" w:rsidRDefault="00633D77" w:rsidP="00633D77">
      <w:pPr>
        <w:jc w:val="right"/>
        <w:rPr>
          <w:u w:val="single"/>
        </w:rPr>
      </w:pPr>
      <w:r w:rsidRPr="00633D77">
        <w:rPr>
          <w:u w:val="single"/>
        </w:rPr>
        <w:t xml:space="preserve">Portfolio </w:t>
      </w:r>
      <w:r w:rsidR="0032796E">
        <w:rPr>
          <w:u w:val="single"/>
        </w:rPr>
        <w:t>2</w:t>
      </w:r>
      <w:bookmarkStart w:id="0" w:name="_GoBack"/>
      <w:bookmarkEnd w:id="0"/>
    </w:p>
    <w:p w:rsidR="00633D77" w:rsidRDefault="00633D77" w:rsidP="00633D77"/>
    <w:p w:rsidR="005C4C91" w:rsidRDefault="000B7F1D" w:rsidP="005C4C91">
      <w:r>
        <w:t>In this essay I will be focusing on one image that I believe conveys not only the individuals carefully constructed image but also discredits the opinions held by outside characters.</w:t>
      </w:r>
      <w:r w:rsidR="0040481A">
        <w:t xml:space="preserve"> </w:t>
      </w:r>
      <w:r w:rsidR="00633D77">
        <w:t xml:space="preserve">The image I have chosen to analyse is the mosaic of Roger II of Sicily which is found in the church of S. Maria </w:t>
      </w:r>
      <w:proofErr w:type="spellStart"/>
      <w:r w:rsidR="00633D77">
        <w:t>dell’Ammiraglo</w:t>
      </w:r>
      <w:proofErr w:type="spellEnd"/>
      <w:r w:rsidR="00633D77">
        <w:t xml:space="preserve">, also called </w:t>
      </w:r>
      <w:proofErr w:type="spellStart"/>
      <w:r w:rsidR="00633D77">
        <w:t>della</w:t>
      </w:r>
      <w:proofErr w:type="spellEnd"/>
      <w:r w:rsidR="00633D77">
        <w:t xml:space="preserve"> </w:t>
      </w:r>
      <w:proofErr w:type="spellStart"/>
      <w:r w:rsidR="00633D77">
        <w:t>Martorana</w:t>
      </w:r>
      <w:proofErr w:type="spellEnd"/>
      <w:r w:rsidR="00633D77">
        <w:t xml:space="preserve">. </w:t>
      </w:r>
    </w:p>
    <w:p w:rsidR="0002241A" w:rsidRDefault="00633D77" w:rsidP="0024601C">
      <w:pPr>
        <w:ind w:firstLine="720"/>
      </w:pPr>
      <w:r>
        <w:t>The mosaic was made in 1143 and has elements reminiscent of the Byzantine coronations of the 10</w:t>
      </w:r>
      <w:r w:rsidRPr="00633D77">
        <w:rPr>
          <w:vertAlign w:val="superscript"/>
        </w:rPr>
        <w:t>th</w:t>
      </w:r>
      <w:r>
        <w:t xml:space="preserve"> century.</w:t>
      </w:r>
      <w:r>
        <w:rPr>
          <w:rStyle w:val="FootnoteReference"/>
        </w:rPr>
        <w:footnoteReference w:id="1"/>
      </w:r>
      <w:r w:rsidR="00E25AA2">
        <w:t xml:space="preserve"> </w:t>
      </w:r>
      <w:r w:rsidR="00772809">
        <w:t xml:space="preserve"> The image of Roger II being crowned by Jesus Christ is part of a pair of images, the second being that of George of Antioc</w:t>
      </w:r>
      <w:r w:rsidR="006F3140">
        <w:t xml:space="preserve">h </w:t>
      </w:r>
      <w:r w:rsidR="00772809">
        <w:t>kneeling before the Virgin Mother.</w:t>
      </w:r>
      <w:r w:rsidR="00772809">
        <w:rPr>
          <w:rStyle w:val="FootnoteReference"/>
        </w:rPr>
        <w:footnoteReference w:id="2"/>
      </w:r>
      <w:r w:rsidR="0081247E">
        <w:t xml:space="preserve"> </w:t>
      </w:r>
      <w:r w:rsidR="006F3140">
        <w:t>It was George, the grand admiral and chief counsellor of the kingdom that commissioned the mosaic.</w:t>
      </w:r>
      <w:r w:rsidR="006F3140">
        <w:rPr>
          <w:rStyle w:val="FootnoteReference"/>
        </w:rPr>
        <w:footnoteReference w:id="3"/>
      </w:r>
      <w:r w:rsidR="00C260A4">
        <w:t xml:space="preserve"> </w:t>
      </w:r>
      <w:r w:rsidR="00CA3AA9">
        <w:t xml:space="preserve">The </w:t>
      </w:r>
      <w:r w:rsidR="00CA3AA9" w:rsidRPr="008D663B">
        <w:t>mosaics</w:t>
      </w:r>
      <w:r w:rsidR="00CA3AA9">
        <w:rPr>
          <w:color w:val="FF0066"/>
        </w:rPr>
        <w:t xml:space="preserve"> </w:t>
      </w:r>
      <w:r w:rsidR="00CA3AA9">
        <w:t xml:space="preserve">of Sicily are unique as they have aspects and qualities that belong to multiple religions. </w:t>
      </w:r>
      <w:r w:rsidR="005C4C91">
        <w:t xml:space="preserve">The images created through mosaics have been used throughout history not only to aid in learning but to give convey messages about the time and the individuals involved. </w:t>
      </w:r>
      <w:r w:rsidR="00CA3AA9">
        <w:t>Sicily was renowned for its multicultural cities</w:t>
      </w:r>
      <w:r w:rsidR="00743507">
        <w:t>.</w:t>
      </w:r>
      <w:r w:rsidR="00CA3AA9">
        <w:t xml:space="preserve"> Jews, Christians and Muslims lived side by side without fear of prosecution or oppression and this reflects in the art produced there.</w:t>
      </w:r>
      <w:r w:rsidR="00CA3AA9">
        <w:rPr>
          <w:rStyle w:val="FootnoteReference"/>
        </w:rPr>
        <w:footnoteReference w:id="4"/>
      </w:r>
      <w:r w:rsidR="0024601C">
        <w:t xml:space="preserve"> </w:t>
      </w:r>
      <w:r w:rsidR="005C4C91">
        <w:t xml:space="preserve">Riddles with political and religious codes, mosaics were successful tools used to convey personal agendas and believes </w:t>
      </w:r>
      <w:r w:rsidR="005872FC">
        <w:t>that were instantly recognisable.</w:t>
      </w:r>
    </w:p>
    <w:p w:rsidR="00716E85" w:rsidRDefault="00716E85" w:rsidP="0024601C">
      <w:pPr>
        <w:ind w:firstLine="720"/>
      </w:pPr>
      <w:r>
        <w:t xml:space="preserve">The mosaic clearly depicts Roger being crowned by Christ, immediately giving a direct and explicit message that the crowning of Roger is a divine and sacred act. </w:t>
      </w:r>
      <w:r w:rsidR="008B2BA8">
        <w:t>Why did Roger wish to emphasis his divine connections and why not show the Pope crowning Roger? The unstable political climate in which Roger was crowned may explain his need to legitimise his claim to the throne through Christ. In Palermo 1130, Roger was crowned by</w:t>
      </w:r>
      <w:r w:rsidR="005F0FEE">
        <w:t xml:space="preserve"> the ‘</w:t>
      </w:r>
      <w:r w:rsidR="00B61A4C">
        <w:t>A</w:t>
      </w:r>
      <w:r w:rsidR="005F0FEE">
        <w:t xml:space="preserve">ntipope’ </w:t>
      </w:r>
      <w:proofErr w:type="spellStart"/>
      <w:r w:rsidR="008B2BA8">
        <w:t>Anacletus</w:t>
      </w:r>
      <w:proofErr w:type="spellEnd"/>
      <w:r w:rsidR="008B2BA8">
        <w:t xml:space="preserve"> II whose position as Pope was uncertain as he was being challenged by Innocent II.</w:t>
      </w:r>
      <w:r w:rsidR="0034075A">
        <w:rPr>
          <w:rStyle w:val="FootnoteReference"/>
        </w:rPr>
        <w:footnoteReference w:id="5"/>
      </w:r>
      <w:r w:rsidR="005F0FEE">
        <w:t xml:space="preserve"> Roger may have believed that </w:t>
      </w:r>
      <w:proofErr w:type="spellStart"/>
      <w:r w:rsidR="005F0FEE">
        <w:t>Anacletus</w:t>
      </w:r>
      <w:proofErr w:type="spellEnd"/>
      <w:r w:rsidR="005F0FEE">
        <w:t xml:space="preserve"> II was going to be Pope as he had majority in the cardinals’ college and support from south</w:t>
      </w:r>
      <w:r w:rsidR="008B588F">
        <w:t>ern</w:t>
      </w:r>
      <w:r w:rsidR="005F0FEE">
        <w:t xml:space="preserve"> Italian churchmen.</w:t>
      </w:r>
      <w:r w:rsidR="005F0FEE">
        <w:rPr>
          <w:rStyle w:val="FootnoteReference"/>
        </w:rPr>
        <w:footnoteReference w:id="6"/>
      </w:r>
      <w:r w:rsidR="008B588F">
        <w:t xml:space="preserve"> </w:t>
      </w:r>
      <w:r w:rsidR="00B61A4C">
        <w:t xml:space="preserve">However, if Roger wanted to be recognised as king by the church then it can only be done by the highest dignitary of the Roman Church, the Pope and not an Antipope. </w:t>
      </w:r>
      <w:r w:rsidR="00C322A1">
        <w:t xml:space="preserve">Roger had also claimed the Latin Kingdom of Jerusalem through the marriage of his mother, </w:t>
      </w:r>
      <w:proofErr w:type="spellStart"/>
      <w:r w:rsidR="00C322A1">
        <w:t>Adelaid</w:t>
      </w:r>
      <w:proofErr w:type="spellEnd"/>
      <w:r w:rsidR="00C322A1">
        <w:t xml:space="preserve"> of Savona, and the King of Jerusalem, Baldwin I. If his mother did not conceive any more </w:t>
      </w:r>
      <w:r w:rsidR="002E2144">
        <w:t>heirs,</w:t>
      </w:r>
      <w:r w:rsidR="00C322A1">
        <w:t xml:space="preserve"> </w:t>
      </w:r>
      <w:r w:rsidR="002E2144">
        <w:t>then Roger</w:t>
      </w:r>
      <w:r w:rsidR="00C322A1">
        <w:t xml:space="preserve"> was to inherit the crown. However, Baldwin I repudiated his mother and therefore Roger’s claim to Jerusalem.</w:t>
      </w:r>
      <w:r w:rsidR="00C322A1">
        <w:rPr>
          <w:rStyle w:val="FootnoteReference"/>
        </w:rPr>
        <w:footnoteReference w:id="7"/>
      </w:r>
      <w:r w:rsidR="00C322A1">
        <w:t xml:space="preserve"> By depicting Christ, king of all kings, crowning Roger it legitimises his claims to the crown of Sicily without the influence of the Pope but also implying </w:t>
      </w:r>
      <w:r w:rsidR="002E2144">
        <w:t>Roger’s define ambitions to rule over the Holy Land.</w:t>
      </w:r>
    </w:p>
    <w:p w:rsidR="002E2144" w:rsidRDefault="00472BBE" w:rsidP="0024601C">
      <w:pPr>
        <w:ind w:firstLine="720"/>
      </w:pPr>
      <w:r>
        <w:lastRenderedPageBreak/>
        <w:t xml:space="preserve">In this mosaic Roger not only hints at his divine nature but </w:t>
      </w:r>
      <w:r w:rsidR="0092401A">
        <w:t xml:space="preserve">of his imperial nature, implying his ambitions were more than that of a king. Roger does this through the symbolic importance of his clothing during the divine coronation. </w:t>
      </w:r>
      <w:r w:rsidR="007A778E">
        <w:t>The ceremonial dress is modelled on those of the Byzantine imperial court,</w:t>
      </w:r>
      <w:r w:rsidR="00392F44">
        <w:rPr>
          <w:rStyle w:val="FootnoteReference"/>
        </w:rPr>
        <w:footnoteReference w:id="8"/>
      </w:r>
      <w:r w:rsidR="00392F44">
        <w:t xml:space="preserve"> </w:t>
      </w:r>
      <w:r w:rsidR="00963868">
        <w:t>the colouring blue is symbolic of spiritual love and truth and gold representing the colour of God and of faith.</w:t>
      </w:r>
      <w:r w:rsidR="00963868">
        <w:rPr>
          <w:rStyle w:val="FootnoteReference"/>
        </w:rPr>
        <w:footnoteReference w:id="9"/>
      </w:r>
      <w:r w:rsidR="00963868">
        <w:t xml:space="preserve"> Not only are these colours representing his intentions as ruler, they also display his wealth as blue and gold were the most expensive colours to use. </w:t>
      </w:r>
      <w:r w:rsidR="00B67D18">
        <w:t xml:space="preserve">It is </w:t>
      </w:r>
      <w:r w:rsidR="005412A6">
        <w:t>plain to see that Roger was influenced by the ceremonial clothing of divine emissaries such as archangels and Byzantine emperors,</w:t>
      </w:r>
      <w:r w:rsidR="005412A6">
        <w:rPr>
          <w:rStyle w:val="FootnoteReference"/>
        </w:rPr>
        <w:footnoteReference w:id="10"/>
      </w:r>
      <w:r w:rsidR="005412A6">
        <w:t xml:space="preserve">the archangels Michael and Gabriele are depicted wearing similar outfits in the cathedral of </w:t>
      </w:r>
      <w:proofErr w:type="spellStart"/>
      <w:r w:rsidR="005412A6" w:rsidRPr="008D663B">
        <w:t>Cefalu</w:t>
      </w:r>
      <w:proofErr w:type="spellEnd"/>
      <w:r w:rsidR="005412A6" w:rsidRPr="008D663B">
        <w:t>.</w:t>
      </w:r>
      <w:r w:rsidR="005412A6" w:rsidRPr="008D663B">
        <w:rPr>
          <w:rStyle w:val="FootnoteReference"/>
        </w:rPr>
        <w:footnoteReference w:id="11"/>
      </w:r>
      <w:r w:rsidR="005412A6" w:rsidRPr="008D663B">
        <w:t xml:space="preserve"> </w:t>
      </w:r>
      <w:r w:rsidR="00BA57A0">
        <w:t xml:space="preserve">However, Roger’s tunic or </w:t>
      </w:r>
      <w:r w:rsidR="00BA57A0">
        <w:rPr>
          <w:i/>
        </w:rPr>
        <w:t>dalmatic</w:t>
      </w:r>
      <w:r w:rsidR="00BA57A0">
        <w:t xml:space="preserve"> appears to have the fleur-de-lis possible referencing his </w:t>
      </w:r>
      <w:r w:rsidR="00595B7C">
        <w:t>French heritage.</w:t>
      </w:r>
      <w:r w:rsidR="00595B7C">
        <w:rPr>
          <w:rStyle w:val="FootnoteReference"/>
        </w:rPr>
        <w:footnoteReference w:id="12"/>
      </w:r>
      <w:r w:rsidR="005E18A9">
        <w:t xml:space="preserve"> The way Roger is depicted in the mosaic is heavily influenced by the Byzantine culture but is this how Roger presented himself to his people day by day? It is possible that Roger dressed like this in front of his subjects </w:t>
      </w:r>
      <w:proofErr w:type="gramStart"/>
      <w:r w:rsidR="005E18A9">
        <w:t>in an attempt to</w:t>
      </w:r>
      <w:proofErr w:type="gramEnd"/>
      <w:r w:rsidR="005E18A9">
        <w:t xml:space="preserve"> aspire to his ambitions as a Byzantine Emperor.</w:t>
      </w:r>
      <w:r w:rsidR="005E18A9">
        <w:rPr>
          <w:rStyle w:val="FootnoteReference"/>
        </w:rPr>
        <w:footnoteReference w:id="13"/>
      </w:r>
      <w:r w:rsidR="005E18A9">
        <w:t xml:space="preserve"> However, the stole represented in the mosaic is out of date regarding contemporary court and the literal sources and what is left of his wardrobe</w:t>
      </w:r>
      <w:r w:rsidR="00653A7E">
        <w:t xml:space="preserve"> indicate that Roger did not wear a stole.</w:t>
      </w:r>
      <w:r w:rsidR="00653A7E">
        <w:rPr>
          <w:rStyle w:val="FootnoteReference"/>
        </w:rPr>
        <w:footnoteReference w:id="14"/>
      </w:r>
    </w:p>
    <w:p w:rsidR="005C06D9" w:rsidRDefault="001739CE" w:rsidP="0024601C">
      <w:pPr>
        <w:ind w:firstLine="720"/>
      </w:pPr>
      <w:r>
        <w:t xml:space="preserve">It is also important to consider how Christ is depicted in relation to Roger and his rule. </w:t>
      </w:r>
      <w:r w:rsidR="00383368">
        <w:t>It is interesting that Christ is being depicted with the cruciform halo</w:t>
      </w:r>
      <w:r w:rsidR="00132D82">
        <w:t>.</w:t>
      </w:r>
      <w:r w:rsidR="00383368">
        <w:t xml:space="preserve"> </w:t>
      </w:r>
      <w:r w:rsidR="00132D82">
        <w:t>A</w:t>
      </w:r>
      <w:r w:rsidR="00383368">
        <w:t xml:space="preserve"> halo is often symbolic of a </w:t>
      </w:r>
      <w:r w:rsidR="00132D82">
        <w:t>crown,</w:t>
      </w:r>
      <w:r w:rsidR="00383368">
        <w:t xml:space="preserve"> but the cruciform halo suggests redemption through the crucifixion.</w:t>
      </w:r>
      <w:r w:rsidR="00383368">
        <w:rPr>
          <w:rStyle w:val="FootnoteReference"/>
        </w:rPr>
        <w:footnoteReference w:id="15"/>
      </w:r>
      <w:r w:rsidR="00132D82">
        <w:t xml:space="preserve"> Roger’s enemies labelled him a ‘tyrant’ who sided with a heretic,</w:t>
      </w:r>
      <w:r w:rsidR="00132D82">
        <w:rPr>
          <w:rStyle w:val="FootnoteReference"/>
        </w:rPr>
        <w:footnoteReference w:id="16"/>
      </w:r>
      <w:r w:rsidR="00132D82">
        <w:t xml:space="preserve"> but often contradicted themselves after the recognition granted by Pope Innocent II in 1139.</w:t>
      </w:r>
      <w:r w:rsidR="00132D82">
        <w:rPr>
          <w:rStyle w:val="FootnoteReference"/>
        </w:rPr>
        <w:footnoteReference w:id="17"/>
      </w:r>
      <w:r w:rsidR="00132D82">
        <w:t xml:space="preserve"> A cruciform halo could possible represent Christ absolving Roger of past sins placed on him by the church and the Pope </w:t>
      </w:r>
      <w:r w:rsidR="009A6773">
        <w:t xml:space="preserve">and redeems him as king in the eyes of God. </w:t>
      </w:r>
      <w:r w:rsidR="00DF6137">
        <w:t xml:space="preserve">This depiction of Christ is a specific one, specifically of the Byzantine Christ who is often referred to as the </w:t>
      </w:r>
      <w:proofErr w:type="spellStart"/>
      <w:r w:rsidR="00DF6137" w:rsidRPr="005C4C91">
        <w:rPr>
          <w:i/>
        </w:rPr>
        <w:t>Pantocrator</w:t>
      </w:r>
      <w:proofErr w:type="spellEnd"/>
      <w:r w:rsidR="00DF6137">
        <w:t xml:space="preserve"> (creat</w:t>
      </w:r>
      <w:r w:rsidR="00EE29A5">
        <w:t>o</w:t>
      </w:r>
      <w:r w:rsidR="00DF6137">
        <w:t>r of all). Seen as a figure with great dignity, his attributes are a hypnotic glance, right hand raised in blessing and the cruciform halo.</w:t>
      </w:r>
      <w:r w:rsidR="00DF6137">
        <w:rPr>
          <w:rStyle w:val="FootnoteReference"/>
        </w:rPr>
        <w:footnoteReference w:id="18"/>
      </w:r>
      <w:r w:rsidR="00DF6137">
        <w:t xml:space="preserve"> Intriguingly, it is not Christ who is addressing the beholder with his eyes but Roger. It feels as though we are witnessing the crowning and that Roger was always aware of his divine right to rule but wants the onlooker to understand that he has received his kingdom from God. Christ is focused on crowning Roger and uses his blessed right hand to place the crown on Roger’s head. </w:t>
      </w:r>
    </w:p>
    <w:p w:rsidR="00610F75" w:rsidRDefault="00A10908" w:rsidP="00D03769">
      <w:pPr>
        <w:ind w:firstLine="720"/>
      </w:pPr>
      <w:r>
        <w:t xml:space="preserve">It appears Roger wanted to reinforce his divine right to rule, so </w:t>
      </w:r>
      <w:r w:rsidR="00EE29A5">
        <w:t>why</w:t>
      </w:r>
      <w:r>
        <w:t xml:space="preserve"> </w:t>
      </w:r>
      <w:r w:rsidR="00EE29A5">
        <w:t>did they not</w:t>
      </w:r>
      <w:r>
        <w:t xml:space="preserve"> depict the hand of God crowning him? The hand of God can be seen in the mosaic of William II presenting her cathedral to the Virgin Mary in the </w:t>
      </w:r>
      <w:proofErr w:type="spellStart"/>
      <w:r>
        <w:t>Monreale</w:t>
      </w:r>
      <w:proofErr w:type="spellEnd"/>
      <w:r>
        <w:t xml:space="preserve"> Cathedral. He also depicts himself being crowned by </w:t>
      </w:r>
      <w:r w:rsidR="00C443F4">
        <w:t>Christ,</w:t>
      </w:r>
      <w:r>
        <w:t xml:space="preserve"> but it appears he is replicating the work of his Grandfather, Roger II.</w:t>
      </w:r>
      <w:r>
        <w:rPr>
          <w:rStyle w:val="FootnoteReference"/>
        </w:rPr>
        <w:footnoteReference w:id="19"/>
      </w:r>
      <w:r>
        <w:t xml:space="preserve"> </w:t>
      </w:r>
      <w:r w:rsidR="00CC0F43">
        <w:t>It is possible that Roger is drawing parallels between him and Christ. Roger and Christ shared similar doubts from outsiders about their right to rule their assigned thrones, Roger was even denied the crown of Jerusalem where Christ was crucified wearing a crown of thorns.</w:t>
      </w:r>
      <w:r w:rsidR="00FA7788">
        <w:t xml:space="preserve"> Christ was labelled a liar and Roger a ‘tyrant’ </w:t>
      </w:r>
      <w:r w:rsidR="00FA7788">
        <w:lastRenderedPageBreak/>
        <w:t>and ‘usurper’</w:t>
      </w:r>
      <w:r w:rsidR="00116A36">
        <w:t>, he was attacked by his fellow Christians such as Bernard of Clairvaux who wished to tarnish his reputation.</w:t>
      </w:r>
      <w:r w:rsidR="00116A36">
        <w:rPr>
          <w:rStyle w:val="FootnoteReference"/>
        </w:rPr>
        <w:footnoteReference w:id="20"/>
      </w:r>
      <w:r w:rsidR="00CC0F43">
        <w:t xml:space="preserve"> As Christ was punished so was Roger by Pope II who excommunicated him in 1139. Roger was able to crush the papal forces and forced Pope Innocent II to recognise his title and position.</w:t>
      </w:r>
      <w:r w:rsidR="00CC0F43">
        <w:rPr>
          <w:rStyle w:val="FootnoteReference"/>
        </w:rPr>
        <w:footnoteReference w:id="21"/>
      </w:r>
      <w:r w:rsidR="00CC0F43">
        <w:t xml:space="preserve"> As the representative on Earth had failed to recognise Roger’s right to rule, Christ himself has come to crown him and appears to</w:t>
      </w:r>
      <w:r w:rsidR="00D02627">
        <w:t xml:space="preserve"> be</w:t>
      </w:r>
      <w:r w:rsidR="00CC0F43">
        <w:t xml:space="preserve"> floating as if he descended from the heavens. </w:t>
      </w:r>
      <w:r w:rsidR="00E12F98">
        <w:t xml:space="preserve">Christ also appeals to the multitude of religions present in Sicily and imply that Roger is ‘chosen’ </w:t>
      </w:r>
      <w:r w:rsidR="00D644C3">
        <w:t xml:space="preserve">to </w:t>
      </w:r>
      <w:r w:rsidR="00E12F98">
        <w:t>rule his subjects.</w:t>
      </w:r>
      <w:r w:rsidR="00D03769">
        <w:t xml:space="preserve"> Rogers critics later attempt to justify his decisions as ruler, such as Otto of </w:t>
      </w:r>
      <w:proofErr w:type="spellStart"/>
      <w:r w:rsidR="00D03769">
        <w:t>Freising</w:t>
      </w:r>
      <w:proofErr w:type="spellEnd"/>
      <w:r w:rsidR="00D03769">
        <w:t xml:space="preserve"> who writes “there are those who say he does these things in the interest of justice rather than of </w:t>
      </w:r>
      <w:r w:rsidR="005C4C91">
        <w:t>tyranny and</w:t>
      </w:r>
      <w:r w:rsidR="00D03769">
        <w:t xml:space="preserve"> claim that he is more than all the other rulers a lover of peace”.</w:t>
      </w:r>
      <w:r w:rsidR="00D03769">
        <w:rPr>
          <w:rStyle w:val="FootnoteReference"/>
        </w:rPr>
        <w:footnoteReference w:id="22"/>
      </w:r>
    </w:p>
    <w:p w:rsidR="00D03769" w:rsidRDefault="00EE29A5" w:rsidP="00D03769">
      <w:pPr>
        <w:ind w:firstLine="720"/>
      </w:pPr>
      <w:r>
        <w:t>Overall,</w:t>
      </w:r>
      <w:r w:rsidR="007F3936">
        <w:t xml:space="preserve"> the mosaic proves to be an effective tool in conveying the thoughts of rulers as well as their political aims. It appears Roger</w:t>
      </w:r>
      <w:r w:rsidR="00FA7D75">
        <w:t>’s crown was difficult to gain, not only physically but legitimately as a Norman invader. It was the aim of Normans to be regarded as a legitimate people with just aspirations, the mosaic not only suggests that but attempts to silence any way they could be discredited by their rivals.</w:t>
      </w:r>
      <w:r w:rsidR="00930026">
        <w:t xml:space="preserve"> Christ is not only blessing Roger and his reign but also the aspirations of the Norman people, reinforcing that they are guided in their choices by God.</w:t>
      </w:r>
    </w:p>
    <w:p w:rsidR="00930026" w:rsidRDefault="00930026" w:rsidP="00930026"/>
    <w:p w:rsidR="00930026" w:rsidRDefault="00930026" w:rsidP="00930026">
      <w:pPr>
        <w:rPr>
          <w:b/>
        </w:rPr>
      </w:pPr>
      <w:r>
        <w:rPr>
          <w:b/>
        </w:rPr>
        <w:t>Bibliography</w:t>
      </w:r>
    </w:p>
    <w:p w:rsidR="00930026" w:rsidRPr="00930026" w:rsidRDefault="00930026" w:rsidP="00930026">
      <w:pPr>
        <w:pStyle w:val="ListParagraph"/>
        <w:numPr>
          <w:ilvl w:val="0"/>
          <w:numId w:val="2"/>
        </w:numPr>
        <w:rPr>
          <w:b/>
        </w:rPr>
      </w:pPr>
      <w:r>
        <w:t xml:space="preserve">Barber, M. </w:t>
      </w:r>
      <w:r>
        <w:rPr>
          <w:i/>
        </w:rPr>
        <w:t>The Two Cities</w:t>
      </w:r>
      <w:r>
        <w:t>. London: Routledge (1992).</w:t>
      </w:r>
    </w:p>
    <w:p w:rsidR="00A82016" w:rsidRPr="00A82016" w:rsidRDefault="00930026" w:rsidP="00A82016">
      <w:pPr>
        <w:pStyle w:val="ListParagraph"/>
        <w:numPr>
          <w:ilvl w:val="0"/>
          <w:numId w:val="2"/>
        </w:numPr>
        <w:rPr>
          <w:b/>
        </w:rPr>
      </w:pPr>
      <w:r>
        <w:t xml:space="preserve">De </w:t>
      </w:r>
      <w:proofErr w:type="spellStart"/>
      <w:r>
        <w:t>Borchgave</w:t>
      </w:r>
      <w:proofErr w:type="spellEnd"/>
      <w:r>
        <w:t xml:space="preserve">, H. </w:t>
      </w:r>
      <w:r>
        <w:rPr>
          <w:i/>
        </w:rPr>
        <w:t xml:space="preserve">A Journey </w:t>
      </w:r>
      <w:proofErr w:type="gramStart"/>
      <w:r>
        <w:rPr>
          <w:i/>
        </w:rPr>
        <w:t>Into</w:t>
      </w:r>
      <w:proofErr w:type="gramEnd"/>
      <w:r>
        <w:rPr>
          <w:i/>
        </w:rPr>
        <w:t xml:space="preserve"> Christian Art. </w:t>
      </w:r>
      <w:r>
        <w:t>Oxford: A Lion Book (1999).</w:t>
      </w:r>
    </w:p>
    <w:p w:rsidR="00930026" w:rsidRPr="00A82016" w:rsidRDefault="00930026" w:rsidP="00930026">
      <w:pPr>
        <w:pStyle w:val="ListParagraph"/>
        <w:numPr>
          <w:ilvl w:val="0"/>
          <w:numId w:val="2"/>
        </w:numPr>
        <w:rPr>
          <w:b/>
        </w:rPr>
      </w:pPr>
      <w:r>
        <w:t xml:space="preserve">Kitzinger, E. </w:t>
      </w:r>
      <w:r>
        <w:rPr>
          <w:i/>
        </w:rPr>
        <w:t xml:space="preserve">The Mosaics </w:t>
      </w:r>
      <w:proofErr w:type="gramStart"/>
      <w:r>
        <w:rPr>
          <w:i/>
        </w:rPr>
        <w:t>Of</w:t>
      </w:r>
      <w:proofErr w:type="gramEnd"/>
      <w:r>
        <w:rPr>
          <w:i/>
        </w:rPr>
        <w:t xml:space="preserve"> St. Mary’s Of The Admiral In Palermo</w:t>
      </w:r>
      <w:r>
        <w:t xml:space="preserve">. Washington: Dumbarton Oaks Research Library </w:t>
      </w:r>
      <w:proofErr w:type="gramStart"/>
      <w:r>
        <w:t>And</w:t>
      </w:r>
      <w:proofErr w:type="gramEnd"/>
      <w:r>
        <w:t xml:space="preserve"> Collection</w:t>
      </w:r>
      <w:r w:rsidR="00A82016">
        <w:t xml:space="preserve"> (1991).</w:t>
      </w:r>
    </w:p>
    <w:p w:rsidR="00A82016" w:rsidRPr="00A82016" w:rsidRDefault="00A82016" w:rsidP="00930026">
      <w:pPr>
        <w:pStyle w:val="ListParagraph"/>
        <w:numPr>
          <w:ilvl w:val="0"/>
          <w:numId w:val="2"/>
        </w:numPr>
        <w:rPr>
          <w:b/>
        </w:rPr>
      </w:pPr>
      <w:proofErr w:type="spellStart"/>
      <w:r>
        <w:t>Kren</w:t>
      </w:r>
      <w:proofErr w:type="spellEnd"/>
      <w:r>
        <w:t xml:space="preserve">, E. and Marx, D. </w:t>
      </w:r>
      <w:r>
        <w:rPr>
          <w:i/>
        </w:rPr>
        <w:t xml:space="preserve">Web Gallery Of Art. </w:t>
      </w:r>
      <w:r>
        <w:t xml:space="preserve">1996, </w:t>
      </w:r>
      <w:hyperlink r:id="rId8" w:history="1">
        <w:r w:rsidRPr="00AB10B8">
          <w:rPr>
            <w:rStyle w:val="Hyperlink"/>
          </w:rPr>
          <w:t>https://www.wga.hu/html_m/zgothic/mosaics/5monreal/1sanctu5.html</w:t>
        </w:r>
      </w:hyperlink>
      <w:r>
        <w:t xml:space="preserve"> [Accessed 9</w:t>
      </w:r>
      <w:r w:rsidRPr="00A82016">
        <w:rPr>
          <w:vertAlign w:val="superscript"/>
        </w:rPr>
        <w:t>th</w:t>
      </w:r>
      <w:r>
        <w:t xml:space="preserve"> November 2018].</w:t>
      </w:r>
    </w:p>
    <w:p w:rsidR="00A82016" w:rsidRPr="00A82016" w:rsidRDefault="00A82016" w:rsidP="00930026">
      <w:pPr>
        <w:pStyle w:val="ListParagraph"/>
        <w:numPr>
          <w:ilvl w:val="0"/>
          <w:numId w:val="2"/>
        </w:numPr>
        <w:rPr>
          <w:b/>
        </w:rPr>
      </w:pPr>
      <w:r>
        <w:t xml:space="preserve">Marongiu, A. ‘A Model State </w:t>
      </w:r>
      <w:proofErr w:type="gramStart"/>
      <w:r>
        <w:t>In</w:t>
      </w:r>
      <w:proofErr w:type="gramEnd"/>
      <w:r>
        <w:t xml:space="preserve"> The Middle Ages: The Normans And Swabian Kingdom Of Sicily’, </w:t>
      </w:r>
      <w:r>
        <w:rPr>
          <w:i/>
        </w:rPr>
        <w:t xml:space="preserve">Comparative Studies In Society And History, </w:t>
      </w:r>
      <w:r>
        <w:t>6(3) (1964), pp. 307-320.</w:t>
      </w:r>
    </w:p>
    <w:p w:rsidR="00A82016" w:rsidRPr="00A82016" w:rsidRDefault="00A82016" w:rsidP="00930026">
      <w:pPr>
        <w:pStyle w:val="ListParagraph"/>
        <w:numPr>
          <w:ilvl w:val="0"/>
          <w:numId w:val="2"/>
        </w:numPr>
        <w:rPr>
          <w:b/>
        </w:rPr>
      </w:pPr>
      <w:r>
        <w:t xml:space="preserve">Norman, D. ‘The Sicilian Connection: The Imperial Themes </w:t>
      </w:r>
      <w:proofErr w:type="gramStart"/>
      <w:r>
        <w:t>In</w:t>
      </w:r>
      <w:proofErr w:type="gramEnd"/>
      <w:r>
        <w:t xml:space="preserve"> Simone Martini’s St. Louis Of Toulouse Altarpiece’, </w:t>
      </w:r>
      <w:proofErr w:type="spellStart"/>
      <w:r>
        <w:rPr>
          <w:i/>
        </w:rPr>
        <w:t>Gesta</w:t>
      </w:r>
      <w:proofErr w:type="spellEnd"/>
      <w:r>
        <w:rPr>
          <w:i/>
        </w:rPr>
        <w:t xml:space="preserve">, </w:t>
      </w:r>
      <w:r>
        <w:t>53(1) (2014), pp. 25-45.</w:t>
      </w:r>
    </w:p>
    <w:p w:rsidR="00A82016" w:rsidRPr="00A82016" w:rsidRDefault="00A82016" w:rsidP="00930026">
      <w:pPr>
        <w:pStyle w:val="ListParagraph"/>
        <w:numPr>
          <w:ilvl w:val="0"/>
          <w:numId w:val="2"/>
        </w:numPr>
        <w:rPr>
          <w:b/>
        </w:rPr>
      </w:pPr>
      <w:r>
        <w:t xml:space="preserve">Sill, G. </w:t>
      </w:r>
      <w:r>
        <w:rPr>
          <w:i/>
        </w:rPr>
        <w:t xml:space="preserve">A Handbook </w:t>
      </w:r>
      <w:proofErr w:type="gramStart"/>
      <w:r>
        <w:rPr>
          <w:i/>
        </w:rPr>
        <w:t>Of</w:t>
      </w:r>
      <w:proofErr w:type="gramEnd"/>
      <w:r>
        <w:rPr>
          <w:i/>
        </w:rPr>
        <w:t xml:space="preserve"> Symbols In Christian Art. </w:t>
      </w:r>
      <w:r>
        <w:t>New York: Colliers Books (1975).</w:t>
      </w:r>
    </w:p>
    <w:p w:rsidR="00A82016" w:rsidRPr="00930026" w:rsidRDefault="00A82016" w:rsidP="00930026">
      <w:pPr>
        <w:pStyle w:val="ListParagraph"/>
        <w:numPr>
          <w:ilvl w:val="0"/>
          <w:numId w:val="2"/>
        </w:numPr>
        <w:rPr>
          <w:b/>
        </w:rPr>
      </w:pPr>
      <w:proofErr w:type="spellStart"/>
      <w:r>
        <w:t>Wieruszowski</w:t>
      </w:r>
      <w:proofErr w:type="spellEnd"/>
      <w:r>
        <w:t xml:space="preserve">, H. ‘Roger II </w:t>
      </w:r>
      <w:proofErr w:type="gramStart"/>
      <w:r>
        <w:t>Of</w:t>
      </w:r>
      <w:proofErr w:type="gramEnd"/>
      <w:r>
        <w:t xml:space="preserve"> Sicily, Rex-Tyrannus, In Twelfth-Century Political Thought’, </w:t>
      </w:r>
      <w:r>
        <w:rPr>
          <w:i/>
        </w:rPr>
        <w:t xml:space="preserve">Speculum, </w:t>
      </w:r>
      <w:r>
        <w:t>38(1) (1963), pp. 46-78.</w:t>
      </w:r>
    </w:p>
    <w:sectPr w:rsidR="00A82016" w:rsidRPr="009300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0748" w:rsidRDefault="00A60748" w:rsidP="00633D77">
      <w:pPr>
        <w:spacing w:after="0" w:line="240" w:lineRule="auto"/>
      </w:pPr>
      <w:r>
        <w:separator/>
      </w:r>
    </w:p>
  </w:endnote>
  <w:endnote w:type="continuationSeparator" w:id="0">
    <w:p w:rsidR="00A60748" w:rsidRDefault="00A60748" w:rsidP="00633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0748" w:rsidRDefault="00A60748" w:rsidP="00633D77">
      <w:pPr>
        <w:spacing w:after="0" w:line="240" w:lineRule="auto"/>
      </w:pPr>
      <w:r>
        <w:separator/>
      </w:r>
    </w:p>
  </w:footnote>
  <w:footnote w:type="continuationSeparator" w:id="0">
    <w:p w:rsidR="00A60748" w:rsidRDefault="00A60748" w:rsidP="00633D77">
      <w:pPr>
        <w:spacing w:after="0" w:line="240" w:lineRule="auto"/>
      </w:pPr>
      <w:r>
        <w:continuationSeparator/>
      </w:r>
    </w:p>
  </w:footnote>
  <w:footnote w:id="1">
    <w:p w:rsidR="00633D77" w:rsidRPr="006A5120" w:rsidRDefault="00633D77">
      <w:pPr>
        <w:pStyle w:val="FootnoteText"/>
      </w:pPr>
      <w:r>
        <w:rPr>
          <w:rStyle w:val="FootnoteReference"/>
        </w:rPr>
        <w:footnoteRef/>
      </w:r>
      <w:r>
        <w:t xml:space="preserve"> </w:t>
      </w:r>
      <w:r w:rsidR="006A5120">
        <w:t xml:space="preserve">Antonio Marongiu, ‘A Model State </w:t>
      </w:r>
      <w:proofErr w:type="gramStart"/>
      <w:r w:rsidR="006A5120">
        <w:t>In</w:t>
      </w:r>
      <w:proofErr w:type="gramEnd"/>
      <w:r w:rsidR="006A5120">
        <w:t xml:space="preserve"> The Middle Ages: The Norman And Swabian Kingdom Of Sicily’, </w:t>
      </w:r>
      <w:r w:rsidR="006A5120">
        <w:rPr>
          <w:i/>
        </w:rPr>
        <w:t xml:space="preserve">Comparative Studies In Society And History, </w:t>
      </w:r>
      <w:r w:rsidR="006A5120">
        <w:t>6(3) (1964), 307-320 (p. 310).</w:t>
      </w:r>
    </w:p>
  </w:footnote>
  <w:footnote w:id="2">
    <w:p w:rsidR="00772809" w:rsidRPr="00C015CA" w:rsidRDefault="00772809">
      <w:pPr>
        <w:pStyle w:val="FootnoteText"/>
      </w:pPr>
      <w:r>
        <w:rPr>
          <w:rStyle w:val="FootnoteReference"/>
        </w:rPr>
        <w:footnoteRef/>
      </w:r>
      <w:r>
        <w:t xml:space="preserve"> Ernst Kitzinger, </w:t>
      </w:r>
      <w:r>
        <w:rPr>
          <w:i/>
        </w:rPr>
        <w:t xml:space="preserve">The Mosaics </w:t>
      </w:r>
      <w:proofErr w:type="gramStart"/>
      <w:r w:rsidR="008B588F">
        <w:rPr>
          <w:i/>
        </w:rPr>
        <w:t>O</w:t>
      </w:r>
      <w:r>
        <w:rPr>
          <w:i/>
        </w:rPr>
        <w:t>f</w:t>
      </w:r>
      <w:proofErr w:type="gramEnd"/>
      <w:r>
        <w:rPr>
          <w:i/>
        </w:rPr>
        <w:t xml:space="preserve"> St. Mary’s Of The Admiral In Palermo</w:t>
      </w:r>
      <w:r w:rsidR="00C015CA">
        <w:rPr>
          <w:i/>
        </w:rPr>
        <w:t xml:space="preserve"> </w:t>
      </w:r>
      <w:r w:rsidR="00C015CA">
        <w:t xml:space="preserve">(Washington: </w:t>
      </w:r>
      <w:bookmarkStart w:id="1" w:name="_Hlk529553286"/>
      <w:r w:rsidR="00C015CA">
        <w:t>Dumbarton Oaks Research Library And Collection, 1991) p. 189.</w:t>
      </w:r>
    </w:p>
    <w:bookmarkEnd w:id="1"/>
  </w:footnote>
  <w:footnote w:id="3">
    <w:p w:rsidR="006F3140" w:rsidRPr="00B73315" w:rsidRDefault="006F3140">
      <w:pPr>
        <w:pStyle w:val="FootnoteText"/>
      </w:pPr>
      <w:r>
        <w:rPr>
          <w:rStyle w:val="FootnoteReference"/>
        </w:rPr>
        <w:footnoteRef/>
      </w:r>
      <w:r>
        <w:t xml:space="preserve"> </w:t>
      </w:r>
      <w:r w:rsidR="00B73315">
        <w:t xml:space="preserve">Diana Norman, ‘The Sicilian Connection: Imperial Themes </w:t>
      </w:r>
      <w:proofErr w:type="gramStart"/>
      <w:r w:rsidR="00B73315">
        <w:t>In</w:t>
      </w:r>
      <w:proofErr w:type="gramEnd"/>
      <w:r w:rsidR="00B73315">
        <w:t xml:space="preserve"> Simone Martini’s St. Louis Of Toulouse Altarpiece’, </w:t>
      </w:r>
      <w:proofErr w:type="spellStart"/>
      <w:r w:rsidR="00B73315">
        <w:rPr>
          <w:i/>
        </w:rPr>
        <w:t>Gesta</w:t>
      </w:r>
      <w:proofErr w:type="spellEnd"/>
      <w:r w:rsidR="00B73315">
        <w:rPr>
          <w:i/>
        </w:rPr>
        <w:t xml:space="preserve">, </w:t>
      </w:r>
      <w:r w:rsidR="00B73315">
        <w:t>53(1) (2014), 25-45 (p. 30).</w:t>
      </w:r>
    </w:p>
  </w:footnote>
  <w:footnote w:id="4">
    <w:p w:rsidR="00CA3AA9" w:rsidRDefault="00CA3AA9">
      <w:pPr>
        <w:pStyle w:val="FootnoteText"/>
      </w:pPr>
      <w:r>
        <w:rPr>
          <w:rStyle w:val="FootnoteReference"/>
        </w:rPr>
        <w:footnoteRef/>
      </w:r>
      <w:r>
        <w:t xml:space="preserve"> </w:t>
      </w:r>
      <w:r w:rsidR="0024601C">
        <w:t>Antonio Marongiu, ‘A Model State’, p. 313.</w:t>
      </w:r>
    </w:p>
  </w:footnote>
  <w:footnote w:id="5">
    <w:p w:rsidR="0034075A" w:rsidRPr="0034075A" w:rsidRDefault="0034075A">
      <w:pPr>
        <w:pStyle w:val="FootnoteText"/>
      </w:pPr>
      <w:r>
        <w:rPr>
          <w:rStyle w:val="FootnoteReference"/>
        </w:rPr>
        <w:footnoteRef/>
      </w:r>
      <w:r>
        <w:t xml:space="preserve"> Helen </w:t>
      </w:r>
      <w:proofErr w:type="spellStart"/>
      <w:r>
        <w:t>Wieruszowski</w:t>
      </w:r>
      <w:proofErr w:type="spellEnd"/>
      <w:r>
        <w:t xml:space="preserve">, ‘Roger II </w:t>
      </w:r>
      <w:proofErr w:type="gramStart"/>
      <w:r>
        <w:t>Of</w:t>
      </w:r>
      <w:proofErr w:type="gramEnd"/>
      <w:r>
        <w:t xml:space="preserve"> Sicily, Rex-Tyrannus, In Twelfth-Century Political Thought’, </w:t>
      </w:r>
      <w:r>
        <w:rPr>
          <w:i/>
        </w:rPr>
        <w:t xml:space="preserve">Speculum, </w:t>
      </w:r>
      <w:r>
        <w:t>38(1) (1963), 46-78 (p.48).</w:t>
      </w:r>
    </w:p>
  </w:footnote>
  <w:footnote w:id="6">
    <w:p w:rsidR="005F0FEE" w:rsidRPr="008B588F" w:rsidRDefault="005F0FEE">
      <w:pPr>
        <w:pStyle w:val="FootnoteText"/>
      </w:pPr>
      <w:r>
        <w:rPr>
          <w:rStyle w:val="FootnoteReference"/>
        </w:rPr>
        <w:footnoteRef/>
      </w:r>
      <w:r>
        <w:t xml:space="preserve"> </w:t>
      </w:r>
      <w:r w:rsidR="008B588F">
        <w:t xml:space="preserve">Malcom Barber, </w:t>
      </w:r>
      <w:r w:rsidR="008B588F">
        <w:rPr>
          <w:i/>
        </w:rPr>
        <w:t xml:space="preserve">The Two Cities </w:t>
      </w:r>
      <w:r w:rsidR="008B588F">
        <w:t>(London: Routledge, 1992) p. 218.</w:t>
      </w:r>
    </w:p>
  </w:footnote>
  <w:footnote w:id="7">
    <w:p w:rsidR="00C322A1" w:rsidRDefault="00C322A1">
      <w:pPr>
        <w:pStyle w:val="FootnoteText"/>
      </w:pPr>
      <w:r>
        <w:rPr>
          <w:rStyle w:val="FootnoteReference"/>
        </w:rPr>
        <w:footnoteRef/>
      </w:r>
      <w:r>
        <w:t xml:space="preserve"> Diana Norman, ‘The Sicilian Connection’, p. 29.</w:t>
      </w:r>
    </w:p>
  </w:footnote>
  <w:footnote w:id="8">
    <w:p w:rsidR="00392F44" w:rsidRDefault="00392F44">
      <w:pPr>
        <w:pStyle w:val="FootnoteText"/>
      </w:pPr>
      <w:r>
        <w:rPr>
          <w:rStyle w:val="FootnoteReference"/>
        </w:rPr>
        <w:footnoteRef/>
      </w:r>
      <w:r>
        <w:t xml:space="preserve"> Ibid. </w:t>
      </w:r>
    </w:p>
  </w:footnote>
  <w:footnote w:id="9">
    <w:p w:rsidR="00963868" w:rsidRPr="00963868" w:rsidRDefault="00963868">
      <w:pPr>
        <w:pStyle w:val="FootnoteText"/>
      </w:pPr>
      <w:r>
        <w:rPr>
          <w:rStyle w:val="FootnoteReference"/>
        </w:rPr>
        <w:footnoteRef/>
      </w:r>
      <w:r>
        <w:t xml:space="preserve"> G. Sill, </w:t>
      </w:r>
      <w:r>
        <w:rPr>
          <w:i/>
        </w:rPr>
        <w:t xml:space="preserve">A Handbook </w:t>
      </w:r>
      <w:proofErr w:type="gramStart"/>
      <w:r>
        <w:rPr>
          <w:i/>
        </w:rPr>
        <w:t>Of</w:t>
      </w:r>
      <w:proofErr w:type="gramEnd"/>
      <w:r>
        <w:rPr>
          <w:i/>
        </w:rPr>
        <w:t xml:space="preserve"> Symbols In Christian Art </w:t>
      </w:r>
      <w:r>
        <w:t>(New York: Collier Books, 1975) p. 29.</w:t>
      </w:r>
    </w:p>
  </w:footnote>
  <w:footnote w:id="10">
    <w:p w:rsidR="005412A6" w:rsidRDefault="005412A6">
      <w:pPr>
        <w:pStyle w:val="FootnoteText"/>
      </w:pPr>
      <w:r>
        <w:rPr>
          <w:rStyle w:val="FootnoteReference"/>
        </w:rPr>
        <w:footnoteRef/>
      </w:r>
      <w:r>
        <w:t xml:space="preserve"> Diana Norman, ‘The Sicilian Connection’, p.</w:t>
      </w:r>
      <w:r w:rsidR="00595B7C">
        <w:t xml:space="preserve"> </w:t>
      </w:r>
      <w:r>
        <w:t>32.</w:t>
      </w:r>
    </w:p>
  </w:footnote>
  <w:footnote w:id="11">
    <w:p w:rsidR="005412A6" w:rsidRDefault="005412A6">
      <w:pPr>
        <w:pStyle w:val="FootnoteText"/>
      </w:pPr>
      <w:r>
        <w:rPr>
          <w:rStyle w:val="FootnoteReference"/>
        </w:rPr>
        <w:footnoteRef/>
      </w:r>
      <w:r>
        <w:t xml:space="preserve"> Ibid. p. 31.</w:t>
      </w:r>
    </w:p>
  </w:footnote>
  <w:footnote w:id="12">
    <w:p w:rsidR="00595B7C" w:rsidRPr="00595B7C" w:rsidRDefault="00595B7C">
      <w:pPr>
        <w:pStyle w:val="FootnoteText"/>
      </w:pPr>
      <w:r>
        <w:rPr>
          <w:rStyle w:val="FootnoteReference"/>
        </w:rPr>
        <w:footnoteRef/>
      </w:r>
      <w:r>
        <w:t xml:space="preserve"> Ernst Kitzinger, </w:t>
      </w:r>
      <w:r>
        <w:rPr>
          <w:i/>
        </w:rPr>
        <w:t xml:space="preserve">The Mosaic Of, </w:t>
      </w:r>
      <w:r>
        <w:t>p. 190.</w:t>
      </w:r>
    </w:p>
  </w:footnote>
  <w:footnote w:id="13">
    <w:p w:rsidR="005E18A9" w:rsidRDefault="005E18A9">
      <w:pPr>
        <w:pStyle w:val="FootnoteText"/>
      </w:pPr>
      <w:r>
        <w:rPr>
          <w:rStyle w:val="FootnoteReference"/>
        </w:rPr>
        <w:footnoteRef/>
      </w:r>
      <w:r>
        <w:t xml:space="preserve"> Ibid. p. 191.</w:t>
      </w:r>
    </w:p>
  </w:footnote>
  <w:footnote w:id="14">
    <w:p w:rsidR="00653A7E" w:rsidRDefault="00653A7E">
      <w:pPr>
        <w:pStyle w:val="FootnoteText"/>
      </w:pPr>
      <w:r>
        <w:rPr>
          <w:rStyle w:val="FootnoteReference"/>
        </w:rPr>
        <w:footnoteRef/>
      </w:r>
      <w:r>
        <w:t xml:space="preserve"> Ibid. p. 192.</w:t>
      </w:r>
    </w:p>
  </w:footnote>
  <w:footnote w:id="15">
    <w:p w:rsidR="00383368" w:rsidRPr="00383368" w:rsidRDefault="00383368">
      <w:pPr>
        <w:pStyle w:val="FootnoteText"/>
      </w:pPr>
      <w:r>
        <w:rPr>
          <w:rStyle w:val="FootnoteReference"/>
        </w:rPr>
        <w:footnoteRef/>
      </w:r>
      <w:r>
        <w:t xml:space="preserve"> G. Sill, </w:t>
      </w:r>
      <w:r>
        <w:rPr>
          <w:i/>
        </w:rPr>
        <w:t xml:space="preserve">A Handbook Of, </w:t>
      </w:r>
      <w:r>
        <w:t>pp. 59-60.</w:t>
      </w:r>
    </w:p>
  </w:footnote>
  <w:footnote w:id="16">
    <w:p w:rsidR="00132D82" w:rsidRDefault="00132D82">
      <w:pPr>
        <w:pStyle w:val="FootnoteText"/>
      </w:pPr>
      <w:r>
        <w:rPr>
          <w:rStyle w:val="FootnoteReference"/>
        </w:rPr>
        <w:footnoteRef/>
      </w:r>
      <w:r>
        <w:t xml:space="preserve"> Helen </w:t>
      </w:r>
      <w:proofErr w:type="spellStart"/>
      <w:r>
        <w:t>Wieruszowski</w:t>
      </w:r>
      <w:proofErr w:type="spellEnd"/>
      <w:r>
        <w:t>, ‘Roger II Of’, pp. 55-57.</w:t>
      </w:r>
    </w:p>
  </w:footnote>
  <w:footnote w:id="17">
    <w:p w:rsidR="00132D82" w:rsidRDefault="00132D82">
      <w:pPr>
        <w:pStyle w:val="FootnoteText"/>
      </w:pPr>
      <w:r>
        <w:rPr>
          <w:rStyle w:val="FootnoteReference"/>
        </w:rPr>
        <w:footnoteRef/>
      </w:r>
      <w:r>
        <w:t xml:space="preserve"> Ibid. p.49.</w:t>
      </w:r>
    </w:p>
  </w:footnote>
  <w:footnote w:id="18">
    <w:p w:rsidR="00DF6137" w:rsidRPr="00DF6137" w:rsidRDefault="00DF6137">
      <w:pPr>
        <w:pStyle w:val="FootnoteText"/>
      </w:pPr>
      <w:r>
        <w:rPr>
          <w:rStyle w:val="FootnoteReference"/>
        </w:rPr>
        <w:footnoteRef/>
      </w:r>
      <w:r>
        <w:t xml:space="preserve"> G. Sill, </w:t>
      </w:r>
      <w:r>
        <w:rPr>
          <w:i/>
        </w:rPr>
        <w:t xml:space="preserve">A Handbook Of, </w:t>
      </w:r>
      <w:r>
        <w:t>p.69.</w:t>
      </w:r>
    </w:p>
  </w:footnote>
  <w:footnote w:id="19">
    <w:p w:rsidR="00A10908" w:rsidRPr="00A10908" w:rsidRDefault="00A10908">
      <w:pPr>
        <w:pStyle w:val="FootnoteText"/>
      </w:pPr>
      <w:r>
        <w:rPr>
          <w:rStyle w:val="FootnoteReference"/>
        </w:rPr>
        <w:footnoteRef/>
      </w:r>
      <w:r>
        <w:t xml:space="preserve"> Emily </w:t>
      </w:r>
      <w:proofErr w:type="spellStart"/>
      <w:r>
        <w:t>Kren</w:t>
      </w:r>
      <w:proofErr w:type="spellEnd"/>
      <w:r>
        <w:t xml:space="preserve"> and Daniel Marx, </w:t>
      </w:r>
      <w:r>
        <w:rPr>
          <w:i/>
        </w:rPr>
        <w:t xml:space="preserve">Web Gallery Of Art, </w:t>
      </w:r>
      <w:r>
        <w:t>1996, &lt;</w:t>
      </w:r>
      <w:r w:rsidRPr="00A10908">
        <w:t xml:space="preserve"> </w:t>
      </w:r>
      <w:hyperlink r:id="rId1" w:history="1">
        <w:r w:rsidRPr="00AB10B8">
          <w:rPr>
            <w:rStyle w:val="Hyperlink"/>
          </w:rPr>
          <w:t>https://www.wga.hu/html_m/zgothic/mosaics/5monreal/1sanctu5.html</w:t>
        </w:r>
      </w:hyperlink>
      <w:r>
        <w:t>&gt; [Accessed 9</w:t>
      </w:r>
      <w:r w:rsidRPr="00A10908">
        <w:rPr>
          <w:vertAlign w:val="superscript"/>
        </w:rPr>
        <w:t>th</w:t>
      </w:r>
      <w:r>
        <w:t xml:space="preserve"> November 2018].</w:t>
      </w:r>
    </w:p>
  </w:footnote>
  <w:footnote w:id="20">
    <w:p w:rsidR="00116A36" w:rsidRPr="00116A36" w:rsidRDefault="00116A36">
      <w:pPr>
        <w:pStyle w:val="FootnoteText"/>
      </w:pPr>
      <w:r>
        <w:rPr>
          <w:rStyle w:val="FootnoteReference"/>
        </w:rPr>
        <w:footnoteRef/>
      </w:r>
      <w:r>
        <w:t xml:space="preserve"> Malcom Barber, </w:t>
      </w:r>
      <w:r>
        <w:rPr>
          <w:i/>
        </w:rPr>
        <w:t xml:space="preserve">The Two Cities, </w:t>
      </w:r>
      <w:r>
        <w:t>p. 218.</w:t>
      </w:r>
    </w:p>
  </w:footnote>
  <w:footnote w:id="21">
    <w:p w:rsidR="00CC0F43" w:rsidRPr="00CC0F43" w:rsidRDefault="00CC0F43">
      <w:pPr>
        <w:pStyle w:val="FootnoteText"/>
      </w:pPr>
      <w:r>
        <w:rPr>
          <w:rStyle w:val="FootnoteReference"/>
        </w:rPr>
        <w:footnoteRef/>
      </w:r>
      <w:r w:rsidR="00116A36">
        <w:t>Ibid,</w:t>
      </w:r>
      <w:r>
        <w:rPr>
          <w:i/>
        </w:rPr>
        <w:t xml:space="preserve"> </w:t>
      </w:r>
      <w:r>
        <w:t>p. 220.</w:t>
      </w:r>
    </w:p>
  </w:footnote>
  <w:footnote w:id="22">
    <w:p w:rsidR="00D03769" w:rsidRDefault="00D03769">
      <w:pPr>
        <w:pStyle w:val="FootnoteText"/>
      </w:pPr>
      <w:r>
        <w:rPr>
          <w:rStyle w:val="FootnoteReference"/>
        </w:rPr>
        <w:footnoteRef/>
      </w:r>
      <w:r>
        <w:t xml:space="preserve"> Ibid, p.221.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D55B3"/>
    <w:multiLevelType w:val="hybridMultilevel"/>
    <w:tmpl w:val="1430E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70BD0"/>
    <w:multiLevelType w:val="hybridMultilevel"/>
    <w:tmpl w:val="CADE4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D77"/>
    <w:rsid w:val="0002241A"/>
    <w:rsid w:val="000B7F1D"/>
    <w:rsid w:val="00116A36"/>
    <w:rsid w:val="00132D82"/>
    <w:rsid w:val="001407B2"/>
    <w:rsid w:val="001739CE"/>
    <w:rsid w:val="00194902"/>
    <w:rsid w:val="0024601C"/>
    <w:rsid w:val="002E2144"/>
    <w:rsid w:val="0032796E"/>
    <w:rsid w:val="0034075A"/>
    <w:rsid w:val="00383368"/>
    <w:rsid w:val="00392F44"/>
    <w:rsid w:val="0040481A"/>
    <w:rsid w:val="00457E63"/>
    <w:rsid w:val="00472BBE"/>
    <w:rsid w:val="004F1C2C"/>
    <w:rsid w:val="005412A6"/>
    <w:rsid w:val="00560E24"/>
    <w:rsid w:val="005872FC"/>
    <w:rsid w:val="00587AAF"/>
    <w:rsid w:val="00595B7C"/>
    <w:rsid w:val="005C06D9"/>
    <w:rsid w:val="005C4C91"/>
    <w:rsid w:val="005E18A9"/>
    <w:rsid w:val="005F0FEE"/>
    <w:rsid w:val="00610F75"/>
    <w:rsid w:val="00633D77"/>
    <w:rsid w:val="00653A7E"/>
    <w:rsid w:val="006A5120"/>
    <w:rsid w:val="006F3140"/>
    <w:rsid w:val="00716E85"/>
    <w:rsid w:val="00743507"/>
    <w:rsid w:val="00772809"/>
    <w:rsid w:val="0077548D"/>
    <w:rsid w:val="007A778E"/>
    <w:rsid w:val="007F3936"/>
    <w:rsid w:val="0081247E"/>
    <w:rsid w:val="008B2BA8"/>
    <w:rsid w:val="008B588F"/>
    <w:rsid w:val="008D663B"/>
    <w:rsid w:val="0092401A"/>
    <w:rsid w:val="00930026"/>
    <w:rsid w:val="00931AFE"/>
    <w:rsid w:val="00963868"/>
    <w:rsid w:val="009A6773"/>
    <w:rsid w:val="00A10908"/>
    <w:rsid w:val="00A427D9"/>
    <w:rsid w:val="00A60748"/>
    <w:rsid w:val="00A82016"/>
    <w:rsid w:val="00B61A4C"/>
    <w:rsid w:val="00B67D18"/>
    <w:rsid w:val="00B73315"/>
    <w:rsid w:val="00BA57A0"/>
    <w:rsid w:val="00C015CA"/>
    <w:rsid w:val="00C260A4"/>
    <w:rsid w:val="00C322A1"/>
    <w:rsid w:val="00C443F4"/>
    <w:rsid w:val="00CA3AA9"/>
    <w:rsid w:val="00CC0F43"/>
    <w:rsid w:val="00D02627"/>
    <w:rsid w:val="00D03769"/>
    <w:rsid w:val="00D644C3"/>
    <w:rsid w:val="00DA29AF"/>
    <w:rsid w:val="00DF6137"/>
    <w:rsid w:val="00E12F98"/>
    <w:rsid w:val="00E25AA2"/>
    <w:rsid w:val="00EE29A5"/>
    <w:rsid w:val="00F73795"/>
    <w:rsid w:val="00FA7788"/>
    <w:rsid w:val="00FA7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4E5DB4"/>
  <w15:chartTrackingRefBased/>
  <w15:docId w15:val="{20692D4A-587E-425C-9D81-778E4272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3D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3D77"/>
    <w:rPr>
      <w:sz w:val="20"/>
      <w:szCs w:val="20"/>
    </w:rPr>
  </w:style>
  <w:style w:type="character" w:styleId="FootnoteReference">
    <w:name w:val="footnote reference"/>
    <w:basedOn w:val="DefaultParagraphFont"/>
    <w:uiPriority w:val="99"/>
    <w:semiHidden/>
    <w:unhideWhenUsed/>
    <w:rsid w:val="00633D77"/>
    <w:rPr>
      <w:vertAlign w:val="superscript"/>
    </w:rPr>
  </w:style>
  <w:style w:type="character" w:styleId="Hyperlink">
    <w:name w:val="Hyperlink"/>
    <w:basedOn w:val="DefaultParagraphFont"/>
    <w:uiPriority w:val="99"/>
    <w:unhideWhenUsed/>
    <w:rsid w:val="00A10908"/>
    <w:rPr>
      <w:color w:val="0563C1" w:themeColor="hyperlink"/>
      <w:u w:val="single"/>
    </w:rPr>
  </w:style>
  <w:style w:type="character" w:styleId="UnresolvedMention">
    <w:name w:val="Unresolved Mention"/>
    <w:basedOn w:val="DefaultParagraphFont"/>
    <w:uiPriority w:val="99"/>
    <w:semiHidden/>
    <w:unhideWhenUsed/>
    <w:rsid w:val="00A10908"/>
    <w:rPr>
      <w:color w:val="605E5C"/>
      <w:shd w:val="clear" w:color="auto" w:fill="E1DFDD"/>
    </w:rPr>
  </w:style>
  <w:style w:type="paragraph" w:styleId="ListParagraph">
    <w:name w:val="List Paragraph"/>
    <w:basedOn w:val="Normal"/>
    <w:uiPriority w:val="34"/>
    <w:qFormat/>
    <w:rsid w:val="009300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ga.hu/html_m/zgothic/mosaics/5monreal/1sanctu5.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wga.hu/html_m/zgothic/mosaics/5monreal/1sanctu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DBB3C-14C5-4A25-B82A-5F9C7F0AF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3</Pages>
  <Words>1490</Words>
  <Characters>7080</Characters>
  <Application>Microsoft Office Word</Application>
  <DocSecurity>0</DocSecurity>
  <Lines>186</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38</cp:revision>
  <dcterms:created xsi:type="dcterms:W3CDTF">2018-11-09T12:01:00Z</dcterms:created>
  <dcterms:modified xsi:type="dcterms:W3CDTF">2018-11-09T20:59:00Z</dcterms:modified>
</cp:coreProperties>
</file>