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1948AA" w:rsidRPr="00C1588F" w:rsidRDefault="001948AA">
      <w:pPr>
        <w:numPr>
          <w:ilvl w:val="0"/>
          <w:numId w:val="5"/>
        </w:numPr>
        <w:rPr>
          <w:rFonts w:ascii="Franklin Gothic Book" w:hAnsi="Franklin Gothic Book"/>
          <w:sz w:val="22"/>
        </w:rPr>
      </w:pPr>
      <w:r w:rsidRPr="00C1588F">
        <w:rPr>
          <w:rFonts w:ascii="Franklin Gothic Book" w:hAnsi="Franklin Gothic Book"/>
          <w:sz w:val="22"/>
        </w:rPr>
        <w:t>The counterculture – ‘flamboyant political and aesthetic protest among educated American youth’.</w:t>
      </w:r>
      <w:r w:rsidRPr="00C1588F">
        <w:rPr>
          <w:rStyle w:val="FootnoteReference"/>
          <w:rFonts w:ascii="Franklin Gothic Book" w:hAnsi="Franklin Gothic Book"/>
          <w:sz w:val="22"/>
        </w:rPr>
        <w:footnoteReference w:id="1"/>
      </w:r>
      <w:r w:rsidRPr="00C1588F">
        <w:rPr>
          <w:rFonts w:ascii="Franklin Gothic Book" w:hAnsi="Franklin Gothic Book"/>
          <w:sz w:val="22"/>
        </w:rPr>
        <w:t xml:space="preserve"> </w:t>
      </w:r>
    </w:p>
    <w:p w:rsidR="001948AA" w:rsidRPr="00C1588F" w:rsidRDefault="001948AA">
      <w:pPr>
        <w:numPr>
          <w:ilvl w:val="0"/>
          <w:numId w:val="6"/>
        </w:numPr>
        <w:rPr>
          <w:rFonts w:ascii="Franklin Gothic Book" w:hAnsi="Franklin Gothic Book"/>
          <w:sz w:val="22"/>
        </w:rPr>
      </w:pPr>
      <w:r w:rsidRPr="00C1588F">
        <w:rPr>
          <w:rFonts w:ascii="Franklin Gothic Book" w:hAnsi="Franklin Gothic Book"/>
          <w:sz w:val="22"/>
        </w:rPr>
        <w:t>Susan Love Brown</w:t>
      </w:r>
      <w:r w:rsidRPr="00C1588F">
        <w:rPr>
          <w:rStyle w:val="FootnoteReference"/>
          <w:rFonts w:ascii="Franklin Gothic Book" w:hAnsi="Franklin Gothic Book"/>
          <w:sz w:val="22"/>
        </w:rPr>
        <w:footnoteReference w:id="2"/>
      </w:r>
      <w:r w:rsidRPr="00C1588F">
        <w:rPr>
          <w:rFonts w:ascii="Franklin Gothic Book" w:hAnsi="Franklin Gothic Book"/>
          <w:sz w:val="22"/>
        </w:rPr>
        <w:t xml:space="preserve">: Baby-boomers: those born between 1946 and 1964. </w:t>
      </w:r>
    </w:p>
    <w:p w:rsidR="001948AA" w:rsidRPr="00C1588F" w:rsidRDefault="001948AA">
      <w:pPr>
        <w:ind w:firstLine="360"/>
        <w:rPr>
          <w:rFonts w:ascii="Franklin Gothic Book" w:hAnsi="Franklin Gothic Book"/>
          <w:sz w:val="22"/>
        </w:rPr>
      </w:pPr>
      <w:r w:rsidRPr="00C1588F">
        <w:rPr>
          <w:rFonts w:ascii="Franklin Gothic Book" w:hAnsi="Franklin Gothic Book"/>
          <w:sz w:val="22"/>
        </w:rPr>
        <w:t xml:space="preserve">‘Baby boomers see the world in a different light’. </w:t>
      </w:r>
    </w:p>
    <w:p w:rsidR="001948AA" w:rsidRPr="00C1588F" w:rsidRDefault="001948AA">
      <w:pPr>
        <w:ind w:left="360"/>
        <w:rPr>
          <w:rFonts w:ascii="Franklin Gothic Book" w:hAnsi="Franklin Gothic Book"/>
          <w:sz w:val="22"/>
        </w:rPr>
      </w:pPr>
      <w:r w:rsidRPr="00C1588F">
        <w:rPr>
          <w:rFonts w:ascii="Franklin Gothic Book" w:hAnsi="Franklin Gothic Book"/>
          <w:sz w:val="22"/>
        </w:rPr>
        <w:t xml:space="preserve">In 1946, 100,000 babies per month </w:t>
      </w:r>
      <w:r w:rsidRPr="00C1588F">
        <w:rPr>
          <w:rFonts w:ascii="Franklin Gothic Book" w:hAnsi="Franklin Gothic Book"/>
          <w:i/>
          <w:sz w:val="22"/>
        </w:rPr>
        <w:t>more</w:t>
      </w:r>
      <w:r w:rsidRPr="00C1588F">
        <w:rPr>
          <w:rFonts w:ascii="Franklin Gothic Book" w:hAnsi="Franklin Gothic Book"/>
          <w:sz w:val="22"/>
        </w:rPr>
        <w:t xml:space="preserve"> than previous year.  By the end of 1946 there were 3.4 million babies.  </w:t>
      </w:r>
    </w:p>
    <w:p w:rsidR="001948AA" w:rsidRPr="00C1588F" w:rsidRDefault="001948AA">
      <w:pPr>
        <w:ind w:left="360"/>
        <w:rPr>
          <w:rFonts w:ascii="Franklin Gothic Book" w:hAnsi="Franklin Gothic Book"/>
          <w:sz w:val="22"/>
        </w:rPr>
      </w:pPr>
      <w:r w:rsidRPr="00C1588F">
        <w:rPr>
          <w:rFonts w:ascii="Franklin Gothic Book" w:hAnsi="Franklin Gothic Book"/>
          <w:sz w:val="22"/>
        </w:rPr>
        <w:t xml:space="preserve">In 1946, 8,000 households had televisions.  In 1948 this had risen to 100,000.  In 1950 the figure was 3.9million.  By 1959 it was 50 million. </w:t>
      </w:r>
    </w:p>
    <w:p w:rsidR="001948AA" w:rsidRPr="00C1588F" w:rsidRDefault="001948AA">
      <w:pPr>
        <w:ind w:left="360"/>
        <w:rPr>
          <w:rFonts w:ascii="Franklin Gothic Book" w:hAnsi="Franklin Gothic Book"/>
          <w:sz w:val="22"/>
        </w:rPr>
      </w:pPr>
      <w:r w:rsidRPr="00C1588F">
        <w:rPr>
          <w:rFonts w:ascii="Franklin Gothic Book" w:hAnsi="Franklin Gothic Book"/>
          <w:sz w:val="22"/>
        </w:rPr>
        <w:t>Therefore, the baby boomers were the first generation to be affected by mass communication.  ‘Teenager’ became a common word, with its own culture.</w:t>
      </w:r>
    </w:p>
    <w:p w:rsidR="001948AA" w:rsidRPr="00C1588F" w:rsidRDefault="001948AA">
      <w:pPr>
        <w:pStyle w:val="BodyTextIndent"/>
        <w:numPr>
          <w:ilvl w:val="0"/>
          <w:numId w:val="20"/>
        </w:numPr>
        <w:rPr>
          <w:rFonts w:ascii="Franklin Gothic Book" w:hAnsi="Franklin Gothic Book"/>
          <w:sz w:val="22"/>
        </w:rPr>
      </w:pPr>
      <w:r w:rsidRPr="00C1588F">
        <w:rPr>
          <w:rFonts w:ascii="Franklin Gothic Book" w:hAnsi="Franklin Gothic Book"/>
          <w:sz w:val="22"/>
        </w:rPr>
        <w:t>Dimension of the counterculture: eastern mysticism; experimentation with psychedelic drugs which ‘became associated with various utopian and mystical ideas’.</w:t>
      </w:r>
      <w:r w:rsidR="003A4D39" w:rsidRPr="00C1588F">
        <w:rPr>
          <w:rStyle w:val="FootnoteReference"/>
          <w:rFonts w:ascii="Franklin Gothic Book" w:hAnsi="Franklin Gothic Book"/>
          <w:sz w:val="22"/>
        </w:rPr>
        <w:footnoteReference w:id="3"/>
      </w:r>
      <w:r w:rsidRPr="00C1588F">
        <w:rPr>
          <w:rFonts w:ascii="Franklin Gothic Book" w:hAnsi="Franklin Gothic Book"/>
          <w:sz w:val="22"/>
        </w:rPr>
        <w:t xml:space="preserve"> Popularised by Timothy Leary and Richard Alpert (Baba Ram Das) who both linked psychedelic drug experiences to eastern symbols; the growth of political activism. </w:t>
      </w:r>
    </w:p>
    <w:p w:rsidR="001948AA" w:rsidRPr="00C1588F" w:rsidRDefault="001948AA">
      <w:pPr>
        <w:numPr>
          <w:ilvl w:val="0"/>
          <w:numId w:val="21"/>
        </w:numPr>
        <w:rPr>
          <w:rFonts w:ascii="Franklin Gothic Book" w:hAnsi="Franklin Gothic Book"/>
          <w:sz w:val="22"/>
        </w:rPr>
      </w:pPr>
      <w:r w:rsidRPr="00C1588F">
        <w:rPr>
          <w:rFonts w:ascii="Franklin Gothic Book" w:hAnsi="Franklin Gothic Book"/>
          <w:sz w:val="22"/>
        </w:rPr>
        <w:t>Steven Tipton</w:t>
      </w:r>
      <w:r w:rsidRPr="00C1588F">
        <w:rPr>
          <w:rStyle w:val="FootnoteReference"/>
          <w:rFonts w:ascii="Franklin Gothic Book" w:hAnsi="Franklin Gothic Book"/>
          <w:sz w:val="22"/>
        </w:rPr>
        <w:footnoteReference w:id="4"/>
      </w:r>
      <w:r w:rsidRPr="00C1588F">
        <w:rPr>
          <w:rFonts w:ascii="Franklin Gothic Book" w:hAnsi="Franklin Gothic Book"/>
          <w:sz w:val="22"/>
        </w:rPr>
        <w:t xml:space="preserve"> argues that the NRMs of the 1970s onwards are ‘successor movements’ to the counterculture. </w:t>
      </w:r>
    </w:p>
    <w:p w:rsidR="001948AA" w:rsidRPr="00C1588F" w:rsidRDefault="001948AA">
      <w:pPr>
        <w:numPr>
          <w:ilvl w:val="0"/>
          <w:numId w:val="22"/>
        </w:numPr>
        <w:rPr>
          <w:rFonts w:ascii="Franklin Gothic Book" w:hAnsi="Franklin Gothic Book"/>
          <w:sz w:val="22"/>
        </w:rPr>
      </w:pPr>
      <w:r w:rsidRPr="00C1588F">
        <w:rPr>
          <w:rFonts w:ascii="Franklin Gothic Book" w:hAnsi="Franklin Gothic Book"/>
          <w:sz w:val="22"/>
        </w:rPr>
        <w:t xml:space="preserve">3 strands to this revival in religious activity: Christian groups; eastern NRMs; self or psychological traditions. </w:t>
      </w:r>
    </w:p>
    <w:p w:rsidR="001948AA" w:rsidRPr="00C1588F" w:rsidRDefault="001948AA">
      <w:pPr>
        <w:numPr>
          <w:ilvl w:val="0"/>
          <w:numId w:val="23"/>
        </w:numPr>
        <w:rPr>
          <w:rFonts w:ascii="Franklin Gothic Book" w:hAnsi="Franklin Gothic Book"/>
          <w:sz w:val="22"/>
        </w:rPr>
      </w:pPr>
      <w:r w:rsidRPr="00C1588F">
        <w:rPr>
          <w:rFonts w:ascii="Franklin Gothic Book" w:hAnsi="Franklin Gothic Book"/>
          <w:sz w:val="22"/>
        </w:rPr>
        <w:t xml:space="preserve">Repeal of Oriental Exclusion Act in 1965.  </w:t>
      </w:r>
    </w:p>
    <w:p w:rsidR="001948AA" w:rsidRPr="00C1588F" w:rsidRDefault="001948AA">
      <w:pPr>
        <w:numPr>
          <w:ilvl w:val="0"/>
          <w:numId w:val="24"/>
        </w:numPr>
        <w:rPr>
          <w:rFonts w:ascii="Franklin Gothic Book" w:hAnsi="Franklin Gothic Book"/>
          <w:sz w:val="22"/>
        </w:rPr>
      </w:pPr>
      <w:r w:rsidRPr="00C1588F">
        <w:rPr>
          <w:rFonts w:ascii="Franklin Gothic Book" w:hAnsi="Franklin Gothic Book"/>
          <w:sz w:val="22"/>
        </w:rPr>
        <w:t xml:space="preserve">Robbins talks of ‘normalisation’ and decline.  Mainstreamed.  Growth and conversion became decline and deconversion.  </w:t>
      </w:r>
    </w:p>
    <w:p w:rsidR="001948AA" w:rsidRPr="00C1588F" w:rsidRDefault="001948AA">
      <w:pPr>
        <w:numPr>
          <w:ilvl w:val="0"/>
          <w:numId w:val="28"/>
        </w:numPr>
        <w:rPr>
          <w:rFonts w:ascii="Franklin Gothic Book" w:hAnsi="Franklin Gothic Book"/>
          <w:sz w:val="22"/>
        </w:rPr>
      </w:pPr>
      <w:r w:rsidRPr="00C1588F">
        <w:rPr>
          <w:rFonts w:ascii="Franklin Gothic Book" w:hAnsi="Franklin Gothic Book"/>
          <w:sz w:val="22"/>
        </w:rPr>
        <w:t>Significance of NRMs may be read in very different ways: they may be seen as a part of the fragmentation and privatisation of belief which, it has been argued, are clear symptoms of an increasingly secular society.  Or, even if most people no longer attend orthodox religious ceremonies, the existence of NRMs means that churches have not been abandoned for secularity.</w:t>
      </w:r>
    </w:p>
    <w:p w:rsidR="001948AA" w:rsidRPr="00C1588F" w:rsidRDefault="001948AA">
      <w:pPr>
        <w:numPr>
          <w:ilvl w:val="0"/>
          <w:numId w:val="25"/>
        </w:numPr>
        <w:rPr>
          <w:rFonts w:ascii="Franklin Gothic Book" w:hAnsi="Franklin Gothic Book"/>
          <w:sz w:val="22"/>
        </w:rPr>
      </w:pPr>
      <w:r w:rsidRPr="00C1588F">
        <w:rPr>
          <w:rFonts w:ascii="Franklin Gothic Book" w:hAnsi="Franklin Gothic Book"/>
          <w:sz w:val="22"/>
        </w:rPr>
        <w:t xml:space="preserve">3 things became evident at the end of WW2: first, </w:t>
      </w:r>
      <w:smartTag w:uri="urn:schemas-microsoft-com:office:smarttags" w:element="country-region">
        <w:smartTag w:uri="urn:schemas-microsoft-com:office:smarttags" w:element="place">
          <w:r w:rsidRPr="00C1588F">
            <w:rPr>
              <w:rFonts w:ascii="Franklin Gothic Book" w:hAnsi="Franklin Gothic Book"/>
              <w:sz w:val="22"/>
            </w:rPr>
            <w:t>Britain</w:t>
          </w:r>
        </w:smartTag>
      </w:smartTag>
      <w:r w:rsidRPr="00C1588F">
        <w:rPr>
          <w:rFonts w:ascii="Franklin Gothic Book" w:hAnsi="Franklin Gothic Book"/>
          <w:sz w:val="22"/>
        </w:rPr>
        <w:t xml:space="preserve"> confused those who predicted the imminent demise of religion.  Second, it showed diversification and variety.  Multifaceted. Third, religious life was complicated and interwoven.  Long established Jewish community, and post-WW2 saw growth of Muslim, Sikh and Hindu communities, in addition to NRMs.</w:t>
      </w:r>
    </w:p>
    <w:p w:rsidR="001948AA" w:rsidRPr="00C1588F" w:rsidRDefault="001948AA">
      <w:pPr>
        <w:numPr>
          <w:ilvl w:val="0"/>
          <w:numId w:val="26"/>
        </w:numPr>
        <w:rPr>
          <w:rFonts w:ascii="Franklin Gothic Book" w:hAnsi="Franklin Gothic Book"/>
          <w:sz w:val="22"/>
        </w:rPr>
      </w:pPr>
      <w:r w:rsidRPr="00C1588F">
        <w:rPr>
          <w:rFonts w:ascii="Franklin Gothic Book" w:hAnsi="Franklin Gothic Book"/>
          <w:i/>
          <w:sz w:val="22"/>
        </w:rPr>
        <w:t>Religiously fragmented, confused and eclectic, yes; simply or straightforwardly secular, no</w:t>
      </w:r>
      <w:r w:rsidRPr="00C1588F">
        <w:rPr>
          <w:rFonts w:ascii="Franklin Gothic Book" w:hAnsi="Franklin Gothic Book"/>
          <w:sz w:val="22"/>
        </w:rPr>
        <w:t>.</w:t>
      </w:r>
      <w:r w:rsidRPr="00C1588F">
        <w:rPr>
          <w:rStyle w:val="FootnoteReference"/>
          <w:rFonts w:ascii="Franklin Gothic Book" w:hAnsi="Franklin Gothic Book"/>
          <w:sz w:val="22"/>
        </w:rPr>
        <w:footnoteReference w:id="5"/>
      </w:r>
    </w:p>
    <w:p w:rsidR="001948AA" w:rsidRPr="00C1588F" w:rsidRDefault="001948AA">
      <w:pPr>
        <w:pStyle w:val="BodyText"/>
        <w:numPr>
          <w:ilvl w:val="0"/>
          <w:numId w:val="27"/>
        </w:numPr>
        <w:rPr>
          <w:rFonts w:ascii="Franklin Gothic Book" w:hAnsi="Franklin Gothic Book"/>
          <w:sz w:val="22"/>
        </w:rPr>
      </w:pPr>
      <w:r w:rsidRPr="00C1588F">
        <w:rPr>
          <w:rFonts w:ascii="Franklin Gothic Book" w:hAnsi="Franklin Gothic Book"/>
          <w:sz w:val="22"/>
        </w:rPr>
        <w:t>'Pick and Mix' popular religiosity in a 'supermarket' of faiths'.</w:t>
      </w:r>
      <w:r w:rsidRPr="00C1588F">
        <w:rPr>
          <w:rStyle w:val="FootnoteReference"/>
          <w:rFonts w:ascii="Franklin Gothic Book" w:hAnsi="Franklin Gothic Book"/>
          <w:sz w:val="22"/>
        </w:rPr>
        <w:footnoteReference w:id="6"/>
      </w:r>
      <w:r w:rsidRPr="00C1588F">
        <w:rPr>
          <w:rFonts w:ascii="Franklin Gothic Book" w:hAnsi="Franklin Gothic Book"/>
          <w:sz w:val="22"/>
        </w:rPr>
        <w:t xml:space="preserve"> </w:t>
      </w:r>
    </w:p>
    <w:p w:rsidR="00E06DAB" w:rsidRPr="00C1588F" w:rsidRDefault="00E06DAB" w:rsidP="00E06DAB">
      <w:pPr>
        <w:pStyle w:val="BodyText"/>
        <w:rPr>
          <w:rFonts w:ascii="Franklin Gothic Book" w:hAnsi="Franklin Gothic Book"/>
          <w:sz w:val="22"/>
        </w:rPr>
      </w:pPr>
    </w:p>
    <w:sectPr w:rsidR="00E06DAB" w:rsidRPr="00C1588F">
      <w:headerReference w:type="default" r:id="rId8"/>
      <w:footerReference w:type="even" r:id="rId9"/>
      <w:pgSz w:w="12240" w:h="15840"/>
      <w:pgMar w:top="1440" w:right="1800" w:bottom="1440" w:left="1800" w:header="720" w:footer="720" w:gutter="0"/>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B632E4" w:rsidRDefault="00B632E4">
      <w:r>
        <w:separator/>
      </w:r>
    </w:p>
  </w:endnote>
  <w:endnote w:type="continuationSeparator" w:id="0">
    <w:p w:rsidR="00B632E4" w:rsidRDefault="00B632E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omic Sans MS">
    <w:panose1 w:val="030F0702030302020204"/>
    <w:charset w:val="00"/>
    <w:family w:val="script"/>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Franklin Gothic Book">
    <w:panose1 w:val="020B0503020102020204"/>
    <w:charset w:val="00"/>
    <w:family w:val="swiss"/>
    <w:pitch w:val="variable"/>
    <w:sig w:usb0="00000287" w:usb1="00000000" w:usb2="00000000" w:usb3="00000000" w:csb0="0000009F" w:csb1="00000000"/>
  </w:font>
  <w:font w:name="Verdana">
    <w:panose1 w:val="020B0604030504040204"/>
    <w:charset w:val="00"/>
    <w:family w:val="swiss"/>
    <w:pitch w:val="variable"/>
    <w:sig w:usb0="A10006FF" w:usb1="4000205B" w:usb2="00000010" w:usb3="00000000" w:csb0="0000019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D25C27" w:rsidRDefault="00D25C27">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rsidR="00D25C27" w:rsidRDefault="00D25C2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B632E4" w:rsidRDefault="00B632E4">
      <w:r>
        <w:separator/>
      </w:r>
    </w:p>
  </w:footnote>
  <w:footnote w:type="continuationSeparator" w:id="0">
    <w:p w:rsidR="00B632E4" w:rsidRDefault="00B632E4">
      <w:r>
        <w:continuationSeparator/>
      </w:r>
    </w:p>
  </w:footnote>
  <w:footnote w:id="1">
    <w:p w:rsidR="00D25C27" w:rsidRPr="00C1588F" w:rsidRDefault="00D25C27">
      <w:pPr>
        <w:tabs>
          <w:tab w:val="left" w:pos="5245"/>
        </w:tabs>
        <w:jc w:val="both"/>
        <w:rPr>
          <w:rFonts w:ascii="Franklin Gothic Book" w:hAnsi="Franklin Gothic Book"/>
          <w:sz w:val="20"/>
        </w:rPr>
      </w:pPr>
      <w:r w:rsidRPr="00C1588F">
        <w:rPr>
          <w:rStyle w:val="FootnoteReference"/>
          <w:rFonts w:ascii="Franklin Gothic Book" w:hAnsi="Franklin Gothic Book"/>
          <w:sz w:val="20"/>
        </w:rPr>
        <w:footnoteRef/>
      </w:r>
      <w:r w:rsidRPr="00C1588F">
        <w:rPr>
          <w:rFonts w:ascii="Franklin Gothic Book" w:hAnsi="Franklin Gothic Book"/>
          <w:sz w:val="20"/>
        </w:rPr>
        <w:t xml:space="preserve"> Robbins, T (1998) </w:t>
      </w:r>
      <w:r w:rsidRPr="00C1588F">
        <w:rPr>
          <w:rFonts w:ascii="Franklin Gothic Book" w:hAnsi="Franklin Gothic Book"/>
          <w:i/>
          <w:sz w:val="20"/>
        </w:rPr>
        <w:t>Cults, Converts and Charisma</w:t>
      </w:r>
      <w:r w:rsidRPr="00C1588F">
        <w:rPr>
          <w:rFonts w:ascii="Franklin Gothic Book" w:hAnsi="Franklin Gothic Book"/>
          <w:sz w:val="20"/>
        </w:rPr>
        <w:t xml:space="preserve">, </w:t>
      </w:r>
      <w:smartTag w:uri="urn:schemas-microsoft-com:office:smarttags" w:element="City">
        <w:smartTag w:uri="urn:schemas-microsoft-com:office:smarttags" w:element="place">
          <w:r w:rsidRPr="00C1588F">
            <w:rPr>
              <w:rFonts w:ascii="Franklin Gothic Book" w:hAnsi="Franklin Gothic Book"/>
              <w:sz w:val="20"/>
            </w:rPr>
            <w:t>London</w:t>
          </w:r>
        </w:smartTag>
      </w:smartTag>
      <w:r w:rsidRPr="00C1588F">
        <w:rPr>
          <w:rFonts w:ascii="Franklin Gothic Book" w:hAnsi="Franklin Gothic Book"/>
          <w:sz w:val="20"/>
        </w:rPr>
        <w:t>, Sage Publications.</w:t>
      </w:r>
    </w:p>
  </w:footnote>
  <w:footnote w:id="2">
    <w:p w:rsidR="00D25C27" w:rsidRPr="00C1588F" w:rsidRDefault="00D25C27">
      <w:pPr>
        <w:rPr>
          <w:rFonts w:ascii="Franklin Gothic Book" w:hAnsi="Franklin Gothic Book"/>
          <w:sz w:val="20"/>
        </w:rPr>
      </w:pPr>
      <w:r w:rsidRPr="00C1588F">
        <w:rPr>
          <w:rStyle w:val="FootnoteReference"/>
          <w:rFonts w:ascii="Franklin Gothic Book" w:hAnsi="Franklin Gothic Book"/>
          <w:sz w:val="20"/>
        </w:rPr>
        <w:footnoteRef/>
      </w:r>
      <w:r w:rsidRPr="00C1588F">
        <w:rPr>
          <w:rFonts w:ascii="Franklin Gothic Book" w:hAnsi="Franklin Gothic Book"/>
          <w:sz w:val="20"/>
        </w:rPr>
        <w:t xml:space="preserve"> ‘Baby Boomers, American Character, and the New Age: A Synthesis, in Lewis, JR &amp; Melton, JG eds (1992) </w:t>
      </w:r>
      <w:r w:rsidRPr="00C1588F">
        <w:rPr>
          <w:rFonts w:ascii="Franklin Gothic Book" w:hAnsi="Franklin Gothic Book"/>
          <w:i/>
          <w:sz w:val="20"/>
        </w:rPr>
        <w:t>Perspectives on the New Age</w:t>
      </w:r>
      <w:r w:rsidRPr="00C1588F">
        <w:rPr>
          <w:rFonts w:ascii="Franklin Gothic Book" w:hAnsi="Franklin Gothic Book"/>
          <w:sz w:val="20"/>
        </w:rPr>
        <w:t xml:space="preserve">, </w:t>
      </w:r>
      <w:smartTag w:uri="urn:schemas-microsoft-com:office:smarttags" w:element="City">
        <w:r w:rsidRPr="00C1588F">
          <w:rPr>
            <w:rFonts w:ascii="Franklin Gothic Book" w:hAnsi="Franklin Gothic Book"/>
            <w:sz w:val="20"/>
          </w:rPr>
          <w:t>Albany</w:t>
        </w:r>
      </w:smartTag>
      <w:r w:rsidRPr="00C1588F">
        <w:rPr>
          <w:rFonts w:ascii="Franklin Gothic Book" w:hAnsi="Franklin Gothic Book"/>
          <w:sz w:val="20"/>
        </w:rPr>
        <w:t xml:space="preserve">, State University of </w:t>
      </w:r>
      <w:smartTag w:uri="urn:schemas-microsoft-com:office:smarttags" w:element="State">
        <w:smartTag w:uri="urn:schemas-microsoft-com:office:smarttags" w:element="place">
          <w:r w:rsidRPr="00C1588F">
            <w:rPr>
              <w:rFonts w:ascii="Franklin Gothic Book" w:hAnsi="Franklin Gothic Book"/>
              <w:sz w:val="20"/>
            </w:rPr>
            <w:t>New York</w:t>
          </w:r>
        </w:smartTag>
      </w:smartTag>
      <w:r w:rsidRPr="00C1588F">
        <w:rPr>
          <w:rFonts w:ascii="Franklin Gothic Book" w:hAnsi="Franklin Gothic Book"/>
          <w:sz w:val="20"/>
        </w:rPr>
        <w:t xml:space="preserve"> Press.</w:t>
      </w:r>
    </w:p>
  </w:footnote>
  <w:footnote w:id="3">
    <w:p w:rsidR="00D25C27" w:rsidRPr="00C1588F" w:rsidRDefault="00D25C27">
      <w:pPr>
        <w:pStyle w:val="FootnoteText"/>
        <w:rPr>
          <w:rFonts w:ascii="Franklin Gothic Book" w:hAnsi="Franklin Gothic Book"/>
        </w:rPr>
      </w:pPr>
      <w:r w:rsidRPr="00C1588F">
        <w:rPr>
          <w:rStyle w:val="FootnoteReference"/>
          <w:rFonts w:ascii="Franklin Gothic Book" w:hAnsi="Franklin Gothic Book"/>
        </w:rPr>
        <w:footnoteRef/>
      </w:r>
      <w:r w:rsidRPr="00C1588F">
        <w:rPr>
          <w:rFonts w:ascii="Franklin Gothic Book" w:hAnsi="Franklin Gothic Book"/>
        </w:rPr>
        <w:t xml:space="preserve"> Robbins</w:t>
      </w:r>
      <w:r w:rsidR="00536E24">
        <w:rPr>
          <w:rFonts w:ascii="Franklin Gothic Book" w:hAnsi="Franklin Gothic Book"/>
        </w:rPr>
        <w:t>.</w:t>
      </w:r>
      <w:bookmarkStart w:id="0" w:name="_GoBack"/>
      <w:bookmarkEnd w:id="0"/>
    </w:p>
  </w:footnote>
  <w:footnote w:id="4">
    <w:p w:rsidR="00D25C27" w:rsidRPr="00C1588F" w:rsidRDefault="00D25C27">
      <w:pPr>
        <w:tabs>
          <w:tab w:val="left" w:pos="5245"/>
        </w:tabs>
        <w:jc w:val="both"/>
        <w:rPr>
          <w:rFonts w:ascii="Franklin Gothic Book" w:hAnsi="Franklin Gothic Book"/>
          <w:sz w:val="20"/>
        </w:rPr>
      </w:pPr>
      <w:r w:rsidRPr="00C1588F">
        <w:rPr>
          <w:rStyle w:val="FootnoteReference"/>
          <w:rFonts w:ascii="Franklin Gothic Book" w:hAnsi="Franklin Gothic Book"/>
          <w:sz w:val="20"/>
        </w:rPr>
        <w:footnoteRef/>
      </w:r>
      <w:r w:rsidRPr="00C1588F">
        <w:rPr>
          <w:rFonts w:ascii="Franklin Gothic Book" w:hAnsi="Franklin Gothic Book"/>
          <w:sz w:val="20"/>
        </w:rPr>
        <w:t xml:space="preserve"> Tipton, SM (1982) </w:t>
      </w:r>
      <w:r w:rsidRPr="00C1588F">
        <w:rPr>
          <w:rFonts w:ascii="Franklin Gothic Book" w:hAnsi="Franklin Gothic Book"/>
          <w:i/>
          <w:sz w:val="20"/>
        </w:rPr>
        <w:t>Getting Saved from the Sixties</w:t>
      </w:r>
      <w:r w:rsidRPr="00C1588F">
        <w:rPr>
          <w:rFonts w:ascii="Franklin Gothic Book" w:hAnsi="Franklin Gothic Book"/>
          <w:sz w:val="20"/>
        </w:rPr>
        <w:t xml:space="preserve">, </w:t>
      </w:r>
      <w:smartTag w:uri="urn:schemas-microsoft-com:office:smarttags" w:element="State">
        <w:r w:rsidRPr="00C1588F">
          <w:rPr>
            <w:rFonts w:ascii="Franklin Gothic Book" w:hAnsi="Franklin Gothic Book"/>
            <w:sz w:val="20"/>
          </w:rPr>
          <w:t>California</w:t>
        </w:r>
      </w:smartTag>
      <w:r w:rsidRPr="00C1588F">
        <w:rPr>
          <w:rFonts w:ascii="Franklin Gothic Book" w:hAnsi="Franklin Gothic Book"/>
          <w:sz w:val="20"/>
        </w:rPr>
        <w:t xml:space="preserve">, </w:t>
      </w:r>
      <w:smartTag w:uri="urn:schemas-microsoft-com:office:smarttags" w:element="place">
        <w:smartTag w:uri="urn:schemas-microsoft-com:office:smarttags" w:element="PlaceType">
          <w:r w:rsidRPr="00C1588F">
            <w:rPr>
              <w:rFonts w:ascii="Franklin Gothic Book" w:hAnsi="Franklin Gothic Book"/>
              <w:sz w:val="20"/>
            </w:rPr>
            <w:t>University</w:t>
          </w:r>
        </w:smartTag>
        <w:r w:rsidRPr="00C1588F">
          <w:rPr>
            <w:rFonts w:ascii="Franklin Gothic Book" w:hAnsi="Franklin Gothic Book"/>
            <w:sz w:val="20"/>
          </w:rPr>
          <w:t xml:space="preserve"> of </w:t>
        </w:r>
        <w:smartTag w:uri="urn:schemas-microsoft-com:office:smarttags" w:element="PlaceName">
          <w:r w:rsidRPr="00C1588F">
            <w:rPr>
              <w:rFonts w:ascii="Franklin Gothic Book" w:hAnsi="Franklin Gothic Book"/>
              <w:sz w:val="20"/>
            </w:rPr>
            <w:t>California</w:t>
          </w:r>
        </w:smartTag>
      </w:smartTag>
      <w:r w:rsidRPr="00C1588F">
        <w:rPr>
          <w:rFonts w:ascii="Franklin Gothic Book" w:hAnsi="Franklin Gothic Book"/>
          <w:sz w:val="20"/>
        </w:rPr>
        <w:t xml:space="preserve"> Press.</w:t>
      </w:r>
    </w:p>
  </w:footnote>
  <w:footnote w:id="5">
    <w:p w:rsidR="00D25C27" w:rsidRPr="00C1588F" w:rsidRDefault="00D25C27">
      <w:pPr>
        <w:tabs>
          <w:tab w:val="left" w:pos="5245"/>
        </w:tabs>
        <w:jc w:val="both"/>
        <w:rPr>
          <w:rFonts w:ascii="Franklin Gothic Book" w:hAnsi="Franklin Gothic Book"/>
          <w:sz w:val="20"/>
        </w:rPr>
      </w:pPr>
      <w:r w:rsidRPr="00C1588F">
        <w:rPr>
          <w:rStyle w:val="FootnoteReference"/>
          <w:rFonts w:ascii="Franklin Gothic Book" w:hAnsi="Franklin Gothic Book"/>
          <w:sz w:val="20"/>
        </w:rPr>
        <w:footnoteRef/>
      </w:r>
      <w:r w:rsidRPr="00C1588F">
        <w:rPr>
          <w:rFonts w:ascii="Franklin Gothic Book" w:hAnsi="Franklin Gothic Book"/>
          <w:sz w:val="20"/>
        </w:rPr>
        <w:t xml:space="preserve"> Parsons, G ed (1994) </w:t>
      </w:r>
      <w:r w:rsidRPr="00C1588F">
        <w:rPr>
          <w:rFonts w:ascii="Franklin Gothic Book" w:hAnsi="Franklin Gothic Book"/>
          <w:i/>
          <w:sz w:val="20"/>
        </w:rPr>
        <w:t>The Growth of Religious Diversity</w:t>
      </w:r>
      <w:r w:rsidRPr="00C1588F">
        <w:rPr>
          <w:rFonts w:ascii="Franklin Gothic Book" w:hAnsi="Franklin Gothic Book"/>
          <w:sz w:val="20"/>
        </w:rPr>
        <w:t xml:space="preserve">, Issues, </w:t>
      </w:r>
      <w:smartTag w:uri="urn:schemas-microsoft-com:office:smarttags" w:element="place">
        <w:r w:rsidRPr="00C1588F">
          <w:rPr>
            <w:rFonts w:ascii="Franklin Gothic Book" w:hAnsi="Franklin Gothic Book"/>
            <w:sz w:val="20"/>
          </w:rPr>
          <w:t>Milton Keynes</w:t>
        </w:r>
      </w:smartTag>
      <w:r w:rsidRPr="00C1588F">
        <w:rPr>
          <w:rFonts w:ascii="Franklin Gothic Book" w:hAnsi="Franklin Gothic Book"/>
          <w:sz w:val="20"/>
        </w:rPr>
        <w:t>, The Open University Press.</w:t>
      </w:r>
    </w:p>
  </w:footnote>
  <w:footnote w:id="6">
    <w:p w:rsidR="00D25C27" w:rsidRPr="00C1588F" w:rsidRDefault="00D25C27">
      <w:pPr>
        <w:pStyle w:val="FootnoteText"/>
        <w:rPr>
          <w:rFonts w:ascii="Franklin Gothic Book" w:hAnsi="Franklin Gothic Book"/>
        </w:rPr>
      </w:pPr>
      <w:r w:rsidRPr="00C1588F">
        <w:rPr>
          <w:rStyle w:val="FootnoteReference"/>
          <w:rFonts w:ascii="Franklin Gothic Book" w:hAnsi="Franklin Gothic Book"/>
        </w:rPr>
        <w:footnoteRef/>
      </w:r>
      <w:r w:rsidRPr="00C1588F">
        <w:rPr>
          <w:rFonts w:ascii="Franklin Gothic Book" w:hAnsi="Franklin Gothic Book"/>
        </w:rPr>
        <w:t xml:space="preserve"> </w:t>
      </w:r>
      <w:r w:rsidR="00536E24">
        <w:rPr>
          <w:rFonts w:ascii="Franklin Gothic Book" w:hAnsi="Franklin Gothic Book"/>
        </w:rPr>
        <w:t>Parsons</w:t>
      </w:r>
      <w:r w:rsidRPr="00C1588F">
        <w:rPr>
          <w:rFonts w:ascii="Franklin Gothic Book" w:hAnsi="Franklin Gothic Book"/>
        </w:rPr>
        <w:t>.</w:t>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D25C27" w:rsidRPr="00587BBF" w:rsidRDefault="00587BBF" w:rsidP="00587BBF">
    <w:pPr>
      <w:pStyle w:val="Header"/>
      <w:jc w:val="center"/>
    </w:pPr>
    <w:r>
      <w:rPr>
        <w:rFonts w:ascii="Verdana" w:hAnsi="Verdana"/>
        <w:sz w:val="20"/>
      </w:rPr>
      <w:t>TRRS5008</w:t>
    </w:r>
    <w:r w:rsidRPr="001466AA">
      <w:rPr>
        <w:rFonts w:ascii="Verdana" w:hAnsi="Verdana"/>
        <w:sz w:val="20"/>
      </w:rPr>
      <w:t xml:space="preserve"> </w:t>
    </w:r>
    <w:r>
      <w:rPr>
        <w:rFonts w:ascii="Verdana" w:hAnsi="Verdana"/>
        <w:sz w:val="20"/>
      </w:rPr>
      <w:t>Sects, Self and Society: Alternative Spiritualities in the West</w:t>
    </w:r>
    <w:r>
      <w:rPr>
        <w:rFonts w:ascii="Verdana" w:hAnsi="Verdana"/>
        <w:sz w:val="20"/>
      </w:rPr>
      <w:br/>
      <w:t>Post World War Two Western Society (2)</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11C47C5"/>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1">
    <w:nsid w:val="01A132B8"/>
    <w:multiLevelType w:val="singleLevel"/>
    <w:tmpl w:val="17D23774"/>
    <w:lvl w:ilvl="0">
      <w:start w:val="3"/>
      <w:numFmt w:val="decimal"/>
      <w:lvlText w:val="%1"/>
      <w:lvlJc w:val="left"/>
      <w:pPr>
        <w:tabs>
          <w:tab w:val="num" w:pos="720"/>
        </w:tabs>
        <w:ind w:left="720" w:hanging="720"/>
      </w:pPr>
      <w:rPr>
        <w:rFonts w:hint="default"/>
      </w:rPr>
    </w:lvl>
  </w:abstractNum>
  <w:abstractNum w:abstractNumId="2">
    <w:nsid w:val="03284F1B"/>
    <w:multiLevelType w:val="singleLevel"/>
    <w:tmpl w:val="17D23774"/>
    <w:lvl w:ilvl="0">
      <w:start w:val="7"/>
      <w:numFmt w:val="decimal"/>
      <w:lvlText w:val="%1"/>
      <w:lvlJc w:val="left"/>
      <w:pPr>
        <w:tabs>
          <w:tab w:val="num" w:pos="720"/>
        </w:tabs>
        <w:ind w:left="720" w:hanging="720"/>
      </w:pPr>
      <w:rPr>
        <w:rFonts w:hint="default"/>
      </w:rPr>
    </w:lvl>
  </w:abstractNum>
  <w:abstractNum w:abstractNumId="3">
    <w:nsid w:val="064B0B51"/>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4">
    <w:nsid w:val="0A3E13E5"/>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5">
    <w:nsid w:val="0D715874"/>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6">
    <w:nsid w:val="1145397F"/>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7">
    <w:nsid w:val="151D251C"/>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8">
    <w:nsid w:val="23326CBD"/>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9">
    <w:nsid w:val="24F62C24"/>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10">
    <w:nsid w:val="27411194"/>
    <w:multiLevelType w:val="singleLevel"/>
    <w:tmpl w:val="B240CACC"/>
    <w:lvl w:ilvl="0">
      <w:start w:val="1"/>
      <w:numFmt w:val="decimal"/>
      <w:lvlText w:val="%1"/>
      <w:lvlJc w:val="left"/>
      <w:pPr>
        <w:tabs>
          <w:tab w:val="num" w:pos="720"/>
        </w:tabs>
        <w:ind w:left="720" w:hanging="720"/>
      </w:pPr>
      <w:rPr>
        <w:rFonts w:hint="default"/>
      </w:rPr>
    </w:lvl>
  </w:abstractNum>
  <w:abstractNum w:abstractNumId="11">
    <w:nsid w:val="284A4CCE"/>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12">
    <w:nsid w:val="29753763"/>
    <w:multiLevelType w:val="singleLevel"/>
    <w:tmpl w:val="0409000F"/>
    <w:lvl w:ilvl="0">
      <w:start w:val="1"/>
      <w:numFmt w:val="decimal"/>
      <w:lvlText w:val="%1."/>
      <w:lvlJc w:val="left"/>
      <w:pPr>
        <w:tabs>
          <w:tab w:val="num" w:pos="360"/>
        </w:tabs>
        <w:ind w:left="360" w:hanging="360"/>
      </w:pPr>
    </w:lvl>
  </w:abstractNum>
  <w:abstractNum w:abstractNumId="13">
    <w:nsid w:val="2F853BD2"/>
    <w:multiLevelType w:val="singleLevel"/>
    <w:tmpl w:val="B240CACC"/>
    <w:lvl w:ilvl="0">
      <w:start w:val="1"/>
      <w:numFmt w:val="decimal"/>
      <w:lvlText w:val="%1"/>
      <w:lvlJc w:val="left"/>
      <w:pPr>
        <w:tabs>
          <w:tab w:val="num" w:pos="720"/>
        </w:tabs>
        <w:ind w:left="720" w:hanging="720"/>
      </w:pPr>
      <w:rPr>
        <w:rFonts w:hint="default"/>
      </w:rPr>
    </w:lvl>
  </w:abstractNum>
  <w:abstractNum w:abstractNumId="14">
    <w:nsid w:val="35967464"/>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15">
    <w:nsid w:val="36064BE2"/>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16">
    <w:nsid w:val="460203CE"/>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17">
    <w:nsid w:val="532443BD"/>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18">
    <w:nsid w:val="594B4C08"/>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19">
    <w:nsid w:val="5C14255D"/>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20">
    <w:nsid w:val="67EB5EC5"/>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21">
    <w:nsid w:val="695E7E06"/>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22">
    <w:nsid w:val="6AA5781E"/>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23">
    <w:nsid w:val="6D693510"/>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24">
    <w:nsid w:val="6E947D37"/>
    <w:multiLevelType w:val="singleLevel"/>
    <w:tmpl w:val="0409000F"/>
    <w:lvl w:ilvl="0">
      <w:start w:val="1"/>
      <w:numFmt w:val="decimal"/>
      <w:lvlText w:val="%1."/>
      <w:lvlJc w:val="left"/>
      <w:pPr>
        <w:tabs>
          <w:tab w:val="num" w:pos="360"/>
        </w:tabs>
        <w:ind w:left="360" w:hanging="360"/>
      </w:pPr>
    </w:lvl>
  </w:abstractNum>
  <w:abstractNum w:abstractNumId="25">
    <w:nsid w:val="703D2CFA"/>
    <w:multiLevelType w:val="singleLevel"/>
    <w:tmpl w:val="B240CACC"/>
    <w:lvl w:ilvl="0">
      <w:start w:val="1"/>
      <w:numFmt w:val="decimal"/>
      <w:lvlText w:val="%1"/>
      <w:lvlJc w:val="left"/>
      <w:pPr>
        <w:tabs>
          <w:tab w:val="num" w:pos="720"/>
        </w:tabs>
        <w:ind w:left="720" w:hanging="720"/>
      </w:pPr>
      <w:rPr>
        <w:rFonts w:hint="default"/>
      </w:rPr>
    </w:lvl>
  </w:abstractNum>
  <w:abstractNum w:abstractNumId="26">
    <w:nsid w:val="7584232D"/>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27">
    <w:nsid w:val="765B49BC"/>
    <w:multiLevelType w:val="singleLevel"/>
    <w:tmpl w:val="04090001"/>
    <w:lvl w:ilvl="0">
      <w:start w:val="1"/>
      <w:numFmt w:val="bullet"/>
      <w:lvlText w:val=""/>
      <w:lvlJc w:val="left"/>
      <w:pPr>
        <w:tabs>
          <w:tab w:val="num" w:pos="360"/>
        </w:tabs>
        <w:ind w:left="360" w:hanging="360"/>
      </w:pPr>
      <w:rPr>
        <w:rFonts w:ascii="Symbol" w:hAnsi="Symbol" w:hint="default"/>
      </w:rPr>
    </w:lvl>
  </w:abstractNum>
  <w:num w:numId="1">
    <w:abstractNumId w:val="13"/>
  </w:num>
  <w:num w:numId="2">
    <w:abstractNumId w:val="10"/>
  </w:num>
  <w:num w:numId="3">
    <w:abstractNumId w:val="24"/>
  </w:num>
  <w:num w:numId="4">
    <w:abstractNumId w:val="25"/>
  </w:num>
  <w:num w:numId="5">
    <w:abstractNumId w:val="8"/>
  </w:num>
  <w:num w:numId="6">
    <w:abstractNumId w:val="17"/>
  </w:num>
  <w:num w:numId="7">
    <w:abstractNumId w:val="27"/>
  </w:num>
  <w:num w:numId="8">
    <w:abstractNumId w:val="3"/>
  </w:num>
  <w:num w:numId="9">
    <w:abstractNumId w:val="16"/>
  </w:num>
  <w:num w:numId="10">
    <w:abstractNumId w:val="15"/>
  </w:num>
  <w:num w:numId="11">
    <w:abstractNumId w:val="22"/>
  </w:num>
  <w:num w:numId="12">
    <w:abstractNumId w:val="20"/>
  </w:num>
  <w:num w:numId="13">
    <w:abstractNumId w:val="23"/>
  </w:num>
  <w:num w:numId="14">
    <w:abstractNumId w:val="21"/>
  </w:num>
  <w:num w:numId="15">
    <w:abstractNumId w:val="5"/>
  </w:num>
  <w:num w:numId="16">
    <w:abstractNumId w:val="12"/>
  </w:num>
  <w:num w:numId="17">
    <w:abstractNumId w:val="1"/>
  </w:num>
  <w:num w:numId="18">
    <w:abstractNumId w:val="2"/>
  </w:num>
  <w:num w:numId="19">
    <w:abstractNumId w:val="4"/>
  </w:num>
  <w:num w:numId="20">
    <w:abstractNumId w:val="18"/>
  </w:num>
  <w:num w:numId="21">
    <w:abstractNumId w:val="9"/>
  </w:num>
  <w:num w:numId="22">
    <w:abstractNumId w:val="7"/>
  </w:num>
  <w:num w:numId="23">
    <w:abstractNumId w:val="19"/>
  </w:num>
  <w:num w:numId="24">
    <w:abstractNumId w:val="6"/>
  </w:num>
  <w:num w:numId="25">
    <w:abstractNumId w:val="26"/>
  </w:num>
  <w:num w:numId="26">
    <w:abstractNumId w:val="11"/>
  </w:num>
  <w:num w:numId="27">
    <w:abstractNumId w:val="14"/>
  </w:num>
  <w:num w:numId="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06DAB"/>
    <w:rsid w:val="001948AA"/>
    <w:rsid w:val="003A4D39"/>
    <w:rsid w:val="0052060E"/>
    <w:rsid w:val="00536E24"/>
    <w:rsid w:val="00587BBF"/>
    <w:rsid w:val="006B16F8"/>
    <w:rsid w:val="0087226B"/>
    <w:rsid w:val="00B632E4"/>
    <w:rsid w:val="00B7586A"/>
    <w:rsid w:val="00BD0D12"/>
    <w:rsid w:val="00C1588F"/>
    <w:rsid w:val="00D25C27"/>
    <w:rsid w:val="00E06D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martTagType w:namespaceuri="urn:schemas-microsoft-com:office:smarttags" w:name="PlaceType"/>
  <w:smartTagType w:namespaceuri="urn:schemas-microsoft-com:office:smarttags" w:name="PlaceName"/>
  <w:smartTagType w:namespaceuri="urn:schemas-microsoft-com:office:smarttags" w:name="place"/>
  <w:smartTagType w:namespaceuri="urn:schemas-microsoft-com:office:smarttags" w:name="country-region"/>
  <w:smartTagType w:namespaceuri="urn:schemas-microsoft-com:office:smarttags" w:name="City"/>
  <w:smartTagType w:namespaceuri="urn:schemas-microsoft-com:office:smarttags" w:name="State"/>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Pr>
      <w:rFonts w:ascii="Arial" w:hAnsi="Arial"/>
      <w:sz w:val="24"/>
      <w:lang w:eastAsia="en-US"/>
    </w:rPr>
  </w:style>
  <w:style w:type="character" w:default="1" w:styleId="DefaultParagraphFont">
    <w:name w:val="Default Paragraph Font"/>
    <w:semiHidden/>
  </w:style>
  <w:style w:type="table" w:default="1" w:styleId="TableNormal">
    <w:name w:val="Normal Table"/>
    <w:semiHidden/>
    <w:tblPr>
      <w:tblInd w:w="0" w:type="dxa"/>
      <w:tblCellMar>
        <w:top w:w="0" w:type="dxa"/>
        <w:left w:w="108" w:type="dxa"/>
        <w:bottom w:w="0" w:type="dxa"/>
        <w:right w:w="108" w:type="dxa"/>
      </w:tblCellMar>
    </w:tblPr>
  </w:style>
  <w:style w:type="numbering" w:default="1" w:styleId="NoList">
    <w:name w:val="No List"/>
    <w:semiHidden/>
  </w:style>
  <w:style w:type="paragraph" w:styleId="Footer">
    <w:name w:val="footer"/>
    <w:basedOn w:val="Normal"/>
    <w:pPr>
      <w:tabs>
        <w:tab w:val="center" w:pos="4153"/>
        <w:tab w:val="right" w:pos="8306"/>
      </w:tabs>
    </w:pPr>
  </w:style>
  <w:style w:type="character" w:styleId="PageNumber">
    <w:name w:val="page number"/>
    <w:basedOn w:val="DefaultParagraphFont"/>
  </w:style>
  <w:style w:type="paragraph" w:styleId="Header">
    <w:name w:val="header"/>
    <w:basedOn w:val="Normal"/>
    <w:pPr>
      <w:tabs>
        <w:tab w:val="center" w:pos="4153"/>
        <w:tab w:val="right" w:pos="8306"/>
      </w:tabs>
    </w:pPr>
  </w:style>
  <w:style w:type="paragraph" w:styleId="BodyTextIndent">
    <w:name w:val="Body Text Indent"/>
    <w:basedOn w:val="Normal"/>
    <w:pPr>
      <w:ind w:left="720"/>
    </w:pPr>
    <w:rPr>
      <w:rFonts w:ascii="Comic Sans MS" w:hAnsi="Comic Sans MS"/>
    </w:rPr>
  </w:style>
  <w:style w:type="paragraph" w:styleId="BodyTextIndent2">
    <w:name w:val="Body Text Indent 2"/>
    <w:basedOn w:val="Normal"/>
    <w:pPr>
      <w:ind w:left="720" w:hanging="720"/>
    </w:pPr>
    <w:rPr>
      <w:rFonts w:ascii="Comic Sans MS" w:hAnsi="Comic Sans MS"/>
    </w:rPr>
  </w:style>
  <w:style w:type="paragraph" w:styleId="FootnoteText">
    <w:name w:val="footnote text"/>
    <w:basedOn w:val="Normal"/>
    <w:semiHidden/>
    <w:rPr>
      <w:rFonts w:ascii="Comic Sans MS" w:hAnsi="Comic Sans MS"/>
      <w:sz w:val="20"/>
    </w:rPr>
  </w:style>
  <w:style w:type="character" w:styleId="FootnoteReference">
    <w:name w:val="footnote reference"/>
    <w:basedOn w:val="DefaultParagraphFont"/>
    <w:semiHidden/>
    <w:rPr>
      <w:vertAlign w:val="superscript"/>
    </w:rPr>
  </w:style>
  <w:style w:type="paragraph" w:styleId="BodyText">
    <w:name w:val="Body Text"/>
    <w:basedOn w:val="Normal"/>
    <w:pPr>
      <w:pBdr>
        <w:bottom w:val="single" w:sz="6" w:space="1" w:color="auto"/>
      </w:pBdr>
    </w:pPr>
    <w:rPr>
      <w:rFonts w:ascii="Comic Sans MS" w:hAnsi="Comic Sans MS"/>
    </w:rPr>
  </w:style>
  <w:style w:type="paragraph" w:styleId="BalloonText">
    <w:name w:val="Balloon Text"/>
    <w:basedOn w:val="Normal"/>
    <w:semiHidden/>
    <w:rsid w:val="00D25C27"/>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Pr>
      <w:rFonts w:ascii="Arial" w:hAnsi="Arial"/>
      <w:sz w:val="24"/>
      <w:lang w:eastAsia="en-US"/>
    </w:rPr>
  </w:style>
  <w:style w:type="character" w:default="1" w:styleId="DefaultParagraphFont">
    <w:name w:val="Default Paragraph Font"/>
    <w:semiHidden/>
  </w:style>
  <w:style w:type="table" w:default="1" w:styleId="TableNormal">
    <w:name w:val="Normal Table"/>
    <w:semiHidden/>
    <w:tblPr>
      <w:tblInd w:w="0" w:type="dxa"/>
      <w:tblCellMar>
        <w:top w:w="0" w:type="dxa"/>
        <w:left w:w="108" w:type="dxa"/>
        <w:bottom w:w="0" w:type="dxa"/>
        <w:right w:w="108" w:type="dxa"/>
      </w:tblCellMar>
    </w:tblPr>
  </w:style>
  <w:style w:type="numbering" w:default="1" w:styleId="NoList">
    <w:name w:val="No List"/>
    <w:semiHidden/>
  </w:style>
  <w:style w:type="paragraph" w:styleId="Footer">
    <w:name w:val="footer"/>
    <w:basedOn w:val="Normal"/>
    <w:pPr>
      <w:tabs>
        <w:tab w:val="center" w:pos="4153"/>
        <w:tab w:val="right" w:pos="8306"/>
      </w:tabs>
    </w:pPr>
  </w:style>
  <w:style w:type="character" w:styleId="PageNumber">
    <w:name w:val="page number"/>
    <w:basedOn w:val="DefaultParagraphFont"/>
  </w:style>
  <w:style w:type="paragraph" w:styleId="Header">
    <w:name w:val="header"/>
    <w:basedOn w:val="Normal"/>
    <w:pPr>
      <w:tabs>
        <w:tab w:val="center" w:pos="4153"/>
        <w:tab w:val="right" w:pos="8306"/>
      </w:tabs>
    </w:pPr>
  </w:style>
  <w:style w:type="paragraph" w:styleId="BodyTextIndent">
    <w:name w:val="Body Text Indent"/>
    <w:basedOn w:val="Normal"/>
    <w:pPr>
      <w:ind w:left="720"/>
    </w:pPr>
    <w:rPr>
      <w:rFonts w:ascii="Comic Sans MS" w:hAnsi="Comic Sans MS"/>
    </w:rPr>
  </w:style>
  <w:style w:type="paragraph" w:styleId="BodyTextIndent2">
    <w:name w:val="Body Text Indent 2"/>
    <w:basedOn w:val="Normal"/>
    <w:pPr>
      <w:ind w:left="720" w:hanging="720"/>
    </w:pPr>
    <w:rPr>
      <w:rFonts w:ascii="Comic Sans MS" w:hAnsi="Comic Sans MS"/>
    </w:rPr>
  </w:style>
  <w:style w:type="paragraph" w:styleId="FootnoteText">
    <w:name w:val="footnote text"/>
    <w:basedOn w:val="Normal"/>
    <w:semiHidden/>
    <w:rPr>
      <w:rFonts w:ascii="Comic Sans MS" w:hAnsi="Comic Sans MS"/>
      <w:sz w:val="20"/>
    </w:rPr>
  </w:style>
  <w:style w:type="character" w:styleId="FootnoteReference">
    <w:name w:val="footnote reference"/>
    <w:basedOn w:val="DefaultParagraphFont"/>
    <w:semiHidden/>
    <w:rPr>
      <w:vertAlign w:val="superscript"/>
    </w:rPr>
  </w:style>
  <w:style w:type="paragraph" w:styleId="BodyText">
    <w:name w:val="Body Text"/>
    <w:basedOn w:val="Normal"/>
    <w:pPr>
      <w:pBdr>
        <w:bottom w:val="single" w:sz="6" w:space="1" w:color="auto"/>
      </w:pBdr>
    </w:pPr>
    <w:rPr>
      <w:rFonts w:ascii="Comic Sans MS" w:hAnsi="Comic Sans MS"/>
    </w:rPr>
  </w:style>
  <w:style w:type="paragraph" w:styleId="BalloonText">
    <w:name w:val="Balloon Text"/>
    <w:basedOn w:val="Normal"/>
    <w:semiHidden/>
    <w:rsid w:val="00D25C27"/>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targetScreenSz w:val="800x600"/>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1</Pages>
  <Words>331</Words>
  <Characters>1890</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It has been argued that the decline in active church membership and church-going is not a particularly c.20th phenomenon and not even a result of a process of secularisation.  </vt:lpstr>
    </vt:vector>
  </TitlesOfParts>
  <Company/>
  <LinksUpToDate>false</LinksUpToDate>
  <CharactersWithSpaces>2217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It has been argued that the decline in active church membership and church-going is not a particularly c.20th phenomenon and not even a result of a process of secularisation.</dc:title>
  <dc:creator>Academic Computing Service</dc:creator>
  <cp:lastModifiedBy>Sarah</cp:lastModifiedBy>
  <cp:revision>4</cp:revision>
  <cp:lastPrinted>2010-10-17T15:43:00Z</cp:lastPrinted>
  <dcterms:created xsi:type="dcterms:W3CDTF">2012-02-07T21:00:00Z</dcterms:created>
  <dcterms:modified xsi:type="dcterms:W3CDTF">2012-02-07T21:17:00Z</dcterms:modified>
</cp:coreProperties>
</file>