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46ED3" w14:textId="4FD7DFD3" w:rsidR="00A419C8" w:rsidRDefault="00233CAD">
      <w:pPr>
        <w:rPr>
          <w:sz w:val="28"/>
          <w:szCs w:val="28"/>
          <w:lang w:val="en-US"/>
        </w:rPr>
      </w:pPr>
      <w:r w:rsidRPr="00233CAD">
        <w:rPr>
          <w:sz w:val="28"/>
          <w:szCs w:val="28"/>
          <w:lang w:val="en-US"/>
        </w:rPr>
        <w:t>Laura assignment contract law</w:t>
      </w:r>
    </w:p>
    <w:p w14:paraId="19746986" w14:textId="77777777" w:rsidR="00D80D3E" w:rsidRDefault="005321F1" w:rsidP="00EF4C54">
      <w:pPr>
        <w:rPr>
          <w:rFonts w:ascii="Times New Roman" w:eastAsia="Times New Roman" w:hAnsi="Times New Roman" w:cs="Times New Roman"/>
          <w:sz w:val="24"/>
          <w:szCs w:val="24"/>
          <w:lang w:eastAsia="en-GB"/>
        </w:rPr>
      </w:pPr>
      <w:r>
        <w:rPr>
          <w:sz w:val="28"/>
          <w:szCs w:val="28"/>
          <w:lang w:val="en-US"/>
        </w:rPr>
        <w:t>Question (A)</w:t>
      </w:r>
      <w:r w:rsidR="00EF4C54" w:rsidRPr="00EF4C54">
        <w:rPr>
          <w:rFonts w:ascii="Times New Roman" w:eastAsia="Times New Roman" w:hAnsi="Times New Roman" w:cs="Times New Roman"/>
          <w:sz w:val="24"/>
          <w:szCs w:val="24"/>
          <w:lang w:eastAsia="en-GB"/>
        </w:rPr>
        <w:t xml:space="preserve"> </w:t>
      </w:r>
    </w:p>
    <w:p w14:paraId="39ACBE7F" w14:textId="0F2F0235" w:rsidR="003C54BC" w:rsidRPr="00D80D3E" w:rsidRDefault="00D80D3E" w:rsidP="00EF4C54">
      <w:pPr>
        <w:rPr>
          <w:rFonts w:ascii="Times New Roman" w:eastAsia="Times New Roman" w:hAnsi="Times New Roman" w:cs="Times New Roman"/>
          <w:sz w:val="28"/>
          <w:szCs w:val="28"/>
          <w:lang w:eastAsia="en-GB"/>
        </w:rPr>
      </w:pPr>
      <w:r w:rsidRPr="00D80D3E">
        <w:rPr>
          <w:sz w:val="28"/>
          <w:szCs w:val="28"/>
        </w:rPr>
        <w:t>According to Poole (2016), privity of contract is a legal notion that serves as a starting point in common law for parties who engage in a contract with each other that no one else can enter into. This is a common norm that prevents a third party from suing or being sued other than the contracting parties themselves. Atkinson v. Tweddle (1861). However, a third party might be explicitly recognised as a member of the contract under the Contract (Rights of Third Parties Act 1999) s 1 (3).</w:t>
      </w:r>
      <w:r w:rsidRPr="00D80D3E">
        <w:rPr>
          <w:sz w:val="28"/>
          <w:szCs w:val="28"/>
        </w:rPr>
        <w:t xml:space="preserve"> </w:t>
      </w:r>
    </w:p>
    <w:p w14:paraId="3DBA5334" w14:textId="77777777" w:rsidR="000E4BD8" w:rsidRDefault="005321F1">
      <w:pPr>
        <w:rPr>
          <w:sz w:val="28"/>
          <w:szCs w:val="28"/>
          <w:lang w:val="en-US"/>
        </w:rPr>
      </w:pPr>
      <w:r>
        <w:rPr>
          <w:sz w:val="28"/>
          <w:szCs w:val="28"/>
          <w:lang w:val="en-US"/>
        </w:rPr>
        <w:t>Question (B)</w:t>
      </w:r>
      <w:r w:rsidR="00033860">
        <w:rPr>
          <w:sz w:val="28"/>
          <w:szCs w:val="28"/>
          <w:lang w:val="en-US"/>
        </w:rPr>
        <w:t xml:space="preserve"> </w:t>
      </w:r>
    </w:p>
    <w:p w14:paraId="2EBA6FAA" w14:textId="31C5322D" w:rsidR="0060166B" w:rsidRDefault="000E4BD8">
      <w:pPr>
        <w:rPr>
          <w:sz w:val="28"/>
          <w:szCs w:val="28"/>
          <w:lang w:val="en-US"/>
        </w:rPr>
      </w:pPr>
      <w:r w:rsidRPr="000E4BD8">
        <w:rPr>
          <w:sz w:val="28"/>
          <w:szCs w:val="28"/>
        </w:rPr>
        <w:t>Good consideration in a contract is when someone is in a binding contract and has consideration for their employer when something does not go right, meaning they have done all they can to fix it. A bad consideration is when the employee has not considered the employer and does not do anything to put it right.</w:t>
      </w:r>
      <w:r>
        <w:rPr>
          <w:sz w:val="28"/>
          <w:szCs w:val="28"/>
        </w:rPr>
        <w:t xml:space="preserve"> </w:t>
      </w:r>
      <w:r w:rsidR="000441F0" w:rsidRPr="000441F0">
        <w:rPr>
          <w:sz w:val="28"/>
          <w:szCs w:val="28"/>
        </w:rPr>
        <w:t>Past considerations are a commitment given to someone after something has been done before an agreement has been established. Therefore, if one party does anything before the other has agreed to it, the contract is not legitimate and the other party is not liable, as in Roscorla v. Thomas (1842). According to Greenburg (2021), The general rule in contract performance between parties is that if a party was required to complete the entire task they were contracted to do, but only completed a portion of it, they are not entitled to anything.However, there is an exception to past consideration, which stems from the case of Lampliegh v Braithwait (1615), in which Braithwait asked Lampliegh to obtain a pardon from the king, and after Lampliegh obtained the pardon, Braithwait said he would pay him £100 for his trouble in obtaining the pardon, but Baithwait later refused to pay him. Because Braithwait had asked Lamampliegh to intervene, the court determined that the money was due. However, like in the case of Cutter v Powell, this will not support a lawful contract, as in Cutter v Powell.</w:t>
      </w:r>
      <w:r w:rsidR="000441F0">
        <w:rPr>
          <w:sz w:val="28"/>
          <w:szCs w:val="28"/>
        </w:rPr>
        <w:t xml:space="preserve"> </w:t>
      </w:r>
    </w:p>
    <w:p w14:paraId="153A5CD4" w14:textId="77777777" w:rsidR="0054052F" w:rsidRDefault="005321F1" w:rsidP="005D075F">
      <w:pPr>
        <w:rPr>
          <w:sz w:val="28"/>
          <w:szCs w:val="28"/>
          <w:lang w:val="en-US"/>
        </w:rPr>
      </w:pPr>
      <w:r>
        <w:rPr>
          <w:sz w:val="28"/>
          <w:szCs w:val="28"/>
          <w:lang w:val="en-US"/>
        </w:rPr>
        <w:t>Question (C)</w:t>
      </w:r>
      <w:r w:rsidR="00B52F8E">
        <w:rPr>
          <w:sz w:val="28"/>
          <w:szCs w:val="28"/>
          <w:lang w:val="en-US"/>
        </w:rPr>
        <w:t xml:space="preserve"> </w:t>
      </w:r>
    </w:p>
    <w:p w14:paraId="7CD49B59" w14:textId="11EBD8BA" w:rsidR="005C6416" w:rsidRDefault="0054052F" w:rsidP="00B52F8E">
      <w:r w:rsidRPr="0054052F">
        <w:rPr>
          <w:sz w:val="28"/>
          <w:szCs w:val="28"/>
          <w:lang w:val="en-US"/>
        </w:rPr>
        <w:t xml:space="preserve">If a servant engaged for a year dies in the middle of the year, his executor may be entitled to a portion of his earnings in proportion to the time he was worked, according to the decision of Cutler v. Powel (1795). If the servant agreed to receive a greater income on the specific condition of serving the entire year, his executor would not be entitled to any portion of those wages if </w:t>
      </w:r>
      <w:r w:rsidRPr="0054052F">
        <w:rPr>
          <w:sz w:val="28"/>
          <w:szCs w:val="28"/>
          <w:lang w:val="en-US"/>
        </w:rPr>
        <w:lastRenderedPageBreak/>
        <w:t>the servant died before the end of the year.</w:t>
      </w:r>
      <w:r w:rsidRPr="0054052F">
        <w:t xml:space="preserve"> </w:t>
      </w:r>
      <w:r w:rsidRPr="0054052F">
        <w:rPr>
          <w:sz w:val="28"/>
          <w:szCs w:val="28"/>
          <w:lang w:val="en-US"/>
        </w:rPr>
        <w:t xml:space="preserve">However, the privity theory was deemed too punitive under common law by an act of parliament. They introduced exceptions to this rule, the most notable of which was the Contract Right to Third Party Act (1999), which </w:t>
      </w:r>
      <w:r w:rsidR="006A71B5" w:rsidRPr="0054052F">
        <w:rPr>
          <w:sz w:val="28"/>
          <w:szCs w:val="28"/>
          <w:lang w:val="en-US"/>
        </w:rPr>
        <w:t>recognized</w:t>
      </w:r>
      <w:r w:rsidRPr="0054052F">
        <w:rPr>
          <w:sz w:val="28"/>
          <w:szCs w:val="28"/>
          <w:lang w:val="en-US"/>
        </w:rPr>
        <w:t xml:space="preserve"> that a third party should be entitled to rely on a contract in the same way that Jackson did.</w:t>
      </w:r>
      <w:r w:rsidR="005C6416" w:rsidRPr="005C6416">
        <w:t xml:space="preserve"> </w:t>
      </w:r>
      <w:r w:rsidR="005C6416">
        <w:t>I</w:t>
      </w:r>
      <w:r w:rsidR="005C6416" w:rsidRPr="005C6416">
        <w:rPr>
          <w:sz w:val="28"/>
          <w:szCs w:val="28"/>
        </w:rPr>
        <w:t>f the breaching party has essentially met his contract's standard duties, he is entitled to the payment less damages for poor performance. Although the requirement to serve as second mate for the entire voyage was met in the case of Cutter v Powell, if the cutter had continued the voyage, he could have claimed the thirty guineas minus a discount for breach of duty. If a party to a contract fails to properly perform his duties, he is entitled to the fee less the damages for poor service, Hoenig v Isaacs (1952). However, there are numerous exceptions to this rule, including substantial performance, as demonstrated in the case of Bolton v. Mahadeva (1972), in which the judge found that the claimant could not recover the funds owing to him since the claimant's work was inadequate. Divisible or severable performance, which is based on promise and considerations, is another exception. Where there are commitments, as in the case of Ritchie v Atkinson (1808), the claimant's guarantee may not be enforced by the defendant (Black, 2003). And here's another one: partial performance, as in Williams v. Roffey Bros. (1991), where the claimants did not finish the job. According to Merkin and Saintier, Poole's vow was binding (2019 p.154).</w:t>
      </w:r>
      <w:r w:rsidR="002975DF" w:rsidRPr="002975DF">
        <w:t xml:space="preserve"> </w:t>
      </w:r>
    </w:p>
    <w:p w14:paraId="79D18D92" w14:textId="77777777" w:rsidR="006C516F" w:rsidRDefault="00FA7166">
      <w:r>
        <w:rPr>
          <w:sz w:val="28"/>
          <w:szCs w:val="28"/>
          <w:lang w:val="en-US"/>
        </w:rPr>
        <w:t>Question (D)</w:t>
      </w:r>
      <w:r w:rsidR="0029572F" w:rsidRPr="0029572F">
        <w:t xml:space="preserve"> </w:t>
      </w:r>
    </w:p>
    <w:p w14:paraId="4FD6B64A" w14:textId="77777777" w:rsidR="003A7BC5" w:rsidRDefault="006C516F">
      <w:pPr>
        <w:rPr>
          <w:sz w:val="28"/>
          <w:szCs w:val="28"/>
        </w:rPr>
      </w:pPr>
      <w:r>
        <w:rPr>
          <w:sz w:val="28"/>
          <w:szCs w:val="28"/>
        </w:rPr>
        <w:t>A</w:t>
      </w:r>
      <w:r w:rsidRPr="006C516F">
        <w:rPr>
          <w:sz w:val="28"/>
          <w:szCs w:val="28"/>
        </w:rPr>
        <w:t>uthor placed an advertisement in the "Antique Tickers" magazine, claiming that the Rolex watch was for sale and that he was open to serious offers. This means that the Rolex watch is not for sale, but rather an invitation to treat, which means that it is not a contract unless the author accepts an offer from someone who wants to buy it. In order for a contract to be valid, there must be an agreement on an offer and acceptance. An invitation to treat is a commercial, not an offer that can be accepted. It is only when both parties accept the offer that it becomes a contract. However, when Mr. Facey sold a house without his wife's agreement, it was held in Harvey v. Facey (1843) that it was not specifically done.</w:t>
      </w:r>
      <w:r w:rsidRPr="006C516F">
        <w:rPr>
          <w:sz w:val="28"/>
          <w:szCs w:val="28"/>
        </w:rPr>
        <w:t xml:space="preserve"> </w:t>
      </w:r>
    </w:p>
    <w:p w14:paraId="48D502B9" w14:textId="29D5580A" w:rsidR="00004CBE" w:rsidRDefault="003A7BC5">
      <w:pPr>
        <w:rPr>
          <w:sz w:val="28"/>
          <w:szCs w:val="28"/>
        </w:rPr>
      </w:pPr>
      <w:r w:rsidRPr="003A7BC5">
        <w:rPr>
          <w:sz w:val="28"/>
          <w:szCs w:val="28"/>
        </w:rPr>
        <w:t xml:space="preserve">On May 4th, Ben wrote </w:t>
      </w:r>
      <w:r>
        <w:rPr>
          <w:sz w:val="28"/>
          <w:szCs w:val="28"/>
        </w:rPr>
        <w:t>A</w:t>
      </w:r>
      <w:r w:rsidRPr="003A7BC5">
        <w:rPr>
          <w:sz w:val="28"/>
          <w:szCs w:val="28"/>
        </w:rPr>
        <w:t xml:space="preserve">uthor a letter offering to buy the </w:t>
      </w:r>
      <w:r>
        <w:rPr>
          <w:sz w:val="28"/>
          <w:szCs w:val="28"/>
        </w:rPr>
        <w:t>R</w:t>
      </w:r>
      <w:r w:rsidRPr="003A7BC5">
        <w:rPr>
          <w:sz w:val="28"/>
          <w:szCs w:val="28"/>
        </w:rPr>
        <w:t xml:space="preserve">olex watch for the price that the author desired, £15.000 (mirror image), as in Jones v. Daniel (1894). However, the author did not receive the letter until May 7th, and </w:t>
      </w:r>
      <w:r w:rsidRPr="003A7BC5">
        <w:rPr>
          <w:sz w:val="28"/>
          <w:szCs w:val="28"/>
        </w:rPr>
        <w:lastRenderedPageBreak/>
        <w:t>because they had not had any mutual contact prior to May 7th, it is not impossible for them to have reached an agreement, so the postal rule would not apply in this case because it only applies to acceptance, as in Entores v. Miles Far East Corporation and Adams v. Lindsell (1880).</w:t>
      </w:r>
      <w:r>
        <w:rPr>
          <w:sz w:val="28"/>
          <w:szCs w:val="28"/>
        </w:rPr>
        <w:t xml:space="preserve"> </w:t>
      </w:r>
    </w:p>
    <w:p w14:paraId="467F3AC4" w14:textId="77777777" w:rsidR="00C646D3" w:rsidRPr="00C646D3" w:rsidRDefault="00004CBE" w:rsidP="00C646D3">
      <w:pPr>
        <w:rPr>
          <w:sz w:val="28"/>
          <w:szCs w:val="28"/>
        </w:rPr>
      </w:pPr>
      <w:r w:rsidRPr="00004CBE">
        <w:rPr>
          <w:sz w:val="28"/>
          <w:szCs w:val="28"/>
        </w:rPr>
        <w:t>Because Author</w:t>
      </w:r>
      <w:r w:rsidRPr="00004CBE">
        <w:rPr>
          <w:sz w:val="28"/>
          <w:szCs w:val="28"/>
        </w:rPr>
        <w:t xml:space="preserve"> had no contact with Ben before contacting Christine and Denise, the Rolex watch would be willing to sell to either Christine or Denise as long as it is accepted before the letter arrives, as he had no agreement prior to receiving the letter and accepting his offer by mail. He didn't receive it until May 7th. To be in a contract, both of you would have to agree on an offer. Also, because the postal rule only applies to acceptance, it would not apply in this scenario. Lindsell v. Adams (1880). Christine countered the offer by offering to buy the watch for £11,000 on the same day, May 5th. The author, on the other hand, denied her counter offer but was willing to accept £13,000 in exchange. </w:t>
      </w:r>
      <w:r w:rsidR="00DC4A1E" w:rsidRPr="00DC4A1E">
        <w:rPr>
          <w:sz w:val="28"/>
          <w:szCs w:val="28"/>
        </w:rPr>
        <w:t>This would be regarded as a retraction of the offer, and the author would only be liable if he had stated that he would keep the offer open and Christine considered it (Routledge v Grant 1828). Christine then responded by saying she would have been able to pay £11,000 right away and another £2,000 at the end of the month, thus making a counter offer. The author, on the other hand, had not agreed to that offer because he had not read the email, and in order for both sides to be in agreement, an offer and acceptance must be made without additional argument,</w:t>
      </w:r>
      <w:r w:rsidR="00DC4A1E">
        <w:t> </w:t>
      </w:r>
      <w:r w:rsidR="001C5714" w:rsidRPr="001C5714">
        <w:rPr>
          <w:sz w:val="28"/>
          <w:szCs w:val="28"/>
        </w:rPr>
        <w:t>as in Hyde v. Wrench (1840).</w:t>
      </w:r>
      <w:r w:rsidR="00DC4A1E" w:rsidRPr="00DC4A1E">
        <w:t xml:space="preserve"> </w:t>
      </w:r>
      <w:r w:rsidR="00DC4A1E" w:rsidRPr="00DC4A1E">
        <w:rPr>
          <w:sz w:val="28"/>
          <w:szCs w:val="28"/>
        </w:rPr>
        <w:t>Denise inquired on May 6th, at 11 a.m., expressing his interest in the watch. The author expressed his desire for it. This, however, is not considered an offer; Denise then offered to buy the watch for $13,000, which is identical to the price requested by the author on May 6th at 11 a.m., and thus this is not considered an offer</w:t>
      </w:r>
      <w:r w:rsidR="00DC4A1E">
        <w:rPr>
          <w:sz w:val="28"/>
          <w:szCs w:val="28"/>
        </w:rPr>
        <w:t xml:space="preserve">, </w:t>
      </w:r>
      <w:r w:rsidR="00C646D3">
        <w:rPr>
          <w:sz w:val="28"/>
          <w:szCs w:val="28"/>
        </w:rPr>
        <w:t>a</w:t>
      </w:r>
      <w:r w:rsidR="00DC4A1E" w:rsidRPr="00DC4A1E">
        <w:rPr>
          <w:sz w:val="28"/>
          <w:szCs w:val="28"/>
        </w:rPr>
        <w:t>s in the case of Pickfords Ltd v Celestica Ltd (2003), the author may have acted in such a way with Christine and Denise that his actions could be applied objectively and seen as if he had accepted the offer. Once the item has been sold, withdrawn, or cancelled, time has passed, death has occurred, or no one wants it, the offer will come to an end. That would mean that the offer was ended before Denise replied at 5pm on the 6</w:t>
      </w:r>
      <w:r w:rsidR="00DC4A1E" w:rsidRPr="00DC4A1E">
        <w:rPr>
          <w:sz w:val="28"/>
          <w:szCs w:val="28"/>
          <w:vertAlign w:val="superscript"/>
        </w:rPr>
        <w:t>th</w:t>
      </w:r>
      <w:r w:rsidR="00DC4A1E" w:rsidRPr="00DC4A1E">
        <w:rPr>
          <w:sz w:val="28"/>
          <w:szCs w:val="28"/>
        </w:rPr>
        <w:t xml:space="preserve"> May. My advice to the author is that he appears to have sold the Rolex watch to Christine at 2 p.m. on May 5. When the author and Christine discussed negotiating a price for the Rolex watch, the author stated that the Rolex watch was still for sale and that he would accept £13,000 for the Rolex watch. Christine agreed to pay the asking fee in two instalments and was waiting for the author's response, but it's unclear if the author has accepted or refused </w:t>
      </w:r>
      <w:r w:rsidR="00DC4A1E" w:rsidRPr="00DC4A1E">
        <w:rPr>
          <w:sz w:val="28"/>
          <w:szCs w:val="28"/>
        </w:rPr>
        <w:lastRenderedPageBreak/>
        <w:t>Christine's offer at this moment. As in Stevenson, Jacques &amp; Co v Mclean (1880),</w:t>
      </w:r>
      <w:r w:rsidR="00C646D3" w:rsidRPr="00C646D3">
        <w:t xml:space="preserve"> </w:t>
      </w:r>
      <w:r w:rsidR="00C646D3" w:rsidRPr="00C646D3">
        <w:rPr>
          <w:sz w:val="28"/>
          <w:szCs w:val="28"/>
        </w:rPr>
        <w:t>However, if the author had agreed to Christine’s offer, then he would have entered into a contract. Regardless of whether Christine responded or not, it would then become a binding contract between the author and Christine.Because it was agreed upon in the conversation they had on the 5th of May. There has to be some form of communication between the offeree and the offeror, and the offer must be clearly accepted. Meanwhile, Denise expressed interest in purchasing the Rolex watch on May 6th at 11 a.m., to which the author replied that he wanted £13,000 for it. This was a special offer. The author had not sold the Rolex watch to either Christine or Denise at this point because he had not responded to either of them.</w:t>
      </w:r>
      <w:r w:rsidR="00C646D3">
        <w:rPr>
          <w:sz w:val="28"/>
          <w:szCs w:val="28"/>
        </w:rPr>
        <w:t xml:space="preserve"> </w:t>
      </w:r>
      <w:r w:rsidR="00C646D3" w:rsidRPr="00C646D3">
        <w:rPr>
          <w:sz w:val="28"/>
          <w:szCs w:val="28"/>
        </w:rPr>
        <w:t>It might also be claimed that the author's telling Denise that he wanted £13,000 for the watch meant that he was willing to accept a £13,000 offer.</w:t>
      </w:r>
    </w:p>
    <w:p w14:paraId="19FE566F" w14:textId="77777777" w:rsidR="00C646D3" w:rsidRPr="00C646D3" w:rsidRDefault="00C646D3" w:rsidP="00C646D3">
      <w:pPr>
        <w:rPr>
          <w:sz w:val="28"/>
          <w:szCs w:val="28"/>
        </w:rPr>
      </w:pPr>
      <w:r w:rsidRPr="00C646D3">
        <w:rPr>
          <w:sz w:val="28"/>
          <w:szCs w:val="28"/>
        </w:rPr>
        <w:t>Denise had accepted the author's offer by 5 p.m., but because the time had elapsed since Christine and the author's chat at 11 p.m., this would not be a binding contract between the author and Denise. When Authour stated that he would accept £13,000, this is considered an offer, which means that the offer terminated at 2 p.m. on May 6th when Christine accepted his offer and Denise responded at 5 p.m. It is not determined by their subjective state of mind whether they wanted to create a legal connection, but rather by considering what they said to each other and whether this led to an objectively derived conclusion that they intended to do so. Molkerei Alois Muller Gmbh &amp; Co KG v RTS Flexible Systems Ltd (2010)</w:t>
      </w:r>
    </w:p>
    <w:p w14:paraId="36498A14" w14:textId="0780DFC5" w:rsidR="00DC4A1E" w:rsidRDefault="00C646D3" w:rsidP="001018AB">
      <w:pPr>
        <w:rPr>
          <w:sz w:val="28"/>
          <w:szCs w:val="28"/>
        </w:rPr>
      </w:pPr>
      <w:r>
        <w:rPr>
          <w:sz w:val="28"/>
          <w:szCs w:val="28"/>
        </w:rPr>
        <w:t xml:space="preserve"> </w:t>
      </w:r>
    </w:p>
    <w:p w14:paraId="65130154" w14:textId="09585334" w:rsidR="00AD6B67" w:rsidRDefault="00AD6B67">
      <w:pPr>
        <w:rPr>
          <w:sz w:val="28"/>
          <w:szCs w:val="28"/>
        </w:rPr>
      </w:pPr>
    </w:p>
    <w:p w14:paraId="202F57E2" w14:textId="77777777" w:rsidR="00090E59" w:rsidRDefault="00090E59">
      <w:pPr>
        <w:rPr>
          <w:sz w:val="28"/>
          <w:szCs w:val="28"/>
          <w:lang w:val="en-US"/>
        </w:rPr>
      </w:pPr>
    </w:p>
    <w:p w14:paraId="06A0B3F1" w14:textId="77777777" w:rsidR="00090E59" w:rsidRDefault="00090E59">
      <w:pPr>
        <w:rPr>
          <w:sz w:val="28"/>
          <w:szCs w:val="28"/>
          <w:lang w:val="en-US"/>
        </w:rPr>
      </w:pPr>
    </w:p>
    <w:p w14:paraId="1EBEE641" w14:textId="77777777" w:rsidR="00090E59" w:rsidRDefault="00090E59">
      <w:pPr>
        <w:rPr>
          <w:sz w:val="28"/>
          <w:szCs w:val="28"/>
          <w:lang w:val="en-US"/>
        </w:rPr>
      </w:pPr>
    </w:p>
    <w:p w14:paraId="7DC78D08" w14:textId="77777777" w:rsidR="00C86F47" w:rsidRDefault="00C86F47">
      <w:pPr>
        <w:rPr>
          <w:sz w:val="28"/>
          <w:szCs w:val="28"/>
          <w:lang w:val="en-US"/>
        </w:rPr>
      </w:pPr>
    </w:p>
    <w:p w14:paraId="35D98214" w14:textId="77777777" w:rsidR="00551BC8" w:rsidRDefault="00551BC8">
      <w:pPr>
        <w:rPr>
          <w:sz w:val="28"/>
          <w:szCs w:val="28"/>
          <w:lang w:val="en-US"/>
        </w:rPr>
      </w:pPr>
    </w:p>
    <w:p w14:paraId="21546C51" w14:textId="77777777" w:rsidR="00551BC8" w:rsidRDefault="00551BC8">
      <w:pPr>
        <w:rPr>
          <w:sz w:val="28"/>
          <w:szCs w:val="28"/>
          <w:lang w:val="en-US"/>
        </w:rPr>
      </w:pPr>
    </w:p>
    <w:p w14:paraId="3670F46B" w14:textId="77777777" w:rsidR="00551BC8" w:rsidRDefault="00551BC8">
      <w:pPr>
        <w:rPr>
          <w:sz w:val="28"/>
          <w:szCs w:val="28"/>
          <w:lang w:val="en-US"/>
        </w:rPr>
      </w:pPr>
    </w:p>
    <w:p w14:paraId="6B3F9A38" w14:textId="77777777" w:rsidR="00551BC8" w:rsidRDefault="00551BC8">
      <w:pPr>
        <w:rPr>
          <w:sz w:val="28"/>
          <w:szCs w:val="28"/>
          <w:lang w:val="en-US"/>
        </w:rPr>
      </w:pPr>
    </w:p>
    <w:p w14:paraId="3399A9B3" w14:textId="77777777" w:rsidR="00C646D3" w:rsidRDefault="00C646D3">
      <w:pPr>
        <w:rPr>
          <w:sz w:val="28"/>
          <w:szCs w:val="28"/>
          <w:lang w:val="en-US"/>
        </w:rPr>
      </w:pPr>
    </w:p>
    <w:p w14:paraId="6808E923" w14:textId="77777777" w:rsidR="00C646D3" w:rsidRDefault="00C646D3">
      <w:pPr>
        <w:rPr>
          <w:sz w:val="28"/>
          <w:szCs w:val="28"/>
          <w:lang w:val="en-US"/>
        </w:rPr>
      </w:pPr>
    </w:p>
    <w:p w14:paraId="22E64E5F" w14:textId="29100E7F" w:rsidR="002C0AD6" w:rsidRPr="00A206ED" w:rsidRDefault="005139AB">
      <w:pPr>
        <w:rPr>
          <w:sz w:val="28"/>
          <w:szCs w:val="28"/>
        </w:rPr>
      </w:pPr>
      <w:r>
        <w:rPr>
          <w:sz w:val="28"/>
          <w:szCs w:val="28"/>
          <w:lang w:val="en-US"/>
        </w:rPr>
        <w:t>References</w:t>
      </w:r>
    </w:p>
    <w:p w14:paraId="2F39FDDD" w14:textId="27B32EB2" w:rsidR="00280AC3" w:rsidRDefault="00280AC3">
      <w:pPr>
        <w:rPr>
          <w:sz w:val="28"/>
          <w:szCs w:val="28"/>
          <w:lang w:val="en-US"/>
        </w:rPr>
      </w:pPr>
      <w:r>
        <w:rPr>
          <w:sz w:val="28"/>
          <w:szCs w:val="28"/>
          <w:lang w:val="en-US"/>
        </w:rPr>
        <w:t>Apportionment act (1870), c. 35</w:t>
      </w:r>
      <w:r w:rsidR="00C43E50">
        <w:rPr>
          <w:sz w:val="28"/>
          <w:szCs w:val="28"/>
          <w:lang w:val="en-US"/>
        </w:rPr>
        <w:t>, ‘s. 2 rents &amp;c to accrue from day to day and be apportionable in respect of time’ Available at:</w:t>
      </w:r>
      <w:r w:rsidR="00412A77">
        <w:rPr>
          <w:sz w:val="28"/>
          <w:szCs w:val="28"/>
          <w:lang w:val="en-US"/>
        </w:rPr>
        <w:t xml:space="preserve"> </w:t>
      </w:r>
      <w:hyperlink r:id="rId4" w:history="1">
        <w:r w:rsidR="00412A77" w:rsidRPr="00DA638D">
          <w:rPr>
            <w:rStyle w:val="Hyperlink"/>
            <w:sz w:val="28"/>
            <w:szCs w:val="28"/>
            <w:lang w:val="en-US"/>
          </w:rPr>
          <w:t>https://uk.westlaw.com/Document/I14C2CD20E44811DA8D70A0E70A78ED65/View/FullText.html?originationContext=document&amp;transitionType=DocumentItem&amp;ppcid=a52058f5bf024afeb92182d0591e1cee&amp;contextData=(sc.Search)&amp;comp=wluk</w:t>
        </w:r>
      </w:hyperlink>
      <w:r w:rsidR="00412A77">
        <w:rPr>
          <w:sz w:val="28"/>
          <w:szCs w:val="28"/>
          <w:lang w:val="en-US"/>
        </w:rPr>
        <w:t xml:space="preserve"> (Accessed 9 February 2022).</w:t>
      </w:r>
    </w:p>
    <w:p w14:paraId="201325A7" w14:textId="1905DBEC" w:rsidR="00F874F5" w:rsidRDefault="00F874F5">
      <w:pPr>
        <w:rPr>
          <w:sz w:val="28"/>
          <w:szCs w:val="28"/>
          <w:lang w:val="en-US"/>
        </w:rPr>
      </w:pPr>
      <w:r>
        <w:rPr>
          <w:sz w:val="28"/>
          <w:szCs w:val="28"/>
          <w:lang w:val="en-US"/>
        </w:rPr>
        <w:t>Black, O. (2003)</w:t>
      </w:r>
      <w:r w:rsidR="0006184D">
        <w:rPr>
          <w:sz w:val="28"/>
          <w:szCs w:val="28"/>
          <w:lang w:val="en-US"/>
        </w:rPr>
        <w:t xml:space="preserve"> ‘</w:t>
      </w:r>
      <w:r w:rsidR="0006184D" w:rsidRPr="0006184D">
        <w:rPr>
          <w:i/>
          <w:iCs/>
          <w:sz w:val="28"/>
          <w:szCs w:val="28"/>
        </w:rPr>
        <w:t>Independent promises and the rescission of contracts</w:t>
      </w:r>
      <w:r w:rsidR="0006184D">
        <w:rPr>
          <w:sz w:val="28"/>
          <w:szCs w:val="28"/>
        </w:rPr>
        <w:t xml:space="preserve">’ Available at: </w:t>
      </w:r>
      <w:hyperlink r:id="rId5" w:history="1">
        <w:r w:rsidR="0006184D" w:rsidRPr="00225638">
          <w:rPr>
            <w:rStyle w:val="Hyperlink"/>
            <w:sz w:val="28"/>
            <w:szCs w:val="28"/>
          </w:rPr>
          <w:t>https://www-proquest-com.ezproxy.uwtsd.ac.uk/docview/2210117660/fulltextPDF/929DB234F2284FB5PQ/1?accountid=130472</w:t>
        </w:r>
      </w:hyperlink>
      <w:r w:rsidR="0006184D">
        <w:rPr>
          <w:sz w:val="28"/>
          <w:szCs w:val="28"/>
        </w:rPr>
        <w:t xml:space="preserve"> (Accessed 2 March 2022).</w:t>
      </w:r>
    </w:p>
    <w:p w14:paraId="51A72602" w14:textId="1EC2354E" w:rsidR="002C0AD6" w:rsidRDefault="002C0AD6">
      <w:pPr>
        <w:rPr>
          <w:sz w:val="28"/>
          <w:szCs w:val="28"/>
          <w:lang w:val="en-US"/>
        </w:rPr>
      </w:pPr>
      <w:r>
        <w:rPr>
          <w:sz w:val="28"/>
          <w:szCs w:val="28"/>
          <w:lang w:val="en-US"/>
        </w:rPr>
        <w:t xml:space="preserve">Dilan, T. (2015) ‘Practical benefits and promises to pay lesser sum: reconsidering the </w:t>
      </w:r>
      <w:r w:rsidR="00EC7FBF">
        <w:rPr>
          <w:sz w:val="28"/>
          <w:szCs w:val="28"/>
          <w:lang w:val="en-US"/>
        </w:rPr>
        <w:t>relationship between the rule in Foakes v Beer and the rule in Williams v Roffey’, Universal of queensland law journal;</w:t>
      </w:r>
      <w:r w:rsidR="0052680A">
        <w:rPr>
          <w:sz w:val="28"/>
          <w:szCs w:val="28"/>
          <w:lang w:val="en-US"/>
        </w:rPr>
        <w:t xml:space="preserve"> vol (34)</w:t>
      </w:r>
      <w:r w:rsidR="00D70B51">
        <w:rPr>
          <w:sz w:val="28"/>
          <w:szCs w:val="28"/>
          <w:lang w:val="en-US"/>
        </w:rPr>
        <w:t>,</w:t>
      </w:r>
      <w:r w:rsidR="0052680A">
        <w:rPr>
          <w:sz w:val="28"/>
          <w:szCs w:val="28"/>
          <w:lang w:val="en-US"/>
        </w:rPr>
        <w:t xml:space="preserve"> Iss (2)</w:t>
      </w:r>
      <w:r w:rsidR="00D70B51">
        <w:rPr>
          <w:sz w:val="28"/>
          <w:szCs w:val="28"/>
          <w:lang w:val="en-US"/>
        </w:rPr>
        <w:t xml:space="preserve">, pp. 301¬317. Available at: </w:t>
      </w:r>
      <w:hyperlink r:id="rId6" w:history="1">
        <w:r w:rsidR="00D70B51" w:rsidRPr="000B07BF">
          <w:rPr>
            <w:rStyle w:val="Hyperlink"/>
            <w:sz w:val="28"/>
            <w:szCs w:val="28"/>
            <w:lang w:val="en-US"/>
          </w:rPr>
          <w:t>https://www.proquest.com/docview/1782382736?accountid=130472&amp;parentSessionId=paqsVCpqLyOsLSAVgHN%2FB4ZUKY%2ByiUNOIck9TbtGuWA%3D&amp;pq-origsite=primo</w:t>
        </w:r>
      </w:hyperlink>
      <w:r w:rsidR="00D70B51">
        <w:rPr>
          <w:sz w:val="28"/>
          <w:szCs w:val="28"/>
          <w:lang w:val="en-US"/>
        </w:rPr>
        <w:t xml:space="preserve"> (Accessed 8 February</w:t>
      </w:r>
      <w:r w:rsidR="00412A77">
        <w:rPr>
          <w:sz w:val="28"/>
          <w:szCs w:val="28"/>
          <w:lang w:val="en-US"/>
        </w:rPr>
        <w:t xml:space="preserve"> 2022).</w:t>
      </w:r>
    </w:p>
    <w:p w14:paraId="210B69A8" w14:textId="005E8C23" w:rsidR="00402DB1" w:rsidRDefault="00402DB1">
      <w:pPr>
        <w:rPr>
          <w:sz w:val="28"/>
          <w:szCs w:val="28"/>
          <w:lang w:val="en-US"/>
        </w:rPr>
      </w:pPr>
      <w:r>
        <w:rPr>
          <w:sz w:val="28"/>
          <w:szCs w:val="28"/>
          <w:lang w:val="en-US"/>
        </w:rPr>
        <w:t>Pool</w:t>
      </w:r>
      <w:r w:rsidR="006A3C82">
        <w:rPr>
          <w:sz w:val="28"/>
          <w:szCs w:val="28"/>
          <w:lang w:val="en-US"/>
        </w:rPr>
        <w:t>e</w:t>
      </w:r>
      <w:r>
        <w:rPr>
          <w:sz w:val="28"/>
          <w:szCs w:val="28"/>
          <w:lang w:val="en-US"/>
        </w:rPr>
        <w:t>, J. (2016)</w:t>
      </w:r>
      <w:r w:rsidR="005F59C4">
        <w:rPr>
          <w:sz w:val="28"/>
          <w:szCs w:val="28"/>
          <w:lang w:val="en-US"/>
        </w:rPr>
        <w:t xml:space="preserve"> Textbook on Contract Law.</w:t>
      </w:r>
      <w:r w:rsidR="00930FF9">
        <w:rPr>
          <w:sz w:val="28"/>
          <w:szCs w:val="28"/>
          <w:lang w:val="en-US"/>
        </w:rPr>
        <w:t xml:space="preserve"> 13</w:t>
      </w:r>
      <w:r w:rsidR="00930FF9" w:rsidRPr="00930FF9">
        <w:rPr>
          <w:sz w:val="28"/>
          <w:szCs w:val="28"/>
          <w:vertAlign w:val="superscript"/>
          <w:lang w:val="en-US"/>
        </w:rPr>
        <w:t>th</w:t>
      </w:r>
      <w:r w:rsidR="00930FF9">
        <w:rPr>
          <w:sz w:val="28"/>
          <w:szCs w:val="28"/>
          <w:lang w:val="en-US"/>
        </w:rPr>
        <w:t xml:space="preserve"> edn. </w:t>
      </w:r>
      <w:r w:rsidR="005F59C4">
        <w:rPr>
          <w:sz w:val="28"/>
          <w:szCs w:val="28"/>
          <w:lang w:val="en-US"/>
        </w:rPr>
        <w:t xml:space="preserve"> Oxford: </w:t>
      </w:r>
      <w:r w:rsidR="00BC4DAD">
        <w:rPr>
          <w:sz w:val="28"/>
          <w:szCs w:val="28"/>
          <w:lang w:val="en-US"/>
        </w:rPr>
        <w:t>U</w:t>
      </w:r>
      <w:r w:rsidR="005F59C4">
        <w:rPr>
          <w:sz w:val="28"/>
          <w:szCs w:val="28"/>
          <w:lang w:val="en-US"/>
        </w:rPr>
        <w:t>niversity press</w:t>
      </w:r>
    </w:p>
    <w:p w14:paraId="21966758" w14:textId="4632B983" w:rsidR="006A3C82" w:rsidRDefault="006A3C82">
      <w:pPr>
        <w:rPr>
          <w:sz w:val="28"/>
          <w:szCs w:val="28"/>
          <w:lang w:val="en-US"/>
        </w:rPr>
      </w:pPr>
      <w:r>
        <w:rPr>
          <w:sz w:val="28"/>
          <w:szCs w:val="28"/>
          <w:lang w:val="en-US"/>
        </w:rPr>
        <w:t>Poole, J. Merkin, R. and Saintier, S. (2019) Contract Law. Oxford</w:t>
      </w:r>
      <w:r w:rsidR="00BC4DAD">
        <w:rPr>
          <w:sz w:val="28"/>
          <w:szCs w:val="28"/>
          <w:lang w:val="en-US"/>
        </w:rPr>
        <w:t xml:space="preserve">: </w:t>
      </w:r>
      <w:r>
        <w:rPr>
          <w:sz w:val="28"/>
          <w:szCs w:val="28"/>
          <w:lang w:val="en-US"/>
        </w:rPr>
        <w:t>University pres</w:t>
      </w:r>
      <w:r w:rsidR="00BC4DAD">
        <w:rPr>
          <w:sz w:val="28"/>
          <w:szCs w:val="28"/>
          <w:lang w:val="en-US"/>
        </w:rPr>
        <w:t>s.</w:t>
      </w:r>
    </w:p>
    <w:p w14:paraId="22CEF3C7" w14:textId="77777777" w:rsidR="00BC4DAD" w:rsidRDefault="00BC4DAD">
      <w:pPr>
        <w:rPr>
          <w:sz w:val="28"/>
          <w:szCs w:val="28"/>
          <w:lang w:val="en-US"/>
        </w:rPr>
      </w:pPr>
    </w:p>
    <w:p w14:paraId="249FEFF4" w14:textId="77777777" w:rsidR="006A3C82" w:rsidRDefault="006A3C82">
      <w:pPr>
        <w:rPr>
          <w:sz w:val="28"/>
          <w:szCs w:val="28"/>
          <w:lang w:val="en-US"/>
        </w:rPr>
      </w:pPr>
    </w:p>
    <w:p w14:paraId="1CE17C3D" w14:textId="1167FFAA" w:rsidR="00FB5503" w:rsidRDefault="00FB5503">
      <w:pPr>
        <w:rPr>
          <w:sz w:val="28"/>
          <w:szCs w:val="28"/>
          <w:lang w:val="en-US"/>
        </w:rPr>
      </w:pPr>
    </w:p>
    <w:p w14:paraId="5DC7C584" w14:textId="53F151F6" w:rsidR="00FB5503" w:rsidRDefault="00FB5503">
      <w:pPr>
        <w:rPr>
          <w:sz w:val="28"/>
          <w:szCs w:val="28"/>
          <w:lang w:val="en-US"/>
        </w:rPr>
      </w:pPr>
    </w:p>
    <w:p w14:paraId="6BE2319E" w14:textId="5F965FC6" w:rsidR="00FB5503" w:rsidRDefault="00FB5503">
      <w:pPr>
        <w:rPr>
          <w:sz w:val="28"/>
          <w:szCs w:val="28"/>
          <w:lang w:val="en-US"/>
        </w:rPr>
      </w:pPr>
    </w:p>
    <w:p w14:paraId="26E525FE" w14:textId="3FEF4CCD" w:rsidR="00FB5503" w:rsidRDefault="00FB5503">
      <w:pPr>
        <w:rPr>
          <w:sz w:val="28"/>
          <w:szCs w:val="28"/>
          <w:lang w:val="en-US"/>
        </w:rPr>
      </w:pPr>
    </w:p>
    <w:p w14:paraId="5A6231E8" w14:textId="04217E88" w:rsidR="00FB5503" w:rsidRDefault="00FB5503">
      <w:pPr>
        <w:rPr>
          <w:sz w:val="28"/>
          <w:szCs w:val="28"/>
          <w:lang w:val="en-US"/>
        </w:rPr>
      </w:pPr>
    </w:p>
    <w:p w14:paraId="13FFD471" w14:textId="5885ACE5" w:rsidR="00FB5503" w:rsidRDefault="00FB5503">
      <w:pPr>
        <w:rPr>
          <w:sz w:val="28"/>
          <w:szCs w:val="28"/>
          <w:lang w:val="en-US"/>
        </w:rPr>
      </w:pPr>
    </w:p>
    <w:p w14:paraId="1B46AFBA" w14:textId="01D02095" w:rsidR="00FB5503" w:rsidRDefault="00FB5503">
      <w:pPr>
        <w:rPr>
          <w:sz w:val="28"/>
          <w:szCs w:val="28"/>
          <w:lang w:val="en-US"/>
        </w:rPr>
      </w:pPr>
    </w:p>
    <w:p w14:paraId="287E9579" w14:textId="1B391648" w:rsidR="00FB5503" w:rsidRDefault="00FB5503">
      <w:pPr>
        <w:rPr>
          <w:sz w:val="28"/>
          <w:szCs w:val="28"/>
          <w:lang w:val="en-US"/>
        </w:rPr>
      </w:pPr>
    </w:p>
    <w:p w14:paraId="78189208" w14:textId="61A740DA" w:rsidR="00FB5503" w:rsidRDefault="00FB5503">
      <w:pPr>
        <w:rPr>
          <w:sz w:val="28"/>
          <w:szCs w:val="28"/>
          <w:lang w:val="en-US"/>
        </w:rPr>
      </w:pPr>
    </w:p>
    <w:p w14:paraId="12A59FCF" w14:textId="77777777" w:rsidR="0006184D" w:rsidRDefault="0006184D">
      <w:pPr>
        <w:rPr>
          <w:sz w:val="28"/>
          <w:szCs w:val="28"/>
          <w:lang w:val="en-US"/>
        </w:rPr>
      </w:pPr>
    </w:p>
    <w:p w14:paraId="4A8B2ABF" w14:textId="6962E986" w:rsidR="00FB5503" w:rsidRDefault="00FB5503">
      <w:pPr>
        <w:rPr>
          <w:sz w:val="28"/>
          <w:szCs w:val="28"/>
          <w:lang w:val="en-US"/>
        </w:rPr>
      </w:pPr>
      <w:r>
        <w:rPr>
          <w:sz w:val="28"/>
          <w:szCs w:val="28"/>
          <w:lang w:val="en-US"/>
        </w:rPr>
        <w:t>Caselaw</w:t>
      </w:r>
    </w:p>
    <w:p w14:paraId="0E94C523" w14:textId="77777777" w:rsidR="007A4C6E" w:rsidRDefault="00FB5503" w:rsidP="007A4C6E">
      <w:pPr>
        <w:rPr>
          <w:sz w:val="28"/>
          <w:szCs w:val="28"/>
        </w:rPr>
      </w:pPr>
      <w:r>
        <w:rPr>
          <w:sz w:val="28"/>
          <w:szCs w:val="28"/>
          <w:lang w:val="en-US"/>
        </w:rPr>
        <w:t xml:space="preserve">Cutter Administratrix of Cutter v Powel </w:t>
      </w:r>
      <w:r w:rsidR="00CE7084">
        <w:rPr>
          <w:sz w:val="28"/>
          <w:szCs w:val="28"/>
          <w:lang w:val="en-US"/>
        </w:rPr>
        <w:t>(1795) 101 E.R. 573.</w:t>
      </w:r>
      <w:r w:rsidR="007A4C6E" w:rsidRPr="007A4C6E">
        <w:rPr>
          <w:sz w:val="28"/>
          <w:szCs w:val="28"/>
        </w:rPr>
        <w:t xml:space="preserve"> </w:t>
      </w:r>
    </w:p>
    <w:p w14:paraId="0C5DD198" w14:textId="71947C60" w:rsidR="007A4C6E" w:rsidRDefault="007A4C6E" w:rsidP="007A4C6E">
      <w:pPr>
        <w:rPr>
          <w:sz w:val="28"/>
          <w:szCs w:val="28"/>
        </w:rPr>
      </w:pPr>
      <w:r>
        <w:rPr>
          <w:sz w:val="28"/>
          <w:szCs w:val="28"/>
        </w:rPr>
        <w:t xml:space="preserve">Hoenig v Isaacs (1952) 1 QB 673 </w:t>
      </w:r>
    </w:p>
    <w:p w14:paraId="68746A21" w14:textId="4475C692" w:rsidR="00F1298E" w:rsidRDefault="00F1298E" w:rsidP="007A4C6E">
      <w:pPr>
        <w:rPr>
          <w:sz w:val="28"/>
          <w:szCs w:val="28"/>
        </w:rPr>
      </w:pPr>
      <w:r>
        <w:rPr>
          <w:sz w:val="28"/>
          <w:szCs w:val="28"/>
        </w:rPr>
        <w:t>Ritchie v Atkinson (1808) 103 E.R. 787.</w:t>
      </w:r>
    </w:p>
    <w:p w14:paraId="5BF83B97" w14:textId="13CE21AD" w:rsidR="00FB5503" w:rsidRDefault="007A4C6E">
      <w:pPr>
        <w:rPr>
          <w:sz w:val="28"/>
          <w:szCs w:val="28"/>
          <w:lang w:val="en-US"/>
        </w:rPr>
      </w:pPr>
      <w:r>
        <w:rPr>
          <w:sz w:val="28"/>
          <w:szCs w:val="28"/>
          <w:lang w:val="en-US"/>
        </w:rPr>
        <w:t xml:space="preserve"> </w:t>
      </w:r>
    </w:p>
    <w:p w14:paraId="695FC3EF" w14:textId="77777777" w:rsidR="007A4C6E" w:rsidRDefault="007A4C6E">
      <w:pPr>
        <w:rPr>
          <w:sz w:val="28"/>
          <w:szCs w:val="28"/>
          <w:lang w:val="en-US"/>
        </w:rPr>
      </w:pPr>
    </w:p>
    <w:p w14:paraId="40066B7A" w14:textId="77777777" w:rsidR="00402DB1" w:rsidRPr="00233CAD" w:rsidRDefault="00402DB1">
      <w:pPr>
        <w:rPr>
          <w:sz w:val="28"/>
          <w:szCs w:val="28"/>
          <w:lang w:val="en-US"/>
        </w:rPr>
      </w:pPr>
    </w:p>
    <w:sectPr w:rsidR="00402DB1" w:rsidRPr="00233C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CAD"/>
    <w:rsid w:val="00004CBE"/>
    <w:rsid w:val="00024F1A"/>
    <w:rsid w:val="00033860"/>
    <w:rsid w:val="0003406A"/>
    <w:rsid w:val="000358E2"/>
    <w:rsid w:val="00035B87"/>
    <w:rsid w:val="00043470"/>
    <w:rsid w:val="000441F0"/>
    <w:rsid w:val="0006038F"/>
    <w:rsid w:val="0006184D"/>
    <w:rsid w:val="00090E59"/>
    <w:rsid w:val="000A3AB4"/>
    <w:rsid w:val="000C1E82"/>
    <w:rsid w:val="000E4BD8"/>
    <w:rsid w:val="000E6B8F"/>
    <w:rsid w:val="001018AB"/>
    <w:rsid w:val="00103C2A"/>
    <w:rsid w:val="001115DA"/>
    <w:rsid w:val="00121683"/>
    <w:rsid w:val="00123276"/>
    <w:rsid w:val="001354F0"/>
    <w:rsid w:val="001967B0"/>
    <w:rsid w:val="001A66E7"/>
    <w:rsid w:val="001A70D4"/>
    <w:rsid w:val="001C5714"/>
    <w:rsid w:val="001C7744"/>
    <w:rsid w:val="001E5C45"/>
    <w:rsid w:val="001E6522"/>
    <w:rsid w:val="001F5E47"/>
    <w:rsid w:val="00205D77"/>
    <w:rsid w:val="0022295F"/>
    <w:rsid w:val="00233CAD"/>
    <w:rsid w:val="00240300"/>
    <w:rsid w:val="002440DC"/>
    <w:rsid w:val="0024457D"/>
    <w:rsid w:val="00270961"/>
    <w:rsid w:val="00276CFF"/>
    <w:rsid w:val="00280AC3"/>
    <w:rsid w:val="002928EE"/>
    <w:rsid w:val="0029572F"/>
    <w:rsid w:val="002975DF"/>
    <w:rsid w:val="002B1840"/>
    <w:rsid w:val="002B1CEA"/>
    <w:rsid w:val="002C074A"/>
    <w:rsid w:val="002C0AD6"/>
    <w:rsid w:val="002D5205"/>
    <w:rsid w:val="002F2395"/>
    <w:rsid w:val="00307007"/>
    <w:rsid w:val="003101A8"/>
    <w:rsid w:val="00314C87"/>
    <w:rsid w:val="00314DD8"/>
    <w:rsid w:val="00321C52"/>
    <w:rsid w:val="003268A0"/>
    <w:rsid w:val="00340072"/>
    <w:rsid w:val="00341A68"/>
    <w:rsid w:val="00350917"/>
    <w:rsid w:val="00350EC8"/>
    <w:rsid w:val="003523BA"/>
    <w:rsid w:val="00363158"/>
    <w:rsid w:val="00375AF6"/>
    <w:rsid w:val="00386FCE"/>
    <w:rsid w:val="0038770C"/>
    <w:rsid w:val="003900D4"/>
    <w:rsid w:val="003914E5"/>
    <w:rsid w:val="003A364F"/>
    <w:rsid w:val="003A7BC5"/>
    <w:rsid w:val="003B01D2"/>
    <w:rsid w:val="003B062F"/>
    <w:rsid w:val="003B6598"/>
    <w:rsid w:val="003B6F8C"/>
    <w:rsid w:val="003C3C62"/>
    <w:rsid w:val="003C54BC"/>
    <w:rsid w:val="003D2608"/>
    <w:rsid w:val="003D4ADF"/>
    <w:rsid w:val="003E21B7"/>
    <w:rsid w:val="003E2F77"/>
    <w:rsid w:val="003F4523"/>
    <w:rsid w:val="004007EC"/>
    <w:rsid w:val="00402DB1"/>
    <w:rsid w:val="00402FEA"/>
    <w:rsid w:val="00406015"/>
    <w:rsid w:val="00412A77"/>
    <w:rsid w:val="00412B65"/>
    <w:rsid w:val="004605E3"/>
    <w:rsid w:val="00492ECD"/>
    <w:rsid w:val="004A5A15"/>
    <w:rsid w:val="004B45AE"/>
    <w:rsid w:val="004B6783"/>
    <w:rsid w:val="004C4B5D"/>
    <w:rsid w:val="004C5A32"/>
    <w:rsid w:val="004D2AD2"/>
    <w:rsid w:val="004D6F88"/>
    <w:rsid w:val="004F6E98"/>
    <w:rsid w:val="005139AB"/>
    <w:rsid w:val="0052102E"/>
    <w:rsid w:val="0052680A"/>
    <w:rsid w:val="00527509"/>
    <w:rsid w:val="005321F1"/>
    <w:rsid w:val="0054052F"/>
    <w:rsid w:val="00540BFF"/>
    <w:rsid w:val="00541668"/>
    <w:rsid w:val="00551BB3"/>
    <w:rsid w:val="00551BC8"/>
    <w:rsid w:val="00560744"/>
    <w:rsid w:val="00575BB7"/>
    <w:rsid w:val="005B049F"/>
    <w:rsid w:val="005B2DFF"/>
    <w:rsid w:val="005B4C0E"/>
    <w:rsid w:val="005C4F9B"/>
    <w:rsid w:val="005C6416"/>
    <w:rsid w:val="005D075F"/>
    <w:rsid w:val="005D6E8C"/>
    <w:rsid w:val="005F59C4"/>
    <w:rsid w:val="006004AF"/>
    <w:rsid w:val="006005C2"/>
    <w:rsid w:val="0060166B"/>
    <w:rsid w:val="00603A7D"/>
    <w:rsid w:val="0060657D"/>
    <w:rsid w:val="00615205"/>
    <w:rsid w:val="00651BDC"/>
    <w:rsid w:val="00652836"/>
    <w:rsid w:val="0066685B"/>
    <w:rsid w:val="00667326"/>
    <w:rsid w:val="00671417"/>
    <w:rsid w:val="006728E0"/>
    <w:rsid w:val="0069284C"/>
    <w:rsid w:val="00693CB4"/>
    <w:rsid w:val="006A09D0"/>
    <w:rsid w:val="006A187D"/>
    <w:rsid w:val="006A3C82"/>
    <w:rsid w:val="006A50F8"/>
    <w:rsid w:val="006A71B5"/>
    <w:rsid w:val="006B0741"/>
    <w:rsid w:val="006B2A02"/>
    <w:rsid w:val="006B68B8"/>
    <w:rsid w:val="006C516F"/>
    <w:rsid w:val="006E291E"/>
    <w:rsid w:val="006F229C"/>
    <w:rsid w:val="00710EC6"/>
    <w:rsid w:val="00711005"/>
    <w:rsid w:val="00713989"/>
    <w:rsid w:val="0071784E"/>
    <w:rsid w:val="00757782"/>
    <w:rsid w:val="00772003"/>
    <w:rsid w:val="00777D4C"/>
    <w:rsid w:val="0079155D"/>
    <w:rsid w:val="007A4C6E"/>
    <w:rsid w:val="007B0881"/>
    <w:rsid w:val="007D7BD9"/>
    <w:rsid w:val="008008B0"/>
    <w:rsid w:val="00811965"/>
    <w:rsid w:val="0081450C"/>
    <w:rsid w:val="0081771B"/>
    <w:rsid w:val="008217FD"/>
    <w:rsid w:val="00836007"/>
    <w:rsid w:val="00837ED1"/>
    <w:rsid w:val="008566CA"/>
    <w:rsid w:val="00856F01"/>
    <w:rsid w:val="00863FAD"/>
    <w:rsid w:val="00865CDA"/>
    <w:rsid w:val="00867DD7"/>
    <w:rsid w:val="0087395F"/>
    <w:rsid w:val="00884E25"/>
    <w:rsid w:val="008A56ED"/>
    <w:rsid w:val="008A7B1F"/>
    <w:rsid w:val="008B2560"/>
    <w:rsid w:val="008B29E7"/>
    <w:rsid w:val="008C446E"/>
    <w:rsid w:val="008D3A41"/>
    <w:rsid w:val="008D7A0D"/>
    <w:rsid w:val="008E094A"/>
    <w:rsid w:val="008E4824"/>
    <w:rsid w:val="008E7536"/>
    <w:rsid w:val="008F1617"/>
    <w:rsid w:val="008F399B"/>
    <w:rsid w:val="008F3C05"/>
    <w:rsid w:val="00922009"/>
    <w:rsid w:val="0092551E"/>
    <w:rsid w:val="009266F8"/>
    <w:rsid w:val="00930FF9"/>
    <w:rsid w:val="00936020"/>
    <w:rsid w:val="00952D7F"/>
    <w:rsid w:val="0097588F"/>
    <w:rsid w:val="0097670C"/>
    <w:rsid w:val="00993F6A"/>
    <w:rsid w:val="009A066D"/>
    <w:rsid w:val="009B45B7"/>
    <w:rsid w:val="009C186A"/>
    <w:rsid w:val="009C3937"/>
    <w:rsid w:val="009E3641"/>
    <w:rsid w:val="009F053F"/>
    <w:rsid w:val="00A019EE"/>
    <w:rsid w:val="00A040CD"/>
    <w:rsid w:val="00A206ED"/>
    <w:rsid w:val="00A30501"/>
    <w:rsid w:val="00A419C8"/>
    <w:rsid w:val="00A66897"/>
    <w:rsid w:val="00AA0E03"/>
    <w:rsid w:val="00AB3619"/>
    <w:rsid w:val="00AC2D24"/>
    <w:rsid w:val="00AC50A3"/>
    <w:rsid w:val="00AC5817"/>
    <w:rsid w:val="00AD4CBB"/>
    <w:rsid w:val="00AD6B67"/>
    <w:rsid w:val="00AE144B"/>
    <w:rsid w:val="00AE3F2A"/>
    <w:rsid w:val="00AE645A"/>
    <w:rsid w:val="00AF0112"/>
    <w:rsid w:val="00AF6682"/>
    <w:rsid w:val="00B053DF"/>
    <w:rsid w:val="00B16CFE"/>
    <w:rsid w:val="00B34AED"/>
    <w:rsid w:val="00B34EE2"/>
    <w:rsid w:val="00B52F8E"/>
    <w:rsid w:val="00B619B1"/>
    <w:rsid w:val="00B62019"/>
    <w:rsid w:val="00B74AE2"/>
    <w:rsid w:val="00B7743C"/>
    <w:rsid w:val="00B873F8"/>
    <w:rsid w:val="00BC2A5D"/>
    <w:rsid w:val="00BC4DAD"/>
    <w:rsid w:val="00BE4052"/>
    <w:rsid w:val="00BF3D70"/>
    <w:rsid w:val="00C13A5D"/>
    <w:rsid w:val="00C15B7B"/>
    <w:rsid w:val="00C30826"/>
    <w:rsid w:val="00C32FD0"/>
    <w:rsid w:val="00C373A2"/>
    <w:rsid w:val="00C43E50"/>
    <w:rsid w:val="00C4764D"/>
    <w:rsid w:val="00C5092E"/>
    <w:rsid w:val="00C577B2"/>
    <w:rsid w:val="00C6181B"/>
    <w:rsid w:val="00C646D3"/>
    <w:rsid w:val="00C81180"/>
    <w:rsid w:val="00C8154A"/>
    <w:rsid w:val="00C8479C"/>
    <w:rsid w:val="00C86F47"/>
    <w:rsid w:val="00C9583B"/>
    <w:rsid w:val="00C960EC"/>
    <w:rsid w:val="00CB3FB9"/>
    <w:rsid w:val="00CB4616"/>
    <w:rsid w:val="00CB4AA8"/>
    <w:rsid w:val="00CC3B31"/>
    <w:rsid w:val="00CC4544"/>
    <w:rsid w:val="00CC4F6E"/>
    <w:rsid w:val="00CE7084"/>
    <w:rsid w:val="00CF6BF2"/>
    <w:rsid w:val="00D033C2"/>
    <w:rsid w:val="00D169C2"/>
    <w:rsid w:val="00D17D3F"/>
    <w:rsid w:val="00D2052B"/>
    <w:rsid w:val="00D21325"/>
    <w:rsid w:val="00D269F7"/>
    <w:rsid w:val="00D4174F"/>
    <w:rsid w:val="00D461E2"/>
    <w:rsid w:val="00D50141"/>
    <w:rsid w:val="00D54A19"/>
    <w:rsid w:val="00D70B51"/>
    <w:rsid w:val="00D80D3E"/>
    <w:rsid w:val="00D81083"/>
    <w:rsid w:val="00D954E1"/>
    <w:rsid w:val="00DA4C90"/>
    <w:rsid w:val="00DA6D17"/>
    <w:rsid w:val="00DA748C"/>
    <w:rsid w:val="00DA7B98"/>
    <w:rsid w:val="00DA7E05"/>
    <w:rsid w:val="00DB14AF"/>
    <w:rsid w:val="00DC4A1E"/>
    <w:rsid w:val="00E05DBE"/>
    <w:rsid w:val="00E27C50"/>
    <w:rsid w:val="00E644A5"/>
    <w:rsid w:val="00E73857"/>
    <w:rsid w:val="00E77E1C"/>
    <w:rsid w:val="00E87D45"/>
    <w:rsid w:val="00E92D75"/>
    <w:rsid w:val="00EC3231"/>
    <w:rsid w:val="00EC7FBF"/>
    <w:rsid w:val="00ED18ED"/>
    <w:rsid w:val="00ED225A"/>
    <w:rsid w:val="00ED645E"/>
    <w:rsid w:val="00ED7F7A"/>
    <w:rsid w:val="00EF1002"/>
    <w:rsid w:val="00EF4C54"/>
    <w:rsid w:val="00F07484"/>
    <w:rsid w:val="00F1298E"/>
    <w:rsid w:val="00F138BB"/>
    <w:rsid w:val="00F176DB"/>
    <w:rsid w:val="00F332BA"/>
    <w:rsid w:val="00F357BF"/>
    <w:rsid w:val="00F438BA"/>
    <w:rsid w:val="00F5194F"/>
    <w:rsid w:val="00F606AC"/>
    <w:rsid w:val="00F6114F"/>
    <w:rsid w:val="00F81D79"/>
    <w:rsid w:val="00F81ED1"/>
    <w:rsid w:val="00F874F5"/>
    <w:rsid w:val="00F908A6"/>
    <w:rsid w:val="00FA0B7D"/>
    <w:rsid w:val="00FA7166"/>
    <w:rsid w:val="00FB0DE6"/>
    <w:rsid w:val="00FB2B2A"/>
    <w:rsid w:val="00FB5168"/>
    <w:rsid w:val="00FB5503"/>
    <w:rsid w:val="00FC029D"/>
    <w:rsid w:val="00FD00FD"/>
    <w:rsid w:val="00FE4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07052"/>
  <w15:docId w15:val="{DE94B51E-B23F-42DC-ADB7-85A6FD119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72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58E2"/>
    <w:rPr>
      <w:color w:val="0563C1" w:themeColor="hyperlink"/>
      <w:u w:val="single"/>
    </w:rPr>
  </w:style>
  <w:style w:type="character" w:styleId="UnresolvedMention">
    <w:name w:val="Unresolved Mention"/>
    <w:basedOn w:val="DefaultParagraphFont"/>
    <w:uiPriority w:val="99"/>
    <w:semiHidden/>
    <w:unhideWhenUsed/>
    <w:rsid w:val="000358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212615">
      <w:bodyDiv w:val="1"/>
      <w:marLeft w:val="0"/>
      <w:marRight w:val="0"/>
      <w:marTop w:val="0"/>
      <w:marBottom w:val="0"/>
      <w:divBdr>
        <w:top w:val="none" w:sz="0" w:space="0" w:color="auto"/>
        <w:left w:val="none" w:sz="0" w:space="0" w:color="auto"/>
        <w:bottom w:val="none" w:sz="0" w:space="0" w:color="auto"/>
        <w:right w:val="none" w:sz="0" w:space="0" w:color="auto"/>
      </w:divBdr>
    </w:div>
    <w:div w:id="876896023">
      <w:bodyDiv w:val="1"/>
      <w:marLeft w:val="0"/>
      <w:marRight w:val="0"/>
      <w:marTop w:val="0"/>
      <w:marBottom w:val="0"/>
      <w:divBdr>
        <w:top w:val="none" w:sz="0" w:space="0" w:color="auto"/>
        <w:left w:val="none" w:sz="0" w:space="0" w:color="auto"/>
        <w:bottom w:val="none" w:sz="0" w:space="0" w:color="auto"/>
        <w:right w:val="none" w:sz="0" w:space="0" w:color="auto"/>
      </w:divBdr>
    </w:div>
    <w:div w:id="1279605374">
      <w:bodyDiv w:val="1"/>
      <w:marLeft w:val="0"/>
      <w:marRight w:val="0"/>
      <w:marTop w:val="0"/>
      <w:marBottom w:val="0"/>
      <w:divBdr>
        <w:top w:val="none" w:sz="0" w:space="0" w:color="auto"/>
        <w:left w:val="none" w:sz="0" w:space="0" w:color="auto"/>
        <w:bottom w:val="none" w:sz="0" w:space="0" w:color="auto"/>
        <w:right w:val="none" w:sz="0" w:space="0" w:color="auto"/>
      </w:divBdr>
    </w:div>
    <w:div w:id="1546059812">
      <w:bodyDiv w:val="1"/>
      <w:marLeft w:val="0"/>
      <w:marRight w:val="0"/>
      <w:marTop w:val="0"/>
      <w:marBottom w:val="0"/>
      <w:divBdr>
        <w:top w:val="none" w:sz="0" w:space="0" w:color="auto"/>
        <w:left w:val="none" w:sz="0" w:space="0" w:color="auto"/>
        <w:bottom w:val="none" w:sz="0" w:space="0" w:color="auto"/>
        <w:right w:val="none" w:sz="0" w:space="0" w:color="auto"/>
      </w:divBdr>
    </w:div>
    <w:div w:id="1766261951">
      <w:bodyDiv w:val="1"/>
      <w:marLeft w:val="0"/>
      <w:marRight w:val="0"/>
      <w:marTop w:val="0"/>
      <w:marBottom w:val="0"/>
      <w:divBdr>
        <w:top w:val="none" w:sz="0" w:space="0" w:color="auto"/>
        <w:left w:val="none" w:sz="0" w:space="0" w:color="auto"/>
        <w:bottom w:val="none" w:sz="0" w:space="0" w:color="auto"/>
        <w:right w:val="none" w:sz="0" w:space="0" w:color="auto"/>
      </w:divBdr>
    </w:div>
    <w:div w:id="20229308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oquest.com/docview/1782382736?accountid=130472&amp;parentSessionId=paqsVCpqLyOsLSAVgHN%2FB4ZUKY%2ByiUNOIck9TbtGuWA%3D&amp;pq-origsite=primo" TargetMode="External"/><Relationship Id="rId5" Type="http://schemas.openxmlformats.org/officeDocument/2006/relationships/hyperlink" Target="https://www-proquest-com.ezproxy.uwtsd.ac.uk/docview/2210117660/fulltextPDF/929DB234F2284FB5PQ/1?accountid=130472" TargetMode="External"/><Relationship Id="rId4" Type="http://schemas.openxmlformats.org/officeDocument/2006/relationships/hyperlink" Target="https://uk.westlaw.com/Document/I14C2CD20E44811DA8D70A0E70A78ED65/View/FullText.html?originationContext=document&amp;transitionType=DocumentItem&amp;ppcid=a52058f5bf024afeb92182d0591e1cee&amp;contextData=(sc.Search)&amp;comp=wl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6</Pages>
  <Words>1689</Words>
  <Characters>9628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Evans</dc:creator>
  <cp:keywords/>
  <dc:description/>
  <cp:lastModifiedBy>Beverly Evans</cp:lastModifiedBy>
  <cp:revision>23</cp:revision>
  <dcterms:created xsi:type="dcterms:W3CDTF">2022-03-04T11:32:00Z</dcterms:created>
  <dcterms:modified xsi:type="dcterms:W3CDTF">2022-03-05T04:45:00Z</dcterms:modified>
</cp:coreProperties>
</file>