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240E4" w14:textId="77777777" w:rsidR="00F67845" w:rsidRDefault="00F67845" w:rsidP="002A7912">
      <w:pPr>
        <w:jc w:val="both"/>
      </w:pPr>
    </w:p>
    <w:p w14:paraId="46598509" w14:textId="77777777" w:rsidR="00F67845" w:rsidRDefault="00F67845" w:rsidP="002A7912">
      <w:pPr>
        <w:jc w:val="both"/>
      </w:pPr>
    </w:p>
    <w:p w14:paraId="5AD0C56B" w14:textId="056E9E3F" w:rsidR="003331DB" w:rsidRDefault="00597565" w:rsidP="002A7912">
      <w:pPr>
        <w:jc w:val="center"/>
      </w:pPr>
      <w:r>
        <w:rPr>
          <w:noProof/>
        </w:rPr>
        <w:drawing>
          <wp:inline distT="0" distB="0" distL="0" distR="0" wp14:anchorId="7216952C" wp14:editId="67659ECF">
            <wp:extent cx="3505200" cy="1943100"/>
            <wp:effectExtent l="0" t="0" r="0" b="0"/>
            <wp:docPr id="7691773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77338"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505200" cy="1943100"/>
                    </a:xfrm>
                    <a:prstGeom prst="rect">
                      <a:avLst/>
                    </a:prstGeom>
                    <a:noFill/>
                    <a:ln>
                      <a:noFill/>
                    </a:ln>
                  </pic:spPr>
                </pic:pic>
              </a:graphicData>
            </a:graphic>
          </wp:inline>
        </w:drawing>
      </w:r>
    </w:p>
    <w:p w14:paraId="16328000" w14:textId="0ECF449A" w:rsidR="003331DB" w:rsidRPr="00265B52" w:rsidRDefault="00265B52" w:rsidP="002A7912">
      <w:pPr>
        <w:jc w:val="both"/>
        <w:rPr>
          <w:rFonts w:ascii="Arial" w:hAnsi="Arial" w:cs="Arial"/>
          <w:b/>
          <w:bCs/>
          <w:sz w:val="36"/>
          <w:szCs w:val="36"/>
          <w:u w:val="single"/>
        </w:rPr>
      </w:pPr>
      <w:r w:rsidRPr="00265B52">
        <w:rPr>
          <w:rFonts w:ascii="Arial" w:hAnsi="Arial" w:cs="Arial"/>
          <w:b/>
          <w:bCs/>
          <w:sz w:val="36"/>
          <w:szCs w:val="36"/>
          <w:u w:val="single"/>
        </w:rPr>
        <w:t>ETNICITY HEALTH INEQUALITIES AND EPIDEMIOLOGICAL CASE ANALYSIS OF PERIODONTAL DISEASE IN ETNIC MINORITY</w:t>
      </w:r>
    </w:p>
    <w:p w14:paraId="0D3FD4FA" w14:textId="77777777" w:rsidR="00265B52" w:rsidRDefault="00265B52" w:rsidP="002A7912">
      <w:pPr>
        <w:jc w:val="both"/>
      </w:pPr>
    </w:p>
    <w:p w14:paraId="20F56DDF" w14:textId="77777777" w:rsidR="00265B52" w:rsidRDefault="00265B52" w:rsidP="002A7912">
      <w:pPr>
        <w:jc w:val="both"/>
      </w:pPr>
    </w:p>
    <w:p w14:paraId="39493F08" w14:textId="77777777" w:rsidR="00265B52" w:rsidRDefault="00265B52" w:rsidP="002A7912">
      <w:pPr>
        <w:jc w:val="both"/>
      </w:pPr>
    </w:p>
    <w:p w14:paraId="2A654995" w14:textId="77777777" w:rsidR="003331DB" w:rsidRDefault="00597565" w:rsidP="002A7912">
      <w:pPr>
        <w:jc w:val="both"/>
        <w:rPr>
          <w:rFonts w:ascii="Arial" w:hAnsi="Arial" w:cs="Arial"/>
          <w:b/>
          <w:bCs/>
          <w:sz w:val="32"/>
          <w:szCs w:val="32"/>
        </w:rPr>
      </w:pPr>
      <w:r>
        <w:rPr>
          <w:rFonts w:ascii="Arial" w:hAnsi="Arial" w:cs="Arial"/>
          <w:b/>
          <w:bCs/>
          <w:sz w:val="32"/>
          <w:szCs w:val="32"/>
        </w:rPr>
        <w:t>Student Name: Rajveersinh Shailendrasinh Rana</w:t>
      </w:r>
    </w:p>
    <w:p w14:paraId="0AC49AD8" w14:textId="77777777" w:rsidR="003331DB" w:rsidRDefault="00597565" w:rsidP="002A7912">
      <w:pPr>
        <w:jc w:val="both"/>
        <w:rPr>
          <w:rFonts w:ascii="Arial" w:hAnsi="Arial" w:cs="Arial"/>
          <w:b/>
          <w:bCs/>
          <w:sz w:val="32"/>
          <w:szCs w:val="32"/>
        </w:rPr>
      </w:pPr>
      <w:r>
        <w:rPr>
          <w:rFonts w:ascii="Arial" w:hAnsi="Arial" w:cs="Arial"/>
          <w:b/>
          <w:bCs/>
          <w:sz w:val="32"/>
          <w:szCs w:val="32"/>
        </w:rPr>
        <w:t>Student ID: 2526006</w:t>
      </w:r>
    </w:p>
    <w:p w14:paraId="33750F69" w14:textId="77777777" w:rsidR="003331DB" w:rsidRDefault="00597565" w:rsidP="002A7912">
      <w:pPr>
        <w:jc w:val="both"/>
        <w:rPr>
          <w:rFonts w:ascii="Arial" w:hAnsi="Arial" w:cs="Arial"/>
          <w:b/>
          <w:bCs/>
          <w:sz w:val="32"/>
          <w:szCs w:val="32"/>
        </w:rPr>
      </w:pPr>
      <w:r>
        <w:rPr>
          <w:rFonts w:ascii="Arial" w:hAnsi="Arial" w:cs="Arial"/>
          <w:b/>
          <w:bCs/>
          <w:sz w:val="32"/>
          <w:szCs w:val="32"/>
        </w:rPr>
        <w:t>Course Name: M.Sc. Public Health and Social Care in Practice</w:t>
      </w:r>
    </w:p>
    <w:p w14:paraId="2CDCF8CD" w14:textId="18CF9F22" w:rsidR="003331DB" w:rsidRDefault="00FC2E70" w:rsidP="002A7912">
      <w:pPr>
        <w:jc w:val="both"/>
        <w:rPr>
          <w:rFonts w:ascii="Arial" w:hAnsi="Arial" w:cs="Arial"/>
          <w:b/>
          <w:bCs/>
          <w:sz w:val="32"/>
          <w:szCs w:val="32"/>
        </w:rPr>
      </w:pPr>
      <w:r>
        <w:rPr>
          <w:rFonts w:ascii="Arial" w:hAnsi="Arial" w:cs="Arial"/>
          <w:b/>
          <w:bCs/>
          <w:sz w:val="32"/>
          <w:szCs w:val="32"/>
        </w:rPr>
        <w:t>Module code</w:t>
      </w:r>
      <w:r w:rsidR="00597565">
        <w:rPr>
          <w:rFonts w:ascii="Arial" w:hAnsi="Arial" w:cs="Arial"/>
          <w:b/>
          <w:bCs/>
          <w:sz w:val="32"/>
          <w:szCs w:val="32"/>
        </w:rPr>
        <w:t>: LCHS700</w:t>
      </w:r>
      <w:r>
        <w:rPr>
          <w:rFonts w:ascii="Arial" w:hAnsi="Arial" w:cs="Arial"/>
          <w:b/>
          <w:bCs/>
          <w:sz w:val="32"/>
          <w:szCs w:val="32"/>
        </w:rPr>
        <w:t>0</w:t>
      </w:r>
    </w:p>
    <w:p w14:paraId="41A0B6E2" w14:textId="0F7184BA" w:rsidR="00FC2E70" w:rsidRDefault="00FC2E70" w:rsidP="002A7912">
      <w:pPr>
        <w:jc w:val="both"/>
        <w:rPr>
          <w:rFonts w:ascii="Arial" w:hAnsi="Arial" w:cs="Arial"/>
          <w:b/>
          <w:bCs/>
          <w:sz w:val="32"/>
          <w:szCs w:val="32"/>
        </w:rPr>
      </w:pPr>
      <w:r>
        <w:rPr>
          <w:rFonts w:ascii="Arial" w:hAnsi="Arial" w:cs="Arial"/>
          <w:b/>
          <w:bCs/>
          <w:sz w:val="32"/>
          <w:szCs w:val="32"/>
        </w:rPr>
        <w:t xml:space="preserve">Module: </w:t>
      </w:r>
      <w:r w:rsidRPr="00FC2E70">
        <w:rPr>
          <w:rFonts w:ascii="Arial" w:hAnsi="Arial" w:cs="Arial"/>
          <w:b/>
          <w:bCs/>
          <w:sz w:val="32"/>
          <w:szCs w:val="32"/>
        </w:rPr>
        <w:t>Social</w:t>
      </w:r>
      <w:r>
        <w:rPr>
          <w:rFonts w:ascii="Arial" w:hAnsi="Arial" w:cs="Arial"/>
          <w:b/>
          <w:bCs/>
          <w:sz w:val="32"/>
          <w:szCs w:val="32"/>
        </w:rPr>
        <w:t xml:space="preserve"> </w:t>
      </w:r>
      <w:r w:rsidRPr="00FC2E70">
        <w:rPr>
          <w:rFonts w:ascii="Arial" w:hAnsi="Arial" w:cs="Arial"/>
          <w:b/>
          <w:bCs/>
          <w:sz w:val="32"/>
          <w:szCs w:val="32"/>
        </w:rPr>
        <w:t>Epidemiology and Public Health Development</w:t>
      </w:r>
    </w:p>
    <w:p w14:paraId="7BA4903C" w14:textId="45AED639" w:rsidR="00FC2E70" w:rsidRDefault="00FC2E70" w:rsidP="002A7912">
      <w:pPr>
        <w:jc w:val="both"/>
        <w:rPr>
          <w:rFonts w:ascii="Arial" w:hAnsi="Arial" w:cs="Arial"/>
          <w:b/>
          <w:bCs/>
          <w:sz w:val="32"/>
          <w:szCs w:val="32"/>
        </w:rPr>
      </w:pPr>
      <w:r>
        <w:rPr>
          <w:rFonts w:ascii="Arial" w:hAnsi="Arial" w:cs="Arial"/>
          <w:b/>
          <w:bCs/>
          <w:sz w:val="32"/>
          <w:szCs w:val="32"/>
        </w:rPr>
        <w:t xml:space="preserve">Lecturer: </w:t>
      </w:r>
      <w:r w:rsidRPr="00FC2E70">
        <w:rPr>
          <w:rFonts w:ascii="Arial" w:hAnsi="Arial" w:cs="Arial"/>
          <w:b/>
          <w:bCs/>
          <w:sz w:val="32"/>
          <w:szCs w:val="32"/>
        </w:rPr>
        <w:t>Dr Hamdi Hussain</w:t>
      </w:r>
    </w:p>
    <w:p w14:paraId="34419927" w14:textId="77777777" w:rsidR="003331DB" w:rsidRDefault="003331DB" w:rsidP="002A7912">
      <w:pPr>
        <w:jc w:val="both"/>
      </w:pPr>
    </w:p>
    <w:p w14:paraId="539D4E59" w14:textId="77777777" w:rsidR="003331DB" w:rsidRDefault="003331DB" w:rsidP="002A7912">
      <w:pPr>
        <w:jc w:val="both"/>
      </w:pPr>
    </w:p>
    <w:p w14:paraId="54D39CB9" w14:textId="77777777" w:rsidR="003331DB" w:rsidRDefault="003331DB" w:rsidP="002A7912">
      <w:pPr>
        <w:jc w:val="both"/>
      </w:pPr>
    </w:p>
    <w:p w14:paraId="553050BA" w14:textId="77777777" w:rsidR="003331DB" w:rsidRDefault="003331DB" w:rsidP="002A7912">
      <w:pPr>
        <w:jc w:val="both"/>
        <w:rPr>
          <w:sz w:val="36"/>
          <w:szCs w:val="36"/>
        </w:rPr>
      </w:pPr>
    </w:p>
    <w:p w14:paraId="3995E283" w14:textId="77777777" w:rsidR="003331DB" w:rsidRDefault="003331DB" w:rsidP="002A7912">
      <w:pPr>
        <w:jc w:val="both"/>
      </w:pPr>
    </w:p>
    <w:p w14:paraId="461F877E" w14:textId="77777777" w:rsidR="003331DB" w:rsidRDefault="003331DB" w:rsidP="002A7912">
      <w:pPr>
        <w:jc w:val="both"/>
      </w:pPr>
    </w:p>
    <w:p w14:paraId="429DC6B0" w14:textId="77777777" w:rsidR="003331DB" w:rsidRDefault="003331DB" w:rsidP="002A7912">
      <w:pPr>
        <w:jc w:val="both"/>
      </w:pPr>
    </w:p>
    <w:p w14:paraId="39DC2694" w14:textId="77777777" w:rsidR="003331DB" w:rsidRDefault="003331DB" w:rsidP="002A7912">
      <w:pPr>
        <w:jc w:val="both"/>
      </w:pPr>
    </w:p>
    <w:p w14:paraId="4DC0D109" w14:textId="77777777" w:rsidR="003331DB" w:rsidRDefault="003331DB" w:rsidP="002A7912">
      <w:pPr>
        <w:jc w:val="both"/>
      </w:pPr>
    </w:p>
    <w:p w14:paraId="792014DE" w14:textId="77777777" w:rsidR="003331DB" w:rsidRDefault="003331DB" w:rsidP="002A7912">
      <w:pPr>
        <w:jc w:val="both"/>
      </w:pPr>
    </w:p>
    <w:p w14:paraId="5ECD773E" w14:textId="77777777" w:rsidR="003331DB" w:rsidRDefault="003331DB" w:rsidP="002A7912">
      <w:pPr>
        <w:jc w:val="both"/>
      </w:pPr>
    </w:p>
    <w:p w14:paraId="24C789F3" w14:textId="05A288B4" w:rsidR="00CF7B9C" w:rsidRDefault="00CF7B9C" w:rsidP="002A7912">
      <w:pPr>
        <w:jc w:val="both"/>
      </w:pPr>
    </w:p>
    <w:p w14:paraId="3D0512C3" w14:textId="77777777" w:rsidR="00B236F0" w:rsidRPr="00B236F0" w:rsidRDefault="00B236F0" w:rsidP="002A7912">
      <w:pPr>
        <w:jc w:val="both"/>
      </w:pPr>
    </w:p>
    <w:p w14:paraId="3001C20F" w14:textId="54489C71" w:rsidR="00CF7B9C" w:rsidRPr="00F67845" w:rsidRDefault="00341DC5" w:rsidP="002A7912">
      <w:pPr>
        <w:jc w:val="both"/>
        <w:rPr>
          <w:rFonts w:ascii="Arial" w:hAnsi="Arial" w:cs="Arial"/>
          <w:b/>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67845">
        <w:rPr>
          <w:rFonts w:ascii="Arial" w:hAnsi="Arial" w:cs="Arial"/>
          <w:b/>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Task 1 </w:t>
      </w:r>
      <w:r w:rsidR="00CF7B9C" w:rsidRPr="00F67845">
        <w:rPr>
          <w:rFonts w:ascii="Arial" w:hAnsi="Arial" w:cs="Arial"/>
          <w:b/>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Ethnicity and Health Inequalities in the UK</w:t>
      </w:r>
    </w:p>
    <w:p w14:paraId="4F0CDD9D" w14:textId="77777777" w:rsidR="00B236F0" w:rsidRDefault="00B236F0" w:rsidP="002A7912">
      <w:pPr>
        <w:jc w:val="both"/>
        <w:rPr>
          <w:rFonts w:ascii="Arial" w:hAnsi="Arial" w:cs="Arial"/>
          <w:b/>
          <w:bCs/>
          <w:sz w:val="32"/>
          <w:szCs w:val="32"/>
        </w:rPr>
      </w:pPr>
    </w:p>
    <w:sdt>
      <w:sdtPr>
        <w:rPr>
          <w:rFonts w:asciiTheme="minorHAnsi" w:eastAsiaTheme="minorHAnsi" w:hAnsiTheme="minorHAnsi" w:cstheme="minorBidi"/>
          <w:color w:val="auto"/>
          <w:kern w:val="2"/>
          <w:sz w:val="22"/>
          <w:szCs w:val="22"/>
          <w:lang w:val="en-IN"/>
          <w14:ligatures w14:val="standardContextual"/>
        </w:rPr>
        <w:id w:val="2014560431"/>
        <w:docPartObj>
          <w:docPartGallery w:val="Table of Contents"/>
          <w:docPartUnique/>
        </w:docPartObj>
      </w:sdtPr>
      <w:sdtEndPr>
        <w:rPr>
          <w:b/>
          <w:bCs/>
          <w:noProof/>
        </w:rPr>
      </w:sdtEndPr>
      <w:sdtContent>
        <w:p w14:paraId="09C5E754" w14:textId="5F64E09D" w:rsidR="00F67845" w:rsidRPr="00265B52" w:rsidRDefault="00F67845" w:rsidP="002A7912">
          <w:pPr>
            <w:pStyle w:val="TOCHeading"/>
            <w:jc w:val="both"/>
            <w:rPr>
              <w:rFonts w:ascii="Arial" w:hAnsi="Arial" w:cs="Arial"/>
            </w:rPr>
          </w:pPr>
          <w:r w:rsidRPr="00265B52">
            <w:rPr>
              <w:rFonts w:ascii="Arial" w:hAnsi="Arial" w:cs="Arial"/>
            </w:rPr>
            <w:t>Table of Contents</w:t>
          </w:r>
        </w:p>
        <w:p w14:paraId="2D8383FB" w14:textId="5783055B" w:rsidR="00F67845" w:rsidRDefault="00F67845" w:rsidP="002A7912">
          <w:pPr>
            <w:pStyle w:val="TOC1"/>
            <w:jc w:val="both"/>
            <w:rPr>
              <w:rFonts w:eastAsiaTheme="minorEastAsia"/>
              <w:b w:val="0"/>
              <w:bCs w:val="0"/>
              <w:sz w:val="24"/>
              <w:szCs w:val="24"/>
              <w:lang w:eastAsia="en-IN"/>
            </w:rPr>
          </w:pPr>
          <w:r>
            <w:fldChar w:fldCharType="begin"/>
          </w:r>
          <w:r>
            <w:instrText xml:space="preserve"> TOC \o "1-3" \h \z \u </w:instrText>
          </w:r>
          <w:r>
            <w:fldChar w:fldCharType="separate"/>
          </w:r>
          <w:hyperlink w:anchor="_Toc225106689" w:history="1">
            <w:r w:rsidRPr="00EA2C5B">
              <w:rPr>
                <w:rStyle w:val="Hyperlink"/>
                <w:rFonts w:ascii="Arial" w:hAnsi="Arial" w:cs="Arial"/>
              </w:rPr>
              <w:t>Introduction</w:t>
            </w:r>
            <w:r>
              <w:rPr>
                <w:webHidden/>
              </w:rPr>
              <w:tab/>
            </w:r>
            <w:r>
              <w:rPr>
                <w:webHidden/>
              </w:rPr>
              <w:fldChar w:fldCharType="begin"/>
            </w:r>
            <w:r>
              <w:rPr>
                <w:webHidden/>
              </w:rPr>
              <w:instrText xml:space="preserve"> PAGEREF _Toc225106689 \h </w:instrText>
            </w:r>
            <w:r>
              <w:rPr>
                <w:webHidden/>
              </w:rPr>
            </w:r>
            <w:r>
              <w:rPr>
                <w:webHidden/>
              </w:rPr>
              <w:fldChar w:fldCharType="separate"/>
            </w:r>
            <w:r>
              <w:rPr>
                <w:webHidden/>
              </w:rPr>
              <w:t>3</w:t>
            </w:r>
            <w:r>
              <w:rPr>
                <w:webHidden/>
              </w:rPr>
              <w:fldChar w:fldCharType="end"/>
            </w:r>
          </w:hyperlink>
        </w:p>
        <w:p w14:paraId="296B008A" w14:textId="0D2DE916" w:rsidR="00F67845" w:rsidRDefault="00F67845" w:rsidP="002A7912">
          <w:pPr>
            <w:pStyle w:val="TOC1"/>
            <w:jc w:val="both"/>
            <w:rPr>
              <w:rFonts w:eastAsiaTheme="minorEastAsia"/>
              <w:b w:val="0"/>
              <w:bCs w:val="0"/>
              <w:sz w:val="24"/>
              <w:szCs w:val="24"/>
              <w:lang w:eastAsia="en-IN"/>
            </w:rPr>
          </w:pPr>
          <w:hyperlink w:anchor="_Toc225106690" w:history="1">
            <w:r w:rsidRPr="00EA2C5B">
              <w:rPr>
                <w:rStyle w:val="Hyperlink"/>
                <w:rFonts w:ascii="Arial" w:hAnsi="Arial" w:cs="Arial"/>
              </w:rPr>
              <w:t>Disease Condition 1: Higher Rates of Type 2 Diabetes</w:t>
            </w:r>
            <w:r>
              <w:rPr>
                <w:webHidden/>
              </w:rPr>
              <w:tab/>
            </w:r>
            <w:r>
              <w:rPr>
                <w:webHidden/>
              </w:rPr>
              <w:fldChar w:fldCharType="begin"/>
            </w:r>
            <w:r>
              <w:rPr>
                <w:webHidden/>
              </w:rPr>
              <w:instrText xml:space="preserve"> PAGEREF _Toc225106690 \h </w:instrText>
            </w:r>
            <w:r>
              <w:rPr>
                <w:webHidden/>
              </w:rPr>
            </w:r>
            <w:r>
              <w:rPr>
                <w:webHidden/>
              </w:rPr>
              <w:fldChar w:fldCharType="separate"/>
            </w:r>
            <w:r>
              <w:rPr>
                <w:webHidden/>
              </w:rPr>
              <w:t>3</w:t>
            </w:r>
            <w:r>
              <w:rPr>
                <w:webHidden/>
              </w:rPr>
              <w:fldChar w:fldCharType="end"/>
            </w:r>
          </w:hyperlink>
        </w:p>
        <w:p w14:paraId="09006522" w14:textId="6304D658" w:rsidR="00F67845" w:rsidRDefault="00F67845" w:rsidP="002A7912">
          <w:pPr>
            <w:pStyle w:val="TOC1"/>
            <w:jc w:val="both"/>
            <w:rPr>
              <w:rFonts w:eastAsiaTheme="minorEastAsia"/>
              <w:b w:val="0"/>
              <w:bCs w:val="0"/>
              <w:sz w:val="24"/>
              <w:szCs w:val="24"/>
              <w:lang w:eastAsia="en-IN"/>
            </w:rPr>
          </w:pPr>
          <w:hyperlink w:anchor="_Toc225106691" w:history="1">
            <w:r w:rsidRPr="00EA2C5B">
              <w:rPr>
                <w:rStyle w:val="Hyperlink"/>
                <w:rFonts w:ascii="Arial" w:hAnsi="Arial" w:cs="Arial"/>
              </w:rPr>
              <w:t>Disease Condition 2: Cardiovascular Disease and Chronic Illness</w:t>
            </w:r>
            <w:r>
              <w:rPr>
                <w:webHidden/>
              </w:rPr>
              <w:tab/>
            </w:r>
            <w:r>
              <w:rPr>
                <w:webHidden/>
              </w:rPr>
              <w:fldChar w:fldCharType="begin"/>
            </w:r>
            <w:r>
              <w:rPr>
                <w:webHidden/>
              </w:rPr>
              <w:instrText xml:space="preserve"> PAGEREF _Toc225106691 \h </w:instrText>
            </w:r>
            <w:r>
              <w:rPr>
                <w:webHidden/>
              </w:rPr>
            </w:r>
            <w:r>
              <w:rPr>
                <w:webHidden/>
              </w:rPr>
              <w:fldChar w:fldCharType="separate"/>
            </w:r>
            <w:r>
              <w:rPr>
                <w:webHidden/>
              </w:rPr>
              <w:t>4</w:t>
            </w:r>
            <w:r>
              <w:rPr>
                <w:webHidden/>
              </w:rPr>
              <w:fldChar w:fldCharType="end"/>
            </w:r>
          </w:hyperlink>
        </w:p>
        <w:p w14:paraId="6F348943" w14:textId="4E9E20E4" w:rsidR="00F67845" w:rsidRDefault="00F67845" w:rsidP="002A7912">
          <w:pPr>
            <w:pStyle w:val="TOC1"/>
            <w:jc w:val="both"/>
            <w:rPr>
              <w:rFonts w:eastAsiaTheme="minorEastAsia"/>
              <w:b w:val="0"/>
              <w:bCs w:val="0"/>
              <w:sz w:val="24"/>
              <w:szCs w:val="24"/>
              <w:lang w:eastAsia="en-IN"/>
            </w:rPr>
          </w:pPr>
          <w:hyperlink w:anchor="_Toc225106692" w:history="1">
            <w:r w:rsidRPr="00EA2C5B">
              <w:rPr>
                <w:rStyle w:val="Hyperlink"/>
                <w:rFonts w:ascii="Arial" w:hAnsi="Arial" w:cs="Arial"/>
              </w:rPr>
              <w:t>Disease Condition 3: Mental Health Inequalities</w:t>
            </w:r>
            <w:r>
              <w:rPr>
                <w:webHidden/>
              </w:rPr>
              <w:tab/>
            </w:r>
            <w:r>
              <w:rPr>
                <w:webHidden/>
              </w:rPr>
              <w:fldChar w:fldCharType="begin"/>
            </w:r>
            <w:r>
              <w:rPr>
                <w:webHidden/>
              </w:rPr>
              <w:instrText xml:space="preserve"> PAGEREF _Toc225106692 \h </w:instrText>
            </w:r>
            <w:r>
              <w:rPr>
                <w:webHidden/>
              </w:rPr>
            </w:r>
            <w:r>
              <w:rPr>
                <w:webHidden/>
              </w:rPr>
              <w:fldChar w:fldCharType="separate"/>
            </w:r>
            <w:r>
              <w:rPr>
                <w:webHidden/>
              </w:rPr>
              <w:t>4</w:t>
            </w:r>
            <w:r>
              <w:rPr>
                <w:webHidden/>
              </w:rPr>
              <w:fldChar w:fldCharType="end"/>
            </w:r>
          </w:hyperlink>
        </w:p>
        <w:p w14:paraId="4D82CD38" w14:textId="5106BE59" w:rsidR="00F67845" w:rsidRDefault="00F67845" w:rsidP="002A7912">
          <w:pPr>
            <w:pStyle w:val="TOC1"/>
            <w:jc w:val="both"/>
            <w:rPr>
              <w:rFonts w:eastAsiaTheme="minorEastAsia"/>
              <w:b w:val="0"/>
              <w:bCs w:val="0"/>
              <w:sz w:val="24"/>
              <w:szCs w:val="24"/>
              <w:lang w:eastAsia="en-IN"/>
            </w:rPr>
          </w:pPr>
          <w:hyperlink w:anchor="_Toc225106693" w:history="1">
            <w:r w:rsidRPr="00EA2C5B">
              <w:rPr>
                <w:rStyle w:val="Hyperlink"/>
                <w:rFonts w:ascii="Arial" w:hAnsi="Arial" w:cs="Arial"/>
              </w:rPr>
              <w:t>Social Issues 1: Socioeconomic Disadvantage</w:t>
            </w:r>
            <w:r>
              <w:rPr>
                <w:webHidden/>
              </w:rPr>
              <w:tab/>
            </w:r>
            <w:r>
              <w:rPr>
                <w:webHidden/>
              </w:rPr>
              <w:fldChar w:fldCharType="begin"/>
            </w:r>
            <w:r>
              <w:rPr>
                <w:webHidden/>
              </w:rPr>
              <w:instrText xml:space="preserve"> PAGEREF _Toc225106693 \h </w:instrText>
            </w:r>
            <w:r>
              <w:rPr>
                <w:webHidden/>
              </w:rPr>
            </w:r>
            <w:r>
              <w:rPr>
                <w:webHidden/>
              </w:rPr>
              <w:fldChar w:fldCharType="separate"/>
            </w:r>
            <w:r>
              <w:rPr>
                <w:webHidden/>
              </w:rPr>
              <w:t>5</w:t>
            </w:r>
            <w:r>
              <w:rPr>
                <w:webHidden/>
              </w:rPr>
              <w:fldChar w:fldCharType="end"/>
            </w:r>
          </w:hyperlink>
        </w:p>
        <w:p w14:paraId="2E07BD2E" w14:textId="329298C9" w:rsidR="00F67845" w:rsidRDefault="00F67845" w:rsidP="002A7912">
          <w:pPr>
            <w:pStyle w:val="TOC1"/>
            <w:jc w:val="both"/>
            <w:rPr>
              <w:rFonts w:eastAsiaTheme="minorEastAsia"/>
              <w:b w:val="0"/>
              <w:bCs w:val="0"/>
              <w:sz w:val="24"/>
              <w:szCs w:val="24"/>
              <w:lang w:eastAsia="en-IN"/>
            </w:rPr>
          </w:pPr>
          <w:hyperlink w:anchor="_Toc225106694" w:history="1">
            <w:r w:rsidRPr="00EA2C5B">
              <w:rPr>
                <w:rStyle w:val="Hyperlink"/>
                <w:rFonts w:ascii="Arial" w:hAnsi="Arial" w:cs="Arial"/>
              </w:rPr>
              <w:t>Social issue 2: Housing and Environmental Inequalities</w:t>
            </w:r>
            <w:r>
              <w:rPr>
                <w:webHidden/>
              </w:rPr>
              <w:tab/>
            </w:r>
            <w:r>
              <w:rPr>
                <w:webHidden/>
              </w:rPr>
              <w:fldChar w:fldCharType="begin"/>
            </w:r>
            <w:r>
              <w:rPr>
                <w:webHidden/>
              </w:rPr>
              <w:instrText xml:space="preserve"> PAGEREF _Toc225106694 \h </w:instrText>
            </w:r>
            <w:r>
              <w:rPr>
                <w:webHidden/>
              </w:rPr>
            </w:r>
            <w:r>
              <w:rPr>
                <w:webHidden/>
              </w:rPr>
              <w:fldChar w:fldCharType="separate"/>
            </w:r>
            <w:r>
              <w:rPr>
                <w:webHidden/>
              </w:rPr>
              <w:t>5</w:t>
            </w:r>
            <w:r>
              <w:rPr>
                <w:webHidden/>
              </w:rPr>
              <w:fldChar w:fldCharType="end"/>
            </w:r>
          </w:hyperlink>
        </w:p>
        <w:p w14:paraId="79F14D66" w14:textId="2FD1B1C7" w:rsidR="00F67845" w:rsidRDefault="00F67845" w:rsidP="002A7912">
          <w:pPr>
            <w:pStyle w:val="TOC1"/>
            <w:jc w:val="both"/>
            <w:rPr>
              <w:rFonts w:eastAsiaTheme="minorEastAsia"/>
              <w:b w:val="0"/>
              <w:bCs w:val="0"/>
              <w:sz w:val="24"/>
              <w:szCs w:val="24"/>
              <w:lang w:eastAsia="en-IN"/>
            </w:rPr>
          </w:pPr>
          <w:hyperlink w:anchor="_Toc225106695" w:history="1">
            <w:r w:rsidRPr="00EA2C5B">
              <w:rPr>
                <w:rStyle w:val="Hyperlink"/>
                <w:rFonts w:ascii="Arial" w:hAnsi="Arial" w:cs="Arial"/>
              </w:rPr>
              <w:t>Social issue 3: Barriers to Healthcare Access</w:t>
            </w:r>
            <w:r>
              <w:rPr>
                <w:webHidden/>
              </w:rPr>
              <w:tab/>
            </w:r>
            <w:r>
              <w:rPr>
                <w:webHidden/>
              </w:rPr>
              <w:fldChar w:fldCharType="begin"/>
            </w:r>
            <w:r>
              <w:rPr>
                <w:webHidden/>
              </w:rPr>
              <w:instrText xml:space="preserve"> PAGEREF _Toc225106695 \h </w:instrText>
            </w:r>
            <w:r>
              <w:rPr>
                <w:webHidden/>
              </w:rPr>
            </w:r>
            <w:r>
              <w:rPr>
                <w:webHidden/>
              </w:rPr>
              <w:fldChar w:fldCharType="separate"/>
            </w:r>
            <w:r>
              <w:rPr>
                <w:webHidden/>
              </w:rPr>
              <w:t>5</w:t>
            </w:r>
            <w:r>
              <w:rPr>
                <w:webHidden/>
              </w:rPr>
              <w:fldChar w:fldCharType="end"/>
            </w:r>
          </w:hyperlink>
        </w:p>
        <w:p w14:paraId="39332B08" w14:textId="39DB79FB" w:rsidR="00F67845" w:rsidRDefault="00F67845" w:rsidP="002A7912">
          <w:pPr>
            <w:pStyle w:val="TOC1"/>
            <w:jc w:val="both"/>
            <w:rPr>
              <w:rFonts w:eastAsiaTheme="minorEastAsia"/>
              <w:b w:val="0"/>
              <w:bCs w:val="0"/>
              <w:sz w:val="24"/>
              <w:szCs w:val="24"/>
              <w:lang w:eastAsia="en-IN"/>
            </w:rPr>
          </w:pPr>
          <w:hyperlink w:anchor="_Toc225106696" w:history="1">
            <w:r w:rsidRPr="00EA2C5B">
              <w:rPr>
                <w:rStyle w:val="Hyperlink"/>
                <w:rFonts w:ascii="Arial" w:hAnsi="Arial" w:cs="Arial"/>
              </w:rPr>
              <w:t>National Response to Reduce Inequalities</w:t>
            </w:r>
            <w:r>
              <w:rPr>
                <w:webHidden/>
              </w:rPr>
              <w:tab/>
            </w:r>
            <w:r>
              <w:rPr>
                <w:webHidden/>
              </w:rPr>
              <w:fldChar w:fldCharType="begin"/>
            </w:r>
            <w:r>
              <w:rPr>
                <w:webHidden/>
              </w:rPr>
              <w:instrText xml:space="preserve"> PAGEREF _Toc225106696 \h </w:instrText>
            </w:r>
            <w:r>
              <w:rPr>
                <w:webHidden/>
              </w:rPr>
            </w:r>
            <w:r>
              <w:rPr>
                <w:webHidden/>
              </w:rPr>
              <w:fldChar w:fldCharType="separate"/>
            </w:r>
            <w:r>
              <w:rPr>
                <w:webHidden/>
              </w:rPr>
              <w:t>6</w:t>
            </w:r>
            <w:r>
              <w:rPr>
                <w:webHidden/>
              </w:rPr>
              <w:fldChar w:fldCharType="end"/>
            </w:r>
          </w:hyperlink>
        </w:p>
        <w:p w14:paraId="7B0697D0" w14:textId="358BE12C" w:rsidR="00F67845" w:rsidRDefault="00F67845" w:rsidP="002A7912">
          <w:pPr>
            <w:pStyle w:val="TOC1"/>
            <w:jc w:val="both"/>
            <w:rPr>
              <w:rFonts w:eastAsiaTheme="minorEastAsia"/>
              <w:b w:val="0"/>
              <w:bCs w:val="0"/>
              <w:sz w:val="24"/>
              <w:szCs w:val="24"/>
              <w:lang w:eastAsia="en-IN"/>
            </w:rPr>
          </w:pPr>
          <w:hyperlink w:anchor="_Toc225106697" w:history="1">
            <w:r w:rsidRPr="00EA2C5B">
              <w:rPr>
                <w:rStyle w:val="Hyperlink"/>
                <w:rFonts w:ascii="Arial" w:hAnsi="Arial" w:cs="Arial"/>
              </w:rPr>
              <w:t>Organisations Supporting Ethnic Minority Health</w:t>
            </w:r>
            <w:r>
              <w:rPr>
                <w:webHidden/>
              </w:rPr>
              <w:tab/>
            </w:r>
            <w:r>
              <w:rPr>
                <w:webHidden/>
              </w:rPr>
              <w:fldChar w:fldCharType="begin"/>
            </w:r>
            <w:r>
              <w:rPr>
                <w:webHidden/>
              </w:rPr>
              <w:instrText xml:space="preserve"> PAGEREF _Toc225106697 \h </w:instrText>
            </w:r>
            <w:r>
              <w:rPr>
                <w:webHidden/>
              </w:rPr>
            </w:r>
            <w:r>
              <w:rPr>
                <w:webHidden/>
              </w:rPr>
              <w:fldChar w:fldCharType="separate"/>
            </w:r>
            <w:r>
              <w:rPr>
                <w:webHidden/>
              </w:rPr>
              <w:t>6</w:t>
            </w:r>
            <w:r>
              <w:rPr>
                <w:webHidden/>
              </w:rPr>
              <w:fldChar w:fldCharType="end"/>
            </w:r>
          </w:hyperlink>
        </w:p>
        <w:p w14:paraId="46FAF276" w14:textId="0340C2D6" w:rsidR="00F67845" w:rsidRDefault="00F67845" w:rsidP="002A7912">
          <w:pPr>
            <w:pStyle w:val="TOC1"/>
            <w:jc w:val="both"/>
            <w:rPr>
              <w:rFonts w:eastAsiaTheme="minorEastAsia"/>
              <w:b w:val="0"/>
              <w:bCs w:val="0"/>
              <w:sz w:val="24"/>
              <w:szCs w:val="24"/>
              <w:lang w:eastAsia="en-IN"/>
            </w:rPr>
          </w:pPr>
          <w:hyperlink w:anchor="_Toc225106698" w:history="1">
            <w:r w:rsidRPr="00EA2C5B">
              <w:rPr>
                <w:rStyle w:val="Hyperlink"/>
                <w:rFonts w:ascii="Arial" w:hAnsi="Arial" w:cs="Arial"/>
              </w:rPr>
              <w:t>Conclusion</w:t>
            </w:r>
            <w:r>
              <w:rPr>
                <w:webHidden/>
              </w:rPr>
              <w:tab/>
            </w:r>
            <w:r>
              <w:rPr>
                <w:webHidden/>
              </w:rPr>
              <w:fldChar w:fldCharType="begin"/>
            </w:r>
            <w:r>
              <w:rPr>
                <w:webHidden/>
              </w:rPr>
              <w:instrText xml:space="preserve"> PAGEREF _Toc225106698 \h </w:instrText>
            </w:r>
            <w:r>
              <w:rPr>
                <w:webHidden/>
              </w:rPr>
            </w:r>
            <w:r>
              <w:rPr>
                <w:webHidden/>
              </w:rPr>
              <w:fldChar w:fldCharType="separate"/>
            </w:r>
            <w:r>
              <w:rPr>
                <w:webHidden/>
              </w:rPr>
              <w:t>6</w:t>
            </w:r>
            <w:r>
              <w:rPr>
                <w:webHidden/>
              </w:rPr>
              <w:fldChar w:fldCharType="end"/>
            </w:r>
          </w:hyperlink>
        </w:p>
        <w:p w14:paraId="243461ED" w14:textId="3B2A7333" w:rsidR="00F67845" w:rsidRDefault="00F67845" w:rsidP="002A7912">
          <w:pPr>
            <w:pStyle w:val="TOC1"/>
            <w:jc w:val="both"/>
            <w:rPr>
              <w:rFonts w:eastAsiaTheme="minorEastAsia"/>
              <w:b w:val="0"/>
              <w:bCs w:val="0"/>
              <w:sz w:val="24"/>
              <w:szCs w:val="24"/>
              <w:lang w:eastAsia="en-IN"/>
            </w:rPr>
          </w:pPr>
          <w:hyperlink w:anchor="_Toc225106699" w:history="1">
            <w:r w:rsidRPr="00EA2C5B">
              <w:rPr>
                <w:rStyle w:val="Hyperlink"/>
                <w:rFonts w:ascii="Arial" w:hAnsi="Arial" w:cs="Arial"/>
              </w:rPr>
              <w:t>References</w:t>
            </w:r>
            <w:r>
              <w:rPr>
                <w:webHidden/>
              </w:rPr>
              <w:tab/>
            </w:r>
            <w:r>
              <w:rPr>
                <w:webHidden/>
              </w:rPr>
              <w:fldChar w:fldCharType="begin"/>
            </w:r>
            <w:r>
              <w:rPr>
                <w:webHidden/>
              </w:rPr>
              <w:instrText xml:space="preserve"> PAGEREF _Toc225106699 \h </w:instrText>
            </w:r>
            <w:r>
              <w:rPr>
                <w:webHidden/>
              </w:rPr>
            </w:r>
            <w:r>
              <w:rPr>
                <w:webHidden/>
              </w:rPr>
              <w:fldChar w:fldCharType="separate"/>
            </w:r>
            <w:r>
              <w:rPr>
                <w:webHidden/>
              </w:rPr>
              <w:t>7</w:t>
            </w:r>
            <w:r>
              <w:rPr>
                <w:webHidden/>
              </w:rPr>
              <w:fldChar w:fldCharType="end"/>
            </w:r>
          </w:hyperlink>
        </w:p>
        <w:p w14:paraId="089D7866" w14:textId="1311C91E" w:rsidR="00F67845" w:rsidRDefault="00F67845" w:rsidP="002A7912">
          <w:pPr>
            <w:pStyle w:val="TOC1"/>
            <w:jc w:val="both"/>
            <w:rPr>
              <w:rFonts w:eastAsiaTheme="minorEastAsia"/>
              <w:b w:val="0"/>
              <w:bCs w:val="0"/>
              <w:sz w:val="24"/>
              <w:szCs w:val="24"/>
              <w:lang w:eastAsia="en-IN"/>
            </w:rPr>
          </w:pPr>
          <w:hyperlink w:anchor="_Toc225106700" w:history="1">
            <w:r w:rsidRPr="00EA2C5B">
              <w:rPr>
                <w:rStyle w:val="Hyperlink"/>
                <w:rFonts w:ascii="Arial" w:hAnsi="Arial" w:cs="Arial"/>
              </w:rPr>
              <w:t>Task 2: Epidemiological Case Analysis Periodontal Disease in Ethnic Minority Populations</w:t>
            </w:r>
            <w:r>
              <w:rPr>
                <w:webHidden/>
              </w:rPr>
              <w:tab/>
            </w:r>
            <w:r>
              <w:rPr>
                <w:webHidden/>
              </w:rPr>
              <w:fldChar w:fldCharType="begin"/>
            </w:r>
            <w:r>
              <w:rPr>
                <w:webHidden/>
              </w:rPr>
              <w:instrText xml:space="preserve"> PAGEREF _Toc225106700 \h </w:instrText>
            </w:r>
            <w:r>
              <w:rPr>
                <w:webHidden/>
              </w:rPr>
            </w:r>
            <w:r>
              <w:rPr>
                <w:webHidden/>
              </w:rPr>
              <w:fldChar w:fldCharType="separate"/>
            </w:r>
            <w:r>
              <w:rPr>
                <w:webHidden/>
              </w:rPr>
              <w:t>9</w:t>
            </w:r>
            <w:r>
              <w:rPr>
                <w:webHidden/>
              </w:rPr>
              <w:fldChar w:fldCharType="end"/>
            </w:r>
          </w:hyperlink>
        </w:p>
        <w:p w14:paraId="1C20967B" w14:textId="12248CE4" w:rsidR="00F67845" w:rsidRDefault="00F67845" w:rsidP="002A7912">
          <w:pPr>
            <w:pStyle w:val="TOC1"/>
            <w:jc w:val="both"/>
            <w:rPr>
              <w:rFonts w:eastAsiaTheme="minorEastAsia"/>
              <w:b w:val="0"/>
              <w:bCs w:val="0"/>
              <w:sz w:val="24"/>
              <w:szCs w:val="24"/>
              <w:lang w:eastAsia="en-IN"/>
            </w:rPr>
          </w:pPr>
          <w:hyperlink w:anchor="_Toc225106701" w:history="1">
            <w:r w:rsidRPr="00EA2C5B">
              <w:rPr>
                <w:rStyle w:val="Hyperlink"/>
                <w:rFonts w:ascii="Arial" w:hAnsi="Arial" w:cs="Arial"/>
              </w:rPr>
              <w:t>Introduction</w:t>
            </w:r>
            <w:r>
              <w:rPr>
                <w:webHidden/>
              </w:rPr>
              <w:tab/>
            </w:r>
            <w:r>
              <w:rPr>
                <w:webHidden/>
              </w:rPr>
              <w:fldChar w:fldCharType="begin"/>
            </w:r>
            <w:r>
              <w:rPr>
                <w:webHidden/>
              </w:rPr>
              <w:instrText xml:space="preserve"> PAGEREF _Toc225106701 \h </w:instrText>
            </w:r>
            <w:r>
              <w:rPr>
                <w:webHidden/>
              </w:rPr>
            </w:r>
            <w:r>
              <w:rPr>
                <w:webHidden/>
              </w:rPr>
              <w:fldChar w:fldCharType="separate"/>
            </w:r>
            <w:r>
              <w:rPr>
                <w:webHidden/>
              </w:rPr>
              <w:t>9</w:t>
            </w:r>
            <w:r>
              <w:rPr>
                <w:webHidden/>
              </w:rPr>
              <w:fldChar w:fldCharType="end"/>
            </w:r>
          </w:hyperlink>
        </w:p>
        <w:p w14:paraId="2939B3B8" w14:textId="1F4646D2" w:rsidR="00F67845" w:rsidRDefault="00F67845" w:rsidP="002A7912">
          <w:pPr>
            <w:pStyle w:val="TOC1"/>
            <w:jc w:val="both"/>
            <w:rPr>
              <w:rFonts w:eastAsiaTheme="minorEastAsia"/>
              <w:b w:val="0"/>
              <w:bCs w:val="0"/>
              <w:sz w:val="24"/>
              <w:szCs w:val="24"/>
              <w:lang w:eastAsia="en-IN"/>
            </w:rPr>
          </w:pPr>
          <w:hyperlink w:anchor="_Toc225106702" w:history="1">
            <w:r w:rsidRPr="00EA2C5B">
              <w:rPr>
                <w:rStyle w:val="Hyperlink"/>
                <w:rFonts w:ascii="Arial" w:hAnsi="Arial" w:cs="Arial"/>
              </w:rPr>
              <w:t>Public Health Measures: Prevention, Protection and Promotion</w:t>
            </w:r>
            <w:r>
              <w:rPr>
                <w:webHidden/>
              </w:rPr>
              <w:tab/>
            </w:r>
            <w:r>
              <w:rPr>
                <w:webHidden/>
              </w:rPr>
              <w:fldChar w:fldCharType="begin"/>
            </w:r>
            <w:r>
              <w:rPr>
                <w:webHidden/>
              </w:rPr>
              <w:instrText xml:space="preserve"> PAGEREF _Toc225106702 \h </w:instrText>
            </w:r>
            <w:r>
              <w:rPr>
                <w:webHidden/>
              </w:rPr>
            </w:r>
            <w:r>
              <w:rPr>
                <w:webHidden/>
              </w:rPr>
              <w:fldChar w:fldCharType="separate"/>
            </w:r>
            <w:r>
              <w:rPr>
                <w:webHidden/>
              </w:rPr>
              <w:t>9</w:t>
            </w:r>
            <w:r>
              <w:rPr>
                <w:webHidden/>
              </w:rPr>
              <w:fldChar w:fldCharType="end"/>
            </w:r>
          </w:hyperlink>
        </w:p>
        <w:p w14:paraId="25B054D0" w14:textId="32A0C3CF" w:rsidR="00F67845" w:rsidRDefault="00F67845" w:rsidP="002A7912">
          <w:pPr>
            <w:pStyle w:val="TOC1"/>
            <w:jc w:val="both"/>
            <w:rPr>
              <w:rFonts w:eastAsiaTheme="minorEastAsia"/>
              <w:b w:val="0"/>
              <w:bCs w:val="0"/>
              <w:sz w:val="24"/>
              <w:szCs w:val="24"/>
              <w:lang w:eastAsia="en-IN"/>
            </w:rPr>
          </w:pPr>
          <w:hyperlink w:anchor="_Toc225106703" w:history="1">
            <w:r w:rsidRPr="00EA2C5B">
              <w:rPr>
                <w:rStyle w:val="Hyperlink"/>
                <w:rFonts w:ascii="Arial" w:hAnsi="Arial" w:cs="Arial"/>
              </w:rPr>
              <w:t>Determinants and Risk Factors</w:t>
            </w:r>
            <w:r>
              <w:rPr>
                <w:webHidden/>
              </w:rPr>
              <w:tab/>
            </w:r>
            <w:r>
              <w:rPr>
                <w:webHidden/>
              </w:rPr>
              <w:fldChar w:fldCharType="begin"/>
            </w:r>
            <w:r>
              <w:rPr>
                <w:webHidden/>
              </w:rPr>
              <w:instrText xml:space="preserve"> PAGEREF _Toc225106703 \h </w:instrText>
            </w:r>
            <w:r>
              <w:rPr>
                <w:webHidden/>
              </w:rPr>
            </w:r>
            <w:r>
              <w:rPr>
                <w:webHidden/>
              </w:rPr>
              <w:fldChar w:fldCharType="separate"/>
            </w:r>
            <w:r>
              <w:rPr>
                <w:webHidden/>
              </w:rPr>
              <w:t>11</w:t>
            </w:r>
            <w:r>
              <w:rPr>
                <w:webHidden/>
              </w:rPr>
              <w:fldChar w:fldCharType="end"/>
            </w:r>
          </w:hyperlink>
        </w:p>
        <w:p w14:paraId="78B28786" w14:textId="66155FAC" w:rsidR="00F67845" w:rsidRDefault="00F67845" w:rsidP="002A7912">
          <w:pPr>
            <w:pStyle w:val="TOC1"/>
            <w:jc w:val="both"/>
            <w:rPr>
              <w:rFonts w:eastAsiaTheme="minorEastAsia"/>
              <w:b w:val="0"/>
              <w:bCs w:val="0"/>
              <w:sz w:val="24"/>
              <w:szCs w:val="24"/>
              <w:lang w:eastAsia="en-IN"/>
            </w:rPr>
          </w:pPr>
          <w:hyperlink w:anchor="_Toc225106704" w:history="1">
            <w:r w:rsidRPr="00EA2C5B">
              <w:rPr>
                <w:rStyle w:val="Hyperlink"/>
                <w:rFonts w:ascii="Arial" w:hAnsi="Arial" w:cs="Arial"/>
              </w:rPr>
              <w:t>Epidemiological Studies and Health Needs Assessment</w:t>
            </w:r>
            <w:r>
              <w:rPr>
                <w:webHidden/>
              </w:rPr>
              <w:tab/>
            </w:r>
            <w:r>
              <w:rPr>
                <w:webHidden/>
              </w:rPr>
              <w:fldChar w:fldCharType="begin"/>
            </w:r>
            <w:r>
              <w:rPr>
                <w:webHidden/>
              </w:rPr>
              <w:instrText xml:space="preserve"> PAGEREF _Toc225106704 \h </w:instrText>
            </w:r>
            <w:r>
              <w:rPr>
                <w:webHidden/>
              </w:rPr>
            </w:r>
            <w:r>
              <w:rPr>
                <w:webHidden/>
              </w:rPr>
              <w:fldChar w:fldCharType="separate"/>
            </w:r>
            <w:r>
              <w:rPr>
                <w:webHidden/>
              </w:rPr>
              <w:t>12</w:t>
            </w:r>
            <w:r>
              <w:rPr>
                <w:webHidden/>
              </w:rPr>
              <w:fldChar w:fldCharType="end"/>
            </w:r>
          </w:hyperlink>
        </w:p>
        <w:p w14:paraId="74062952" w14:textId="03BD6DF7" w:rsidR="00F67845" w:rsidRDefault="00F67845" w:rsidP="002A7912">
          <w:pPr>
            <w:pStyle w:val="TOC1"/>
            <w:jc w:val="both"/>
            <w:rPr>
              <w:rFonts w:eastAsiaTheme="minorEastAsia"/>
              <w:b w:val="0"/>
              <w:bCs w:val="0"/>
              <w:sz w:val="24"/>
              <w:szCs w:val="24"/>
              <w:lang w:eastAsia="en-IN"/>
            </w:rPr>
          </w:pPr>
          <w:hyperlink w:anchor="_Toc225106705" w:history="1">
            <w:r w:rsidRPr="00EA2C5B">
              <w:rPr>
                <w:rStyle w:val="Hyperlink"/>
                <w:rFonts w:ascii="Arial" w:hAnsi="Arial" w:cs="Arial"/>
              </w:rPr>
              <w:t>Surveillance and Monitoring</w:t>
            </w:r>
            <w:r>
              <w:rPr>
                <w:webHidden/>
              </w:rPr>
              <w:tab/>
            </w:r>
            <w:r>
              <w:rPr>
                <w:webHidden/>
              </w:rPr>
              <w:fldChar w:fldCharType="begin"/>
            </w:r>
            <w:r>
              <w:rPr>
                <w:webHidden/>
              </w:rPr>
              <w:instrText xml:space="preserve"> PAGEREF _Toc225106705 \h </w:instrText>
            </w:r>
            <w:r>
              <w:rPr>
                <w:webHidden/>
              </w:rPr>
            </w:r>
            <w:r>
              <w:rPr>
                <w:webHidden/>
              </w:rPr>
              <w:fldChar w:fldCharType="separate"/>
            </w:r>
            <w:r>
              <w:rPr>
                <w:webHidden/>
              </w:rPr>
              <w:t>12</w:t>
            </w:r>
            <w:r>
              <w:rPr>
                <w:webHidden/>
              </w:rPr>
              <w:fldChar w:fldCharType="end"/>
            </w:r>
          </w:hyperlink>
        </w:p>
        <w:p w14:paraId="2B6C228E" w14:textId="794E1540" w:rsidR="00F67845" w:rsidRDefault="00F67845" w:rsidP="002A7912">
          <w:pPr>
            <w:pStyle w:val="TOC1"/>
            <w:jc w:val="both"/>
            <w:rPr>
              <w:rFonts w:eastAsiaTheme="minorEastAsia"/>
              <w:b w:val="0"/>
              <w:bCs w:val="0"/>
              <w:sz w:val="24"/>
              <w:szCs w:val="24"/>
              <w:lang w:eastAsia="en-IN"/>
            </w:rPr>
          </w:pPr>
          <w:hyperlink w:anchor="_Toc225106706" w:history="1">
            <w:r w:rsidRPr="00EA2C5B">
              <w:rPr>
                <w:rStyle w:val="Hyperlink"/>
                <w:rFonts w:ascii="Arial" w:hAnsi="Arial" w:cs="Arial"/>
              </w:rPr>
              <w:t>Public Health Impact</w:t>
            </w:r>
            <w:r>
              <w:rPr>
                <w:webHidden/>
              </w:rPr>
              <w:tab/>
            </w:r>
            <w:r>
              <w:rPr>
                <w:webHidden/>
              </w:rPr>
              <w:fldChar w:fldCharType="begin"/>
            </w:r>
            <w:r>
              <w:rPr>
                <w:webHidden/>
              </w:rPr>
              <w:instrText xml:space="preserve"> PAGEREF _Toc225106706 \h </w:instrText>
            </w:r>
            <w:r>
              <w:rPr>
                <w:webHidden/>
              </w:rPr>
            </w:r>
            <w:r>
              <w:rPr>
                <w:webHidden/>
              </w:rPr>
              <w:fldChar w:fldCharType="separate"/>
            </w:r>
            <w:r>
              <w:rPr>
                <w:webHidden/>
              </w:rPr>
              <w:t>13</w:t>
            </w:r>
            <w:r>
              <w:rPr>
                <w:webHidden/>
              </w:rPr>
              <w:fldChar w:fldCharType="end"/>
            </w:r>
          </w:hyperlink>
        </w:p>
        <w:p w14:paraId="6E766D7C" w14:textId="5B19910F" w:rsidR="00F67845" w:rsidRDefault="00F67845" w:rsidP="002A7912">
          <w:pPr>
            <w:pStyle w:val="TOC1"/>
            <w:jc w:val="both"/>
            <w:rPr>
              <w:rFonts w:eastAsiaTheme="minorEastAsia"/>
              <w:b w:val="0"/>
              <w:bCs w:val="0"/>
              <w:sz w:val="24"/>
              <w:szCs w:val="24"/>
              <w:lang w:eastAsia="en-IN"/>
            </w:rPr>
          </w:pPr>
          <w:hyperlink w:anchor="_Toc225106707" w:history="1">
            <w:r w:rsidRPr="00EA2C5B">
              <w:rPr>
                <w:rStyle w:val="Hyperlink"/>
                <w:rFonts w:ascii="Arial" w:hAnsi="Arial" w:cs="Arial"/>
              </w:rPr>
              <w:t>Intervention Programme Design and Evaluation</w:t>
            </w:r>
            <w:r>
              <w:rPr>
                <w:webHidden/>
              </w:rPr>
              <w:tab/>
            </w:r>
            <w:r>
              <w:rPr>
                <w:webHidden/>
              </w:rPr>
              <w:fldChar w:fldCharType="begin"/>
            </w:r>
            <w:r>
              <w:rPr>
                <w:webHidden/>
              </w:rPr>
              <w:instrText xml:space="preserve"> PAGEREF _Toc225106707 \h </w:instrText>
            </w:r>
            <w:r>
              <w:rPr>
                <w:webHidden/>
              </w:rPr>
            </w:r>
            <w:r>
              <w:rPr>
                <w:webHidden/>
              </w:rPr>
              <w:fldChar w:fldCharType="separate"/>
            </w:r>
            <w:r>
              <w:rPr>
                <w:webHidden/>
              </w:rPr>
              <w:t>13</w:t>
            </w:r>
            <w:r>
              <w:rPr>
                <w:webHidden/>
              </w:rPr>
              <w:fldChar w:fldCharType="end"/>
            </w:r>
          </w:hyperlink>
        </w:p>
        <w:p w14:paraId="50532E53" w14:textId="4618D7A5" w:rsidR="00F67845" w:rsidRDefault="00F67845" w:rsidP="002A7912">
          <w:pPr>
            <w:pStyle w:val="TOC1"/>
            <w:jc w:val="both"/>
            <w:rPr>
              <w:rFonts w:eastAsiaTheme="minorEastAsia"/>
              <w:b w:val="0"/>
              <w:bCs w:val="0"/>
              <w:sz w:val="24"/>
              <w:szCs w:val="24"/>
              <w:lang w:eastAsia="en-IN"/>
            </w:rPr>
          </w:pPr>
          <w:hyperlink w:anchor="_Toc225106708" w:history="1">
            <w:r w:rsidRPr="00EA2C5B">
              <w:rPr>
                <w:rStyle w:val="Hyperlink"/>
                <w:rFonts w:ascii="Arial" w:hAnsi="Arial" w:cs="Arial"/>
              </w:rPr>
              <w:t>Strengths and Weaknesses of Epidemiological Approach</w:t>
            </w:r>
            <w:r>
              <w:rPr>
                <w:webHidden/>
              </w:rPr>
              <w:tab/>
            </w:r>
            <w:r>
              <w:rPr>
                <w:webHidden/>
              </w:rPr>
              <w:fldChar w:fldCharType="begin"/>
            </w:r>
            <w:r>
              <w:rPr>
                <w:webHidden/>
              </w:rPr>
              <w:instrText xml:space="preserve"> PAGEREF _Toc225106708 \h </w:instrText>
            </w:r>
            <w:r>
              <w:rPr>
                <w:webHidden/>
              </w:rPr>
            </w:r>
            <w:r>
              <w:rPr>
                <w:webHidden/>
              </w:rPr>
              <w:fldChar w:fldCharType="separate"/>
            </w:r>
            <w:r>
              <w:rPr>
                <w:webHidden/>
              </w:rPr>
              <w:t>14</w:t>
            </w:r>
            <w:r>
              <w:rPr>
                <w:webHidden/>
              </w:rPr>
              <w:fldChar w:fldCharType="end"/>
            </w:r>
          </w:hyperlink>
        </w:p>
        <w:p w14:paraId="2224FECB" w14:textId="56B0AB60" w:rsidR="00F67845" w:rsidRDefault="00F67845" w:rsidP="002A7912">
          <w:pPr>
            <w:pStyle w:val="TOC1"/>
            <w:jc w:val="both"/>
            <w:rPr>
              <w:rFonts w:eastAsiaTheme="minorEastAsia"/>
              <w:b w:val="0"/>
              <w:bCs w:val="0"/>
              <w:sz w:val="24"/>
              <w:szCs w:val="24"/>
              <w:lang w:eastAsia="en-IN"/>
            </w:rPr>
          </w:pPr>
          <w:hyperlink w:anchor="_Toc225106709" w:history="1">
            <w:r w:rsidRPr="00EA2C5B">
              <w:rPr>
                <w:rStyle w:val="Hyperlink"/>
                <w:rFonts w:ascii="Arial" w:hAnsi="Arial" w:cs="Arial"/>
              </w:rPr>
              <w:t>Conclusion</w:t>
            </w:r>
            <w:r>
              <w:rPr>
                <w:webHidden/>
              </w:rPr>
              <w:tab/>
            </w:r>
            <w:r>
              <w:rPr>
                <w:webHidden/>
              </w:rPr>
              <w:fldChar w:fldCharType="begin"/>
            </w:r>
            <w:r>
              <w:rPr>
                <w:webHidden/>
              </w:rPr>
              <w:instrText xml:space="preserve"> PAGEREF _Toc225106709 \h </w:instrText>
            </w:r>
            <w:r>
              <w:rPr>
                <w:webHidden/>
              </w:rPr>
            </w:r>
            <w:r>
              <w:rPr>
                <w:webHidden/>
              </w:rPr>
              <w:fldChar w:fldCharType="separate"/>
            </w:r>
            <w:r>
              <w:rPr>
                <w:webHidden/>
              </w:rPr>
              <w:t>14</w:t>
            </w:r>
            <w:r>
              <w:rPr>
                <w:webHidden/>
              </w:rPr>
              <w:fldChar w:fldCharType="end"/>
            </w:r>
          </w:hyperlink>
        </w:p>
        <w:p w14:paraId="004F8705" w14:textId="1648A65B" w:rsidR="00F67845" w:rsidRDefault="00F67845" w:rsidP="002A7912">
          <w:pPr>
            <w:pStyle w:val="TOC1"/>
            <w:jc w:val="both"/>
            <w:rPr>
              <w:rFonts w:eastAsiaTheme="minorEastAsia"/>
              <w:b w:val="0"/>
              <w:bCs w:val="0"/>
              <w:sz w:val="24"/>
              <w:szCs w:val="24"/>
              <w:lang w:eastAsia="en-IN"/>
            </w:rPr>
          </w:pPr>
          <w:hyperlink w:anchor="_Toc225106710" w:history="1">
            <w:r w:rsidRPr="00EA2C5B">
              <w:rPr>
                <w:rStyle w:val="Hyperlink"/>
                <w:rFonts w:ascii="Arial" w:hAnsi="Arial" w:cs="Arial"/>
              </w:rPr>
              <w:t>References</w:t>
            </w:r>
            <w:r>
              <w:rPr>
                <w:webHidden/>
              </w:rPr>
              <w:tab/>
            </w:r>
            <w:r>
              <w:rPr>
                <w:webHidden/>
              </w:rPr>
              <w:fldChar w:fldCharType="begin"/>
            </w:r>
            <w:r>
              <w:rPr>
                <w:webHidden/>
              </w:rPr>
              <w:instrText xml:space="preserve"> PAGEREF _Toc225106710 \h </w:instrText>
            </w:r>
            <w:r>
              <w:rPr>
                <w:webHidden/>
              </w:rPr>
            </w:r>
            <w:r>
              <w:rPr>
                <w:webHidden/>
              </w:rPr>
              <w:fldChar w:fldCharType="separate"/>
            </w:r>
            <w:r>
              <w:rPr>
                <w:webHidden/>
              </w:rPr>
              <w:t>15</w:t>
            </w:r>
            <w:r>
              <w:rPr>
                <w:webHidden/>
              </w:rPr>
              <w:fldChar w:fldCharType="end"/>
            </w:r>
          </w:hyperlink>
        </w:p>
        <w:p w14:paraId="5EA75F38" w14:textId="02EBDA8D" w:rsidR="00B236F0" w:rsidRPr="00265B52" w:rsidRDefault="00F67845" w:rsidP="002A7912">
          <w:pPr>
            <w:jc w:val="both"/>
          </w:pPr>
          <w:r>
            <w:rPr>
              <w:b/>
              <w:bCs/>
              <w:noProof/>
            </w:rPr>
            <w:fldChar w:fldCharType="end"/>
          </w:r>
        </w:p>
      </w:sdtContent>
    </w:sdt>
    <w:p w14:paraId="60D32879" w14:textId="77777777" w:rsidR="00B236F0" w:rsidRPr="00B236F0" w:rsidRDefault="00B236F0" w:rsidP="002A7912">
      <w:pPr>
        <w:jc w:val="both"/>
        <w:rPr>
          <w:rFonts w:ascii="Arial" w:hAnsi="Arial" w:cs="Arial"/>
          <w:b/>
          <w:bCs/>
          <w:sz w:val="32"/>
          <w:szCs w:val="32"/>
        </w:rPr>
      </w:pPr>
    </w:p>
    <w:p w14:paraId="4E7E910A" w14:textId="77777777" w:rsidR="00CF7B9C" w:rsidRPr="00B236F0" w:rsidRDefault="00CF7B9C" w:rsidP="002A7912">
      <w:pPr>
        <w:pStyle w:val="Heading1"/>
        <w:jc w:val="both"/>
        <w:rPr>
          <w:rFonts w:ascii="Arial" w:hAnsi="Arial" w:cs="Arial"/>
          <w:b/>
          <w:bCs/>
          <w:sz w:val="22"/>
          <w:szCs w:val="22"/>
        </w:rPr>
      </w:pPr>
      <w:bookmarkStart w:id="0" w:name="_Toc225106689"/>
      <w:r w:rsidRPr="00B236F0">
        <w:rPr>
          <w:rFonts w:ascii="Arial" w:hAnsi="Arial" w:cs="Arial"/>
          <w:b/>
          <w:bCs/>
          <w:sz w:val="22"/>
          <w:szCs w:val="22"/>
        </w:rPr>
        <w:t>Introduction</w:t>
      </w:r>
      <w:bookmarkEnd w:id="0"/>
    </w:p>
    <w:p w14:paraId="3493792D" w14:textId="516A26D5" w:rsidR="00A16684" w:rsidRPr="00B91079" w:rsidRDefault="00B91079" w:rsidP="002A7912">
      <w:pPr>
        <w:spacing w:line="360" w:lineRule="auto"/>
        <w:jc w:val="both"/>
        <w:rPr>
          <w:rFonts w:ascii="Arial" w:hAnsi="Arial" w:cs="Arial"/>
        </w:rPr>
      </w:pPr>
      <w:r w:rsidRPr="00B91079">
        <w:rPr>
          <w:rFonts w:ascii="Arial" w:hAnsi="Arial" w:cs="Arial"/>
        </w:rPr>
        <w:t>Ethnicity refers to groups sharing common cultural traditions, ancestry, language, or national background. In the UK, ethnic minority groups include South Asian, Black African, Black Caribbean, Chinese, and others. The population has become more diverse, with ethnic minorities making up 18.3% in England and Wales in 2021, up from 14% in 2011 (Office for National Statistics, 2023). Health inequalities are avoidable differences in health outcomes, with ethnic minority groups often experiencing poorer health due to social and economic disadvantages (Marmot, 2024). These inequalities are linked to factors such as income, housing, education, and access to healthcare. People in deprived areas are almost twice as likely to report poor health, while issues like discrimination and limited access to services further increase long-term health disparities (The King’s Fund, 2023).</w:t>
      </w:r>
    </w:p>
    <w:p w14:paraId="67C2E807" w14:textId="67CC2797" w:rsidR="00CF7B9C" w:rsidRPr="00B236F0" w:rsidRDefault="00BF110D" w:rsidP="002A7912">
      <w:pPr>
        <w:pStyle w:val="Heading1"/>
        <w:jc w:val="both"/>
        <w:rPr>
          <w:rFonts w:ascii="Arial" w:hAnsi="Arial" w:cs="Arial"/>
          <w:b/>
          <w:bCs/>
          <w:sz w:val="22"/>
          <w:szCs w:val="22"/>
        </w:rPr>
      </w:pPr>
      <w:bookmarkStart w:id="1" w:name="_Toc225106690"/>
      <w:r w:rsidRPr="00B236F0">
        <w:rPr>
          <w:rFonts w:ascii="Arial" w:hAnsi="Arial" w:cs="Arial"/>
          <w:b/>
          <w:bCs/>
          <w:sz w:val="22"/>
          <w:szCs w:val="22"/>
        </w:rPr>
        <w:t xml:space="preserve">Disease Condition 1: </w:t>
      </w:r>
      <w:r w:rsidR="00CF7B9C" w:rsidRPr="00B236F0">
        <w:rPr>
          <w:rFonts w:ascii="Arial" w:hAnsi="Arial" w:cs="Arial"/>
          <w:b/>
          <w:bCs/>
          <w:sz w:val="22"/>
          <w:szCs w:val="22"/>
        </w:rPr>
        <w:t>Higher Rates of Type 2 Diabetes</w:t>
      </w:r>
      <w:bookmarkEnd w:id="1"/>
    </w:p>
    <w:p w14:paraId="2DE1FDDF" w14:textId="7CC86AF0" w:rsidR="000A3715" w:rsidRDefault="000A3715" w:rsidP="002A7912">
      <w:pPr>
        <w:spacing w:line="360" w:lineRule="auto"/>
        <w:jc w:val="both"/>
        <w:rPr>
          <w:rFonts w:ascii="Arial" w:hAnsi="Arial" w:cs="Arial"/>
        </w:rPr>
      </w:pPr>
      <w:r w:rsidRPr="000A3715">
        <w:rPr>
          <w:rFonts w:ascii="Arial" w:hAnsi="Arial" w:cs="Arial"/>
        </w:rPr>
        <w:t>One key example of health inequality is the higher prevalence of type 2 diabetes among ethnic minority groups. In the UK, South Asian individuals are 2–4 times more likely to develop the condition, while Black African and Caribbean groups are about twice as likely (Diabetes UK, 2024). It also develops earlier in South Asian populations, increasing the risk of complications such as cardiovascular disease and kidney problems (NHS England, 2023).</w:t>
      </w:r>
      <w:r>
        <w:rPr>
          <w:rFonts w:ascii="Arial" w:hAnsi="Arial" w:cs="Arial"/>
        </w:rPr>
        <w:t xml:space="preserve"> </w:t>
      </w:r>
      <w:r w:rsidRPr="000A3715">
        <w:rPr>
          <w:rFonts w:ascii="Arial" w:hAnsi="Arial" w:cs="Arial"/>
        </w:rPr>
        <w:t>Around 90% of diabetes cases in the UK are type 2, with higher rates in deprived and diverse communities. These inequalities are largely influenced by social factors, including limited access to healthy food, safe spaces for physical activity, and early screening services (Patel et al., 2024).</w:t>
      </w:r>
    </w:p>
    <w:p w14:paraId="68CC790A" w14:textId="2C56C848" w:rsidR="009159F6" w:rsidRDefault="00CF5C33" w:rsidP="002A7912">
      <w:pPr>
        <w:spacing w:line="360" w:lineRule="auto"/>
        <w:jc w:val="center"/>
        <w:rPr>
          <w:rFonts w:ascii="Arial" w:hAnsi="Arial" w:cs="Arial"/>
        </w:rPr>
      </w:pPr>
      <w:r>
        <w:rPr>
          <w:noProof/>
        </w:rPr>
        <w:drawing>
          <wp:inline distT="0" distB="0" distL="0" distR="0" wp14:anchorId="198D03BB" wp14:editId="78AE7888">
            <wp:extent cx="3593944" cy="2695656"/>
            <wp:effectExtent l="0" t="0" r="6985" b="0"/>
            <wp:docPr id="7105173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5203" cy="2711601"/>
                    </a:xfrm>
                    <a:prstGeom prst="rect">
                      <a:avLst/>
                    </a:prstGeom>
                    <a:noFill/>
                    <a:ln>
                      <a:noFill/>
                    </a:ln>
                  </pic:spPr>
                </pic:pic>
              </a:graphicData>
            </a:graphic>
          </wp:inline>
        </w:drawing>
      </w:r>
    </w:p>
    <w:p w14:paraId="11023516" w14:textId="2FFC8895" w:rsidR="00DD3D07" w:rsidRPr="00F67845" w:rsidRDefault="00DD3D07" w:rsidP="002A7912">
      <w:pPr>
        <w:spacing w:line="360" w:lineRule="auto"/>
        <w:jc w:val="center"/>
        <w:rPr>
          <w:rFonts w:ascii="Arial" w:hAnsi="Arial" w:cs="Arial"/>
        </w:rPr>
      </w:pPr>
      <w:r w:rsidRPr="00DD3D07">
        <w:rPr>
          <w:rFonts w:ascii="Arial" w:hAnsi="Arial" w:cs="Arial"/>
        </w:rPr>
        <w:t>(Pham et al., 2019)</w:t>
      </w:r>
    </w:p>
    <w:p w14:paraId="4CA8ADAC" w14:textId="78DA3C0E" w:rsidR="00CF7B9C" w:rsidRPr="00B236F0" w:rsidRDefault="00BF110D" w:rsidP="002A7912">
      <w:pPr>
        <w:pStyle w:val="Heading1"/>
        <w:jc w:val="both"/>
        <w:rPr>
          <w:rFonts w:ascii="Arial" w:hAnsi="Arial" w:cs="Arial"/>
          <w:b/>
          <w:bCs/>
          <w:sz w:val="22"/>
          <w:szCs w:val="22"/>
        </w:rPr>
      </w:pPr>
      <w:bookmarkStart w:id="2" w:name="_Toc225106691"/>
      <w:r w:rsidRPr="00B236F0">
        <w:rPr>
          <w:rFonts w:ascii="Arial" w:hAnsi="Arial" w:cs="Arial"/>
          <w:b/>
          <w:bCs/>
          <w:sz w:val="22"/>
          <w:szCs w:val="22"/>
        </w:rPr>
        <w:lastRenderedPageBreak/>
        <w:t xml:space="preserve">Disease Condition 2: </w:t>
      </w:r>
      <w:r w:rsidR="00CF7B9C" w:rsidRPr="00B236F0">
        <w:rPr>
          <w:rFonts w:ascii="Arial" w:hAnsi="Arial" w:cs="Arial"/>
          <w:b/>
          <w:bCs/>
          <w:sz w:val="22"/>
          <w:szCs w:val="22"/>
        </w:rPr>
        <w:t>Cardiovascular Disease and Chronic Illness</w:t>
      </w:r>
      <w:bookmarkEnd w:id="2"/>
    </w:p>
    <w:p w14:paraId="07C29361" w14:textId="77777777" w:rsidR="00132842" w:rsidRDefault="00132842" w:rsidP="002A7912">
      <w:pPr>
        <w:spacing w:line="360" w:lineRule="auto"/>
        <w:jc w:val="both"/>
        <w:rPr>
          <w:rFonts w:ascii="Arial" w:hAnsi="Arial" w:cs="Arial"/>
        </w:rPr>
      </w:pPr>
      <w:r w:rsidRPr="00CF7B9C">
        <w:rPr>
          <w:rFonts w:ascii="Arial" w:hAnsi="Arial" w:cs="Arial"/>
        </w:rPr>
        <w:t>Cardiovascular disease (CVD) remains a leading cause of mortality in the UK, accounting for approximately 160,000 deaths annually (British Heart Foundation, 2024). However, the burden of CVD is not equally distributed across the population. South Asian individuals have up to a 50% higher risk of developing coronary heart disease compared with the general population (BHF, 2024).</w:t>
      </w:r>
      <w:r>
        <w:rPr>
          <w:rFonts w:ascii="Arial" w:hAnsi="Arial" w:cs="Arial"/>
        </w:rPr>
        <w:t xml:space="preserve"> </w:t>
      </w:r>
      <w:r w:rsidRPr="00CF7B9C">
        <w:rPr>
          <w:rFonts w:ascii="Arial" w:hAnsi="Arial" w:cs="Arial"/>
        </w:rPr>
        <w:t>Hypertension and diabetes, which are key risk factors for cardiovascular disease, are also more prevalent among Black African and Caribbean populations. For example, around 40% of Black adults are affected by high blood pressure compared with approximately 30% of the wider UK population (NHS Digital, 2024). These disparities contribute significantly to increased rates of stroke and heart disease.</w:t>
      </w:r>
      <w:r>
        <w:rPr>
          <w:rFonts w:ascii="Arial" w:hAnsi="Arial" w:cs="Arial"/>
        </w:rPr>
        <w:t xml:space="preserve"> </w:t>
      </w:r>
      <w:r w:rsidRPr="00CF7B9C">
        <w:rPr>
          <w:rFonts w:ascii="Arial" w:hAnsi="Arial" w:cs="Arial"/>
        </w:rPr>
        <w:t>Differences in healthcare access and utilisation further contribute to inequalities. Some ethnic minority groups experience delays in diagnosis and treatment, which can worsen outcomes and increase the risk of complications. Socioeconomic factors, including income and education, also play a major role in shaping cardiovascular risk (Marmot, 2024; Sapey et al., 2023).</w:t>
      </w:r>
    </w:p>
    <w:p w14:paraId="3959CF52" w14:textId="40FF4B0B" w:rsidR="00DD3D07" w:rsidRDefault="00FE041E" w:rsidP="002A7912">
      <w:pPr>
        <w:spacing w:line="360" w:lineRule="auto"/>
        <w:jc w:val="center"/>
        <w:rPr>
          <w:rFonts w:ascii="Arial" w:hAnsi="Arial" w:cs="Arial"/>
        </w:rPr>
      </w:pPr>
      <w:r>
        <w:rPr>
          <w:noProof/>
        </w:rPr>
        <w:drawing>
          <wp:inline distT="0" distB="0" distL="0" distR="0" wp14:anchorId="68FB9F89" wp14:editId="0A40F2C7">
            <wp:extent cx="2504049" cy="2147001"/>
            <wp:effectExtent l="0" t="0" r="0" b="5715"/>
            <wp:docPr id="17524172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8901" cy="2159736"/>
                    </a:xfrm>
                    <a:prstGeom prst="rect">
                      <a:avLst/>
                    </a:prstGeom>
                    <a:noFill/>
                    <a:ln>
                      <a:noFill/>
                    </a:ln>
                  </pic:spPr>
                </pic:pic>
              </a:graphicData>
            </a:graphic>
          </wp:inline>
        </w:drawing>
      </w:r>
    </w:p>
    <w:p w14:paraId="6ACBE135" w14:textId="0414CA53" w:rsidR="00DD3D07" w:rsidRDefault="00DD3D07" w:rsidP="002A7912">
      <w:pPr>
        <w:spacing w:line="360" w:lineRule="auto"/>
        <w:jc w:val="center"/>
        <w:rPr>
          <w:rFonts w:ascii="Arial" w:hAnsi="Arial" w:cs="Arial"/>
        </w:rPr>
      </w:pPr>
      <w:r>
        <w:rPr>
          <w:rFonts w:ascii="Arial" w:hAnsi="Arial" w:cs="Arial"/>
        </w:rPr>
        <w:t>(</w:t>
      </w:r>
      <w:r w:rsidR="00FE041E">
        <w:rPr>
          <w:rFonts w:ascii="Arial" w:hAnsi="Arial" w:cs="Arial"/>
        </w:rPr>
        <w:t>BHF, 2024; NHS Digital, 2024)</w:t>
      </w:r>
    </w:p>
    <w:p w14:paraId="413495FC" w14:textId="6C98D592" w:rsidR="00CF7B9C" w:rsidRPr="00B236F0" w:rsidRDefault="00BF110D" w:rsidP="002A7912">
      <w:pPr>
        <w:pStyle w:val="Heading1"/>
        <w:jc w:val="both"/>
        <w:rPr>
          <w:rFonts w:ascii="Arial" w:hAnsi="Arial" w:cs="Arial"/>
          <w:b/>
          <w:bCs/>
          <w:sz w:val="22"/>
          <w:szCs w:val="22"/>
        </w:rPr>
      </w:pPr>
      <w:bookmarkStart w:id="3" w:name="_Toc225106692"/>
      <w:r w:rsidRPr="00B236F0">
        <w:rPr>
          <w:rFonts w:ascii="Arial" w:hAnsi="Arial" w:cs="Arial"/>
          <w:b/>
          <w:bCs/>
          <w:sz w:val="22"/>
          <w:szCs w:val="22"/>
        </w:rPr>
        <w:t xml:space="preserve">Disease Condition 3: </w:t>
      </w:r>
      <w:r w:rsidR="00CF7B9C" w:rsidRPr="00B236F0">
        <w:rPr>
          <w:rFonts w:ascii="Arial" w:hAnsi="Arial" w:cs="Arial"/>
          <w:b/>
          <w:bCs/>
          <w:sz w:val="22"/>
          <w:szCs w:val="22"/>
        </w:rPr>
        <w:t>Mental Health Inequalities</w:t>
      </w:r>
      <w:bookmarkEnd w:id="3"/>
    </w:p>
    <w:p w14:paraId="404E3A62" w14:textId="167FF7CA" w:rsidR="00DD3D07" w:rsidRPr="00CF7B9C" w:rsidRDefault="00CF7B9C" w:rsidP="002A7912">
      <w:pPr>
        <w:spacing w:line="360" w:lineRule="auto"/>
        <w:jc w:val="both"/>
        <w:rPr>
          <w:rFonts w:ascii="Arial" w:hAnsi="Arial" w:cs="Arial"/>
        </w:rPr>
      </w:pPr>
      <w:r w:rsidRPr="00CF7B9C">
        <w:rPr>
          <w:rFonts w:ascii="Arial" w:hAnsi="Arial" w:cs="Arial"/>
        </w:rPr>
        <w:t>Mental health outcomes vary significantly across ethnic groups in the UK. Black individuals are more than four times as likely to be detained under the Mental Health Act compared with White individuals (NHS Digital, 2024). People from ethnic minority backgrounds are also more likely to experience severe mental health conditions but are less likely to access early intervention services (NHS England, 2023).</w:t>
      </w:r>
      <w:r w:rsidR="00341DC5">
        <w:rPr>
          <w:rFonts w:ascii="Arial" w:hAnsi="Arial" w:cs="Arial"/>
        </w:rPr>
        <w:t xml:space="preserve"> </w:t>
      </w:r>
      <w:r w:rsidRPr="00CF7B9C">
        <w:rPr>
          <w:rFonts w:ascii="Arial" w:hAnsi="Arial" w:cs="Arial"/>
        </w:rPr>
        <w:t>Several factors contribute to these inequalities, including stigma surrounding mental health, cultural beliefs, and experiences of racism and discrimination. These factors can prevent individuals from seeking help at an early stage, leading to more severe illness and crisis-level interventions (Marmot, 2024).</w:t>
      </w:r>
      <w:r w:rsidR="00341DC5">
        <w:rPr>
          <w:rFonts w:ascii="Arial" w:hAnsi="Arial" w:cs="Arial"/>
        </w:rPr>
        <w:t xml:space="preserve"> </w:t>
      </w:r>
      <w:r w:rsidRPr="00CF7B9C">
        <w:rPr>
          <w:rFonts w:ascii="Arial" w:hAnsi="Arial" w:cs="Arial"/>
        </w:rPr>
        <w:t xml:space="preserve">Improving culturally sensitive mental health services and increasing awareness within communities are essential steps in addressing these disparities. Community-based approaches and improved </w:t>
      </w:r>
      <w:r w:rsidRPr="00CF7B9C">
        <w:rPr>
          <w:rFonts w:ascii="Arial" w:hAnsi="Arial" w:cs="Arial"/>
        </w:rPr>
        <w:lastRenderedPageBreak/>
        <w:t>representation within healthcare services can also help build trust and improve access (Public Health England, 2023).</w:t>
      </w:r>
    </w:p>
    <w:p w14:paraId="3001A781" w14:textId="3AB93B9E" w:rsidR="00CF7B9C" w:rsidRPr="00B236F0" w:rsidRDefault="00BF110D" w:rsidP="002A7912">
      <w:pPr>
        <w:pStyle w:val="Heading1"/>
        <w:jc w:val="both"/>
        <w:rPr>
          <w:rFonts w:ascii="Arial" w:hAnsi="Arial" w:cs="Arial"/>
          <w:b/>
          <w:bCs/>
          <w:sz w:val="22"/>
          <w:szCs w:val="22"/>
        </w:rPr>
      </w:pPr>
      <w:bookmarkStart w:id="4" w:name="_Toc225106693"/>
      <w:r w:rsidRPr="00B236F0">
        <w:rPr>
          <w:rFonts w:ascii="Arial" w:hAnsi="Arial" w:cs="Arial"/>
          <w:b/>
          <w:bCs/>
          <w:sz w:val="22"/>
          <w:szCs w:val="22"/>
        </w:rPr>
        <w:t xml:space="preserve">Social Issues 1: </w:t>
      </w:r>
      <w:r w:rsidR="00CF7B9C" w:rsidRPr="00B236F0">
        <w:rPr>
          <w:rFonts w:ascii="Arial" w:hAnsi="Arial" w:cs="Arial"/>
          <w:b/>
          <w:bCs/>
          <w:sz w:val="22"/>
          <w:szCs w:val="22"/>
        </w:rPr>
        <w:t>Socioeconomic Disadvantage</w:t>
      </w:r>
      <w:bookmarkEnd w:id="4"/>
    </w:p>
    <w:p w14:paraId="5CE64A70" w14:textId="6F30F6E9" w:rsidR="00E13EB7" w:rsidRPr="00CF7B9C" w:rsidRDefault="00CF7B9C" w:rsidP="002A7912">
      <w:pPr>
        <w:spacing w:line="360" w:lineRule="auto"/>
        <w:jc w:val="both"/>
        <w:rPr>
          <w:rFonts w:ascii="Arial" w:hAnsi="Arial" w:cs="Arial"/>
        </w:rPr>
      </w:pPr>
      <w:r w:rsidRPr="00CF7B9C">
        <w:rPr>
          <w:rFonts w:ascii="Arial" w:hAnsi="Arial" w:cs="Arial"/>
        </w:rPr>
        <w:t>Socioeconomic inequality is a major driver of health disparities in the UK. Around 39% of individuals from Bangladeshi backgrounds and 38% from Pakistani backgrounds live in relative poverty, compared with 18% of the White population (Joseph Rowntree Foundation, 2024).</w:t>
      </w:r>
      <w:r w:rsidR="00341DC5">
        <w:rPr>
          <w:rFonts w:ascii="Arial" w:hAnsi="Arial" w:cs="Arial"/>
        </w:rPr>
        <w:t xml:space="preserve"> </w:t>
      </w:r>
      <w:r w:rsidRPr="00CF7B9C">
        <w:rPr>
          <w:rFonts w:ascii="Arial" w:hAnsi="Arial" w:cs="Arial"/>
        </w:rPr>
        <w:t>Employment inequality also contributes to poor health outcomes. Ethnic minority groups are more likely to work in low-paid, insecure or high-risk jobs, which can lead to financial instability and increased stress (Office for National Statistics, 2023). These conditions are associated with higher rates of both physical and mental health problems.</w:t>
      </w:r>
      <w:r w:rsidR="00341DC5">
        <w:rPr>
          <w:rFonts w:ascii="Arial" w:hAnsi="Arial" w:cs="Arial"/>
        </w:rPr>
        <w:t xml:space="preserve"> </w:t>
      </w:r>
      <w:r w:rsidRPr="00CF7B9C">
        <w:rPr>
          <w:rFonts w:ascii="Arial" w:hAnsi="Arial" w:cs="Arial"/>
        </w:rPr>
        <w:t>People living in deprived areas are also more likely to develop multiple long-term conditions, further widening health inequalities. Addressing these disparities requires broader social and economic policies aimed at reducing poverty and improving living conditions (Kayani et al., 2024; Marmot, 2024).</w:t>
      </w:r>
    </w:p>
    <w:p w14:paraId="6EA5003B" w14:textId="08E5F995" w:rsidR="00CF7B9C" w:rsidRPr="00B236F0" w:rsidRDefault="00BF110D" w:rsidP="002A7912">
      <w:pPr>
        <w:pStyle w:val="Heading1"/>
        <w:jc w:val="both"/>
        <w:rPr>
          <w:rFonts w:ascii="Arial" w:hAnsi="Arial" w:cs="Arial"/>
          <w:b/>
          <w:bCs/>
          <w:sz w:val="22"/>
          <w:szCs w:val="22"/>
        </w:rPr>
      </w:pPr>
      <w:bookmarkStart w:id="5" w:name="_Toc225106694"/>
      <w:r w:rsidRPr="00B236F0">
        <w:rPr>
          <w:rFonts w:ascii="Arial" w:hAnsi="Arial" w:cs="Arial"/>
          <w:b/>
          <w:bCs/>
          <w:sz w:val="22"/>
          <w:szCs w:val="22"/>
        </w:rPr>
        <w:t xml:space="preserve">Social issue 2: </w:t>
      </w:r>
      <w:r w:rsidR="00CF7B9C" w:rsidRPr="00B236F0">
        <w:rPr>
          <w:rFonts w:ascii="Arial" w:hAnsi="Arial" w:cs="Arial"/>
          <w:b/>
          <w:bCs/>
          <w:sz w:val="22"/>
          <w:szCs w:val="22"/>
        </w:rPr>
        <w:t>Housing and Environmental Inequalities</w:t>
      </w:r>
      <w:bookmarkEnd w:id="5"/>
    </w:p>
    <w:p w14:paraId="4EB8A3FB" w14:textId="4651C7F0" w:rsidR="00BC35E6" w:rsidRPr="00CF7B9C" w:rsidRDefault="00CF7B9C" w:rsidP="002A7912">
      <w:pPr>
        <w:spacing w:line="360" w:lineRule="auto"/>
        <w:jc w:val="both"/>
        <w:rPr>
          <w:rFonts w:ascii="Arial" w:hAnsi="Arial" w:cs="Arial"/>
        </w:rPr>
      </w:pPr>
      <w:r w:rsidRPr="00CF7B9C">
        <w:rPr>
          <w:rFonts w:ascii="Arial" w:hAnsi="Arial" w:cs="Arial"/>
        </w:rPr>
        <w:t>Housing conditions play a significant role in shaping health outcomes. Ethnic minority households are more likely to experience overcrowding, particularly among Bangladeshi and Black African communities (Office for National Statistics, 2023). Overcrowded housing increases the risk of infectious diseases and can negatively impact mental health.</w:t>
      </w:r>
      <w:r w:rsidR="00341DC5">
        <w:rPr>
          <w:rFonts w:ascii="Arial" w:hAnsi="Arial" w:cs="Arial"/>
        </w:rPr>
        <w:t xml:space="preserve"> </w:t>
      </w:r>
      <w:r w:rsidRPr="00CF7B9C">
        <w:rPr>
          <w:rFonts w:ascii="Arial" w:hAnsi="Arial" w:cs="Arial"/>
        </w:rPr>
        <w:t>Poor housing quality, including damp and inadequate ventilation, is linked to respiratory conditions such as asthma. Children living in these environments are particularly vulnerable (UK Health Security Agency, 2023).</w:t>
      </w:r>
      <w:r w:rsidR="00341DC5">
        <w:rPr>
          <w:rFonts w:ascii="Arial" w:hAnsi="Arial" w:cs="Arial"/>
        </w:rPr>
        <w:t xml:space="preserve"> </w:t>
      </w:r>
      <w:r w:rsidRPr="00CF7B9C">
        <w:rPr>
          <w:rFonts w:ascii="Arial" w:hAnsi="Arial" w:cs="Arial"/>
        </w:rPr>
        <w:t>Environmental factors also contribute to health inequalities. Ethnic minority populations are more likely to live in areas with higher levels of air pollution, increasing the risk of respiratory and cardiovascular diseases (World Health Organization, 2024). Improving housing conditions and reducing environmental risks are therefore essential for addressing health disparities (Shelter, 2024).</w:t>
      </w:r>
    </w:p>
    <w:p w14:paraId="274D51C7" w14:textId="5D84A3F0" w:rsidR="00CF7B9C" w:rsidRPr="00B236F0" w:rsidRDefault="00D85BFE" w:rsidP="002A7912">
      <w:pPr>
        <w:pStyle w:val="Heading1"/>
        <w:jc w:val="both"/>
        <w:rPr>
          <w:rFonts w:ascii="Arial" w:hAnsi="Arial" w:cs="Arial"/>
          <w:b/>
          <w:bCs/>
          <w:sz w:val="22"/>
          <w:szCs w:val="22"/>
        </w:rPr>
      </w:pPr>
      <w:bookmarkStart w:id="6" w:name="_Toc225106695"/>
      <w:r w:rsidRPr="00B236F0">
        <w:rPr>
          <w:rFonts w:ascii="Arial" w:hAnsi="Arial" w:cs="Arial"/>
          <w:b/>
          <w:bCs/>
          <w:sz w:val="22"/>
          <w:szCs w:val="22"/>
        </w:rPr>
        <w:t xml:space="preserve">Social issue 3: </w:t>
      </w:r>
      <w:r w:rsidR="00CF7B9C" w:rsidRPr="00B236F0">
        <w:rPr>
          <w:rFonts w:ascii="Arial" w:hAnsi="Arial" w:cs="Arial"/>
          <w:b/>
          <w:bCs/>
          <w:sz w:val="22"/>
          <w:szCs w:val="22"/>
        </w:rPr>
        <w:t>Barriers to Healthcare Access</w:t>
      </w:r>
      <w:bookmarkEnd w:id="6"/>
    </w:p>
    <w:p w14:paraId="34965103" w14:textId="7D38FFE3" w:rsidR="00DD1818" w:rsidRPr="00F01EDB" w:rsidRDefault="00F01EDB" w:rsidP="002A7912">
      <w:pPr>
        <w:spacing w:line="360" w:lineRule="auto"/>
        <w:jc w:val="both"/>
        <w:rPr>
          <w:rFonts w:ascii="Arial" w:hAnsi="Arial" w:cs="Arial"/>
        </w:rPr>
      </w:pPr>
      <w:r w:rsidRPr="00F01EDB">
        <w:rPr>
          <w:rFonts w:ascii="Arial" w:hAnsi="Arial" w:cs="Arial"/>
        </w:rPr>
        <w:t>Although the NHS provides universal healthcare, ethnic minority populations still face barriers. Many report difficulties accessing GP services, and language barriers can hinder communication, leading to delayed diagnoses and poorer outcomes (NHS England, 2024; Office for National Statistics, 2023). For instance, minority patients are more often diagnosed with cancer at later stages, reducing survival (Cancer Research UK, 2023). Addressing these issues requires better interpreter services, culturally competent care, and community engagement (Race Equality Foundation, 2024).</w:t>
      </w:r>
    </w:p>
    <w:p w14:paraId="656F03E6" w14:textId="6B7CFA2C" w:rsidR="00CF7B9C" w:rsidRPr="00B236F0" w:rsidRDefault="00CF7B9C" w:rsidP="002A7912">
      <w:pPr>
        <w:pStyle w:val="Heading1"/>
        <w:jc w:val="both"/>
        <w:rPr>
          <w:rFonts w:ascii="Arial" w:hAnsi="Arial" w:cs="Arial"/>
          <w:b/>
          <w:bCs/>
          <w:sz w:val="22"/>
          <w:szCs w:val="22"/>
        </w:rPr>
      </w:pPr>
      <w:bookmarkStart w:id="7" w:name="_Toc225106696"/>
      <w:r w:rsidRPr="00B236F0">
        <w:rPr>
          <w:rFonts w:ascii="Arial" w:hAnsi="Arial" w:cs="Arial"/>
          <w:b/>
          <w:bCs/>
          <w:sz w:val="22"/>
          <w:szCs w:val="22"/>
        </w:rPr>
        <w:lastRenderedPageBreak/>
        <w:t>National Response to Reduce Inequalities</w:t>
      </w:r>
      <w:bookmarkEnd w:id="7"/>
    </w:p>
    <w:p w14:paraId="3D351CE4" w14:textId="23E42840" w:rsidR="00E13EB7" w:rsidRPr="00CF7B9C" w:rsidRDefault="00CF7B9C" w:rsidP="002A7912">
      <w:pPr>
        <w:spacing w:line="360" w:lineRule="auto"/>
        <w:jc w:val="both"/>
        <w:rPr>
          <w:rFonts w:ascii="Arial" w:hAnsi="Arial" w:cs="Arial"/>
        </w:rPr>
      </w:pPr>
      <w:r w:rsidRPr="00CF7B9C">
        <w:rPr>
          <w:rFonts w:ascii="Arial" w:hAnsi="Arial" w:cs="Arial"/>
        </w:rPr>
        <w:t>The UK government and health organisations have introduced several initiatives to reduce ethnic health inequalities. The NHS Long Term Plan aims to improve early diagnosis and access to care, particularly for disadvantaged populations (NHS England, 2019).</w:t>
      </w:r>
      <w:r w:rsidR="00341DC5">
        <w:rPr>
          <w:rFonts w:ascii="Arial" w:hAnsi="Arial" w:cs="Arial"/>
        </w:rPr>
        <w:t xml:space="preserve"> </w:t>
      </w:r>
      <w:r w:rsidRPr="00CF7B9C">
        <w:rPr>
          <w:rFonts w:ascii="Arial" w:hAnsi="Arial" w:cs="Arial"/>
        </w:rPr>
        <w:t>The Marmot Review emphasises the importance of addressing wider social determinants such as education, housing, and employment. It highlights that reducing health inequalities requires coordinated action across multiple sectors, not just healthcare (Marmot, 2024).</w:t>
      </w:r>
      <w:r w:rsidR="00341DC5">
        <w:rPr>
          <w:rFonts w:ascii="Arial" w:hAnsi="Arial" w:cs="Arial"/>
        </w:rPr>
        <w:t xml:space="preserve"> </w:t>
      </w:r>
      <w:r w:rsidRPr="00CF7B9C">
        <w:rPr>
          <w:rFonts w:ascii="Arial" w:hAnsi="Arial" w:cs="Arial"/>
        </w:rPr>
        <w:t>Public health programmes have also contributed to improvements in health behaviours, such as reduced smoking rates, although disparities persist across different groups (Office for Health Improvement and Disparities, 2023).</w:t>
      </w:r>
    </w:p>
    <w:p w14:paraId="5917B073" w14:textId="59C82772" w:rsidR="00CF7B9C" w:rsidRPr="00B236F0" w:rsidRDefault="00CF7B9C" w:rsidP="002A7912">
      <w:pPr>
        <w:pStyle w:val="Heading1"/>
        <w:jc w:val="both"/>
        <w:rPr>
          <w:rFonts w:ascii="Arial" w:hAnsi="Arial" w:cs="Arial"/>
          <w:b/>
          <w:bCs/>
          <w:sz w:val="22"/>
          <w:szCs w:val="22"/>
        </w:rPr>
      </w:pPr>
      <w:bookmarkStart w:id="8" w:name="_Toc225106697"/>
      <w:r w:rsidRPr="00B236F0">
        <w:rPr>
          <w:rFonts w:ascii="Arial" w:hAnsi="Arial" w:cs="Arial"/>
          <w:b/>
          <w:bCs/>
          <w:sz w:val="22"/>
          <w:szCs w:val="22"/>
        </w:rPr>
        <w:t>Organisations Supporting Ethnic Minority Health</w:t>
      </w:r>
      <w:bookmarkEnd w:id="8"/>
    </w:p>
    <w:p w14:paraId="1E28D7A9" w14:textId="7675E521" w:rsidR="00CF7B9C" w:rsidRDefault="00CF7B9C" w:rsidP="002A7912">
      <w:pPr>
        <w:spacing w:line="360" w:lineRule="auto"/>
        <w:jc w:val="both"/>
        <w:rPr>
          <w:rFonts w:ascii="Arial" w:hAnsi="Arial" w:cs="Arial"/>
        </w:rPr>
      </w:pPr>
      <w:r w:rsidRPr="00CF7B9C">
        <w:rPr>
          <w:rFonts w:ascii="Arial" w:hAnsi="Arial" w:cs="Arial"/>
        </w:rPr>
        <w:t>The Race Equality Foundation plays a key role in addressing ethnic health inequalities in the UK. It works to improve health and social care services through research, policy advocacy, and community engagement (Race Equality Foundation, 2026)</w:t>
      </w:r>
      <w:r w:rsidR="00FE041E">
        <w:rPr>
          <w:rFonts w:ascii="Arial" w:hAnsi="Arial" w:cs="Arial"/>
        </w:rPr>
        <w:t xml:space="preserve">. </w:t>
      </w:r>
      <w:r w:rsidRPr="00CF7B9C">
        <w:rPr>
          <w:rFonts w:ascii="Arial" w:hAnsi="Arial" w:cs="Arial"/>
        </w:rPr>
        <w:t>The organisation highlights how structural factors, including racism and lack of culturally appropriate services, contribute to poor health outcomes. It also supports community-led initiatives aimed at improving awareness and access to healthcare services (Race Equality Foundation, 2025)</w:t>
      </w:r>
      <w:r w:rsidR="006D74A2">
        <w:rPr>
          <w:rFonts w:ascii="Arial" w:hAnsi="Arial" w:cs="Arial"/>
        </w:rPr>
        <w:t xml:space="preserve">. </w:t>
      </w:r>
      <w:r w:rsidRPr="00CF7B9C">
        <w:rPr>
          <w:rFonts w:ascii="Arial" w:hAnsi="Arial" w:cs="Arial"/>
        </w:rPr>
        <w:t>By working with policymakers and healthcare providers, the organisation promotes more inclusive and equitable healthcare systems, helping to reduce long-term inequalities (Joseph Rowntree Foundation, 2026).</w:t>
      </w:r>
    </w:p>
    <w:p w14:paraId="3C1396C6" w14:textId="763B4EED" w:rsidR="00FE041E" w:rsidRDefault="00FE041E" w:rsidP="002A7912">
      <w:pPr>
        <w:spacing w:line="360" w:lineRule="auto"/>
        <w:jc w:val="center"/>
        <w:rPr>
          <w:rFonts w:ascii="Arial" w:hAnsi="Arial" w:cs="Arial"/>
        </w:rPr>
      </w:pPr>
      <w:r>
        <w:rPr>
          <w:noProof/>
        </w:rPr>
        <w:drawing>
          <wp:inline distT="0" distB="0" distL="0" distR="0" wp14:anchorId="7D2A533F" wp14:editId="50F3686F">
            <wp:extent cx="2046849" cy="2046849"/>
            <wp:effectExtent l="0" t="0" r="0" b="0"/>
            <wp:docPr id="19928689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0998" cy="2050998"/>
                    </a:xfrm>
                    <a:prstGeom prst="rect">
                      <a:avLst/>
                    </a:prstGeom>
                    <a:noFill/>
                    <a:ln>
                      <a:noFill/>
                    </a:ln>
                  </pic:spPr>
                </pic:pic>
              </a:graphicData>
            </a:graphic>
          </wp:inline>
        </w:drawing>
      </w:r>
    </w:p>
    <w:p w14:paraId="64B5AA8A" w14:textId="01C07FCC" w:rsidR="00FE041E" w:rsidRPr="00CF7B9C" w:rsidRDefault="00FE041E" w:rsidP="002A7912">
      <w:pPr>
        <w:spacing w:line="360" w:lineRule="auto"/>
        <w:jc w:val="center"/>
        <w:rPr>
          <w:rFonts w:ascii="Arial" w:hAnsi="Arial" w:cs="Arial"/>
        </w:rPr>
      </w:pPr>
      <w:r>
        <w:rPr>
          <w:rFonts w:ascii="Arial" w:hAnsi="Arial" w:cs="Arial"/>
        </w:rPr>
        <w:t>(Race Equality Foundation, 2026)</w:t>
      </w:r>
    </w:p>
    <w:p w14:paraId="1FE636B4" w14:textId="77777777" w:rsidR="00CF7B9C" w:rsidRPr="00B236F0" w:rsidRDefault="00CF7B9C" w:rsidP="002A7912">
      <w:pPr>
        <w:pStyle w:val="Heading1"/>
        <w:jc w:val="both"/>
        <w:rPr>
          <w:rFonts w:ascii="Arial" w:hAnsi="Arial" w:cs="Arial"/>
          <w:b/>
          <w:bCs/>
          <w:sz w:val="22"/>
          <w:szCs w:val="22"/>
        </w:rPr>
      </w:pPr>
      <w:bookmarkStart w:id="9" w:name="_Toc225106698"/>
      <w:r w:rsidRPr="00B236F0">
        <w:rPr>
          <w:rFonts w:ascii="Arial" w:hAnsi="Arial" w:cs="Arial"/>
          <w:b/>
          <w:bCs/>
          <w:sz w:val="22"/>
          <w:szCs w:val="22"/>
        </w:rPr>
        <w:t>Conclusion</w:t>
      </w:r>
      <w:bookmarkEnd w:id="9"/>
    </w:p>
    <w:p w14:paraId="4EC3BFF6" w14:textId="0DADF9F7" w:rsidR="00EB78B2" w:rsidRDefault="00AA3FB7" w:rsidP="002A7912">
      <w:pPr>
        <w:spacing w:line="360" w:lineRule="auto"/>
        <w:jc w:val="both"/>
        <w:rPr>
          <w:rFonts w:ascii="Arial" w:hAnsi="Arial" w:cs="Arial"/>
        </w:rPr>
      </w:pPr>
      <w:r w:rsidRPr="00AA3FB7">
        <w:rPr>
          <w:rFonts w:ascii="Arial" w:hAnsi="Arial" w:cs="Arial"/>
        </w:rPr>
        <w:t xml:space="preserve">Ethnicity remains a key determinant of health in the UK, with ethnic minority groups experiencing higher rates of conditions like type 2 diabetes and cardiovascular disease (Gov.uk, 2024). These inequalities are mainly driven by social factors such as poverty, </w:t>
      </w:r>
      <w:r w:rsidRPr="00AA3FB7">
        <w:rPr>
          <w:rFonts w:ascii="Arial" w:hAnsi="Arial" w:cs="Arial"/>
        </w:rPr>
        <w:lastRenderedPageBreak/>
        <w:t>housing, and access to healthcare rather than biology (The King’s Fund, 2023).</w:t>
      </w:r>
      <w:r w:rsidR="0034165A">
        <w:rPr>
          <w:rFonts w:ascii="Arial" w:hAnsi="Arial" w:cs="Arial"/>
        </w:rPr>
        <w:t xml:space="preserve"> </w:t>
      </w:r>
      <w:r w:rsidRPr="00AA3FB7">
        <w:rPr>
          <w:rFonts w:ascii="Arial" w:hAnsi="Arial" w:cs="Arial"/>
        </w:rPr>
        <w:t>Although some progress has been made, significant disparities remain. Addressing them requires better access to services, reduced structural inequalities, and culturally appropriate care, alongside wider social and economic improvements (Marmot, 2024).</w:t>
      </w:r>
    </w:p>
    <w:p w14:paraId="65840521" w14:textId="77777777" w:rsidR="00D85BFE" w:rsidRDefault="00D85BFE" w:rsidP="002A7912">
      <w:pPr>
        <w:spacing w:line="360" w:lineRule="auto"/>
        <w:jc w:val="both"/>
        <w:rPr>
          <w:rFonts w:ascii="Arial" w:hAnsi="Arial" w:cs="Arial"/>
        </w:rPr>
      </w:pPr>
    </w:p>
    <w:p w14:paraId="24372530" w14:textId="44A7E971" w:rsidR="00B236F0" w:rsidRPr="00B236F0" w:rsidRDefault="00B236F0" w:rsidP="002A7912">
      <w:pPr>
        <w:pStyle w:val="Heading1"/>
        <w:jc w:val="both"/>
        <w:rPr>
          <w:rFonts w:ascii="Arial" w:hAnsi="Arial" w:cs="Arial"/>
          <w:b/>
          <w:bCs/>
          <w:sz w:val="22"/>
          <w:szCs w:val="22"/>
        </w:rPr>
      </w:pPr>
      <w:bookmarkStart w:id="10" w:name="_Toc225106145"/>
      <w:bookmarkStart w:id="11" w:name="_Toc225106699"/>
      <w:r w:rsidRPr="00B236F0">
        <w:rPr>
          <w:rFonts w:ascii="Arial" w:hAnsi="Arial" w:cs="Arial"/>
          <w:b/>
          <w:bCs/>
          <w:sz w:val="22"/>
          <w:szCs w:val="22"/>
        </w:rPr>
        <w:t>References</w:t>
      </w:r>
      <w:bookmarkEnd w:id="10"/>
      <w:bookmarkEnd w:id="11"/>
    </w:p>
    <w:p w14:paraId="182982E1" w14:textId="77777777" w:rsidR="00B236F0" w:rsidRPr="00B236F0" w:rsidRDefault="00B236F0" w:rsidP="002A7912">
      <w:pPr>
        <w:jc w:val="both"/>
        <w:rPr>
          <w:lang w:val="en-US"/>
        </w:rPr>
      </w:pPr>
    </w:p>
    <w:p w14:paraId="56F87166"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British Heart Foundation (2024) UK factsheet: cardiovascular disease statistics. Available at: https://www.bhf.org.uk (Accessed: 22 March 2026).</w:t>
      </w:r>
    </w:p>
    <w:p w14:paraId="55AFE085"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Cancer Research UK (2023) Cancer inequalities in the UK. Available at: https://www.cancerresearchuk.org (Accessed: 22 March 2026).</w:t>
      </w:r>
    </w:p>
    <w:p w14:paraId="6DC0B368"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Diabetes UK (2024) Diabetes prevalence and risk factors in the UK. Available at: https://www.diabetes.org.uk (Accessed: 22 March 2026).</w:t>
      </w:r>
    </w:p>
    <w:p w14:paraId="186E867A"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Department of Health and Social Care (2024) Health inequalities: ethnicity and health outcomes. Available at: https://www.gov.uk (Accessed: 22 March 2026).</w:t>
      </w:r>
    </w:p>
    <w:p w14:paraId="0860D595"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Department of Health and Social Care (2025) Reducing health inequalities: policy update. Available at: https://www.gov.uk (Accessed: 22 March 2026).</w:t>
      </w:r>
    </w:p>
    <w:p w14:paraId="60FA5020"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Joseph Rowntree Foundation (2024) UK poverty statistics. Available at: https://www.jrf.org.uk (Accessed: 22 March 2026).</w:t>
      </w:r>
    </w:p>
    <w:p w14:paraId="64EBF5AE"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Joseph Rowntree Foundation (2026) Annual report on social inequalities. Available at: https://www.jrf.org.uk (Accessed: 22 March 2026).</w:t>
      </w:r>
    </w:p>
    <w:p w14:paraId="16119909"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Kayani, G., Smith, J. and Patel, R. (2024) ‘Socioeconomic inequalities and multimorbidity in the UK’, Journal of Public Health, 46(2), pp. 45–52.</w:t>
      </w:r>
    </w:p>
    <w:p w14:paraId="4C676249" w14:textId="197CAEDD"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 xml:space="preserve">Marmot, M. (2024) Health equity in England: </w:t>
      </w:r>
      <w:r w:rsidR="005B7279">
        <w:rPr>
          <w:rFonts w:ascii="Arial" w:hAnsi="Arial" w:cs="Arial"/>
        </w:rPr>
        <w:t>The</w:t>
      </w:r>
      <w:r w:rsidRPr="000D30FE">
        <w:rPr>
          <w:rFonts w:ascii="Arial" w:hAnsi="Arial" w:cs="Arial"/>
        </w:rPr>
        <w:t xml:space="preserve"> Marmot Review 10 years on. Available at: https://www.instituteofhealthequity.org (Accessed: 22 March 2026).</w:t>
      </w:r>
    </w:p>
    <w:p w14:paraId="0701F575"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NHS Digital (2024) Health Survey for England. Available at: https://digital.nhs.uk (Accessed: 22 March 2026).</w:t>
      </w:r>
    </w:p>
    <w:p w14:paraId="54F4A332"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NHS England (2019) The NHS Long Term Plan. Available at: https://www.england.nhs.uk (Accessed: 22 March 2026).</w:t>
      </w:r>
    </w:p>
    <w:p w14:paraId="39384D63"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NHS England (2023) Health inequalities and early diagnosis report. Available at: https://www.england.nhs.uk (Accessed: 22 March 2026).</w:t>
      </w:r>
    </w:p>
    <w:p w14:paraId="253EDC59"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NHS England (2024) Access to GP services and patient experience. Available at: https://www.england.nhs.uk (Accessed: 22 March 2026).</w:t>
      </w:r>
    </w:p>
    <w:p w14:paraId="16385241"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lastRenderedPageBreak/>
        <w:t>Office for Health Improvement and Disparities (2023) Health behaviours and inequalities. Available at: https://www.gov.uk/government/organisations/office-for-health-improvement-and-disparities (Accessed: 22 March 2026).</w:t>
      </w:r>
    </w:p>
    <w:p w14:paraId="15A0D6BE"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Office for National Statistics (2023) Ethnic group, England and Wales: Census 2021. Available at: https://www.ons.gov.uk (Accessed: 22 March 2026).</w:t>
      </w:r>
    </w:p>
    <w:p w14:paraId="142E70A7"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Patel, K., Ahmed, S. and Brown, L. (2024) ‘Diet, deprivation and ethnic inequalities in health’, Journal of Public Health, 46(2), pp. 210–218.</w:t>
      </w:r>
    </w:p>
    <w:p w14:paraId="1BB9BEAF"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Public Health England (2023) Mental health and wellbeing in minority ethnic groups. Available at: https://www.gov.uk (Accessed: 22 March 2026).</w:t>
      </w:r>
    </w:p>
    <w:p w14:paraId="72C84B03"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Race Equality Foundation (2024) Improving access to healthcare for ethnic minorities. Available at: https://raceequalityfoundation.org.uk (Accessed: 22 March 2026).</w:t>
      </w:r>
    </w:p>
    <w:p w14:paraId="0B56D1A1"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Race Equality Foundation (2025) Ethnicity and health inequalities report. Available at: https://raceequalityfoundation.org.uk (Accessed: 22 March 2026).</w:t>
      </w:r>
    </w:p>
    <w:p w14:paraId="6FF4AF90"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Race Equality Foundation (2026) Community engagement and health outcomes. Available at: https://raceequalityfoundation.org.uk (Accessed: 22 March 2026).</w:t>
      </w:r>
    </w:p>
    <w:p w14:paraId="0DEF859A"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Sapey, E. et al. (2023) ‘Ethnic disparities in healthcare access and outcomes’, BMJ Open, 13(5), e067890.</w:t>
      </w:r>
    </w:p>
    <w:p w14:paraId="1D1F89E3"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Shelter (2024) Housing and health: the impact of poor housing. Available at: https://www.shelter.org.uk (Accessed: 22 March 2026).</w:t>
      </w:r>
    </w:p>
    <w:p w14:paraId="5CFCB88C"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The King’s Fund (2023) Ethnic health inequalities in England. Available at: https://www.kingsfund.org.uk (Accessed: 22 March 2026).</w:t>
      </w:r>
    </w:p>
    <w:p w14:paraId="441B6A90"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UK Health Security Agency (2023) Health effects of poor housing. Available at: https://www.gov.uk/government/organisations/uk-health-security-agency (Accessed: 22 March 2026).</w:t>
      </w:r>
    </w:p>
    <w:p w14:paraId="0C891A30" w14:textId="78432CD2" w:rsidR="00AA3FB7" w:rsidRP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World Health Organization (2024) Air pollution and health inequalities. Available at: https://www.who.int (Accessed: 22 March 2026).</w:t>
      </w:r>
    </w:p>
    <w:p w14:paraId="5C18F52B" w14:textId="77777777" w:rsidR="00AA3FB7" w:rsidRDefault="00AA3FB7" w:rsidP="002A7912">
      <w:pPr>
        <w:jc w:val="both"/>
        <w:rPr>
          <w:rFonts w:ascii="Arial" w:hAnsi="Arial" w:cs="Arial"/>
        </w:rPr>
      </w:pPr>
    </w:p>
    <w:p w14:paraId="5831B738" w14:textId="77777777" w:rsidR="00AA3FB7" w:rsidRDefault="00AA3FB7" w:rsidP="002A7912">
      <w:pPr>
        <w:jc w:val="both"/>
        <w:rPr>
          <w:rFonts w:ascii="Arial" w:hAnsi="Arial" w:cs="Arial"/>
        </w:rPr>
      </w:pPr>
    </w:p>
    <w:p w14:paraId="167082BF" w14:textId="77777777" w:rsidR="00AA3FB7" w:rsidRDefault="00AA3FB7" w:rsidP="002A7912">
      <w:pPr>
        <w:jc w:val="both"/>
        <w:rPr>
          <w:rFonts w:ascii="Arial" w:hAnsi="Arial" w:cs="Arial"/>
        </w:rPr>
      </w:pPr>
    </w:p>
    <w:p w14:paraId="55EC1A32" w14:textId="77777777" w:rsidR="0034165A" w:rsidRDefault="0034165A" w:rsidP="002A7912">
      <w:pPr>
        <w:jc w:val="both"/>
        <w:rPr>
          <w:rFonts w:ascii="Arial" w:hAnsi="Arial" w:cs="Arial"/>
        </w:rPr>
      </w:pPr>
    </w:p>
    <w:p w14:paraId="52EFF2AE" w14:textId="77777777" w:rsidR="00F67845" w:rsidRPr="00B236F0" w:rsidRDefault="00F67845" w:rsidP="002A7912">
      <w:pPr>
        <w:jc w:val="both"/>
        <w:rPr>
          <w:rFonts w:ascii="Arial" w:hAnsi="Arial" w:cs="Arial"/>
          <w:sz w:val="36"/>
          <w:szCs w:val="36"/>
        </w:rPr>
      </w:pPr>
    </w:p>
    <w:p w14:paraId="076610ED" w14:textId="5D6FDC83" w:rsidR="00B236F0" w:rsidRPr="00F67845" w:rsidRDefault="00EB78B2" w:rsidP="002A7912">
      <w:pPr>
        <w:pStyle w:val="Heading1"/>
        <w:jc w:val="both"/>
        <w:rPr>
          <w:rFonts w:ascii="Arial" w:hAnsi="Arial" w:cs="Arial"/>
          <w:b/>
          <w:bCs/>
        </w:rPr>
      </w:pPr>
      <w:bookmarkStart w:id="12" w:name="_Toc225106700"/>
      <w:r w:rsidRPr="00F67845">
        <w:rPr>
          <w:rFonts w:ascii="Arial" w:hAnsi="Arial" w:cs="Arial"/>
          <w:b/>
          <w:bCs/>
        </w:rPr>
        <w:lastRenderedPageBreak/>
        <w:t xml:space="preserve">Task 2: </w:t>
      </w:r>
      <w:r w:rsidR="00F67845">
        <w:rPr>
          <w:rFonts w:ascii="Arial" w:hAnsi="Arial" w:cs="Arial"/>
          <w:b/>
          <w:bCs/>
        </w:rPr>
        <w:t xml:space="preserve">Epidemiological Case Analysis </w:t>
      </w:r>
      <w:r w:rsidRPr="00F67845">
        <w:rPr>
          <w:rFonts w:ascii="Arial" w:hAnsi="Arial" w:cs="Arial"/>
          <w:b/>
          <w:bCs/>
        </w:rPr>
        <w:t>Periodontal Disease in Ethnic Minority Populations</w:t>
      </w:r>
      <w:bookmarkEnd w:id="12"/>
    </w:p>
    <w:p w14:paraId="38B4580E" w14:textId="074C26FC" w:rsidR="00EB78B2" w:rsidRPr="00F67845" w:rsidRDefault="00EB78B2" w:rsidP="002A7912">
      <w:pPr>
        <w:pStyle w:val="Heading1"/>
        <w:jc w:val="both"/>
        <w:rPr>
          <w:rFonts w:ascii="Arial" w:hAnsi="Arial" w:cs="Arial"/>
          <w:b/>
          <w:bCs/>
          <w:sz w:val="22"/>
          <w:szCs w:val="22"/>
        </w:rPr>
      </w:pPr>
      <w:bookmarkStart w:id="13" w:name="_Toc225106701"/>
      <w:r w:rsidRPr="00F67845">
        <w:rPr>
          <w:rFonts w:ascii="Arial" w:hAnsi="Arial" w:cs="Arial"/>
          <w:b/>
          <w:bCs/>
          <w:sz w:val="22"/>
          <w:szCs w:val="22"/>
        </w:rPr>
        <w:t>Introduction</w:t>
      </w:r>
      <w:bookmarkEnd w:id="13"/>
    </w:p>
    <w:p w14:paraId="7A0CF86A" w14:textId="01E89FA9" w:rsidR="00EB78B2" w:rsidRPr="00EB78B2" w:rsidRDefault="00EB78B2" w:rsidP="002A7912">
      <w:pPr>
        <w:spacing w:line="360" w:lineRule="auto"/>
        <w:jc w:val="both"/>
        <w:rPr>
          <w:rFonts w:ascii="Arial" w:hAnsi="Arial" w:cs="Arial"/>
        </w:rPr>
      </w:pPr>
      <w:r w:rsidRPr="00EB78B2">
        <w:rPr>
          <w:rFonts w:ascii="Arial" w:hAnsi="Arial" w:cs="Arial"/>
        </w:rPr>
        <w:t>Periodontal disease is a chronic inflammatory condition affecting the supporting structures of the teeth, including the gingiva, periodontal ligament and alveolar bone. It usually begins as gingivitis but can progress to irreversible periodontitis, leading to tooth loss and contributing to systemic conditions such as cardiovascular disease and diabetes (Chapple et al., 2024; WHO, 2023</w:t>
      </w:r>
      <w:r w:rsidR="00A36B71">
        <w:rPr>
          <w:rFonts w:ascii="Arial" w:hAnsi="Arial" w:cs="Arial"/>
        </w:rPr>
        <w:t>; Peres et al., 2022</w:t>
      </w:r>
      <w:r w:rsidRPr="00EB78B2">
        <w:rPr>
          <w:rFonts w:ascii="Arial" w:hAnsi="Arial" w:cs="Arial"/>
        </w:rPr>
        <w:t>). Due to its high prevalence and long-term consequences, it is recognised as a major global public health issue</w:t>
      </w:r>
      <w:r w:rsidR="00715F6C">
        <w:rPr>
          <w:rFonts w:ascii="Arial" w:hAnsi="Arial" w:cs="Arial"/>
        </w:rPr>
        <w:t xml:space="preserve"> (GBD Oral Disorders Collaborators, 2022)</w:t>
      </w:r>
    </w:p>
    <w:p w14:paraId="2AC1492A" w14:textId="2F7D3074" w:rsidR="00EB78B2" w:rsidRPr="00EB78B2" w:rsidRDefault="00EB78B2" w:rsidP="002A7912">
      <w:pPr>
        <w:spacing w:line="360" w:lineRule="auto"/>
        <w:jc w:val="both"/>
        <w:rPr>
          <w:rFonts w:ascii="Arial" w:hAnsi="Arial" w:cs="Arial"/>
        </w:rPr>
      </w:pPr>
      <w:r w:rsidRPr="00EB78B2">
        <w:rPr>
          <w:rFonts w:ascii="Arial" w:hAnsi="Arial" w:cs="Arial"/>
        </w:rPr>
        <w:t>Globally, periodontal disease affects around 20–50% of adults, with severe periodontitis impacting nearly one billion people (WHO, 2023</w:t>
      </w:r>
      <w:r w:rsidR="00D85BFE">
        <w:rPr>
          <w:rFonts w:ascii="Arial" w:hAnsi="Arial" w:cs="Arial"/>
        </w:rPr>
        <w:t>; Kassebaum et al., 2022</w:t>
      </w:r>
      <w:r w:rsidR="00715F6C">
        <w:rPr>
          <w:rFonts w:ascii="Arial" w:hAnsi="Arial" w:cs="Arial"/>
        </w:rPr>
        <w:t>; Marcenes et al., 2022</w:t>
      </w:r>
      <w:r w:rsidRPr="00EB78B2">
        <w:rPr>
          <w:rFonts w:ascii="Arial" w:hAnsi="Arial" w:cs="Arial"/>
        </w:rPr>
        <w:t>). In the UK, most adults show some signs of the disease, although severe forms affect a smaller proportion (NHS Digital, 2023). However, these statistics conceal important inequalities, as the burden is disproportionately higher among disadvantaged and ethnic minority populations (Watt et al., 2021</w:t>
      </w:r>
      <w:r w:rsidR="00715F6C">
        <w:rPr>
          <w:rFonts w:ascii="Arial" w:hAnsi="Arial" w:cs="Arial"/>
        </w:rPr>
        <w:t>; Sabbah et al., 2023</w:t>
      </w:r>
      <w:r w:rsidRPr="00EB78B2">
        <w:rPr>
          <w:rFonts w:ascii="Arial" w:hAnsi="Arial" w:cs="Arial"/>
        </w:rPr>
        <w:t>).</w:t>
      </w:r>
    </w:p>
    <w:p w14:paraId="7F5EE9F9" w14:textId="7CA77687" w:rsidR="00EB78B2" w:rsidRPr="00EB78B2" w:rsidRDefault="00EB78B2" w:rsidP="002A7912">
      <w:pPr>
        <w:spacing w:line="360" w:lineRule="auto"/>
        <w:jc w:val="both"/>
        <w:rPr>
          <w:rFonts w:ascii="Arial" w:hAnsi="Arial" w:cs="Arial"/>
        </w:rPr>
      </w:pPr>
      <w:r w:rsidRPr="00EB78B2">
        <w:rPr>
          <w:rFonts w:ascii="Arial" w:hAnsi="Arial" w:cs="Arial"/>
        </w:rPr>
        <w:t>The effects of periodontal disease extend beyond oral health. It can negatively impact confidence, communication and quality of life, while also increasing the risk of systemic illness. Ethnic minority populations often face additional barriers, including cultural beliefs, language differences and reduced access to dental services, which can worsen health outcomes (Watt et al., 2021)</w:t>
      </w:r>
      <w:r w:rsidR="00AA5DF2">
        <w:rPr>
          <w:rFonts w:ascii="Arial" w:hAnsi="Arial" w:cs="Arial"/>
        </w:rPr>
        <w:t>.</w:t>
      </w:r>
    </w:p>
    <w:p w14:paraId="0EF20D1C" w14:textId="66926103" w:rsidR="00D85BFE" w:rsidRPr="00EB78B2" w:rsidRDefault="00EB78B2" w:rsidP="002A7912">
      <w:pPr>
        <w:spacing w:line="360" w:lineRule="auto"/>
        <w:jc w:val="both"/>
        <w:rPr>
          <w:rFonts w:ascii="Arial" w:hAnsi="Arial" w:cs="Arial"/>
        </w:rPr>
      </w:pPr>
      <w:r w:rsidRPr="00EB78B2">
        <w:rPr>
          <w:rFonts w:ascii="Arial" w:hAnsi="Arial" w:cs="Arial"/>
        </w:rPr>
        <w:t>This report focuses on Tower Hamlets, a London borough characterised by high deprivation and a diverse population, particularly within the Bangladeshi community. This context allows for a deeper understanding of how epidemiology can be used to explore and address oral health inequalities (OHID, 2023).</w:t>
      </w:r>
    </w:p>
    <w:p w14:paraId="4004693C" w14:textId="7A1B859C" w:rsidR="00EB78B2" w:rsidRPr="00F67845" w:rsidRDefault="00EB78B2" w:rsidP="002A7912">
      <w:pPr>
        <w:pStyle w:val="Heading1"/>
        <w:jc w:val="both"/>
        <w:rPr>
          <w:rFonts w:ascii="Arial" w:hAnsi="Arial" w:cs="Arial"/>
          <w:b/>
          <w:bCs/>
          <w:sz w:val="22"/>
          <w:szCs w:val="22"/>
        </w:rPr>
      </w:pPr>
      <w:bookmarkStart w:id="14" w:name="_Toc225106702"/>
      <w:r w:rsidRPr="00F67845">
        <w:rPr>
          <w:rFonts w:ascii="Arial" w:hAnsi="Arial" w:cs="Arial"/>
          <w:b/>
          <w:bCs/>
          <w:sz w:val="22"/>
          <w:szCs w:val="22"/>
        </w:rPr>
        <w:t>Public Health Measures: Prevention, Protection and Promotion</w:t>
      </w:r>
      <w:bookmarkEnd w:id="14"/>
    </w:p>
    <w:p w14:paraId="08D4EF1A" w14:textId="241D08E4" w:rsidR="00EB78B2" w:rsidRPr="00EB78B2" w:rsidRDefault="00EB78B2" w:rsidP="002A7912">
      <w:pPr>
        <w:spacing w:line="360" w:lineRule="auto"/>
        <w:jc w:val="both"/>
        <w:rPr>
          <w:rFonts w:ascii="Arial" w:hAnsi="Arial" w:cs="Arial"/>
        </w:rPr>
      </w:pPr>
      <w:r w:rsidRPr="00EB78B2">
        <w:rPr>
          <w:rFonts w:ascii="Arial" w:hAnsi="Arial" w:cs="Arial"/>
        </w:rPr>
        <w:t>Public health responses to periodontal disease are commonly structured around three key functions: prevention, protection and promotion. While these approaches are well established, their effectiveness is often limited by structural inequalities and resource constraints (Watt et al., 2021</w:t>
      </w:r>
      <w:r w:rsidR="00715F6C">
        <w:rPr>
          <w:rFonts w:ascii="Arial" w:hAnsi="Arial" w:cs="Arial"/>
        </w:rPr>
        <w:t>; Sheiham and watt, 2022</w:t>
      </w:r>
      <w:r w:rsidRPr="00EB78B2">
        <w:rPr>
          <w:rFonts w:ascii="Arial" w:hAnsi="Arial" w:cs="Arial"/>
        </w:rPr>
        <w:t>).</w:t>
      </w:r>
    </w:p>
    <w:p w14:paraId="5BCBCA02" w14:textId="05011888" w:rsidR="00EB78B2" w:rsidRPr="00EB78B2" w:rsidRDefault="00EB78B2" w:rsidP="002A7912">
      <w:pPr>
        <w:spacing w:line="360" w:lineRule="auto"/>
        <w:jc w:val="both"/>
        <w:rPr>
          <w:rFonts w:ascii="Arial" w:hAnsi="Arial" w:cs="Arial"/>
        </w:rPr>
      </w:pPr>
      <w:r w:rsidRPr="00EB78B2">
        <w:rPr>
          <w:rFonts w:ascii="Arial" w:hAnsi="Arial" w:cs="Arial"/>
        </w:rPr>
        <w:t>Prevention operates at three levels. Primary prevention includes oral hygiene</w:t>
      </w:r>
      <w:r w:rsidR="006F40AA">
        <w:rPr>
          <w:rFonts w:ascii="Arial" w:hAnsi="Arial" w:cs="Arial"/>
        </w:rPr>
        <w:t xml:space="preserve"> instructions</w:t>
      </w:r>
      <w:r w:rsidRPr="00EB78B2">
        <w:rPr>
          <w:rFonts w:ascii="Arial" w:hAnsi="Arial" w:cs="Arial"/>
        </w:rPr>
        <w:t xml:space="preserve">, fluoride use and smoking cessation to reduce disease onset. Secondary prevention focuses </w:t>
      </w:r>
      <w:r w:rsidRPr="00EB78B2">
        <w:rPr>
          <w:rFonts w:ascii="Arial" w:hAnsi="Arial" w:cs="Arial"/>
        </w:rPr>
        <w:lastRenderedPageBreak/>
        <w:t>on early detection through routine dental check-ups, while tertiary prevention involves clinical management to prevent progression and complications</w:t>
      </w:r>
      <w:r w:rsidR="006D46D9">
        <w:rPr>
          <w:rFonts w:ascii="Arial" w:hAnsi="Arial" w:cs="Arial"/>
        </w:rPr>
        <w:t xml:space="preserve"> </w:t>
      </w:r>
      <w:r w:rsidR="00715F6C">
        <w:rPr>
          <w:rFonts w:ascii="Arial" w:hAnsi="Arial" w:cs="Arial"/>
        </w:rPr>
        <w:t>(Peterson and O</w:t>
      </w:r>
      <w:r w:rsidR="00FD5B41">
        <w:rPr>
          <w:rFonts w:ascii="Arial" w:hAnsi="Arial" w:cs="Arial"/>
        </w:rPr>
        <w:t>gawa, 2022)</w:t>
      </w:r>
      <w:r w:rsidRPr="00EB78B2">
        <w:rPr>
          <w:rFonts w:ascii="Arial" w:hAnsi="Arial" w:cs="Arial"/>
        </w:rPr>
        <w:t>. Despite their importance, preventive services are less accessible to deprived and ethnic minority populations. Barriers such as cost, limited awareness and cultural perceptions reduce engagement with these services (Watt et al., 2021).</w:t>
      </w:r>
    </w:p>
    <w:p w14:paraId="219F5E1B" w14:textId="136BC1DF" w:rsidR="00EB78B2" w:rsidRPr="00EB78B2" w:rsidRDefault="00EB78B2" w:rsidP="002A7912">
      <w:pPr>
        <w:spacing w:line="360" w:lineRule="auto"/>
        <w:jc w:val="both"/>
        <w:rPr>
          <w:rFonts w:ascii="Arial" w:hAnsi="Arial" w:cs="Arial"/>
        </w:rPr>
      </w:pPr>
      <w:r w:rsidRPr="00EB78B2">
        <w:rPr>
          <w:rFonts w:ascii="Arial" w:hAnsi="Arial" w:cs="Arial"/>
        </w:rPr>
        <w:t>Protection involves regulatory and service-based measures, including NHS dental services and public health policies such as sugar reduction programmes. Although NHS services are available, access remains uneven. In Tower Hamlets, high demand and workforce shortages create delays, reducing the effectiveness of protective strategies. Furthermore, service distribution often does not match population needs, leading to geographical inequalities (BDA, 2023).</w:t>
      </w:r>
    </w:p>
    <w:p w14:paraId="1FFF114F" w14:textId="391AD254" w:rsidR="00EB78B2" w:rsidRPr="00EB78B2" w:rsidRDefault="00EB78B2" w:rsidP="002A7912">
      <w:pPr>
        <w:spacing w:line="360" w:lineRule="auto"/>
        <w:jc w:val="both"/>
        <w:rPr>
          <w:rFonts w:ascii="Arial" w:hAnsi="Arial" w:cs="Arial"/>
        </w:rPr>
      </w:pPr>
      <w:r w:rsidRPr="00EB78B2">
        <w:rPr>
          <w:rFonts w:ascii="Arial" w:hAnsi="Arial" w:cs="Arial"/>
        </w:rPr>
        <w:t>Promotion focuses on empowering individuals and communities to adopt healthier behaviours. Culturally tailored health promotion programmes, particularly those delivered in native languages, are more effective in engaging ethnic minority groups. However, generic approaches often fail to address cultural and linguistic differences, limiting their impact and sustainability (Watt et al., 202</w:t>
      </w:r>
      <w:r w:rsidR="00FD5B41">
        <w:rPr>
          <w:rFonts w:ascii="Arial" w:hAnsi="Arial" w:cs="Arial"/>
        </w:rPr>
        <w:t>1; Guarnizo-Herreno et al., 2022</w:t>
      </w:r>
      <w:r w:rsidRPr="00EB78B2">
        <w:rPr>
          <w:rFonts w:ascii="Arial" w:hAnsi="Arial" w:cs="Arial"/>
        </w:rPr>
        <w:t>).</w:t>
      </w:r>
    </w:p>
    <w:p w14:paraId="1747D78C" w14:textId="77777777" w:rsidR="00EB78B2" w:rsidRDefault="00EB78B2" w:rsidP="002A7912">
      <w:pPr>
        <w:spacing w:line="360" w:lineRule="auto"/>
        <w:jc w:val="both"/>
        <w:rPr>
          <w:rFonts w:ascii="Arial" w:hAnsi="Arial" w:cs="Arial"/>
        </w:rPr>
      </w:pPr>
      <w:r w:rsidRPr="00EB78B2">
        <w:rPr>
          <w:rFonts w:ascii="Arial" w:hAnsi="Arial" w:cs="Arial"/>
        </w:rPr>
        <w:t>Overall, while the three Ps framework is useful, its effectiveness is constrained by wider social determinants such as poverty, education and housing. This highlights the need for integrated and equity-focused strategies that go beyond individual behaviour change.</w:t>
      </w:r>
    </w:p>
    <w:p w14:paraId="3F10FBEE" w14:textId="57584A67" w:rsidR="00090AD6" w:rsidRDefault="00090AD6" w:rsidP="002A7912">
      <w:pPr>
        <w:spacing w:line="360" w:lineRule="auto"/>
        <w:jc w:val="both"/>
        <w:rPr>
          <w:rFonts w:ascii="Arial" w:hAnsi="Arial" w:cs="Arial"/>
        </w:rPr>
      </w:pPr>
      <w:r>
        <w:rPr>
          <w:noProof/>
        </w:rPr>
        <w:drawing>
          <wp:inline distT="0" distB="0" distL="0" distR="0" wp14:anchorId="70754899" wp14:editId="176F63B5">
            <wp:extent cx="5731510" cy="2373630"/>
            <wp:effectExtent l="0" t="0" r="2540" b="7620"/>
            <wp:docPr id="15319880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73630"/>
                    </a:xfrm>
                    <a:prstGeom prst="rect">
                      <a:avLst/>
                    </a:prstGeom>
                    <a:noFill/>
                    <a:ln>
                      <a:noFill/>
                    </a:ln>
                  </pic:spPr>
                </pic:pic>
              </a:graphicData>
            </a:graphic>
          </wp:inline>
        </w:drawing>
      </w:r>
    </w:p>
    <w:p w14:paraId="07A38358" w14:textId="42333D13" w:rsidR="00090AD6" w:rsidRPr="00EB78B2" w:rsidRDefault="00090AD6" w:rsidP="002A7912">
      <w:pPr>
        <w:spacing w:line="360" w:lineRule="auto"/>
        <w:jc w:val="center"/>
        <w:rPr>
          <w:rFonts w:ascii="Arial" w:hAnsi="Arial" w:cs="Arial"/>
        </w:rPr>
      </w:pPr>
      <w:r>
        <w:rPr>
          <w:rFonts w:ascii="Arial" w:hAnsi="Arial" w:cs="Arial"/>
        </w:rPr>
        <w:t>(</w:t>
      </w:r>
      <w:r w:rsidRPr="00090AD6">
        <w:rPr>
          <w:rFonts w:ascii="Arial" w:hAnsi="Arial" w:cs="Arial"/>
        </w:rPr>
        <w:t>Lahore university of biological and applied sciences,2023</w:t>
      </w:r>
      <w:r>
        <w:rPr>
          <w:rFonts w:ascii="Arial" w:hAnsi="Arial" w:cs="Arial"/>
        </w:rPr>
        <w:t>)</w:t>
      </w:r>
    </w:p>
    <w:p w14:paraId="3B227320" w14:textId="77777777" w:rsidR="006D6743" w:rsidRPr="00EB78B2" w:rsidRDefault="006D6743" w:rsidP="002A7912">
      <w:pPr>
        <w:spacing w:line="360" w:lineRule="auto"/>
        <w:jc w:val="center"/>
        <w:rPr>
          <w:rFonts w:ascii="Arial" w:hAnsi="Arial" w:cs="Arial"/>
        </w:rPr>
      </w:pPr>
    </w:p>
    <w:p w14:paraId="2F6C7D53" w14:textId="4870F0B9" w:rsidR="00EB78B2" w:rsidRPr="00F67845" w:rsidRDefault="00EB78B2" w:rsidP="002A7912">
      <w:pPr>
        <w:pStyle w:val="Heading1"/>
        <w:jc w:val="both"/>
        <w:rPr>
          <w:rFonts w:ascii="Arial" w:hAnsi="Arial" w:cs="Arial"/>
          <w:b/>
          <w:bCs/>
          <w:sz w:val="22"/>
          <w:szCs w:val="22"/>
        </w:rPr>
      </w:pPr>
      <w:bookmarkStart w:id="15" w:name="_Toc225106703"/>
      <w:r w:rsidRPr="00F67845">
        <w:rPr>
          <w:rFonts w:ascii="Arial" w:hAnsi="Arial" w:cs="Arial"/>
          <w:b/>
          <w:bCs/>
          <w:sz w:val="22"/>
          <w:szCs w:val="22"/>
        </w:rPr>
        <w:lastRenderedPageBreak/>
        <w:t>Determinants and Risk Factors</w:t>
      </w:r>
      <w:bookmarkEnd w:id="15"/>
    </w:p>
    <w:p w14:paraId="48934FC5" w14:textId="28C79E43" w:rsidR="00EB78B2" w:rsidRPr="00EB78B2" w:rsidRDefault="00EB78B2" w:rsidP="002A7912">
      <w:pPr>
        <w:spacing w:line="360" w:lineRule="auto"/>
        <w:jc w:val="both"/>
        <w:rPr>
          <w:rFonts w:ascii="Arial" w:hAnsi="Arial" w:cs="Arial"/>
        </w:rPr>
      </w:pPr>
      <w:r w:rsidRPr="00EB78B2">
        <w:rPr>
          <w:rFonts w:ascii="Arial" w:hAnsi="Arial" w:cs="Arial"/>
        </w:rPr>
        <w:t>Periodontal disease is influenced by a complex interaction of biological, behavioural and social determinants, which together shape disease risk and outcomes (Chapple et al., 2024).</w:t>
      </w:r>
    </w:p>
    <w:p w14:paraId="70214243" w14:textId="552A1CE2" w:rsidR="00EB78B2" w:rsidRPr="00EB78B2" w:rsidRDefault="00EB78B2" w:rsidP="002A7912">
      <w:pPr>
        <w:spacing w:line="360" w:lineRule="auto"/>
        <w:jc w:val="both"/>
        <w:rPr>
          <w:rFonts w:ascii="Arial" w:hAnsi="Arial" w:cs="Arial"/>
        </w:rPr>
      </w:pPr>
      <w:r w:rsidRPr="00EB78B2">
        <w:rPr>
          <w:rFonts w:ascii="Arial" w:hAnsi="Arial" w:cs="Arial"/>
        </w:rPr>
        <w:t>Biological factors include age, genetic predisposition and systemic conditions such as diabetes. The relationship between diabetes and periodontal disease is bidirectional, meaning each condition worsens the other. Poor glycaemic control increases the severity of periodontal disease, while periodontal inflammation negatively affects diabetes management (Chapple et al., 2024).</w:t>
      </w:r>
    </w:p>
    <w:p w14:paraId="338E1D59" w14:textId="74C1BCC7" w:rsidR="00EB78B2" w:rsidRPr="00EB78B2" w:rsidRDefault="00EB78B2" w:rsidP="002A7912">
      <w:pPr>
        <w:spacing w:line="360" w:lineRule="auto"/>
        <w:jc w:val="both"/>
        <w:rPr>
          <w:rFonts w:ascii="Arial" w:hAnsi="Arial" w:cs="Arial"/>
        </w:rPr>
      </w:pPr>
      <w:r w:rsidRPr="00EB78B2">
        <w:rPr>
          <w:rFonts w:ascii="Arial" w:hAnsi="Arial" w:cs="Arial"/>
        </w:rPr>
        <w:t>Behavioural factors such as smoking, poor oral hygiene and irregular dental attendance are strongly linked to disease development. Smoking, in particular, increases disease severity, impairs immune response and reduces treatment success. Dietary habits, especially high sugar intake, also contribute indirectly by promoting plaque accumulation and inflammation (Watt et al., 2021).</w:t>
      </w:r>
    </w:p>
    <w:p w14:paraId="5E41CF56" w14:textId="1DFF3190" w:rsidR="00EB78B2" w:rsidRPr="00EB78B2" w:rsidRDefault="00EB78B2" w:rsidP="002A7912">
      <w:pPr>
        <w:spacing w:line="360" w:lineRule="auto"/>
        <w:jc w:val="both"/>
        <w:rPr>
          <w:rFonts w:ascii="Arial" w:hAnsi="Arial" w:cs="Arial"/>
        </w:rPr>
      </w:pPr>
      <w:r w:rsidRPr="00EB78B2">
        <w:rPr>
          <w:rFonts w:ascii="Arial" w:hAnsi="Arial" w:cs="Arial"/>
        </w:rPr>
        <w:t>However, behaviour alone does not explain the full picture. Social determinants, including income, education and ethnicity, play a critical role in shaping exposure to risk factors and access to care. Ethnic minority groups are more likely to experience socioeconomic disadvantage, which increases vulnerability to periodontal disease. Cultural beliefs and health literacy also influence oral health behaviours and attitudes towards seeking care (The King’s Fund, 2023).</w:t>
      </w:r>
    </w:p>
    <w:p w14:paraId="33184C03" w14:textId="066C8F0F" w:rsidR="00EB78B2" w:rsidRDefault="00EB78B2" w:rsidP="002A7912">
      <w:pPr>
        <w:spacing w:line="360" w:lineRule="auto"/>
        <w:jc w:val="both"/>
        <w:rPr>
          <w:rFonts w:ascii="Arial" w:hAnsi="Arial" w:cs="Arial"/>
        </w:rPr>
      </w:pPr>
      <w:r w:rsidRPr="00EB78B2">
        <w:rPr>
          <w:rFonts w:ascii="Arial" w:hAnsi="Arial" w:cs="Arial"/>
        </w:rPr>
        <w:t>Environmental factors further contribute to disease patterns. In Tower Hamlets, high population density and service pressures limit access to dental care. Language barriers and unfamiliarity with the healthcare system may discourage individuals from seeking treatment, reinforcing inequalities (OHID, 2023).</w:t>
      </w:r>
    </w:p>
    <w:p w14:paraId="6D484A0A" w14:textId="7E69673A" w:rsidR="007B46F5" w:rsidRDefault="007B46F5" w:rsidP="002A7912">
      <w:pPr>
        <w:spacing w:line="360" w:lineRule="auto"/>
        <w:jc w:val="center"/>
        <w:rPr>
          <w:rFonts w:ascii="Arial" w:hAnsi="Arial" w:cs="Arial"/>
        </w:rPr>
      </w:pPr>
      <w:r>
        <w:rPr>
          <w:noProof/>
        </w:rPr>
        <w:drawing>
          <wp:inline distT="0" distB="0" distL="0" distR="0" wp14:anchorId="31420111" wp14:editId="2D2BF41E">
            <wp:extent cx="2536972" cy="1695157"/>
            <wp:effectExtent l="133350" t="114300" r="149225" b="172085"/>
            <wp:docPr id="11876884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70537" cy="17175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E2F6702" w14:textId="02BE5ADA" w:rsidR="007B46F5" w:rsidRDefault="007B46F5" w:rsidP="002A7912">
      <w:pPr>
        <w:spacing w:line="360" w:lineRule="auto"/>
        <w:jc w:val="center"/>
        <w:rPr>
          <w:rFonts w:ascii="Arial" w:hAnsi="Arial" w:cs="Arial"/>
        </w:rPr>
      </w:pPr>
      <w:r>
        <w:rPr>
          <w:rFonts w:ascii="Arial" w:hAnsi="Arial" w:cs="Arial"/>
        </w:rPr>
        <w:t>(Kiroku n.d.)</w:t>
      </w:r>
    </w:p>
    <w:p w14:paraId="0132E4C4" w14:textId="77777777" w:rsidR="00E13EB7" w:rsidRPr="00EB78B2" w:rsidRDefault="00E13EB7" w:rsidP="002A7912">
      <w:pPr>
        <w:spacing w:line="360" w:lineRule="auto"/>
        <w:jc w:val="both"/>
        <w:rPr>
          <w:rFonts w:ascii="Arial" w:hAnsi="Arial" w:cs="Arial"/>
        </w:rPr>
      </w:pPr>
    </w:p>
    <w:p w14:paraId="294C11D8" w14:textId="04BBEBBF" w:rsidR="00EB78B2" w:rsidRPr="00F67845" w:rsidRDefault="00EB78B2" w:rsidP="002A7912">
      <w:pPr>
        <w:pStyle w:val="Heading1"/>
        <w:jc w:val="both"/>
        <w:rPr>
          <w:rFonts w:ascii="Arial" w:hAnsi="Arial" w:cs="Arial"/>
          <w:b/>
          <w:bCs/>
          <w:sz w:val="22"/>
          <w:szCs w:val="22"/>
        </w:rPr>
      </w:pPr>
      <w:bookmarkStart w:id="16" w:name="_Toc225106704"/>
      <w:r w:rsidRPr="00F67845">
        <w:rPr>
          <w:rFonts w:ascii="Arial" w:hAnsi="Arial" w:cs="Arial"/>
          <w:b/>
          <w:bCs/>
          <w:sz w:val="22"/>
          <w:szCs w:val="22"/>
        </w:rPr>
        <w:lastRenderedPageBreak/>
        <w:t>Epidemiological Studies and Health Needs Assessment</w:t>
      </w:r>
      <w:bookmarkEnd w:id="16"/>
    </w:p>
    <w:p w14:paraId="718482C1" w14:textId="2ACF8BC2" w:rsidR="00EB78B2" w:rsidRPr="00EB78B2" w:rsidRDefault="00EB78B2" w:rsidP="002A7912">
      <w:pPr>
        <w:spacing w:line="360" w:lineRule="auto"/>
        <w:jc w:val="both"/>
        <w:rPr>
          <w:rFonts w:ascii="Arial" w:hAnsi="Arial" w:cs="Arial"/>
        </w:rPr>
      </w:pPr>
      <w:r w:rsidRPr="00EB78B2">
        <w:rPr>
          <w:rFonts w:ascii="Arial" w:hAnsi="Arial" w:cs="Arial"/>
        </w:rPr>
        <w:t>Epidemiological research uses different study designs to understand periodontal disease patterns and determinants (NHS Digital, 2023).</w:t>
      </w:r>
    </w:p>
    <w:p w14:paraId="21B6AD56" w14:textId="12F4600B" w:rsidR="00EB78B2" w:rsidRPr="00EB78B2" w:rsidRDefault="00EB78B2" w:rsidP="002A7912">
      <w:pPr>
        <w:spacing w:line="360" w:lineRule="auto"/>
        <w:jc w:val="both"/>
        <w:rPr>
          <w:rFonts w:ascii="Arial" w:hAnsi="Arial" w:cs="Arial"/>
        </w:rPr>
      </w:pPr>
      <w:r w:rsidRPr="00EB78B2">
        <w:rPr>
          <w:rFonts w:ascii="Arial" w:hAnsi="Arial" w:cs="Arial"/>
        </w:rPr>
        <w:t>Cross-sectional studies, such as the Adult Oral Health Survey, provide useful data on prevalence and distribution. However, they cannot establish causation and may underestimate disease burden due to non-attendance bias. Individuals who do not attend dental services are often those at highest risk, leading to underrepresentation (NHS Digital, 2023).</w:t>
      </w:r>
    </w:p>
    <w:p w14:paraId="29F58AF9" w14:textId="38EE561E" w:rsidR="00EB78B2" w:rsidRPr="00EB78B2" w:rsidRDefault="00EB78B2" w:rsidP="002A7912">
      <w:pPr>
        <w:spacing w:line="360" w:lineRule="auto"/>
        <w:jc w:val="both"/>
        <w:rPr>
          <w:rFonts w:ascii="Arial" w:hAnsi="Arial" w:cs="Arial"/>
        </w:rPr>
      </w:pPr>
      <w:r w:rsidRPr="00EB78B2">
        <w:rPr>
          <w:rFonts w:ascii="Arial" w:hAnsi="Arial" w:cs="Arial"/>
        </w:rPr>
        <w:t>Cohort studies provide insights into disease progression over time but require significant resources and long follow-up periods. Case-control studies are useful for identifying associations but may be affected by recall bias and challenges in selecting appropriate controls.</w:t>
      </w:r>
    </w:p>
    <w:p w14:paraId="1AC06DBC" w14:textId="210ED156" w:rsidR="00EB78B2" w:rsidRPr="00EB78B2" w:rsidRDefault="00EB78B2" w:rsidP="002A7912">
      <w:pPr>
        <w:spacing w:line="360" w:lineRule="auto"/>
        <w:jc w:val="both"/>
        <w:rPr>
          <w:rFonts w:ascii="Arial" w:hAnsi="Arial" w:cs="Arial"/>
        </w:rPr>
      </w:pPr>
      <w:r w:rsidRPr="00EB78B2">
        <w:rPr>
          <w:rFonts w:ascii="Arial" w:hAnsi="Arial" w:cs="Arial"/>
        </w:rPr>
        <w:t>In Tower Hamlets, Health Needs Assessment (HNA) is essential for translating epidemiological data into practical action. HNA identifies population needs and helps prioritise interventions. Local data show high levels of untreated dental disease, low attendance and significant inequalities within the Bangladeshi community (OHID, 2023).</w:t>
      </w:r>
    </w:p>
    <w:p w14:paraId="790805FB" w14:textId="4A702DEF" w:rsidR="00D85BFE" w:rsidRPr="00EB78B2" w:rsidRDefault="00EB78B2" w:rsidP="002A7912">
      <w:pPr>
        <w:spacing w:line="360" w:lineRule="auto"/>
        <w:jc w:val="both"/>
        <w:rPr>
          <w:rFonts w:ascii="Arial" w:hAnsi="Arial" w:cs="Arial"/>
        </w:rPr>
      </w:pPr>
      <w:r w:rsidRPr="00EB78B2">
        <w:rPr>
          <w:rFonts w:ascii="Arial" w:hAnsi="Arial" w:cs="Arial"/>
        </w:rPr>
        <w:t>However, HNA is limited by gaps in ethnicity-specific data and potential underreporting. This reflects a broader limitation of epidemiology, where decisions rely on incomplete data. Improving data quality and ensuring better representation of minority groups is essential for effective planning (Watt et al., 2021).</w:t>
      </w:r>
    </w:p>
    <w:p w14:paraId="58C4B273" w14:textId="6F86EABA" w:rsidR="00EB78B2" w:rsidRPr="00F67845" w:rsidRDefault="00EB78B2" w:rsidP="002A7912">
      <w:pPr>
        <w:pStyle w:val="Heading1"/>
        <w:jc w:val="both"/>
        <w:rPr>
          <w:rFonts w:ascii="Arial" w:hAnsi="Arial" w:cs="Arial"/>
          <w:b/>
          <w:bCs/>
          <w:sz w:val="22"/>
          <w:szCs w:val="22"/>
        </w:rPr>
      </w:pPr>
      <w:bookmarkStart w:id="17" w:name="_Toc225106705"/>
      <w:r w:rsidRPr="00F67845">
        <w:rPr>
          <w:rFonts w:ascii="Arial" w:hAnsi="Arial" w:cs="Arial"/>
          <w:b/>
          <w:bCs/>
          <w:sz w:val="22"/>
          <w:szCs w:val="22"/>
        </w:rPr>
        <w:t>Surveillance and Monitoring</w:t>
      </w:r>
      <w:bookmarkEnd w:id="17"/>
    </w:p>
    <w:p w14:paraId="242810AD" w14:textId="73109D76" w:rsidR="00EB78B2" w:rsidRPr="00EB78B2" w:rsidRDefault="00EB78B2" w:rsidP="002A7912">
      <w:pPr>
        <w:spacing w:line="360" w:lineRule="auto"/>
        <w:jc w:val="both"/>
        <w:rPr>
          <w:rFonts w:ascii="Arial" w:hAnsi="Arial" w:cs="Arial"/>
        </w:rPr>
      </w:pPr>
      <w:r w:rsidRPr="00EB78B2">
        <w:rPr>
          <w:rFonts w:ascii="Arial" w:hAnsi="Arial" w:cs="Arial"/>
        </w:rPr>
        <w:t>Effective public health management relies on strong surveillance systems to monitor trends and evaluate interventions (Public Health England, 2022).</w:t>
      </w:r>
    </w:p>
    <w:p w14:paraId="1F927EDF" w14:textId="4D703E9E" w:rsidR="00EB78B2" w:rsidRPr="00EB78B2" w:rsidRDefault="00EB78B2" w:rsidP="002A7912">
      <w:pPr>
        <w:spacing w:line="360" w:lineRule="auto"/>
        <w:jc w:val="both"/>
        <w:rPr>
          <w:rFonts w:ascii="Arial" w:hAnsi="Arial" w:cs="Arial"/>
        </w:rPr>
      </w:pPr>
      <w:r w:rsidRPr="00EB78B2">
        <w:rPr>
          <w:rFonts w:ascii="Arial" w:hAnsi="Arial" w:cs="Arial"/>
        </w:rPr>
        <w:t>In the UK, periodontal disease is monitored through systems such as the Adult Oral Health Survey and NHS Dental Statistics. These use passive, active and sentinel surveillance approaches. Passive surveillance relies on routine clinical data, active surveillance involves targeted data collection, and sentinel systems monitor trends in selected populations (Public Health England, 2022).</w:t>
      </w:r>
    </w:p>
    <w:p w14:paraId="4A30B51C" w14:textId="7FFC852B" w:rsidR="00EB78B2" w:rsidRPr="00EB78B2" w:rsidRDefault="00EB78B2" w:rsidP="002A7912">
      <w:pPr>
        <w:spacing w:line="360" w:lineRule="auto"/>
        <w:jc w:val="both"/>
        <w:rPr>
          <w:rFonts w:ascii="Arial" w:hAnsi="Arial" w:cs="Arial"/>
        </w:rPr>
      </w:pPr>
      <w:r w:rsidRPr="00EB78B2">
        <w:rPr>
          <w:rFonts w:ascii="Arial" w:hAnsi="Arial" w:cs="Arial"/>
        </w:rPr>
        <w:t>Each approach has limitations. Passive surveillance may exclude individuals who do not access services, leading to underestimation. Active surveillance is more accurate but resource-intensive and infrequent (NHS Digital, 2023).</w:t>
      </w:r>
    </w:p>
    <w:p w14:paraId="77B4CA36" w14:textId="449216CA" w:rsidR="005F43BE" w:rsidRPr="00EB78B2" w:rsidRDefault="00EB78B2" w:rsidP="002A7912">
      <w:pPr>
        <w:spacing w:line="360" w:lineRule="auto"/>
        <w:jc w:val="both"/>
        <w:rPr>
          <w:rFonts w:ascii="Arial" w:hAnsi="Arial" w:cs="Arial"/>
        </w:rPr>
      </w:pPr>
      <w:r w:rsidRPr="00EB78B2">
        <w:rPr>
          <w:rFonts w:ascii="Arial" w:hAnsi="Arial" w:cs="Arial"/>
        </w:rPr>
        <w:t>In Tower Hamlets, local data are important for identifying inequalities, but inconsistencies in data collection reduce reliability. Improved data integration, digital systems and standardisation are needed to strengthen monitoring.</w:t>
      </w:r>
    </w:p>
    <w:p w14:paraId="07E42885" w14:textId="4F67CC9B" w:rsidR="00EB78B2" w:rsidRPr="00F67845" w:rsidRDefault="00EB78B2" w:rsidP="002A7912">
      <w:pPr>
        <w:pStyle w:val="Heading1"/>
        <w:jc w:val="both"/>
        <w:rPr>
          <w:rFonts w:ascii="Arial" w:hAnsi="Arial" w:cs="Arial"/>
          <w:b/>
          <w:bCs/>
          <w:sz w:val="22"/>
          <w:szCs w:val="22"/>
        </w:rPr>
      </w:pPr>
      <w:bookmarkStart w:id="18" w:name="_Toc225106706"/>
      <w:r w:rsidRPr="00F67845">
        <w:rPr>
          <w:rFonts w:ascii="Arial" w:hAnsi="Arial" w:cs="Arial"/>
          <w:b/>
          <w:bCs/>
          <w:sz w:val="22"/>
          <w:szCs w:val="22"/>
        </w:rPr>
        <w:lastRenderedPageBreak/>
        <w:t>Public Health Impact</w:t>
      </w:r>
      <w:bookmarkEnd w:id="18"/>
    </w:p>
    <w:p w14:paraId="4877C658" w14:textId="11220A7D" w:rsidR="00EB78B2" w:rsidRPr="00EB78B2" w:rsidRDefault="00EB78B2" w:rsidP="002A7912">
      <w:pPr>
        <w:spacing w:line="360" w:lineRule="auto"/>
        <w:jc w:val="both"/>
        <w:rPr>
          <w:rFonts w:ascii="Arial" w:hAnsi="Arial" w:cs="Arial"/>
        </w:rPr>
      </w:pPr>
      <w:r w:rsidRPr="00EB78B2">
        <w:rPr>
          <w:rFonts w:ascii="Arial" w:hAnsi="Arial" w:cs="Arial"/>
        </w:rPr>
        <w:t>Periodontal disease has significant impacts at individual, community and system levels (Chapple et al., 2024</w:t>
      </w:r>
      <w:r w:rsidR="00FD5B41">
        <w:rPr>
          <w:rFonts w:ascii="Arial" w:hAnsi="Arial" w:cs="Arial"/>
        </w:rPr>
        <w:t>; Listl et al., 2023</w:t>
      </w:r>
      <w:r w:rsidRPr="00EB78B2">
        <w:rPr>
          <w:rFonts w:ascii="Arial" w:hAnsi="Arial" w:cs="Arial"/>
        </w:rPr>
        <w:t>).</w:t>
      </w:r>
    </w:p>
    <w:p w14:paraId="5EBC6B88" w14:textId="061079E0" w:rsidR="00EB78B2" w:rsidRPr="00EB78B2" w:rsidRDefault="00EB78B2" w:rsidP="002A7912">
      <w:pPr>
        <w:spacing w:line="360" w:lineRule="auto"/>
        <w:jc w:val="both"/>
        <w:rPr>
          <w:rFonts w:ascii="Arial" w:hAnsi="Arial" w:cs="Arial"/>
        </w:rPr>
      </w:pPr>
      <w:r w:rsidRPr="00EB78B2">
        <w:rPr>
          <w:rFonts w:ascii="Arial" w:hAnsi="Arial" w:cs="Arial"/>
        </w:rPr>
        <w:t>Clinically, it causes inflammation, bleeding and discomfort in the early stages, progressing to tooth loss and functional impairment. This affects nutrition, speech and overall quality of life</w:t>
      </w:r>
      <w:r w:rsidR="002A7912">
        <w:rPr>
          <w:rFonts w:ascii="Arial" w:hAnsi="Arial" w:cs="Arial"/>
        </w:rPr>
        <w:t xml:space="preserve"> </w:t>
      </w:r>
      <w:r w:rsidR="00FD5B41">
        <w:rPr>
          <w:rFonts w:ascii="Arial" w:hAnsi="Arial" w:cs="Arial"/>
        </w:rPr>
        <w:t>(Newton and Bower, 2022)</w:t>
      </w:r>
      <w:r w:rsidRPr="00EB78B2">
        <w:rPr>
          <w:rFonts w:ascii="Arial" w:hAnsi="Arial" w:cs="Arial"/>
        </w:rPr>
        <w:t>. Its links with systemic diseases such as cardiovascular disease and diabetes further increase its public health importance (Chapple et al., 2024).</w:t>
      </w:r>
    </w:p>
    <w:p w14:paraId="3B042494" w14:textId="18F2FECE" w:rsidR="00EB78B2" w:rsidRPr="00EB78B2" w:rsidRDefault="00EB78B2" w:rsidP="002A7912">
      <w:pPr>
        <w:spacing w:line="360" w:lineRule="auto"/>
        <w:jc w:val="both"/>
        <w:rPr>
          <w:rFonts w:ascii="Arial" w:hAnsi="Arial" w:cs="Arial"/>
        </w:rPr>
      </w:pPr>
      <w:r w:rsidRPr="00EB78B2">
        <w:rPr>
          <w:rFonts w:ascii="Arial" w:hAnsi="Arial" w:cs="Arial"/>
        </w:rPr>
        <w:t>Economically, periodontal disease places a substantial burden on healthcare systems. In the UK, oral diseases cost billions annually, including treatment costs and productivity losses. Indirect impacts such as reduced employability further increase the burden (Public Health England, 2022).</w:t>
      </w:r>
    </w:p>
    <w:p w14:paraId="13F1503B" w14:textId="7B4BCE85" w:rsidR="00BF110D" w:rsidRPr="00EB78B2" w:rsidRDefault="00EB78B2" w:rsidP="002A7912">
      <w:pPr>
        <w:spacing w:line="360" w:lineRule="auto"/>
        <w:jc w:val="both"/>
        <w:rPr>
          <w:rFonts w:ascii="Arial" w:hAnsi="Arial" w:cs="Arial"/>
        </w:rPr>
      </w:pPr>
      <w:r w:rsidRPr="00EB78B2">
        <w:rPr>
          <w:rFonts w:ascii="Arial" w:hAnsi="Arial" w:cs="Arial"/>
        </w:rPr>
        <w:t>Socially, the disease contributes to health inequalities, disproportionately affecting disadvantaged and ethnic minority populations. Poor oral health can lead to stigma, reduced confidence and limited social participation, reinforcing the social gradient in health (Watt et al., 2021</w:t>
      </w:r>
      <w:r w:rsidR="00FD5B41">
        <w:rPr>
          <w:rFonts w:ascii="Arial" w:hAnsi="Arial" w:cs="Arial"/>
        </w:rPr>
        <w:t>; Locker, 2022</w:t>
      </w:r>
      <w:r w:rsidRPr="00EB78B2">
        <w:rPr>
          <w:rFonts w:ascii="Arial" w:hAnsi="Arial" w:cs="Arial"/>
        </w:rPr>
        <w:t>).</w:t>
      </w:r>
    </w:p>
    <w:p w14:paraId="4BA0ECB6" w14:textId="7E95D2C4" w:rsidR="00EB78B2" w:rsidRPr="00F67845" w:rsidRDefault="00EB78B2" w:rsidP="002A7912">
      <w:pPr>
        <w:pStyle w:val="Heading1"/>
        <w:jc w:val="both"/>
        <w:rPr>
          <w:rFonts w:ascii="Arial" w:hAnsi="Arial" w:cs="Arial"/>
          <w:b/>
          <w:bCs/>
          <w:sz w:val="22"/>
          <w:szCs w:val="22"/>
        </w:rPr>
      </w:pPr>
      <w:bookmarkStart w:id="19" w:name="_Toc225106707"/>
      <w:r w:rsidRPr="00F67845">
        <w:rPr>
          <w:rFonts w:ascii="Arial" w:hAnsi="Arial" w:cs="Arial"/>
          <w:b/>
          <w:bCs/>
          <w:sz w:val="22"/>
          <w:szCs w:val="22"/>
        </w:rPr>
        <w:t>Intervention Programme Design and Evaluation</w:t>
      </w:r>
      <w:bookmarkEnd w:id="19"/>
    </w:p>
    <w:p w14:paraId="33D9B650" w14:textId="45D6AAB5" w:rsidR="00EB78B2" w:rsidRPr="00EB78B2" w:rsidRDefault="00EB78B2" w:rsidP="002A7912">
      <w:pPr>
        <w:spacing w:line="360" w:lineRule="auto"/>
        <w:jc w:val="both"/>
        <w:rPr>
          <w:rFonts w:ascii="Arial" w:hAnsi="Arial" w:cs="Arial"/>
        </w:rPr>
      </w:pPr>
      <w:r w:rsidRPr="00EB78B2">
        <w:rPr>
          <w:rFonts w:ascii="Arial" w:hAnsi="Arial" w:cs="Arial"/>
        </w:rPr>
        <w:t>Addressing periodontal disease in Tower Hamlets requires a targeted, evidence-based intervention programme (OHID, 2023).</w:t>
      </w:r>
    </w:p>
    <w:p w14:paraId="5A19C3B3" w14:textId="2B9FA447" w:rsidR="00EB78B2" w:rsidRPr="00EB78B2" w:rsidRDefault="00EB78B2" w:rsidP="002A7912">
      <w:pPr>
        <w:spacing w:line="360" w:lineRule="auto"/>
        <w:jc w:val="both"/>
        <w:rPr>
          <w:rFonts w:ascii="Arial" w:hAnsi="Arial" w:cs="Arial"/>
        </w:rPr>
      </w:pPr>
      <w:r w:rsidRPr="00EB78B2">
        <w:rPr>
          <w:rFonts w:ascii="Arial" w:hAnsi="Arial" w:cs="Arial"/>
        </w:rPr>
        <w:t>The proposed Community-Based Periodontal Health Improvement Programme includes culturally tailored education, community screening through mobile clinics, behavioural support such as smoking cessation and improved access through flexible services (Watt et al., 2021).</w:t>
      </w:r>
    </w:p>
    <w:p w14:paraId="1C05F0AF" w14:textId="14234B24" w:rsidR="00EB78B2" w:rsidRPr="00EB78B2" w:rsidRDefault="00EB78B2" w:rsidP="002A7912">
      <w:pPr>
        <w:spacing w:line="360" w:lineRule="auto"/>
        <w:jc w:val="both"/>
        <w:rPr>
          <w:rFonts w:ascii="Arial" w:hAnsi="Arial" w:cs="Arial"/>
        </w:rPr>
      </w:pPr>
      <w:r w:rsidRPr="00EB78B2">
        <w:rPr>
          <w:rFonts w:ascii="Arial" w:hAnsi="Arial" w:cs="Arial"/>
        </w:rPr>
        <w:t>This approach addresses key barriers and social determinants. Community engagement and culturally appropriate messaging can improve trust and participation. However, success depends on sustained funding, workforce capacity and long-term commitment (BDA, 2023).</w:t>
      </w:r>
    </w:p>
    <w:p w14:paraId="36B819AA" w14:textId="271CCF14" w:rsidR="00EB78B2" w:rsidRPr="00EB78B2" w:rsidRDefault="00EB78B2" w:rsidP="002A7912">
      <w:pPr>
        <w:spacing w:line="360" w:lineRule="auto"/>
        <w:jc w:val="both"/>
        <w:rPr>
          <w:rFonts w:ascii="Arial" w:hAnsi="Arial" w:cs="Arial"/>
        </w:rPr>
      </w:pPr>
      <w:r w:rsidRPr="00EB78B2">
        <w:rPr>
          <w:rFonts w:ascii="Arial" w:hAnsi="Arial" w:cs="Arial"/>
        </w:rPr>
        <w:t>Evaluation is essential. Process evaluation assesses implementation, outcome evaluation measures behavioural and clinical changes, and impact evaluation examines long-term improvements and reduced inequalities (Public Health England, 2022).</w:t>
      </w:r>
    </w:p>
    <w:p w14:paraId="61ADF09D" w14:textId="17E12D03" w:rsidR="00EB78B2" w:rsidRDefault="00EB78B2" w:rsidP="002A7912">
      <w:pPr>
        <w:spacing w:line="360" w:lineRule="auto"/>
        <w:jc w:val="both"/>
        <w:rPr>
          <w:rFonts w:ascii="Arial" w:hAnsi="Arial" w:cs="Arial"/>
        </w:rPr>
      </w:pPr>
      <w:r w:rsidRPr="00EB78B2">
        <w:rPr>
          <w:rFonts w:ascii="Arial" w:hAnsi="Arial" w:cs="Arial"/>
        </w:rPr>
        <w:t>A key challenge is linking outcomes directly to interventions due to wider social influences. Mixed-method approaches combining quantitative and qualitative data are therefore important.</w:t>
      </w:r>
    </w:p>
    <w:p w14:paraId="64BBE725" w14:textId="202D8D6D" w:rsidR="00BF110D" w:rsidRDefault="00BF110D" w:rsidP="002A7912">
      <w:pPr>
        <w:spacing w:line="360" w:lineRule="auto"/>
        <w:jc w:val="center"/>
        <w:rPr>
          <w:rFonts w:ascii="Arial" w:hAnsi="Arial" w:cs="Arial"/>
        </w:rPr>
      </w:pPr>
      <w:r>
        <w:rPr>
          <w:noProof/>
        </w:rPr>
        <w:lastRenderedPageBreak/>
        <w:drawing>
          <wp:inline distT="0" distB="0" distL="0" distR="0" wp14:anchorId="432E2604" wp14:editId="73C32349">
            <wp:extent cx="4572000" cy="2686685"/>
            <wp:effectExtent l="0" t="0" r="0" b="0"/>
            <wp:docPr id="871400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2686685"/>
                    </a:xfrm>
                    <a:prstGeom prst="rect">
                      <a:avLst/>
                    </a:prstGeom>
                    <a:noFill/>
                    <a:ln>
                      <a:noFill/>
                    </a:ln>
                  </pic:spPr>
                </pic:pic>
              </a:graphicData>
            </a:graphic>
          </wp:inline>
        </w:drawing>
      </w:r>
    </w:p>
    <w:p w14:paraId="67110F7B" w14:textId="5005B9C4" w:rsidR="00F67845" w:rsidRPr="00EB78B2" w:rsidRDefault="00BF110D" w:rsidP="002A7912">
      <w:pPr>
        <w:spacing w:line="360" w:lineRule="auto"/>
        <w:jc w:val="center"/>
        <w:rPr>
          <w:rFonts w:ascii="Arial" w:hAnsi="Arial" w:cs="Arial"/>
        </w:rPr>
      </w:pPr>
      <w:r>
        <w:rPr>
          <w:rFonts w:ascii="Arial" w:hAnsi="Arial" w:cs="Arial"/>
        </w:rPr>
        <w:t>(The Open University, n.d.)</w:t>
      </w:r>
    </w:p>
    <w:p w14:paraId="0D82C3B8" w14:textId="607A8B64" w:rsidR="00EB78B2" w:rsidRPr="00F67845" w:rsidRDefault="00EB78B2" w:rsidP="002A7912">
      <w:pPr>
        <w:pStyle w:val="Heading1"/>
        <w:jc w:val="both"/>
        <w:rPr>
          <w:rFonts w:ascii="Arial" w:hAnsi="Arial" w:cs="Arial"/>
          <w:b/>
          <w:bCs/>
          <w:sz w:val="22"/>
          <w:szCs w:val="22"/>
        </w:rPr>
      </w:pPr>
      <w:bookmarkStart w:id="20" w:name="_Toc225106708"/>
      <w:r w:rsidRPr="00F67845">
        <w:rPr>
          <w:rFonts w:ascii="Arial" w:hAnsi="Arial" w:cs="Arial"/>
          <w:b/>
          <w:bCs/>
          <w:sz w:val="22"/>
          <w:szCs w:val="22"/>
        </w:rPr>
        <w:t>Strengths and Weaknesses of Epidemiological Approach</w:t>
      </w:r>
      <w:bookmarkEnd w:id="20"/>
    </w:p>
    <w:p w14:paraId="13DDBA31" w14:textId="0BFAEAB9" w:rsidR="00EB78B2" w:rsidRPr="00EB78B2" w:rsidRDefault="00EB78B2" w:rsidP="002A7912">
      <w:pPr>
        <w:spacing w:line="360" w:lineRule="auto"/>
        <w:jc w:val="both"/>
        <w:rPr>
          <w:rFonts w:ascii="Arial" w:hAnsi="Arial" w:cs="Arial"/>
        </w:rPr>
      </w:pPr>
      <w:r w:rsidRPr="00EB78B2">
        <w:rPr>
          <w:rFonts w:ascii="Arial" w:hAnsi="Arial" w:cs="Arial"/>
        </w:rPr>
        <w:t>Epidemiology provides a strong framework for understanding public health issues. It helps identify risk factors, measure disease burden and inform interventions (Watt et al., 2021).</w:t>
      </w:r>
    </w:p>
    <w:p w14:paraId="7CA3FBE0" w14:textId="483095AD" w:rsidR="00EB78B2" w:rsidRPr="00EB78B2" w:rsidRDefault="00EB78B2" w:rsidP="002A7912">
      <w:pPr>
        <w:spacing w:line="360" w:lineRule="auto"/>
        <w:jc w:val="both"/>
        <w:rPr>
          <w:rFonts w:ascii="Arial" w:hAnsi="Arial" w:cs="Arial"/>
        </w:rPr>
      </w:pPr>
      <w:r w:rsidRPr="00EB78B2">
        <w:rPr>
          <w:rFonts w:ascii="Arial" w:hAnsi="Arial" w:cs="Arial"/>
        </w:rPr>
        <w:t>However, limitations exist. Data may be affected by underreporting and bias, while observational studies limit causal conclusions. Traditional approaches may also overlook social and cultural influences (NHS Digital, 2023).</w:t>
      </w:r>
    </w:p>
    <w:p w14:paraId="287F57C2" w14:textId="749A1D3C" w:rsidR="00EB78B2" w:rsidRPr="00EB78B2" w:rsidRDefault="00EB78B2" w:rsidP="002A7912">
      <w:pPr>
        <w:spacing w:line="360" w:lineRule="auto"/>
        <w:jc w:val="both"/>
        <w:rPr>
          <w:rFonts w:ascii="Arial" w:hAnsi="Arial" w:cs="Arial"/>
        </w:rPr>
      </w:pPr>
      <w:r w:rsidRPr="00EB78B2">
        <w:rPr>
          <w:rFonts w:ascii="Arial" w:hAnsi="Arial" w:cs="Arial"/>
        </w:rPr>
        <w:t>In periodontal disease, these limitations are significant due to the strong influence of social determinants. Integrating epidemiology with social science approaches is essential for developing effective and equitable solutions (The King’s Fund, 2023).</w:t>
      </w:r>
    </w:p>
    <w:p w14:paraId="65CC570F" w14:textId="6634FD97" w:rsidR="00EB78B2" w:rsidRPr="00F67845" w:rsidRDefault="00EB78B2" w:rsidP="002A7912">
      <w:pPr>
        <w:pStyle w:val="Heading1"/>
        <w:jc w:val="both"/>
        <w:rPr>
          <w:rFonts w:ascii="Arial" w:hAnsi="Arial" w:cs="Arial"/>
          <w:b/>
          <w:bCs/>
          <w:sz w:val="22"/>
          <w:szCs w:val="22"/>
        </w:rPr>
      </w:pPr>
      <w:bookmarkStart w:id="21" w:name="_Toc225106709"/>
      <w:r w:rsidRPr="00F67845">
        <w:rPr>
          <w:rFonts w:ascii="Arial" w:hAnsi="Arial" w:cs="Arial"/>
          <w:b/>
          <w:bCs/>
          <w:sz w:val="22"/>
          <w:szCs w:val="22"/>
        </w:rPr>
        <w:t>Conclusion</w:t>
      </w:r>
      <w:bookmarkEnd w:id="21"/>
    </w:p>
    <w:p w14:paraId="30EDECDB" w14:textId="5217851A" w:rsidR="00EB78B2" w:rsidRDefault="00EB78B2" w:rsidP="002A7912">
      <w:pPr>
        <w:spacing w:line="360" w:lineRule="auto"/>
        <w:jc w:val="both"/>
        <w:rPr>
          <w:rFonts w:ascii="Arial" w:hAnsi="Arial" w:cs="Arial"/>
        </w:rPr>
      </w:pPr>
      <w:r w:rsidRPr="00EB78B2">
        <w:rPr>
          <w:rFonts w:ascii="Arial" w:hAnsi="Arial" w:cs="Arial"/>
        </w:rPr>
        <w:t>Periodontal disease is a major public health issue affecting both oral and general health, with a disproportionate impact on ethnic minority populations in Tower Hamlets due to wider inequalities (Watt et al., 2021; WHO, 2023). Epidemiological methods are vital for identifying patterns but are limited by data gaps and structural challenges. Addressing the disease requires a comprehensive approach that prioritises prevention, equitable access and culturally appropriate care. Strengthening surveillance and combining epidemiological evidence with community-based strategies can improve outcomes and reduce inequalities (Chapple et al., 2024).</w:t>
      </w:r>
    </w:p>
    <w:p w14:paraId="3ECB93AF" w14:textId="08E8E3EE" w:rsidR="00D85BFE" w:rsidRDefault="00D85BFE" w:rsidP="002A7912">
      <w:pPr>
        <w:spacing w:line="360" w:lineRule="auto"/>
        <w:jc w:val="both"/>
        <w:rPr>
          <w:rFonts w:ascii="Arial" w:hAnsi="Arial" w:cs="Arial"/>
        </w:rPr>
      </w:pPr>
    </w:p>
    <w:p w14:paraId="73416108" w14:textId="653CC257" w:rsidR="00D85BFE" w:rsidRPr="00F67845" w:rsidRDefault="00D85BFE" w:rsidP="002A7912">
      <w:pPr>
        <w:pStyle w:val="Heading1"/>
        <w:jc w:val="both"/>
        <w:rPr>
          <w:rFonts w:ascii="Arial" w:hAnsi="Arial" w:cs="Arial"/>
          <w:b/>
          <w:bCs/>
          <w:sz w:val="22"/>
          <w:szCs w:val="22"/>
        </w:rPr>
      </w:pPr>
      <w:bookmarkStart w:id="22" w:name="_Toc225106710"/>
      <w:r w:rsidRPr="00F67845">
        <w:rPr>
          <w:rFonts w:ascii="Arial" w:hAnsi="Arial" w:cs="Arial"/>
          <w:b/>
          <w:bCs/>
          <w:sz w:val="22"/>
          <w:szCs w:val="22"/>
        </w:rPr>
        <w:lastRenderedPageBreak/>
        <w:t>References</w:t>
      </w:r>
      <w:bookmarkEnd w:id="22"/>
    </w:p>
    <w:p w14:paraId="61D2BD81" w14:textId="3F7854F6"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British Dental Association (2023) Dental access and workforce report. London: BDA. Available at: https://www.bda.org (Accessed: </w:t>
      </w:r>
      <w:r>
        <w:rPr>
          <w:rFonts w:ascii="Arial" w:hAnsi="Arial" w:cs="Arial"/>
        </w:rPr>
        <w:t>15</w:t>
      </w:r>
      <w:r w:rsidRPr="006D46D9">
        <w:rPr>
          <w:rFonts w:ascii="Arial" w:hAnsi="Arial" w:cs="Arial"/>
        </w:rPr>
        <w:t xml:space="preserve"> March 2026).</w:t>
      </w:r>
    </w:p>
    <w:p w14:paraId="04C4D4A5" w14:textId="031543AA"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Chapple, I.L.C., et al. (2024) ‘Periodontal health and systemic disease’, Journal of Clinical Periodontology, 51(1), pp. 18–45. Available at: https://onlinelibrary.wiley.com (Accessed: </w:t>
      </w:r>
      <w:r w:rsidR="00F572A2">
        <w:rPr>
          <w:rFonts w:ascii="Arial" w:hAnsi="Arial" w:cs="Arial"/>
        </w:rPr>
        <w:t>22</w:t>
      </w:r>
      <w:r w:rsidRPr="006D46D9">
        <w:rPr>
          <w:rFonts w:ascii="Arial" w:hAnsi="Arial" w:cs="Arial"/>
        </w:rPr>
        <w:t xml:space="preserve"> March 2026).</w:t>
      </w:r>
    </w:p>
    <w:p w14:paraId="48406A56" w14:textId="7B62B256"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GBD Oral Disorders Collaborators (2022) ‘Global burden of oral conditions’, The Lancet Public Health, 7(11), pp. e1000–e1012. Available at: https://www.thelancet.com (Accessed: </w:t>
      </w:r>
      <w:r>
        <w:rPr>
          <w:rFonts w:ascii="Arial" w:hAnsi="Arial" w:cs="Arial"/>
        </w:rPr>
        <w:t xml:space="preserve">15 </w:t>
      </w:r>
      <w:r w:rsidRPr="006D46D9">
        <w:rPr>
          <w:rFonts w:ascii="Arial" w:hAnsi="Arial" w:cs="Arial"/>
        </w:rPr>
        <w:t>March 2026).</w:t>
      </w:r>
    </w:p>
    <w:p w14:paraId="3F3399CC" w14:textId="60D80AFB"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Guarnizo-Herreño, C.C., et al. (2022) ‘Inequalities in oral health’, Community Dentistry and Oral Epidemiology, 50(2), pp. 95–103. Available at: https://onlinelibrary.wiley.com (Accessed: </w:t>
      </w:r>
      <w:r w:rsidR="00F572A2">
        <w:rPr>
          <w:rFonts w:ascii="Arial" w:hAnsi="Arial" w:cs="Arial"/>
        </w:rPr>
        <w:t>17</w:t>
      </w:r>
      <w:r w:rsidRPr="006D46D9">
        <w:rPr>
          <w:rFonts w:ascii="Arial" w:hAnsi="Arial" w:cs="Arial"/>
        </w:rPr>
        <w:t xml:space="preserve"> March 2026).</w:t>
      </w:r>
    </w:p>
    <w:p w14:paraId="0927E1B0" w14:textId="35658409"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Kassebaum, N.J., et al. (2022) ‘Global prevalence of periodontitis’, Journal of Dental Research, 101(4), pp. 397–403. Available at: https://journals.sagepub.com (Accessed: </w:t>
      </w:r>
      <w:r>
        <w:rPr>
          <w:rFonts w:ascii="Arial" w:hAnsi="Arial" w:cs="Arial"/>
        </w:rPr>
        <w:t>16</w:t>
      </w:r>
      <w:r w:rsidRPr="006D46D9">
        <w:rPr>
          <w:rFonts w:ascii="Arial" w:hAnsi="Arial" w:cs="Arial"/>
        </w:rPr>
        <w:t xml:space="preserve"> March 2026).</w:t>
      </w:r>
    </w:p>
    <w:p w14:paraId="29CA0403" w14:textId="79034D5E"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Listl, S., et al. (2023) ‘Economic impact of oral diseases’, Journal of Dental Research, 102(2), pp. 123–130. Available at: https://journals.sagepub.com (Accessed: </w:t>
      </w:r>
      <w:r w:rsidR="00F572A2">
        <w:rPr>
          <w:rFonts w:ascii="Arial" w:hAnsi="Arial" w:cs="Arial"/>
        </w:rPr>
        <w:t>20</w:t>
      </w:r>
      <w:r w:rsidRPr="006D46D9">
        <w:rPr>
          <w:rFonts w:ascii="Arial" w:hAnsi="Arial" w:cs="Arial"/>
        </w:rPr>
        <w:t xml:space="preserve"> March 2026).</w:t>
      </w:r>
    </w:p>
    <w:p w14:paraId="3EA92B46" w14:textId="4D622328"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Locker, D. (2022) ‘Deprivation and oral health’, Community Dentistry and Oral Epidemiology, 50(1), pp. 1–9. Available at: https://onlinelibrary.wiley.com (Accessed: 2</w:t>
      </w:r>
      <w:r w:rsidR="00F572A2">
        <w:rPr>
          <w:rFonts w:ascii="Arial" w:hAnsi="Arial" w:cs="Arial"/>
        </w:rPr>
        <w:t>0</w:t>
      </w:r>
      <w:r w:rsidRPr="006D46D9">
        <w:rPr>
          <w:rFonts w:ascii="Arial" w:hAnsi="Arial" w:cs="Arial"/>
        </w:rPr>
        <w:t xml:space="preserve"> March 2026).</w:t>
      </w:r>
    </w:p>
    <w:p w14:paraId="6305875E" w14:textId="3D558619"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Marcenes, W., et al. (2022) ‘Burden of oral diseases’, Journal of Dental Research, 101(5), pp. 476–483. Available at: https://journals.sagepub.com (Accessed: </w:t>
      </w:r>
      <w:r w:rsidR="00F572A2">
        <w:rPr>
          <w:rFonts w:ascii="Arial" w:hAnsi="Arial" w:cs="Arial"/>
        </w:rPr>
        <w:t>16</w:t>
      </w:r>
      <w:r w:rsidRPr="006D46D9">
        <w:rPr>
          <w:rFonts w:ascii="Arial" w:hAnsi="Arial" w:cs="Arial"/>
        </w:rPr>
        <w:t xml:space="preserve"> March 2026).</w:t>
      </w:r>
    </w:p>
    <w:p w14:paraId="05442D26"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NHS Digital (2023) Adult Oral Health Survey. Leeds: NHS Digital. Available at: https://digital.nhs.uk (Accessed: 22 March 2026).</w:t>
      </w:r>
    </w:p>
    <w:p w14:paraId="6F2DB1DC" w14:textId="470D4712"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NHS England (2024) Access to dental services report. London: NHS England. Available at: https://www.england.nhs.uk (Accessed: 22 March 2026).</w:t>
      </w:r>
    </w:p>
    <w:p w14:paraId="0A754799" w14:textId="4375F14E" w:rsidR="002A7912" w:rsidRDefault="002A7912" w:rsidP="002A7912">
      <w:pPr>
        <w:pStyle w:val="ListParagraph"/>
        <w:numPr>
          <w:ilvl w:val="0"/>
          <w:numId w:val="6"/>
        </w:numPr>
        <w:spacing w:line="360" w:lineRule="auto"/>
        <w:jc w:val="both"/>
        <w:rPr>
          <w:rFonts w:ascii="Arial" w:hAnsi="Arial" w:cs="Arial"/>
        </w:rPr>
      </w:pPr>
      <w:r w:rsidRPr="002A7912">
        <w:rPr>
          <w:rFonts w:ascii="Arial" w:hAnsi="Arial" w:cs="Arial"/>
        </w:rPr>
        <w:t>Newton, J.T. and Bower, E.J. (2022) ‘Psychosocial aspects of oral health’, Social Science &amp; Medicine, 292, 114573. Available at: https://www.sciencedirect.com (Accessed: 22 March 2026).</w:t>
      </w:r>
    </w:p>
    <w:p w14:paraId="42EE00F6"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Office for Health Improvement and Disparities (2023) Oral health profile: Tower Hamlets. London: OHID. Available at: https://www.gov.uk (Accessed: 22 March 2026).</w:t>
      </w:r>
    </w:p>
    <w:p w14:paraId="576708E4"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Peres, M.A., et al. (2022) ‘Oral diseases: a global public health challenge’, The Lancet, 394(10194), pp. 249–260. Available at: https://www.thelancet.com (Accessed: 22 March 2026).</w:t>
      </w:r>
    </w:p>
    <w:p w14:paraId="5A8FA7A4"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lastRenderedPageBreak/>
        <w:t>Petersen, P.E. and Ogawa, H. (2022) ‘Prevention of periodontal disease’, Periodontology 2000, 60(1), pp. 15–39. Available at: https://onlinelibrary.wiley.com (Accessed: 22 March 2026).</w:t>
      </w:r>
    </w:p>
    <w:p w14:paraId="264D4EDF" w14:textId="2A5D7A1E"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Public Health England (2022) National dental epidemiology programme. London: PHE. Available at: https://www.gov.uk (Accessed: 2</w:t>
      </w:r>
      <w:r w:rsidR="00F572A2">
        <w:rPr>
          <w:rFonts w:ascii="Arial" w:hAnsi="Arial" w:cs="Arial"/>
        </w:rPr>
        <w:t>1</w:t>
      </w:r>
      <w:r w:rsidRPr="006D46D9">
        <w:rPr>
          <w:rFonts w:ascii="Arial" w:hAnsi="Arial" w:cs="Arial"/>
        </w:rPr>
        <w:t xml:space="preserve"> March 2026).</w:t>
      </w:r>
    </w:p>
    <w:p w14:paraId="20CF6C8B" w14:textId="257F3894"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Sabbah, W., et al. (2023) ‘Social gradients in oral health’, Journal of Epidemiology and Community Health, 77(2), pp. 123–129. Available at: https://jech.bmj.com (Accessed: 2</w:t>
      </w:r>
      <w:r w:rsidR="00F572A2">
        <w:rPr>
          <w:rFonts w:ascii="Arial" w:hAnsi="Arial" w:cs="Arial"/>
        </w:rPr>
        <w:t>0</w:t>
      </w:r>
      <w:r w:rsidRPr="006D46D9">
        <w:rPr>
          <w:rFonts w:ascii="Arial" w:hAnsi="Arial" w:cs="Arial"/>
        </w:rPr>
        <w:t xml:space="preserve"> March 2026).</w:t>
      </w:r>
    </w:p>
    <w:p w14:paraId="6F2F00B5" w14:textId="0276E5D4"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Sheiham, A. and Watt, R.G. (2022) ‘Common risk factor approach’, Community Dentistry and Oral Epidemiology, 50(3), pp. 183–190. Available at: https://onlinelibrary.wiley.com (Accessed: </w:t>
      </w:r>
      <w:r w:rsidR="00F572A2">
        <w:rPr>
          <w:rFonts w:ascii="Arial" w:hAnsi="Arial" w:cs="Arial"/>
        </w:rPr>
        <w:t>16</w:t>
      </w:r>
      <w:r w:rsidRPr="006D46D9">
        <w:rPr>
          <w:rFonts w:ascii="Arial" w:hAnsi="Arial" w:cs="Arial"/>
        </w:rPr>
        <w:t xml:space="preserve"> March 2026).</w:t>
      </w:r>
    </w:p>
    <w:p w14:paraId="4F9112F8" w14:textId="25F12DB9"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The King’s Fund (2023) Health inequalities in England. London: The King’s Fund. Available at: https://www.kingsfund.org.uk (Accessed: 2</w:t>
      </w:r>
      <w:r>
        <w:rPr>
          <w:rFonts w:ascii="Arial" w:hAnsi="Arial" w:cs="Arial"/>
        </w:rPr>
        <w:t>0</w:t>
      </w:r>
      <w:r w:rsidRPr="006D46D9">
        <w:rPr>
          <w:rFonts w:ascii="Arial" w:hAnsi="Arial" w:cs="Arial"/>
        </w:rPr>
        <w:t xml:space="preserve"> March 2026).</w:t>
      </w:r>
    </w:p>
    <w:p w14:paraId="283DADB7"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Watt, R.G., et al. (2021) ‘Addressing oral health inequalities’, The Lancet, 394(10194), pp. 261–272. Available at: https://www.thelancet.com (Accessed: 22 March 2026).</w:t>
      </w:r>
    </w:p>
    <w:p w14:paraId="50033FB4" w14:textId="47FAE842" w:rsidR="00FD5B41" w:rsidRP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World Health Organization (2023) Global oral health status report. Geneva: WHO. Available at: https://www.who.int (Accessed: </w:t>
      </w:r>
      <w:r w:rsidR="00F572A2">
        <w:rPr>
          <w:rFonts w:ascii="Arial" w:hAnsi="Arial" w:cs="Arial"/>
        </w:rPr>
        <w:t>16</w:t>
      </w:r>
      <w:r w:rsidRPr="006D46D9">
        <w:rPr>
          <w:rFonts w:ascii="Arial" w:hAnsi="Arial" w:cs="Arial"/>
        </w:rPr>
        <w:t xml:space="preserve"> March 2026).</w:t>
      </w:r>
    </w:p>
    <w:sectPr w:rsidR="00FD5B41" w:rsidRPr="006D46D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14CAB" w14:textId="77777777" w:rsidR="008B4057" w:rsidRDefault="008B4057">
      <w:pPr>
        <w:spacing w:line="240" w:lineRule="auto"/>
      </w:pPr>
      <w:r>
        <w:separator/>
      </w:r>
    </w:p>
  </w:endnote>
  <w:endnote w:type="continuationSeparator" w:id="0">
    <w:p w14:paraId="18313C54" w14:textId="77777777" w:rsidR="008B4057" w:rsidRDefault="008B40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6157073"/>
      <w:docPartObj>
        <w:docPartGallery w:val="Page Numbers (Bottom of Page)"/>
        <w:docPartUnique/>
      </w:docPartObj>
    </w:sdtPr>
    <w:sdtEndPr>
      <w:rPr>
        <w:noProof/>
      </w:rPr>
    </w:sdtEndPr>
    <w:sdtContent>
      <w:p w14:paraId="4C92D33A" w14:textId="6D73E754" w:rsidR="00B236F0" w:rsidRDefault="00B236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00DDC5" w14:textId="77777777" w:rsidR="00B236F0" w:rsidRDefault="00B23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DA9BE" w14:textId="77777777" w:rsidR="008B4057" w:rsidRDefault="008B4057">
      <w:pPr>
        <w:spacing w:after="0"/>
      </w:pPr>
      <w:r>
        <w:separator/>
      </w:r>
    </w:p>
  </w:footnote>
  <w:footnote w:type="continuationSeparator" w:id="0">
    <w:p w14:paraId="1FE8F2AA" w14:textId="77777777" w:rsidR="008B4057" w:rsidRDefault="008B405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856CB"/>
    <w:multiLevelType w:val="hybridMultilevel"/>
    <w:tmpl w:val="E44E2F4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00F48A1"/>
    <w:multiLevelType w:val="multilevel"/>
    <w:tmpl w:val="3D567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832C9"/>
    <w:multiLevelType w:val="multilevel"/>
    <w:tmpl w:val="24565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E12CF1"/>
    <w:multiLevelType w:val="hybridMultilevel"/>
    <w:tmpl w:val="1DCC5B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33974B5"/>
    <w:multiLevelType w:val="multilevel"/>
    <w:tmpl w:val="346C8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F923D4"/>
    <w:multiLevelType w:val="multilevel"/>
    <w:tmpl w:val="79DA3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0D1B39"/>
    <w:multiLevelType w:val="multilevel"/>
    <w:tmpl w:val="10CA6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1208584">
    <w:abstractNumId w:val="1"/>
  </w:num>
  <w:num w:numId="2" w16cid:durableId="1006129629">
    <w:abstractNumId w:val="4"/>
  </w:num>
  <w:num w:numId="3" w16cid:durableId="1656453001">
    <w:abstractNumId w:val="5"/>
  </w:num>
  <w:num w:numId="4" w16cid:durableId="1329748234">
    <w:abstractNumId w:val="6"/>
  </w:num>
  <w:num w:numId="5" w16cid:durableId="2035030974">
    <w:abstractNumId w:val="2"/>
  </w:num>
  <w:num w:numId="6" w16cid:durableId="1600022278">
    <w:abstractNumId w:val="3"/>
  </w:num>
  <w:num w:numId="7" w16cid:durableId="1728533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90C"/>
    <w:rsid w:val="00043A41"/>
    <w:rsid w:val="00090AD6"/>
    <w:rsid w:val="00093DBD"/>
    <w:rsid w:val="000A3715"/>
    <w:rsid w:val="000D30FE"/>
    <w:rsid w:val="000D4D19"/>
    <w:rsid w:val="000F382B"/>
    <w:rsid w:val="00122ACA"/>
    <w:rsid w:val="00125BB4"/>
    <w:rsid w:val="00132842"/>
    <w:rsid w:val="00135B32"/>
    <w:rsid w:val="001843AD"/>
    <w:rsid w:val="001A3870"/>
    <w:rsid w:val="0023205A"/>
    <w:rsid w:val="00254B77"/>
    <w:rsid w:val="00256419"/>
    <w:rsid w:val="00265B52"/>
    <w:rsid w:val="00270D2C"/>
    <w:rsid w:val="002A7912"/>
    <w:rsid w:val="002F7D8F"/>
    <w:rsid w:val="00321797"/>
    <w:rsid w:val="003331DB"/>
    <w:rsid w:val="0034165A"/>
    <w:rsid w:val="00341DC5"/>
    <w:rsid w:val="003737DA"/>
    <w:rsid w:val="00424E25"/>
    <w:rsid w:val="00444414"/>
    <w:rsid w:val="004712C4"/>
    <w:rsid w:val="0048286C"/>
    <w:rsid w:val="004845BC"/>
    <w:rsid w:val="004B3AB7"/>
    <w:rsid w:val="004D54CB"/>
    <w:rsid w:val="005019B3"/>
    <w:rsid w:val="00545666"/>
    <w:rsid w:val="00597565"/>
    <w:rsid w:val="005A6441"/>
    <w:rsid w:val="005B7279"/>
    <w:rsid w:val="005C5E91"/>
    <w:rsid w:val="005E6ECC"/>
    <w:rsid w:val="005E6FA7"/>
    <w:rsid w:val="005F43BE"/>
    <w:rsid w:val="005F5134"/>
    <w:rsid w:val="005F7828"/>
    <w:rsid w:val="00614887"/>
    <w:rsid w:val="00626301"/>
    <w:rsid w:val="006D46D9"/>
    <w:rsid w:val="006D6743"/>
    <w:rsid w:val="006D74A2"/>
    <w:rsid w:val="006F3963"/>
    <w:rsid w:val="006F40AA"/>
    <w:rsid w:val="00715F6C"/>
    <w:rsid w:val="007208F1"/>
    <w:rsid w:val="0075020C"/>
    <w:rsid w:val="007572F2"/>
    <w:rsid w:val="007626B9"/>
    <w:rsid w:val="007728B5"/>
    <w:rsid w:val="00785ABE"/>
    <w:rsid w:val="007B3A28"/>
    <w:rsid w:val="007B46F5"/>
    <w:rsid w:val="008676A0"/>
    <w:rsid w:val="0087390C"/>
    <w:rsid w:val="00886640"/>
    <w:rsid w:val="008B4057"/>
    <w:rsid w:val="00902BAD"/>
    <w:rsid w:val="009159F6"/>
    <w:rsid w:val="00930CF2"/>
    <w:rsid w:val="009745D8"/>
    <w:rsid w:val="00975190"/>
    <w:rsid w:val="009E7AC9"/>
    <w:rsid w:val="009F4EDE"/>
    <w:rsid w:val="00A16684"/>
    <w:rsid w:val="00A36B71"/>
    <w:rsid w:val="00A931D0"/>
    <w:rsid w:val="00AA3FB7"/>
    <w:rsid w:val="00AA5DF2"/>
    <w:rsid w:val="00AB3603"/>
    <w:rsid w:val="00AC73C7"/>
    <w:rsid w:val="00B03817"/>
    <w:rsid w:val="00B236F0"/>
    <w:rsid w:val="00B253BF"/>
    <w:rsid w:val="00B81E3F"/>
    <w:rsid w:val="00B91079"/>
    <w:rsid w:val="00B9122B"/>
    <w:rsid w:val="00B93449"/>
    <w:rsid w:val="00BC35E6"/>
    <w:rsid w:val="00BF110D"/>
    <w:rsid w:val="00BF7744"/>
    <w:rsid w:val="00C151E4"/>
    <w:rsid w:val="00C33578"/>
    <w:rsid w:val="00C4433D"/>
    <w:rsid w:val="00C63625"/>
    <w:rsid w:val="00C928B8"/>
    <w:rsid w:val="00CC2A7A"/>
    <w:rsid w:val="00CE4F61"/>
    <w:rsid w:val="00CF5C33"/>
    <w:rsid w:val="00CF68CA"/>
    <w:rsid w:val="00CF7B9C"/>
    <w:rsid w:val="00D85BFE"/>
    <w:rsid w:val="00DD1818"/>
    <w:rsid w:val="00DD3D07"/>
    <w:rsid w:val="00DD6FE9"/>
    <w:rsid w:val="00E13EB7"/>
    <w:rsid w:val="00E9183D"/>
    <w:rsid w:val="00EB78B2"/>
    <w:rsid w:val="00EF1A71"/>
    <w:rsid w:val="00F01EDB"/>
    <w:rsid w:val="00F572A2"/>
    <w:rsid w:val="00F67845"/>
    <w:rsid w:val="00F94AD1"/>
    <w:rsid w:val="00FB7DA3"/>
    <w:rsid w:val="00FC2E70"/>
    <w:rsid w:val="00FC2FBA"/>
    <w:rsid w:val="00FD5B41"/>
    <w:rsid w:val="00FE041E"/>
    <w:rsid w:val="00FF55C2"/>
    <w:rsid w:val="555636F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6417F"/>
  <w15:docId w15:val="{435B1FA8-A49B-4FEF-AEE2-590EDB16C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6F0"/>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styleId="Header">
    <w:name w:val="header"/>
    <w:basedOn w:val="Normal"/>
    <w:link w:val="HeaderChar"/>
    <w:uiPriority w:val="99"/>
    <w:unhideWhenUsed/>
    <w:rsid w:val="00B236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6F0"/>
    <w:rPr>
      <w:kern w:val="2"/>
      <w:sz w:val="22"/>
      <w:szCs w:val="22"/>
      <w:lang w:eastAsia="en-US"/>
      <w14:ligatures w14:val="standardContextual"/>
    </w:rPr>
  </w:style>
  <w:style w:type="paragraph" w:styleId="Footer">
    <w:name w:val="footer"/>
    <w:basedOn w:val="Normal"/>
    <w:link w:val="FooterChar"/>
    <w:uiPriority w:val="99"/>
    <w:unhideWhenUsed/>
    <w:rsid w:val="00B236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6F0"/>
    <w:rPr>
      <w:kern w:val="2"/>
      <w:sz w:val="22"/>
      <w:szCs w:val="22"/>
      <w:lang w:eastAsia="en-US"/>
      <w14:ligatures w14:val="standardContextual"/>
    </w:rPr>
  </w:style>
  <w:style w:type="paragraph" w:styleId="TOCHeading">
    <w:name w:val="TOC Heading"/>
    <w:basedOn w:val="Heading1"/>
    <w:next w:val="Normal"/>
    <w:uiPriority w:val="39"/>
    <w:unhideWhenUsed/>
    <w:qFormat/>
    <w:rsid w:val="00B236F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236F0"/>
    <w:pPr>
      <w:tabs>
        <w:tab w:val="right" w:leader="dot" w:pos="9016"/>
      </w:tabs>
      <w:spacing w:after="100"/>
    </w:pPr>
    <w:rPr>
      <w:b/>
      <w:bCs/>
      <w:noProof/>
    </w:rPr>
  </w:style>
  <w:style w:type="character" w:styleId="Hyperlink">
    <w:name w:val="Hyperlink"/>
    <w:basedOn w:val="DefaultParagraphFont"/>
    <w:uiPriority w:val="99"/>
    <w:unhideWhenUsed/>
    <w:rsid w:val="00B236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331C2-7D15-420E-B55E-A8104DCB2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16</Pages>
  <Words>4560</Words>
  <Characters>25995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Rajveer Rana</dc:creator>
  <cp:lastModifiedBy>Rajveer Rana</cp:lastModifiedBy>
  <cp:revision>11</cp:revision>
  <dcterms:created xsi:type="dcterms:W3CDTF">2026-03-22T15:10:00Z</dcterms:created>
  <dcterms:modified xsi:type="dcterms:W3CDTF">2026-03-23T01:32:00Z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eyJoZGlkIjoiMzcyODMxYTE0ZTc0ZGU3Y2QwODc3MzYzN2Q1YmNiM2EiLCJ1c2VySWQiOiI1NjczNTQwNDU5NjkifQ==</vt:lpwstr>
  </property>
  <property fmtid="{D5CDD505-2E9C-101B-9397-08002B2CF9AE}" pid="3" name="KSOProductBuildVer">
    <vt:lpwstr>1033-12.1.0.25830</vt:lpwstr>
  </property>
  <property fmtid="{D5CDD505-2E9C-101B-9397-08002B2CF9AE}" pid="4" name="ICV">
    <vt:lpwstr>9169DB7345D5424F92B1CACF09582900_12</vt:lpwstr>
  </property>
</Properties>
</file>