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9802D9" w14:textId="77777777" w:rsidR="00051308" w:rsidRPr="00C85BD5" w:rsidRDefault="00051308" w:rsidP="00AB44F4">
      <w:pPr>
        <w:jc w:val="center"/>
        <w:rPr>
          <w:rFonts w:asciiTheme="minorBidi" w:hAnsiTheme="minorBidi"/>
          <w:b/>
          <w:bCs/>
          <w:sz w:val="22"/>
          <w:szCs w:val="22"/>
        </w:rPr>
      </w:pPr>
    </w:p>
    <w:p w14:paraId="45B21A05" w14:textId="77777777" w:rsidR="00E67A64" w:rsidRPr="00C85BD5" w:rsidRDefault="00E67A64" w:rsidP="00051308">
      <w:pPr>
        <w:jc w:val="center"/>
        <w:rPr>
          <w:rFonts w:asciiTheme="minorBidi" w:hAnsiTheme="minorBidi"/>
          <w:b/>
          <w:bCs/>
          <w:sz w:val="22"/>
          <w:szCs w:val="22"/>
        </w:rPr>
      </w:pPr>
    </w:p>
    <w:p w14:paraId="5C9D0DD4" w14:textId="77777777" w:rsidR="00E67A64" w:rsidRPr="00C85BD5" w:rsidRDefault="00E67A64" w:rsidP="00051308">
      <w:pPr>
        <w:jc w:val="center"/>
        <w:rPr>
          <w:rFonts w:asciiTheme="minorBidi" w:hAnsiTheme="minorBidi"/>
          <w:b/>
          <w:bCs/>
          <w:sz w:val="22"/>
          <w:szCs w:val="22"/>
        </w:rPr>
      </w:pPr>
    </w:p>
    <w:p w14:paraId="102859F5" w14:textId="77777777" w:rsidR="00E67A64" w:rsidRPr="00C85BD5" w:rsidRDefault="00E67A64" w:rsidP="00051308">
      <w:pPr>
        <w:jc w:val="center"/>
        <w:rPr>
          <w:rFonts w:asciiTheme="minorBidi" w:hAnsiTheme="minorBidi"/>
          <w:b/>
          <w:bCs/>
          <w:sz w:val="22"/>
          <w:szCs w:val="22"/>
        </w:rPr>
      </w:pPr>
    </w:p>
    <w:p w14:paraId="770FBA9B" w14:textId="77777777" w:rsidR="00051308" w:rsidRPr="00C85BD5" w:rsidRDefault="00C85BD5" w:rsidP="00051308">
      <w:pPr>
        <w:jc w:val="center"/>
        <w:rPr>
          <w:rFonts w:asciiTheme="minorBidi" w:hAnsiTheme="minorBidi"/>
          <w:b/>
          <w:bCs/>
          <w:sz w:val="22"/>
          <w:szCs w:val="22"/>
        </w:rPr>
      </w:pPr>
      <w:r w:rsidRPr="00C85BD5">
        <w:rPr>
          <w:rFonts w:asciiTheme="minorBidi" w:hAnsiTheme="minorBidi"/>
          <w:b/>
          <w:bCs/>
          <w:sz w:val="22"/>
          <w:szCs w:val="22"/>
        </w:rPr>
        <w:t>Component 1 – Written Report</w:t>
      </w:r>
    </w:p>
    <w:p w14:paraId="3176CBC3" w14:textId="77777777" w:rsidR="00051308" w:rsidRPr="00C85BD5" w:rsidRDefault="00051308" w:rsidP="00AB44F4">
      <w:pPr>
        <w:jc w:val="center"/>
        <w:rPr>
          <w:rFonts w:asciiTheme="minorBidi" w:hAnsiTheme="minorBidi"/>
          <w:b/>
          <w:bCs/>
          <w:sz w:val="22"/>
          <w:szCs w:val="22"/>
        </w:rPr>
      </w:pPr>
    </w:p>
    <w:p w14:paraId="3573D0A1" w14:textId="77777777" w:rsidR="00B246EE" w:rsidRPr="00C85BD5" w:rsidRDefault="00C85BD5" w:rsidP="00AB44F4">
      <w:pPr>
        <w:jc w:val="center"/>
        <w:rPr>
          <w:rFonts w:asciiTheme="minorBidi" w:hAnsiTheme="minorBidi"/>
          <w:b/>
          <w:bCs/>
          <w:sz w:val="22"/>
          <w:szCs w:val="22"/>
        </w:rPr>
      </w:pPr>
      <w:r w:rsidRPr="00C85BD5">
        <w:rPr>
          <w:rFonts w:asciiTheme="minorBidi" w:hAnsiTheme="minorBidi"/>
          <w:b/>
          <w:bCs/>
          <w:sz w:val="22"/>
          <w:szCs w:val="22"/>
        </w:rPr>
        <w:t xml:space="preserve">Topic: NHS Digital </w:t>
      </w:r>
      <w:r w:rsidR="00051308" w:rsidRPr="00C85BD5">
        <w:rPr>
          <w:rFonts w:asciiTheme="minorBidi" w:hAnsiTheme="minorBidi"/>
          <w:b/>
          <w:bCs/>
          <w:sz w:val="22"/>
          <w:szCs w:val="22"/>
        </w:rPr>
        <w:t>APP (for</w:t>
      </w:r>
      <w:r w:rsidRPr="00C85BD5">
        <w:rPr>
          <w:rFonts w:asciiTheme="minorBidi" w:hAnsiTheme="minorBidi"/>
          <w:b/>
          <w:bCs/>
          <w:sz w:val="22"/>
          <w:szCs w:val="22"/>
        </w:rPr>
        <w:t xml:space="preserve"> online medicine and appointments)</w:t>
      </w:r>
    </w:p>
    <w:p w14:paraId="371793B2" w14:textId="77777777" w:rsidR="00051308" w:rsidRPr="00C85BD5" w:rsidRDefault="00051308" w:rsidP="00AB44F4">
      <w:pPr>
        <w:jc w:val="center"/>
        <w:rPr>
          <w:rFonts w:asciiTheme="minorBidi" w:hAnsiTheme="minorBidi"/>
          <w:b/>
          <w:bCs/>
          <w:sz w:val="22"/>
          <w:szCs w:val="22"/>
        </w:rPr>
      </w:pPr>
    </w:p>
    <w:p w14:paraId="1E89DA06" w14:textId="77777777" w:rsidR="00051308" w:rsidRPr="00C85BD5" w:rsidRDefault="00C85BD5" w:rsidP="00051308">
      <w:pPr>
        <w:jc w:val="center"/>
        <w:rPr>
          <w:rFonts w:asciiTheme="minorBidi" w:hAnsiTheme="minorBidi"/>
          <w:b/>
          <w:bCs/>
          <w:sz w:val="22"/>
          <w:szCs w:val="22"/>
        </w:rPr>
      </w:pPr>
      <w:r w:rsidRPr="00C85BD5">
        <w:rPr>
          <w:rFonts w:asciiTheme="minorBidi" w:hAnsiTheme="minorBidi"/>
          <w:b/>
          <w:bCs/>
          <w:sz w:val="22"/>
          <w:szCs w:val="22"/>
        </w:rPr>
        <w:t>Student Name: Salma Bibi</w:t>
      </w:r>
    </w:p>
    <w:p w14:paraId="297DE129" w14:textId="77777777" w:rsidR="00051308" w:rsidRPr="00C85BD5" w:rsidRDefault="00C85BD5" w:rsidP="00051308">
      <w:pPr>
        <w:jc w:val="center"/>
        <w:rPr>
          <w:rFonts w:asciiTheme="minorBidi" w:hAnsiTheme="minorBidi"/>
          <w:b/>
          <w:bCs/>
          <w:sz w:val="22"/>
          <w:szCs w:val="22"/>
        </w:rPr>
      </w:pPr>
      <w:r w:rsidRPr="00C85BD5">
        <w:rPr>
          <w:rFonts w:asciiTheme="minorBidi" w:hAnsiTheme="minorBidi"/>
          <w:b/>
          <w:bCs/>
          <w:sz w:val="22"/>
          <w:szCs w:val="22"/>
        </w:rPr>
        <w:t>Student ID: 2315819</w:t>
      </w:r>
    </w:p>
    <w:p w14:paraId="5D33B896" w14:textId="77777777" w:rsidR="00051308" w:rsidRPr="00C85BD5" w:rsidRDefault="00C85BD5" w:rsidP="00051308">
      <w:pPr>
        <w:jc w:val="center"/>
        <w:rPr>
          <w:rFonts w:asciiTheme="minorBidi" w:hAnsiTheme="minorBidi"/>
          <w:b/>
          <w:bCs/>
          <w:sz w:val="22"/>
          <w:szCs w:val="22"/>
        </w:rPr>
      </w:pPr>
      <w:r w:rsidRPr="00C85BD5">
        <w:rPr>
          <w:rFonts w:asciiTheme="minorBidi" w:hAnsiTheme="minorBidi"/>
          <w:b/>
          <w:bCs/>
          <w:sz w:val="22"/>
          <w:szCs w:val="22"/>
        </w:rPr>
        <w:t>Module: BMHP6026 – Digital Transformation in the Health and Care Professions</w:t>
      </w:r>
    </w:p>
    <w:p w14:paraId="243D3267" w14:textId="77777777" w:rsidR="00AB44F4" w:rsidRPr="00C85BD5" w:rsidRDefault="00C85BD5" w:rsidP="00C53D6F">
      <w:pPr>
        <w:jc w:val="center"/>
        <w:rPr>
          <w:rFonts w:asciiTheme="minorBidi" w:hAnsiTheme="minorBidi"/>
          <w:b/>
          <w:bCs/>
          <w:sz w:val="22"/>
          <w:szCs w:val="22"/>
        </w:rPr>
      </w:pPr>
      <w:r w:rsidRPr="00C85BD5">
        <w:rPr>
          <w:rFonts w:asciiTheme="minorBidi" w:hAnsiTheme="minorBidi"/>
          <w:b/>
          <w:bCs/>
          <w:sz w:val="22"/>
          <w:szCs w:val="22"/>
        </w:rPr>
        <w:t>Lecturer’s Name: Zakiya Ahmed</w:t>
      </w:r>
    </w:p>
    <w:p w14:paraId="5AC36013" w14:textId="77777777" w:rsidR="00AB44F4" w:rsidRPr="00C85BD5" w:rsidRDefault="00AB44F4" w:rsidP="00AB44F4">
      <w:pPr>
        <w:jc w:val="center"/>
        <w:rPr>
          <w:rFonts w:asciiTheme="minorBidi" w:hAnsiTheme="minorBidi"/>
          <w:b/>
          <w:bCs/>
          <w:sz w:val="22"/>
          <w:szCs w:val="22"/>
        </w:rPr>
      </w:pPr>
    </w:p>
    <w:p w14:paraId="14499DC2" w14:textId="77777777" w:rsidR="00AB44F4" w:rsidRPr="00C85BD5" w:rsidRDefault="00AB44F4" w:rsidP="00AB44F4">
      <w:pPr>
        <w:jc w:val="center"/>
        <w:rPr>
          <w:rFonts w:asciiTheme="minorBidi" w:hAnsiTheme="minorBidi"/>
          <w:b/>
          <w:bCs/>
          <w:sz w:val="22"/>
          <w:szCs w:val="22"/>
        </w:rPr>
      </w:pPr>
    </w:p>
    <w:p w14:paraId="6735E1AF" w14:textId="77777777" w:rsidR="00AB44F4" w:rsidRPr="00C85BD5" w:rsidRDefault="00AB44F4" w:rsidP="00AB44F4">
      <w:pPr>
        <w:jc w:val="center"/>
        <w:rPr>
          <w:rFonts w:asciiTheme="minorBidi" w:hAnsiTheme="minorBidi"/>
          <w:b/>
          <w:bCs/>
          <w:sz w:val="22"/>
          <w:szCs w:val="22"/>
        </w:rPr>
      </w:pPr>
    </w:p>
    <w:p w14:paraId="191FD7FC" w14:textId="77777777" w:rsidR="00AB44F4" w:rsidRPr="00C85BD5" w:rsidRDefault="00AB44F4" w:rsidP="00AB44F4">
      <w:pPr>
        <w:jc w:val="center"/>
        <w:rPr>
          <w:rFonts w:asciiTheme="minorBidi" w:hAnsiTheme="minorBidi"/>
          <w:b/>
          <w:bCs/>
          <w:sz w:val="22"/>
          <w:szCs w:val="22"/>
        </w:rPr>
      </w:pPr>
    </w:p>
    <w:p w14:paraId="75AD971D" w14:textId="77777777" w:rsidR="00AB44F4" w:rsidRPr="00C85BD5" w:rsidRDefault="00AB44F4" w:rsidP="00AB44F4">
      <w:pPr>
        <w:jc w:val="center"/>
        <w:rPr>
          <w:rFonts w:asciiTheme="minorBidi" w:hAnsiTheme="minorBidi"/>
          <w:b/>
          <w:bCs/>
          <w:sz w:val="22"/>
          <w:szCs w:val="22"/>
        </w:rPr>
      </w:pPr>
    </w:p>
    <w:p w14:paraId="1F8B390F" w14:textId="77777777" w:rsidR="00AB44F4" w:rsidRPr="00C85BD5" w:rsidRDefault="00AB44F4" w:rsidP="00AB44F4">
      <w:pPr>
        <w:jc w:val="center"/>
        <w:rPr>
          <w:rFonts w:asciiTheme="minorBidi" w:hAnsiTheme="minorBidi"/>
          <w:b/>
          <w:bCs/>
          <w:sz w:val="22"/>
          <w:szCs w:val="22"/>
        </w:rPr>
      </w:pPr>
    </w:p>
    <w:p w14:paraId="3B18C24D" w14:textId="77777777" w:rsidR="00AB44F4" w:rsidRPr="00C85BD5" w:rsidRDefault="00AB44F4" w:rsidP="00AB44F4">
      <w:pPr>
        <w:jc w:val="center"/>
        <w:rPr>
          <w:rFonts w:asciiTheme="minorBidi" w:hAnsiTheme="minorBidi"/>
          <w:b/>
          <w:bCs/>
          <w:sz w:val="22"/>
          <w:szCs w:val="22"/>
        </w:rPr>
      </w:pPr>
    </w:p>
    <w:p w14:paraId="3FE2D33F" w14:textId="77777777" w:rsidR="00AB44F4" w:rsidRPr="00C85BD5" w:rsidRDefault="00AB44F4" w:rsidP="00AB44F4">
      <w:pPr>
        <w:jc w:val="center"/>
        <w:rPr>
          <w:rFonts w:asciiTheme="minorBidi" w:hAnsiTheme="minorBidi"/>
          <w:b/>
          <w:bCs/>
          <w:sz w:val="22"/>
          <w:szCs w:val="22"/>
        </w:rPr>
      </w:pPr>
    </w:p>
    <w:p w14:paraId="7BCEF877" w14:textId="77777777" w:rsidR="00AB44F4" w:rsidRPr="00C85BD5" w:rsidRDefault="00AB44F4" w:rsidP="00AB44F4">
      <w:pPr>
        <w:jc w:val="center"/>
        <w:rPr>
          <w:rFonts w:asciiTheme="minorBidi" w:hAnsiTheme="minorBidi"/>
          <w:b/>
          <w:bCs/>
          <w:sz w:val="22"/>
          <w:szCs w:val="22"/>
        </w:rPr>
      </w:pPr>
    </w:p>
    <w:p w14:paraId="4E1EF29A" w14:textId="77777777" w:rsidR="00AB44F4" w:rsidRPr="00C85BD5" w:rsidRDefault="00AB44F4" w:rsidP="00AB44F4">
      <w:pPr>
        <w:jc w:val="center"/>
        <w:rPr>
          <w:rFonts w:asciiTheme="minorBidi" w:hAnsiTheme="minorBidi"/>
          <w:b/>
          <w:bCs/>
          <w:sz w:val="22"/>
          <w:szCs w:val="22"/>
        </w:rPr>
      </w:pPr>
    </w:p>
    <w:p w14:paraId="144DE413" w14:textId="77777777" w:rsidR="00B246EE" w:rsidRPr="00C85BD5" w:rsidRDefault="00B246EE" w:rsidP="0063502A">
      <w:pPr>
        <w:rPr>
          <w:rFonts w:asciiTheme="minorBidi" w:hAnsiTheme="minorBidi"/>
          <w:b/>
          <w:bCs/>
          <w:sz w:val="22"/>
          <w:szCs w:val="22"/>
        </w:rPr>
      </w:pPr>
    </w:p>
    <w:sdt>
      <w:sdtPr>
        <w:rPr>
          <w:rFonts w:asciiTheme="minorBidi" w:eastAsiaTheme="minorHAnsi" w:hAnsiTheme="minorBidi" w:cstheme="minorBidi"/>
          <w:color w:val="auto"/>
          <w:kern w:val="2"/>
          <w:sz w:val="22"/>
          <w:szCs w:val="22"/>
          <w14:ligatures w14:val="standardContextual"/>
        </w:rPr>
        <w:id w:val="190812534"/>
        <w:docPartObj>
          <w:docPartGallery w:val="Table of Contents"/>
          <w:docPartUnique/>
        </w:docPartObj>
      </w:sdtPr>
      <w:sdtEndPr>
        <w:rPr>
          <w:b/>
          <w:bCs/>
        </w:rPr>
      </w:sdtEndPr>
      <w:sdtContent>
        <w:p w14:paraId="0B33767C" w14:textId="77777777" w:rsidR="00B246EE" w:rsidRPr="00C85BD5" w:rsidRDefault="00C85BD5" w:rsidP="0063502A">
          <w:pPr>
            <w:pStyle w:val="TOCHeading1"/>
            <w:spacing w:line="360" w:lineRule="auto"/>
            <w:jc w:val="center"/>
            <w:rPr>
              <w:rFonts w:asciiTheme="minorBidi" w:hAnsiTheme="minorBidi" w:cstheme="minorBidi"/>
              <w:b/>
              <w:bCs/>
              <w:color w:val="auto"/>
              <w:sz w:val="22"/>
              <w:szCs w:val="22"/>
            </w:rPr>
          </w:pPr>
          <w:r w:rsidRPr="00C85BD5">
            <w:rPr>
              <w:rFonts w:asciiTheme="minorBidi" w:hAnsiTheme="minorBidi" w:cstheme="minorBidi"/>
              <w:b/>
              <w:bCs/>
              <w:color w:val="auto"/>
              <w:sz w:val="22"/>
              <w:szCs w:val="22"/>
            </w:rPr>
            <w:t>Table of Contents</w:t>
          </w:r>
        </w:p>
        <w:p w14:paraId="505534C2" w14:textId="77777777" w:rsidR="00B246EE" w:rsidRPr="00C85BD5" w:rsidRDefault="00C85BD5" w:rsidP="00AB44F4">
          <w:pPr>
            <w:pStyle w:val="TOC1"/>
            <w:tabs>
              <w:tab w:val="left" w:pos="480"/>
              <w:tab w:val="right" w:leader="dot" w:pos="9350"/>
            </w:tabs>
            <w:rPr>
              <w:rFonts w:asciiTheme="minorBidi" w:hAnsiTheme="minorBidi"/>
              <w:b/>
              <w:bCs/>
              <w:sz w:val="22"/>
              <w:szCs w:val="22"/>
            </w:rPr>
          </w:pP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TOC \o "1-3" \h \z \u </w:instrText>
          </w:r>
          <w:r w:rsidRPr="00C85BD5">
            <w:rPr>
              <w:rFonts w:asciiTheme="minorBidi" w:hAnsiTheme="minorBidi"/>
              <w:b/>
              <w:bCs/>
              <w:sz w:val="22"/>
              <w:szCs w:val="22"/>
            </w:rPr>
            <w:fldChar w:fldCharType="separate"/>
          </w:r>
          <w:hyperlink w:anchor="_Toc210579496" w:history="1">
            <w:r w:rsidR="00B246EE" w:rsidRPr="00C85BD5">
              <w:rPr>
                <w:rStyle w:val="Hyperlink"/>
                <w:rFonts w:asciiTheme="minorBidi" w:hAnsiTheme="minorBidi"/>
                <w:b/>
                <w:bCs/>
                <w:sz w:val="22"/>
                <w:szCs w:val="22"/>
              </w:rPr>
              <w:t>1.</w:t>
            </w:r>
            <w:r w:rsidR="00B246EE" w:rsidRPr="00C85BD5">
              <w:rPr>
                <w:rFonts w:asciiTheme="minorBidi" w:hAnsiTheme="minorBidi"/>
                <w:b/>
                <w:bCs/>
                <w:sz w:val="22"/>
                <w:szCs w:val="22"/>
              </w:rPr>
              <w:tab/>
            </w:r>
            <w:r w:rsidR="00B246EE" w:rsidRPr="00C85BD5">
              <w:rPr>
                <w:rStyle w:val="Hyperlink"/>
                <w:rFonts w:asciiTheme="minorBidi" w:hAnsiTheme="minorBidi"/>
                <w:b/>
                <w:bCs/>
                <w:sz w:val="22"/>
                <w:szCs w:val="22"/>
              </w:rPr>
              <w:t>Introduction</w:t>
            </w:r>
            <w:r w:rsidR="00B246EE" w:rsidRPr="00C85BD5">
              <w:rPr>
                <w:rFonts w:asciiTheme="minorBidi" w:hAnsiTheme="minorBidi"/>
                <w:b/>
                <w:bCs/>
                <w:sz w:val="22"/>
                <w:szCs w:val="22"/>
              </w:rPr>
              <w:tab/>
            </w:r>
            <w:r w:rsidR="00B246EE" w:rsidRPr="00C85BD5">
              <w:rPr>
                <w:rFonts w:asciiTheme="minorBidi" w:hAnsiTheme="minorBidi"/>
                <w:b/>
                <w:bCs/>
                <w:sz w:val="22"/>
                <w:szCs w:val="22"/>
              </w:rPr>
              <w:fldChar w:fldCharType="begin"/>
            </w:r>
            <w:r w:rsidR="00B246EE" w:rsidRPr="00C85BD5">
              <w:rPr>
                <w:rFonts w:asciiTheme="minorBidi" w:hAnsiTheme="minorBidi"/>
                <w:b/>
                <w:bCs/>
                <w:sz w:val="22"/>
                <w:szCs w:val="22"/>
              </w:rPr>
              <w:instrText xml:space="preserve"> PAGEREF _Toc210579496 \h </w:instrText>
            </w:r>
            <w:r w:rsidR="00B246EE" w:rsidRPr="00C85BD5">
              <w:rPr>
                <w:rFonts w:asciiTheme="minorBidi" w:hAnsiTheme="minorBidi"/>
                <w:b/>
                <w:bCs/>
                <w:sz w:val="22"/>
                <w:szCs w:val="22"/>
              </w:rPr>
            </w:r>
            <w:r w:rsidR="00B246EE" w:rsidRPr="00C85BD5">
              <w:rPr>
                <w:rFonts w:asciiTheme="minorBidi" w:hAnsiTheme="minorBidi"/>
                <w:b/>
                <w:bCs/>
                <w:sz w:val="22"/>
                <w:szCs w:val="22"/>
              </w:rPr>
              <w:fldChar w:fldCharType="separate"/>
            </w:r>
            <w:r w:rsidR="00B246EE" w:rsidRPr="00C85BD5">
              <w:rPr>
                <w:rFonts w:asciiTheme="minorBidi" w:hAnsiTheme="minorBidi"/>
                <w:b/>
                <w:bCs/>
                <w:sz w:val="22"/>
                <w:szCs w:val="22"/>
              </w:rPr>
              <w:t>3</w:t>
            </w:r>
            <w:r w:rsidR="00B246EE" w:rsidRPr="00C85BD5">
              <w:rPr>
                <w:rFonts w:asciiTheme="minorBidi" w:hAnsiTheme="minorBidi"/>
                <w:b/>
                <w:bCs/>
                <w:sz w:val="22"/>
                <w:szCs w:val="22"/>
              </w:rPr>
              <w:fldChar w:fldCharType="end"/>
            </w:r>
          </w:hyperlink>
        </w:p>
        <w:p w14:paraId="6FD5DBC7" w14:textId="77777777" w:rsidR="00B246EE" w:rsidRPr="00C85BD5" w:rsidRDefault="00B246EE" w:rsidP="00AB44F4">
          <w:pPr>
            <w:pStyle w:val="TOC1"/>
            <w:tabs>
              <w:tab w:val="left" w:pos="480"/>
              <w:tab w:val="right" w:leader="dot" w:pos="9350"/>
            </w:tabs>
            <w:rPr>
              <w:rFonts w:asciiTheme="minorBidi" w:hAnsiTheme="minorBidi"/>
              <w:b/>
              <w:bCs/>
              <w:sz w:val="22"/>
              <w:szCs w:val="22"/>
            </w:rPr>
          </w:pPr>
          <w:hyperlink w:anchor="_Toc210579497" w:history="1">
            <w:r w:rsidRPr="00C85BD5">
              <w:rPr>
                <w:rStyle w:val="Hyperlink"/>
                <w:rFonts w:asciiTheme="minorBidi" w:hAnsiTheme="minorBidi"/>
                <w:b/>
                <w:bCs/>
                <w:sz w:val="22"/>
                <w:szCs w:val="22"/>
              </w:rPr>
              <w:t>2.</w:t>
            </w:r>
            <w:r w:rsidRPr="00C85BD5">
              <w:rPr>
                <w:rFonts w:asciiTheme="minorBidi" w:hAnsiTheme="minorBidi"/>
                <w:b/>
                <w:bCs/>
                <w:sz w:val="22"/>
                <w:szCs w:val="22"/>
              </w:rPr>
              <w:tab/>
            </w:r>
            <w:r w:rsidRPr="00C85BD5">
              <w:rPr>
                <w:rStyle w:val="Hyperlink"/>
                <w:rFonts w:asciiTheme="minorBidi" w:hAnsiTheme="minorBidi"/>
                <w:b/>
                <w:bCs/>
                <w:sz w:val="22"/>
                <w:szCs w:val="22"/>
              </w:rPr>
              <w:t>The Healthcare Problem</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_Toc210579497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4</w:t>
            </w:r>
            <w:r w:rsidRPr="00C85BD5">
              <w:rPr>
                <w:rFonts w:asciiTheme="minorBidi" w:hAnsiTheme="minorBidi"/>
                <w:b/>
                <w:bCs/>
                <w:sz w:val="22"/>
                <w:szCs w:val="22"/>
              </w:rPr>
              <w:fldChar w:fldCharType="end"/>
            </w:r>
          </w:hyperlink>
        </w:p>
        <w:p w14:paraId="7A5D514F"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498" w:history="1">
            <w:r w:rsidRPr="00C85BD5">
              <w:rPr>
                <w:rStyle w:val="Hyperlink"/>
                <w:rFonts w:asciiTheme="minorBidi" w:hAnsiTheme="minorBidi"/>
                <w:b/>
                <w:bCs/>
                <w:sz w:val="22"/>
                <w:szCs w:val="22"/>
              </w:rPr>
              <w:t>2.1</w:t>
            </w:r>
            <w:r w:rsidRPr="00C85BD5">
              <w:rPr>
                <w:rFonts w:asciiTheme="minorBidi" w:hAnsiTheme="minorBidi"/>
                <w:b/>
                <w:bCs/>
                <w:sz w:val="22"/>
                <w:szCs w:val="22"/>
              </w:rPr>
              <w:tab/>
            </w:r>
            <w:r w:rsidRPr="00C85BD5">
              <w:rPr>
                <w:rStyle w:val="Hyperlink"/>
                <w:rFonts w:asciiTheme="minorBidi" w:hAnsiTheme="minorBidi"/>
                <w:b/>
                <w:bCs/>
                <w:sz w:val="22"/>
                <w:szCs w:val="22"/>
              </w:rPr>
              <w:t>Challenges in Accessing Appointments and Medicines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_Toc210579498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4</w:t>
            </w:r>
            <w:r w:rsidRPr="00C85BD5">
              <w:rPr>
                <w:rFonts w:asciiTheme="minorBidi" w:hAnsiTheme="minorBidi"/>
                <w:b/>
                <w:bCs/>
                <w:sz w:val="22"/>
                <w:szCs w:val="22"/>
              </w:rPr>
              <w:fldChar w:fldCharType="end"/>
            </w:r>
          </w:hyperlink>
        </w:p>
        <w:p w14:paraId="690532D1"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499" w:history="1">
            <w:r w:rsidRPr="00C85BD5">
              <w:rPr>
                <w:rStyle w:val="Hyperlink"/>
                <w:rFonts w:asciiTheme="minorBidi" w:hAnsiTheme="minorBidi"/>
                <w:b/>
                <w:bCs/>
                <w:sz w:val="22"/>
                <w:szCs w:val="22"/>
              </w:rPr>
              <w:t>2.2</w:t>
            </w:r>
            <w:r w:rsidRPr="00C85BD5">
              <w:rPr>
                <w:rFonts w:asciiTheme="minorBidi" w:hAnsiTheme="minorBidi"/>
                <w:b/>
                <w:bCs/>
                <w:sz w:val="22"/>
                <w:szCs w:val="22"/>
              </w:rPr>
              <w:tab/>
            </w:r>
            <w:r w:rsidRPr="00C85BD5">
              <w:rPr>
                <w:rStyle w:val="Hyperlink"/>
                <w:rFonts w:asciiTheme="minorBidi" w:hAnsiTheme="minorBidi"/>
                <w:b/>
                <w:bCs/>
                <w:sz w:val="22"/>
                <w:szCs w:val="22"/>
              </w:rPr>
              <w:t>Problems with patient involvement and care organisation.</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_Toc210579499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4</w:t>
            </w:r>
            <w:r w:rsidRPr="00C85BD5">
              <w:rPr>
                <w:rFonts w:asciiTheme="minorBidi" w:hAnsiTheme="minorBidi"/>
                <w:b/>
                <w:bCs/>
                <w:sz w:val="22"/>
                <w:szCs w:val="22"/>
              </w:rPr>
              <w:fldChar w:fldCharType="end"/>
            </w:r>
          </w:hyperlink>
        </w:p>
        <w:p w14:paraId="077B6428"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0" w:history="1">
            <w:r w:rsidRPr="00C85BD5">
              <w:rPr>
                <w:rStyle w:val="Hyperlink"/>
                <w:rFonts w:asciiTheme="minorBidi" w:hAnsiTheme="minorBidi"/>
                <w:b/>
                <w:bCs/>
                <w:sz w:val="22"/>
                <w:szCs w:val="22"/>
              </w:rPr>
              <w:t>2.3</w:t>
            </w:r>
            <w:r w:rsidRPr="00C85BD5">
              <w:rPr>
                <w:rFonts w:asciiTheme="minorBidi" w:hAnsiTheme="minorBidi"/>
                <w:b/>
                <w:bCs/>
                <w:sz w:val="22"/>
                <w:szCs w:val="22"/>
              </w:rPr>
              <w:tab/>
            </w:r>
            <w:r w:rsidRPr="00C85BD5">
              <w:rPr>
                <w:rStyle w:val="Hyperlink"/>
                <w:rFonts w:asciiTheme="minorBidi" w:hAnsiTheme="minorBidi"/>
                <w:b/>
                <w:bCs/>
                <w:sz w:val="22"/>
                <w:szCs w:val="22"/>
              </w:rPr>
              <w:t>The Reason Digital Innovation Was Needed.</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_Toc210579500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5</w:t>
            </w:r>
            <w:r w:rsidRPr="00C85BD5">
              <w:rPr>
                <w:rFonts w:asciiTheme="minorBidi" w:hAnsiTheme="minorBidi"/>
                <w:b/>
                <w:bCs/>
                <w:sz w:val="22"/>
                <w:szCs w:val="22"/>
              </w:rPr>
              <w:fldChar w:fldCharType="end"/>
            </w:r>
          </w:hyperlink>
        </w:p>
        <w:p w14:paraId="23BDF90C" w14:textId="77777777" w:rsidR="00B246EE" w:rsidRPr="00C85BD5" w:rsidRDefault="00B246EE" w:rsidP="00AB44F4">
          <w:pPr>
            <w:pStyle w:val="TOC1"/>
            <w:tabs>
              <w:tab w:val="left" w:pos="480"/>
              <w:tab w:val="right" w:leader="dot" w:pos="9350"/>
            </w:tabs>
            <w:rPr>
              <w:rFonts w:asciiTheme="minorBidi" w:hAnsiTheme="minorBidi"/>
              <w:b/>
              <w:bCs/>
              <w:sz w:val="22"/>
              <w:szCs w:val="22"/>
            </w:rPr>
          </w:pPr>
          <w:hyperlink w:anchor="_Toc210579501" w:history="1">
            <w:r w:rsidRPr="00C85BD5">
              <w:rPr>
                <w:rStyle w:val="Hyperlink"/>
                <w:rFonts w:asciiTheme="minorBidi" w:hAnsiTheme="minorBidi"/>
                <w:b/>
                <w:bCs/>
                <w:sz w:val="22"/>
                <w:szCs w:val="22"/>
              </w:rPr>
              <w:t>3.</w:t>
            </w:r>
            <w:r w:rsidRPr="00C85BD5">
              <w:rPr>
                <w:rFonts w:asciiTheme="minorBidi" w:hAnsiTheme="minorBidi"/>
                <w:b/>
                <w:bCs/>
                <w:sz w:val="22"/>
                <w:szCs w:val="22"/>
              </w:rPr>
              <w:tab/>
            </w:r>
            <w:r w:rsidRPr="00C85BD5">
              <w:rPr>
                <w:rStyle w:val="Hyperlink"/>
                <w:rFonts w:asciiTheme="minorBidi" w:hAnsiTheme="minorBidi"/>
                <w:b/>
                <w:bCs/>
                <w:sz w:val="22"/>
                <w:szCs w:val="22"/>
              </w:rPr>
              <w:t>The NHS App as a Solution</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_Toc210579501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5</w:t>
            </w:r>
            <w:r w:rsidRPr="00C85BD5">
              <w:rPr>
                <w:rFonts w:asciiTheme="minorBidi" w:hAnsiTheme="minorBidi"/>
                <w:b/>
                <w:bCs/>
                <w:sz w:val="22"/>
                <w:szCs w:val="22"/>
              </w:rPr>
              <w:fldChar w:fldCharType="end"/>
            </w:r>
          </w:hyperlink>
        </w:p>
        <w:p w14:paraId="4A0802C6"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2" w:history="1">
            <w:r w:rsidRPr="00C85BD5">
              <w:rPr>
                <w:rStyle w:val="Hyperlink"/>
                <w:rFonts w:asciiTheme="minorBidi" w:hAnsiTheme="minorBidi"/>
                <w:b/>
                <w:bCs/>
                <w:sz w:val="22"/>
                <w:szCs w:val="22"/>
              </w:rPr>
              <w:t>3.1</w:t>
            </w:r>
            <w:r w:rsidRPr="00C85BD5">
              <w:rPr>
                <w:rFonts w:asciiTheme="minorBidi" w:hAnsiTheme="minorBidi"/>
                <w:b/>
                <w:bCs/>
                <w:sz w:val="22"/>
                <w:szCs w:val="22"/>
              </w:rPr>
              <w:tab/>
            </w:r>
            <w:r w:rsidRPr="00C85BD5">
              <w:rPr>
                <w:rStyle w:val="Hyperlink"/>
                <w:rFonts w:asciiTheme="minorBidi" w:hAnsiTheme="minorBidi"/>
                <w:b/>
                <w:bCs/>
                <w:sz w:val="22"/>
                <w:szCs w:val="22"/>
              </w:rPr>
              <w:t>Key Features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_Toc210579502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5</w:t>
            </w:r>
            <w:r w:rsidRPr="00C85BD5">
              <w:rPr>
                <w:rFonts w:asciiTheme="minorBidi" w:hAnsiTheme="minorBidi"/>
                <w:b/>
                <w:bCs/>
                <w:sz w:val="22"/>
                <w:szCs w:val="22"/>
              </w:rPr>
              <w:fldChar w:fldCharType="end"/>
            </w:r>
          </w:hyperlink>
        </w:p>
        <w:p w14:paraId="305F2F5C"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3" w:history="1">
            <w:r w:rsidRPr="00C85BD5">
              <w:rPr>
                <w:rStyle w:val="Hyperlink"/>
                <w:rFonts w:asciiTheme="minorBidi" w:hAnsiTheme="minorBidi"/>
                <w:b/>
                <w:bCs/>
                <w:sz w:val="22"/>
                <w:szCs w:val="22"/>
              </w:rPr>
              <w:t>3.2</w:t>
            </w:r>
            <w:r w:rsidRPr="00C85BD5">
              <w:rPr>
                <w:rFonts w:asciiTheme="minorBidi" w:hAnsiTheme="minorBidi"/>
                <w:b/>
                <w:bCs/>
                <w:sz w:val="22"/>
                <w:szCs w:val="22"/>
              </w:rPr>
              <w:tab/>
            </w:r>
            <w:r w:rsidRPr="00C85BD5">
              <w:rPr>
                <w:rStyle w:val="Hyperlink"/>
                <w:rFonts w:asciiTheme="minorBidi" w:hAnsiTheme="minorBidi"/>
                <w:b/>
                <w:bCs/>
                <w:sz w:val="22"/>
                <w:szCs w:val="22"/>
              </w:rPr>
              <w:t>Implementation and Rollout in the NHS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_Toc210579503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5</w:t>
            </w:r>
            <w:r w:rsidRPr="00C85BD5">
              <w:rPr>
                <w:rFonts w:asciiTheme="minorBidi" w:hAnsiTheme="minorBidi"/>
                <w:b/>
                <w:bCs/>
                <w:sz w:val="22"/>
                <w:szCs w:val="22"/>
              </w:rPr>
              <w:fldChar w:fldCharType="end"/>
            </w:r>
          </w:hyperlink>
        </w:p>
        <w:p w14:paraId="4EA8B68F"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4" w:history="1">
            <w:r w:rsidRPr="00C85BD5">
              <w:rPr>
                <w:rStyle w:val="Hyperlink"/>
                <w:rFonts w:asciiTheme="minorBidi" w:hAnsiTheme="minorBidi"/>
                <w:b/>
                <w:bCs/>
                <w:sz w:val="22"/>
                <w:szCs w:val="22"/>
              </w:rPr>
              <w:t>3.3</w:t>
            </w:r>
            <w:r w:rsidRPr="00C85BD5">
              <w:rPr>
                <w:rFonts w:asciiTheme="minorBidi" w:hAnsiTheme="minorBidi"/>
                <w:b/>
                <w:bCs/>
                <w:sz w:val="22"/>
                <w:szCs w:val="22"/>
              </w:rPr>
              <w:tab/>
            </w:r>
            <w:r w:rsidRPr="00C85BD5">
              <w:rPr>
                <w:rStyle w:val="Hyperlink"/>
                <w:rFonts w:asciiTheme="minorBidi" w:hAnsiTheme="minorBidi"/>
                <w:b/>
                <w:bCs/>
                <w:sz w:val="22"/>
                <w:szCs w:val="22"/>
              </w:rPr>
              <w:t>Addressing Identified Challenges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_Toc210579504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6</w:t>
            </w:r>
            <w:r w:rsidRPr="00C85BD5">
              <w:rPr>
                <w:rFonts w:asciiTheme="minorBidi" w:hAnsiTheme="minorBidi"/>
                <w:b/>
                <w:bCs/>
                <w:sz w:val="22"/>
                <w:szCs w:val="22"/>
              </w:rPr>
              <w:fldChar w:fldCharType="end"/>
            </w:r>
          </w:hyperlink>
        </w:p>
        <w:p w14:paraId="3970797F" w14:textId="77777777" w:rsidR="00B246EE" w:rsidRPr="00C85BD5" w:rsidRDefault="00B246EE" w:rsidP="00AB44F4">
          <w:pPr>
            <w:pStyle w:val="TOC1"/>
            <w:tabs>
              <w:tab w:val="left" w:pos="480"/>
              <w:tab w:val="right" w:leader="dot" w:pos="9350"/>
            </w:tabs>
            <w:rPr>
              <w:rFonts w:asciiTheme="minorBidi" w:hAnsiTheme="minorBidi"/>
              <w:b/>
              <w:bCs/>
              <w:sz w:val="22"/>
              <w:szCs w:val="22"/>
            </w:rPr>
          </w:pPr>
          <w:hyperlink w:anchor="_Toc210579505" w:history="1">
            <w:r w:rsidRPr="00C85BD5">
              <w:rPr>
                <w:rStyle w:val="Hyperlink"/>
                <w:rFonts w:asciiTheme="minorBidi" w:hAnsiTheme="minorBidi"/>
                <w:b/>
                <w:bCs/>
                <w:sz w:val="22"/>
                <w:szCs w:val="22"/>
              </w:rPr>
              <w:t>4.</w:t>
            </w:r>
            <w:r w:rsidRPr="00C85BD5">
              <w:rPr>
                <w:rFonts w:asciiTheme="minorBidi" w:hAnsiTheme="minorBidi"/>
                <w:b/>
                <w:bCs/>
                <w:sz w:val="22"/>
                <w:szCs w:val="22"/>
              </w:rPr>
              <w:tab/>
            </w:r>
            <w:r w:rsidRPr="00C85BD5">
              <w:rPr>
                <w:rStyle w:val="Hyperlink"/>
                <w:rFonts w:asciiTheme="minorBidi" w:hAnsiTheme="minorBidi"/>
                <w:b/>
                <w:bCs/>
                <w:sz w:val="22"/>
                <w:szCs w:val="22"/>
              </w:rPr>
              <w:t>Service Delivery Outcomes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_Toc210579505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6</w:t>
            </w:r>
            <w:r w:rsidRPr="00C85BD5">
              <w:rPr>
                <w:rFonts w:asciiTheme="minorBidi" w:hAnsiTheme="minorBidi"/>
                <w:b/>
                <w:bCs/>
                <w:sz w:val="22"/>
                <w:szCs w:val="22"/>
              </w:rPr>
              <w:fldChar w:fldCharType="end"/>
            </w:r>
          </w:hyperlink>
        </w:p>
        <w:p w14:paraId="2AF1C60B"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6" w:history="1">
            <w:r w:rsidRPr="00C85BD5">
              <w:rPr>
                <w:rStyle w:val="Hyperlink"/>
                <w:rFonts w:asciiTheme="minorBidi" w:hAnsiTheme="minorBidi"/>
                <w:b/>
                <w:bCs/>
                <w:sz w:val="22"/>
                <w:szCs w:val="22"/>
              </w:rPr>
              <w:t>4.1</w:t>
            </w:r>
            <w:r w:rsidRPr="00C85BD5">
              <w:rPr>
                <w:rFonts w:asciiTheme="minorBidi" w:hAnsiTheme="minorBidi"/>
                <w:b/>
                <w:bCs/>
                <w:sz w:val="22"/>
                <w:szCs w:val="22"/>
              </w:rPr>
              <w:tab/>
            </w:r>
            <w:r w:rsidRPr="00C85BD5">
              <w:rPr>
                <w:rStyle w:val="Hyperlink"/>
                <w:rFonts w:asciiTheme="minorBidi" w:hAnsiTheme="minorBidi"/>
                <w:b/>
                <w:bCs/>
                <w:sz w:val="22"/>
                <w:szCs w:val="22"/>
              </w:rPr>
              <w:t>Impact on Efficiency and Accessibility of Services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_Toc210579506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6</w:t>
            </w:r>
            <w:r w:rsidRPr="00C85BD5">
              <w:rPr>
                <w:rFonts w:asciiTheme="minorBidi" w:hAnsiTheme="minorBidi"/>
                <w:b/>
                <w:bCs/>
                <w:sz w:val="22"/>
                <w:szCs w:val="22"/>
              </w:rPr>
              <w:fldChar w:fldCharType="end"/>
            </w:r>
          </w:hyperlink>
        </w:p>
        <w:p w14:paraId="184763B9"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7" w:history="1">
            <w:r w:rsidRPr="00C85BD5">
              <w:rPr>
                <w:rStyle w:val="Hyperlink"/>
                <w:rFonts w:asciiTheme="minorBidi" w:hAnsiTheme="minorBidi"/>
                <w:b/>
                <w:bCs/>
                <w:sz w:val="22"/>
                <w:szCs w:val="22"/>
              </w:rPr>
              <w:t>4.2</w:t>
            </w:r>
            <w:r w:rsidRPr="00C85BD5">
              <w:rPr>
                <w:rFonts w:asciiTheme="minorBidi" w:hAnsiTheme="minorBidi"/>
                <w:b/>
                <w:bCs/>
                <w:sz w:val="22"/>
                <w:szCs w:val="22"/>
              </w:rPr>
              <w:tab/>
            </w:r>
            <w:r w:rsidRPr="00C85BD5">
              <w:rPr>
                <w:rStyle w:val="Hyperlink"/>
                <w:rFonts w:asciiTheme="minorBidi" w:hAnsiTheme="minorBidi"/>
                <w:b/>
                <w:bCs/>
                <w:sz w:val="22"/>
                <w:szCs w:val="22"/>
              </w:rPr>
              <w:t>Improvements in Healthcare Delivery daily</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_Toc210579507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7</w:t>
            </w:r>
            <w:r w:rsidRPr="00C85BD5">
              <w:rPr>
                <w:rFonts w:asciiTheme="minorBidi" w:hAnsiTheme="minorBidi"/>
                <w:b/>
                <w:bCs/>
                <w:sz w:val="22"/>
                <w:szCs w:val="22"/>
              </w:rPr>
              <w:fldChar w:fldCharType="end"/>
            </w:r>
          </w:hyperlink>
        </w:p>
        <w:p w14:paraId="05C96DE0"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08" w:history="1">
            <w:r w:rsidRPr="00C85BD5">
              <w:rPr>
                <w:rStyle w:val="Hyperlink"/>
                <w:rFonts w:asciiTheme="minorBidi" w:hAnsiTheme="minorBidi"/>
                <w:b/>
                <w:bCs/>
                <w:sz w:val="22"/>
                <w:szCs w:val="22"/>
              </w:rPr>
              <w:t>4.3</w:t>
            </w:r>
            <w:r w:rsidRPr="00C85BD5">
              <w:rPr>
                <w:rFonts w:asciiTheme="minorBidi" w:hAnsiTheme="minorBidi"/>
                <w:b/>
                <w:bCs/>
                <w:sz w:val="22"/>
                <w:szCs w:val="22"/>
              </w:rPr>
              <w:tab/>
            </w:r>
            <w:r w:rsidRPr="00C85BD5">
              <w:rPr>
                <w:rStyle w:val="Hyperlink"/>
                <w:rFonts w:asciiTheme="minorBidi" w:hAnsiTheme="minorBidi"/>
                <w:b/>
                <w:bCs/>
                <w:sz w:val="22"/>
                <w:szCs w:val="22"/>
              </w:rPr>
              <w:t>Limitations and Challenges of Service Use</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_Toc210579508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8</w:t>
            </w:r>
            <w:r w:rsidRPr="00C85BD5">
              <w:rPr>
                <w:rFonts w:asciiTheme="minorBidi" w:hAnsiTheme="minorBidi"/>
                <w:b/>
                <w:bCs/>
                <w:sz w:val="22"/>
                <w:szCs w:val="22"/>
              </w:rPr>
              <w:fldChar w:fldCharType="end"/>
            </w:r>
          </w:hyperlink>
        </w:p>
        <w:p w14:paraId="1B88F0A9" w14:textId="77777777" w:rsidR="00B246EE" w:rsidRPr="00C85BD5" w:rsidRDefault="00B246EE" w:rsidP="00AB44F4">
          <w:pPr>
            <w:pStyle w:val="TOC1"/>
            <w:tabs>
              <w:tab w:val="left" w:pos="480"/>
              <w:tab w:val="right" w:leader="dot" w:pos="9350"/>
            </w:tabs>
            <w:rPr>
              <w:rFonts w:asciiTheme="minorBidi" w:hAnsiTheme="minorBidi"/>
              <w:b/>
              <w:bCs/>
              <w:sz w:val="22"/>
              <w:szCs w:val="22"/>
            </w:rPr>
          </w:pPr>
          <w:hyperlink w:anchor="_Toc210579509" w:history="1">
            <w:r w:rsidRPr="00C85BD5">
              <w:rPr>
                <w:rStyle w:val="Hyperlink"/>
                <w:rFonts w:asciiTheme="minorBidi" w:hAnsiTheme="minorBidi"/>
                <w:b/>
                <w:bCs/>
                <w:sz w:val="22"/>
                <w:szCs w:val="22"/>
              </w:rPr>
              <w:t>5.</w:t>
            </w:r>
            <w:r w:rsidRPr="00C85BD5">
              <w:rPr>
                <w:rFonts w:asciiTheme="minorBidi" w:hAnsiTheme="minorBidi"/>
                <w:b/>
                <w:bCs/>
                <w:sz w:val="22"/>
                <w:szCs w:val="22"/>
              </w:rPr>
              <w:tab/>
            </w:r>
            <w:r w:rsidRPr="00C85BD5">
              <w:rPr>
                <w:rStyle w:val="Hyperlink"/>
                <w:rFonts w:asciiTheme="minorBidi" w:hAnsiTheme="minorBidi"/>
                <w:b/>
                <w:bCs/>
                <w:sz w:val="22"/>
                <w:szCs w:val="22"/>
              </w:rPr>
              <w:t>Patient and Service User Outcomes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_Toc210579509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8</w:t>
            </w:r>
            <w:r w:rsidRPr="00C85BD5">
              <w:rPr>
                <w:rFonts w:asciiTheme="minorBidi" w:hAnsiTheme="minorBidi"/>
                <w:b/>
                <w:bCs/>
                <w:sz w:val="22"/>
                <w:szCs w:val="22"/>
              </w:rPr>
              <w:fldChar w:fldCharType="end"/>
            </w:r>
          </w:hyperlink>
        </w:p>
        <w:p w14:paraId="6F854567"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10" w:history="1">
            <w:r w:rsidRPr="00C85BD5">
              <w:rPr>
                <w:rStyle w:val="Hyperlink"/>
                <w:rFonts w:asciiTheme="minorBidi" w:hAnsiTheme="minorBidi"/>
                <w:b/>
                <w:bCs/>
                <w:sz w:val="22"/>
                <w:szCs w:val="22"/>
              </w:rPr>
              <w:t>5.1</w:t>
            </w:r>
            <w:r w:rsidRPr="00C85BD5">
              <w:rPr>
                <w:rFonts w:asciiTheme="minorBidi" w:hAnsiTheme="minorBidi"/>
                <w:b/>
                <w:bCs/>
                <w:sz w:val="22"/>
                <w:szCs w:val="22"/>
              </w:rPr>
              <w:tab/>
            </w:r>
            <w:r w:rsidRPr="00C85BD5">
              <w:rPr>
                <w:rStyle w:val="Hyperlink"/>
                <w:rFonts w:asciiTheme="minorBidi" w:hAnsiTheme="minorBidi"/>
                <w:b/>
                <w:bCs/>
                <w:sz w:val="22"/>
                <w:szCs w:val="22"/>
              </w:rPr>
              <w:t>Patient Perceptions and Experiences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_Toc210579510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8</w:t>
            </w:r>
            <w:r w:rsidRPr="00C85BD5">
              <w:rPr>
                <w:rFonts w:asciiTheme="minorBidi" w:hAnsiTheme="minorBidi"/>
                <w:b/>
                <w:bCs/>
                <w:sz w:val="22"/>
                <w:szCs w:val="22"/>
              </w:rPr>
              <w:fldChar w:fldCharType="end"/>
            </w:r>
          </w:hyperlink>
        </w:p>
        <w:p w14:paraId="66C48198"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11" w:history="1">
            <w:r w:rsidRPr="00C85BD5">
              <w:rPr>
                <w:rStyle w:val="Hyperlink"/>
                <w:rFonts w:asciiTheme="minorBidi" w:hAnsiTheme="minorBidi"/>
                <w:b/>
                <w:bCs/>
                <w:sz w:val="22"/>
                <w:szCs w:val="22"/>
              </w:rPr>
              <w:t>5.2</w:t>
            </w:r>
            <w:r w:rsidRPr="00C85BD5">
              <w:rPr>
                <w:rFonts w:asciiTheme="minorBidi" w:hAnsiTheme="minorBidi"/>
                <w:b/>
                <w:bCs/>
                <w:sz w:val="22"/>
                <w:szCs w:val="22"/>
              </w:rPr>
              <w:tab/>
            </w:r>
            <w:r w:rsidRPr="00C85BD5">
              <w:rPr>
                <w:rStyle w:val="Hyperlink"/>
                <w:rFonts w:asciiTheme="minorBidi" w:hAnsiTheme="minorBidi"/>
                <w:b/>
                <w:bCs/>
                <w:sz w:val="22"/>
                <w:szCs w:val="22"/>
              </w:rPr>
              <w:t>Benefits: Empowerment, Convenience, and Transparency</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_Toc210579511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8</w:t>
            </w:r>
            <w:r w:rsidRPr="00C85BD5">
              <w:rPr>
                <w:rFonts w:asciiTheme="minorBidi" w:hAnsiTheme="minorBidi"/>
                <w:b/>
                <w:bCs/>
                <w:sz w:val="22"/>
                <w:szCs w:val="22"/>
              </w:rPr>
              <w:fldChar w:fldCharType="end"/>
            </w:r>
          </w:hyperlink>
        </w:p>
        <w:p w14:paraId="1BAC83C1" w14:textId="77777777" w:rsidR="00B246EE" w:rsidRPr="00C85BD5" w:rsidRDefault="00B246EE" w:rsidP="00AB44F4">
          <w:pPr>
            <w:pStyle w:val="TOC2"/>
            <w:tabs>
              <w:tab w:val="left" w:pos="960"/>
              <w:tab w:val="right" w:leader="dot" w:pos="9350"/>
            </w:tabs>
            <w:rPr>
              <w:rFonts w:asciiTheme="minorBidi" w:hAnsiTheme="minorBidi"/>
              <w:b/>
              <w:bCs/>
              <w:sz w:val="22"/>
              <w:szCs w:val="22"/>
            </w:rPr>
          </w:pPr>
          <w:hyperlink w:anchor="_Toc210579512" w:history="1">
            <w:r w:rsidRPr="00C85BD5">
              <w:rPr>
                <w:rStyle w:val="Hyperlink"/>
                <w:rFonts w:asciiTheme="minorBidi" w:hAnsiTheme="minorBidi"/>
                <w:b/>
                <w:bCs/>
                <w:sz w:val="22"/>
                <w:szCs w:val="22"/>
              </w:rPr>
              <w:t>5.3</w:t>
            </w:r>
            <w:r w:rsidRPr="00C85BD5">
              <w:rPr>
                <w:rFonts w:asciiTheme="minorBidi" w:hAnsiTheme="minorBidi"/>
                <w:b/>
                <w:bCs/>
                <w:sz w:val="22"/>
                <w:szCs w:val="22"/>
              </w:rPr>
              <w:tab/>
            </w:r>
            <w:r w:rsidRPr="00C85BD5">
              <w:rPr>
                <w:rStyle w:val="Hyperlink"/>
                <w:rFonts w:asciiTheme="minorBidi" w:hAnsiTheme="minorBidi"/>
                <w:b/>
                <w:bCs/>
                <w:sz w:val="22"/>
                <w:szCs w:val="22"/>
              </w:rPr>
              <w:t>Digital Literacy, Accessibility, and Trust</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_Toc210579512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9</w:t>
            </w:r>
            <w:r w:rsidRPr="00C85BD5">
              <w:rPr>
                <w:rFonts w:asciiTheme="minorBidi" w:hAnsiTheme="minorBidi"/>
                <w:b/>
                <w:bCs/>
                <w:sz w:val="22"/>
                <w:szCs w:val="22"/>
              </w:rPr>
              <w:fldChar w:fldCharType="end"/>
            </w:r>
          </w:hyperlink>
        </w:p>
        <w:p w14:paraId="44474D4B" w14:textId="77777777" w:rsidR="00B246EE" w:rsidRPr="00C85BD5" w:rsidRDefault="00B246EE" w:rsidP="00AB44F4">
          <w:pPr>
            <w:pStyle w:val="TOC1"/>
            <w:tabs>
              <w:tab w:val="left" w:pos="480"/>
              <w:tab w:val="right" w:leader="dot" w:pos="9350"/>
            </w:tabs>
            <w:rPr>
              <w:rFonts w:asciiTheme="minorBidi" w:hAnsiTheme="minorBidi"/>
              <w:b/>
              <w:bCs/>
              <w:sz w:val="22"/>
              <w:szCs w:val="22"/>
            </w:rPr>
          </w:pPr>
          <w:hyperlink w:anchor="_Toc210579513" w:history="1">
            <w:r w:rsidRPr="00C85BD5">
              <w:rPr>
                <w:rStyle w:val="Hyperlink"/>
                <w:rFonts w:asciiTheme="minorBidi" w:hAnsiTheme="minorBidi"/>
                <w:b/>
                <w:bCs/>
                <w:sz w:val="22"/>
                <w:szCs w:val="22"/>
              </w:rPr>
              <w:t>6.</w:t>
            </w:r>
            <w:r w:rsidRPr="00C85BD5">
              <w:rPr>
                <w:rFonts w:asciiTheme="minorBidi" w:hAnsiTheme="minorBidi"/>
                <w:b/>
                <w:bCs/>
                <w:sz w:val="22"/>
                <w:szCs w:val="22"/>
              </w:rPr>
              <w:tab/>
            </w:r>
            <w:r w:rsidRPr="00C85BD5">
              <w:rPr>
                <w:rStyle w:val="Hyperlink"/>
                <w:rFonts w:asciiTheme="minorBidi" w:hAnsiTheme="minorBidi"/>
                <w:b/>
                <w:bCs/>
                <w:sz w:val="22"/>
                <w:szCs w:val="22"/>
              </w:rPr>
              <w:t>Conclusion</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_Toc210579513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9</w:t>
            </w:r>
            <w:r w:rsidRPr="00C85BD5">
              <w:rPr>
                <w:rFonts w:asciiTheme="minorBidi" w:hAnsiTheme="minorBidi"/>
                <w:b/>
                <w:bCs/>
                <w:sz w:val="22"/>
                <w:szCs w:val="22"/>
              </w:rPr>
              <w:fldChar w:fldCharType="end"/>
            </w:r>
          </w:hyperlink>
        </w:p>
        <w:p w14:paraId="7E6D0957" w14:textId="77777777" w:rsidR="00B246EE" w:rsidRPr="00C85BD5" w:rsidRDefault="00B246EE" w:rsidP="00AB44F4">
          <w:pPr>
            <w:pStyle w:val="TOC1"/>
            <w:tabs>
              <w:tab w:val="right" w:leader="dot" w:pos="9350"/>
            </w:tabs>
            <w:rPr>
              <w:rFonts w:asciiTheme="minorBidi" w:hAnsiTheme="minorBidi"/>
              <w:b/>
              <w:bCs/>
              <w:sz w:val="22"/>
              <w:szCs w:val="22"/>
            </w:rPr>
          </w:pPr>
          <w:hyperlink w:anchor="_Toc210579514" w:history="1">
            <w:r w:rsidRPr="00C85BD5">
              <w:rPr>
                <w:rStyle w:val="Hyperlink"/>
                <w:rFonts w:asciiTheme="minorBidi" w:hAnsiTheme="minorBidi"/>
                <w:b/>
                <w:bCs/>
                <w:sz w:val="22"/>
                <w:szCs w:val="22"/>
              </w:rPr>
              <w:t>References</w:t>
            </w:r>
            <w:r w:rsidRPr="00C85BD5">
              <w:rPr>
                <w:rFonts w:asciiTheme="minorBidi" w:hAnsiTheme="minorBidi"/>
                <w:b/>
                <w:bCs/>
                <w:sz w:val="22"/>
                <w:szCs w:val="22"/>
              </w:rPr>
              <w:tab/>
            </w:r>
            <w:r w:rsidRPr="00C85BD5">
              <w:rPr>
                <w:rFonts w:asciiTheme="minorBidi" w:hAnsiTheme="minorBidi"/>
                <w:b/>
                <w:bCs/>
                <w:sz w:val="22"/>
                <w:szCs w:val="22"/>
              </w:rPr>
              <w:fldChar w:fldCharType="begin"/>
            </w:r>
            <w:r w:rsidRPr="00C85BD5">
              <w:rPr>
                <w:rFonts w:asciiTheme="minorBidi" w:hAnsiTheme="minorBidi"/>
                <w:b/>
                <w:bCs/>
                <w:sz w:val="22"/>
                <w:szCs w:val="22"/>
              </w:rPr>
              <w:instrText xml:space="preserve"> PAGEREF _Toc210579514 \h </w:instrText>
            </w:r>
            <w:r w:rsidRPr="00C85BD5">
              <w:rPr>
                <w:rFonts w:asciiTheme="minorBidi" w:hAnsiTheme="minorBidi"/>
                <w:b/>
                <w:bCs/>
                <w:sz w:val="22"/>
                <w:szCs w:val="22"/>
              </w:rPr>
            </w:r>
            <w:r w:rsidRPr="00C85BD5">
              <w:rPr>
                <w:rFonts w:asciiTheme="minorBidi" w:hAnsiTheme="minorBidi"/>
                <w:b/>
                <w:bCs/>
                <w:sz w:val="22"/>
                <w:szCs w:val="22"/>
              </w:rPr>
              <w:fldChar w:fldCharType="separate"/>
            </w:r>
            <w:r w:rsidRPr="00C85BD5">
              <w:rPr>
                <w:rFonts w:asciiTheme="minorBidi" w:hAnsiTheme="minorBidi"/>
                <w:b/>
                <w:bCs/>
                <w:sz w:val="22"/>
                <w:szCs w:val="22"/>
              </w:rPr>
              <w:t>10</w:t>
            </w:r>
            <w:r w:rsidRPr="00C85BD5">
              <w:rPr>
                <w:rFonts w:asciiTheme="minorBidi" w:hAnsiTheme="minorBidi"/>
                <w:b/>
                <w:bCs/>
                <w:sz w:val="22"/>
                <w:szCs w:val="22"/>
              </w:rPr>
              <w:fldChar w:fldCharType="end"/>
            </w:r>
          </w:hyperlink>
        </w:p>
        <w:p w14:paraId="380C394E" w14:textId="77777777" w:rsidR="00B246EE" w:rsidRPr="00C85BD5" w:rsidRDefault="00C85BD5" w:rsidP="00AB44F4">
          <w:pPr>
            <w:rPr>
              <w:rFonts w:asciiTheme="minorBidi" w:hAnsiTheme="minorBidi"/>
              <w:sz w:val="22"/>
              <w:szCs w:val="22"/>
            </w:rPr>
          </w:pPr>
          <w:r w:rsidRPr="00C85BD5">
            <w:rPr>
              <w:rFonts w:asciiTheme="minorBidi" w:hAnsiTheme="minorBidi"/>
              <w:b/>
              <w:bCs/>
              <w:sz w:val="22"/>
              <w:szCs w:val="22"/>
            </w:rPr>
            <w:fldChar w:fldCharType="end"/>
          </w:r>
        </w:p>
      </w:sdtContent>
    </w:sdt>
    <w:p w14:paraId="47FF31FD" w14:textId="77777777" w:rsidR="00B246EE" w:rsidRPr="00C85BD5" w:rsidRDefault="00B246EE" w:rsidP="00AB44F4">
      <w:pPr>
        <w:jc w:val="left"/>
        <w:rPr>
          <w:rFonts w:asciiTheme="minorBidi" w:hAnsiTheme="minorBidi"/>
          <w:b/>
          <w:bCs/>
          <w:sz w:val="22"/>
          <w:szCs w:val="22"/>
        </w:rPr>
      </w:pPr>
    </w:p>
    <w:p w14:paraId="242D89C8" w14:textId="77777777" w:rsidR="00B246EE" w:rsidRPr="00C85BD5" w:rsidRDefault="00B246EE" w:rsidP="00AB44F4">
      <w:pPr>
        <w:rPr>
          <w:rFonts w:asciiTheme="minorBidi" w:hAnsiTheme="minorBidi"/>
          <w:sz w:val="22"/>
          <w:szCs w:val="22"/>
        </w:rPr>
      </w:pPr>
    </w:p>
    <w:p w14:paraId="020B9374" w14:textId="77777777" w:rsidR="00AB44F4" w:rsidRPr="00C85BD5" w:rsidRDefault="00AB44F4" w:rsidP="00AB44F4">
      <w:pPr>
        <w:rPr>
          <w:rFonts w:asciiTheme="minorBidi" w:hAnsiTheme="minorBidi"/>
          <w:sz w:val="22"/>
          <w:szCs w:val="22"/>
        </w:rPr>
      </w:pPr>
    </w:p>
    <w:p w14:paraId="11247BCC" w14:textId="77777777" w:rsidR="00AB44F4" w:rsidRPr="00C85BD5" w:rsidRDefault="00AB44F4" w:rsidP="00AB44F4">
      <w:pPr>
        <w:rPr>
          <w:rFonts w:asciiTheme="minorBidi" w:hAnsiTheme="minorBidi"/>
          <w:sz w:val="22"/>
          <w:szCs w:val="22"/>
        </w:rPr>
      </w:pPr>
    </w:p>
    <w:p w14:paraId="3FADEC7F" w14:textId="77777777" w:rsidR="00B246EE" w:rsidRPr="00C85BD5" w:rsidRDefault="00C85BD5" w:rsidP="007B2A6F">
      <w:pPr>
        <w:pStyle w:val="Heading1"/>
        <w:numPr>
          <w:ilvl w:val="0"/>
          <w:numId w:val="1"/>
        </w:numPr>
        <w:rPr>
          <w:rFonts w:asciiTheme="minorBidi" w:hAnsiTheme="minorBidi" w:cstheme="minorBidi"/>
          <w:sz w:val="22"/>
          <w:szCs w:val="22"/>
        </w:rPr>
      </w:pPr>
      <w:bookmarkStart w:id="0" w:name="_Toc210579496"/>
      <w:r w:rsidRPr="00C85BD5">
        <w:rPr>
          <w:rFonts w:asciiTheme="minorBidi" w:hAnsiTheme="minorBidi" w:cstheme="minorBidi"/>
          <w:sz w:val="22"/>
          <w:szCs w:val="22"/>
        </w:rPr>
        <w:lastRenderedPageBreak/>
        <w:t>Introduction</w:t>
      </w:r>
      <w:bookmarkEnd w:id="0"/>
      <w:r w:rsidRPr="00C85BD5">
        <w:rPr>
          <w:rFonts w:asciiTheme="minorBidi" w:hAnsiTheme="minorBidi" w:cstheme="minorBidi"/>
          <w:sz w:val="22"/>
          <w:szCs w:val="22"/>
        </w:rPr>
        <w:t xml:space="preserve"> </w:t>
      </w:r>
    </w:p>
    <w:p w14:paraId="0E569523" w14:textId="77777777" w:rsidR="00B246EE" w:rsidRPr="00C85BD5" w:rsidRDefault="00C85BD5" w:rsidP="002E4A71">
      <w:pPr>
        <w:rPr>
          <w:rFonts w:asciiTheme="minorBidi" w:hAnsiTheme="minorBidi"/>
          <w:sz w:val="22"/>
          <w:szCs w:val="22"/>
        </w:rPr>
      </w:pPr>
      <w:r w:rsidRPr="00C85BD5">
        <w:rPr>
          <w:rFonts w:asciiTheme="minorBidi" w:hAnsiTheme="minorBidi"/>
          <w:sz w:val="22"/>
          <w:szCs w:val="22"/>
        </w:rPr>
        <w:t>Digital transformation is redefining how healthcare systems operate and how care is delivered. It describes the incorporation of digital technologies, data analytics, and new processes into healthcare to enhance efficiency, patient outcomes, and overall access to services (ex, telemedicine, electronic health records, AI-assisted care) (Maini, 2024). In practice, this will mean a shift away from paper records, manual scheduling, and face-to-face only interactions, into a model where patients and clinicians c</w:t>
      </w:r>
      <w:r w:rsidRPr="00C85BD5">
        <w:rPr>
          <w:rFonts w:asciiTheme="minorBidi" w:hAnsiTheme="minorBidi"/>
          <w:sz w:val="22"/>
          <w:szCs w:val="22"/>
        </w:rPr>
        <w:t xml:space="preserve">an interact via digital means. This change extends beyond technology adoption to encompass a more fundamental shift in work processes, culture, and governance within health </w:t>
      </w:r>
      <w:r w:rsidR="004C1590" w:rsidRPr="00C85BD5">
        <w:rPr>
          <w:rFonts w:asciiTheme="minorBidi" w:hAnsiTheme="minorBidi"/>
          <w:sz w:val="22"/>
          <w:szCs w:val="22"/>
        </w:rPr>
        <w:t>organisation</w:t>
      </w:r>
      <w:r w:rsidRPr="00C85BD5">
        <w:rPr>
          <w:rFonts w:asciiTheme="minorBidi" w:hAnsiTheme="minorBidi"/>
          <w:sz w:val="22"/>
          <w:szCs w:val="22"/>
        </w:rPr>
        <w:t>s (HIMSS, 2025).</w:t>
      </w:r>
    </w:p>
    <w:p w14:paraId="2AA420C1"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It is against this context that the NHS App is one of the leading digital health projects in England. It offers a digital front door to a variety of NHS services through smartphone or tablet, allowing users who are over 13 years old and registered with an NHS GP practice in England to </w:t>
      </w:r>
      <w:r w:rsidR="00AF463B" w:rsidRPr="00C85BD5">
        <w:rPr>
          <w:rFonts w:asciiTheme="minorBidi" w:hAnsiTheme="minorBidi"/>
          <w:sz w:val="22"/>
          <w:szCs w:val="22"/>
        </w:rPr>
        <w:t>view</w:t>
      </w:r>
      <w:r w:rsidRPr="00C85BD5">
        <w:rPr>
          <w:rFonts w:asciiTheme="minorBidi" w:hAnsiTheme="minorBidi"/>
          <w:sz w:val="22"/>
          <w:szCs w:val="22"/>
        </w:rPr>
        <w:t xml:space="preserve"> their GP health records, book and manage appointments, order repeat prescriptions, access referrals, receive messages and test results, and more (Smith et al., 2024). Users must have an NHS login and verify their identity.  Its use has increased particularly during and following the COVID-19 pandemic, in part due to the introduction of features like the NHS COVID Pass, which has increased the number of registrations.</w:t>
      </w:r>
    </w:p>
    <w:p w14:paraId="75895910"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This report is formatted along the lines of a Problem-Solution-Outcome structure. On the one hand, we discuss the fundamental issues in access to healthcare services and patient involvement that informed the creation of the NHS App (the Problem phase). Then it shows how the app works, how it was launched, and how it is responding to those pain points (the "Solution" phase). Lastly, to assess the results, and the two dimensions to look at the Service Delivery and Patient/Service User outcomes. The final part</w:t>
      </w:r>
      <w:r w:rsidRPr="00C85BD5">
        <w:rPr>
          <w:rFonts w:asciiTheme="minorBidi" w:hAnsiTheme="minorBidi"/>
          <w:sz w:val="22"/>
          <w:szCs w:val="22"/>
        </w:rPr>
        <w:t xml:space="preserve"> is a reflection on achievements, shortcomings, and future suggestions on what can be done to improve further.</w:t>
      </w:r>
    </w:p>
    <w:p w14:paraId="312AA98F" w14:textId="77777777" w:rsidR="00B246EE" w:rsidRPr="00C85BD5" w:rsidRDefault="00C85BD5" w:rsidP="00AB44F4">
      <w:pPr>
        <w:jc w:val="center"/>
        <w:rPr>
          <w:rFonts w:asciiTheme="minorBidi" w:hAnsiTheme="minorBidi"/>
          <w:sz w:val="22"/>
          <w:szCs w:val="22"/>
        </w:rPr>
      </w:pPr>
      <w:r w:rsidRPr="00C85BD5">
        <w:rPr>
          <w:rFonts w:asciiTheme="minorBidi" w:hAnsiTheme="minorBidi"/>
          <w:sz w:val="22"/>
          <w:szCs w:val="22"/>
        </w:rPr>
        <w:lastRenderedPageBreak/>
        <w:drawing>
          <wp:inline distT="0" distB="0" distL="0" distR="0" wp14:anchorId="4306B65C" wp14:editId="738EC47B">
            <wp:extent cx="2457450" cy="2114550"/>
            <wp:effectExtent l="0" t="0" r="0" b="0"/>
            <wp:docPr id="189923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233099"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457450" cy="2114550"/>
                    </a:xfrm>
                    <a:prstGeom prst="rect">
                      <a:avLst/>
                    </a:prstGeom>
                  </pic:spPr>
                </pic:pic>
              </a:graphicData>
            </a:graphic>
          </wp:inline>
        </w:drawing>
      </w:r>
    </w:p>
    <w:p w14:paraId="4CB79868" w14:textId="77777777" w:rsidR="00B246EE" w:rsidRPr="00C85BD5" w:rsidRDefault="00C85BD5" w:rsidP="00AB44F4">
      <w:pPr>
        <w:jc w:val="center"/>
        <w:rPr>
          <w:rFonts w:asciiTheme="minorBidi" w:hAnsiTheme="minorBidi"/>
          <w:b/>
          <w:bCs/>
          <w:sz w:val="22"/>
          <w:szCs w:val="22"/>
        </w:rPr>
      </w:pPr>
      <w:r w:rsidRPr="00C85BD5">
        <w:rPr>
          <w:rFonts w:asciiTheme="minorBidi" w:hAnsiTheme="minorBidi"/>
          <w:b/>
          <w:bCs/>
          <w:sz w:val="22"/>
          <w:szCs w:val="22"/>
        </w:rPr>
        <w:t>Figure 1: Digital App (NHS Digital, 2025)</w:t>
      </w:r>
    </w:p>
    <w:p w14:paraId="3A5EB63B" w14:textId="77777777" w:rsidR="00B246EE" w:rsidRPr="00C85BD5" w:rsidRDefault="00C85BD5" w:rsidP="00AB44F4">
      <w:pPr>
        <w:pStyle w:val="Heading1"/>
        <w:numPr>
          <w:ilvl w:val="0"/>
          <w:numId w:val="1"/>
        </w:numPr>
        <w:rPr>
          <w:rFonts w:asciiTheme="minorBidi" w:hAnsiTheme="minorBidi" w:cstheme="minorBidi"/>
          <w:sz w:val="22"/>
          <w:szCs w:val="22"/>
        </w:rPr>
      </w:pPr>
      <w:bookmarkStart w:id="1" w:name="_Toc210579497"/>
      <w:r w:rsidRPr="00C85BD5">
        <w:rPr>
          <w:rFonts w:asciiTheme="minorBidi" w:hAnsiTheme="minorBidi" w:cstheme="minorBidi"/>
          <w:sz w:val="22"/>
          <w:szCs w:val="22"/>
        </w:rPr>
        <w:t>The Healthcare Problem</w:t>
      </w:r>
      <w:bookmarkEnd w:id="1"/>
    </w:p>
    <w:p w14:paraId="5E81D737" w14:textId="77777777" w:rsidR="00B246EE" w:rsidRPr="00C85BD5" w:rsidRDefault="00C85BD5" w:rsidP="00AB44F4">
      <w:pPr>
        <w:pStyle w:val="Heading2"/>
        <w:numPr>
          <w:ilvl w:val="1"/>
          <w:numId w:val="1"/>
        </w:numPr>
        <w:rPr>
          <w:rFonts w:asciiTheme="minorBidi" w:hAnsiTheme="minorBidi" w:cstheme="minorBidi"/>
          <w:i w:val="0"/>
          <w:iCs/>
          <w:sz w:val="22"/>
          <w:szCs w:val="22"/>
        </w:rPr>
      </w:pPr>
      <w:bookmarkStart w:id="2" w:name="_Toc210579498"/>
      <w:r w:rsidRPr="00C85BD5">
        <w:rPr>
          <w:rFonts w:asciiTheme="minorBidi" w:hAnsiTheme="minorBidi" w:cstheme="minorBidi"/>
          <w:i w:val="0"/>
          <w:iCs/>
          <w:sz w:val="22"/>
          <w:szCs w:val="22"/>
        </w:rPr>
        <w:t>Challenges in Accessing Appointments and Medicines</w:t>
      </w:r>
      <w:bookmarkEnd w:id="2"/>
    </w:p>
    <w:p w14:paraId="362A3465"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Getting appointments with general practitioners is an old obstacle. According to the article by Eccles et al. (2024), patients can hardly find enough slots on time due to the traditional booking system and limited capacity and waiting list. In the UK, a survey indicates that many patients have to wait more than two weeks or cannot get appointments at all (Patients Association statistics) (Patients Association survey as cited in CPS). These access issues are further aggravated by geographic, socioeconomic, a</w:t>
      </w:r>
      <w:r w:rsidRPr="00C85BD5">
        <w:rPr>
          <w:rFonts w:asciiTheme="minorBidi" w:hAnsiTheme="minorBidi"/>
          <w:sz w:val="22"/>
          <w:szCs w:val="22"/>
        </w:rPr>
        <w:t>nd transport constraints. Overall, in outpatient practices, missed or non-attendance is frequently associated with communication failures, scheduling issues, and system errors (Sung et al., 2024). At the same time, access to medicine is also a concomitant problem: in England alone, about every fifth patient claims to have problems with access to prescribed drugs either because of supply chain problems or the inability to access pharmacies or logistical problems (Royal Pharmaceutical Society / ONS survey). S</w:t>
      </w:r>
      <w:r w:rsidRPr="00C85BD5">
        <w:rPr>
          <w:rFonts w:asciiTheme="minorBidi" w:hAnsiTheme="minorBidi"/>
          <w:sz w:val="22"/>
          <w:szCs w:val="22"/>
        </w:rPr>
        <w:t>low access to medicine (waits several days) is a contributing factor to poor adherence and poor health outcomes (Reidy et al., 2025).</w:t>
      </w:r>
    </w:p>
    <w:p w14:paraId="0C28D140" w14:textId="77777777" w:rsidR="00B246EE" w:rsidRPr="00C85BD5" w:rsidRDefault="00C85BD5" w:rsidP="00AB44F4">
      <w:pPr>
        <w:pStyle w:val="Heading2"/>
        <w:numPr>
          <w:ilvl w:val="1"/>
          <w:numId w:val="1"/>
        </w:numPr>
        <w:rPr>
          <w:rFonts w:asciiTheme="minorBidi" w:hAnsiTheme="minorBidi" w:cstheme="minorBidi"/>
          <w:i w:val="0"/>
          <w:iCs/>
          <w:sz w:val="22"/>
          <w:szCs w:val="22"/>
        </w:rPr>
      </w:pPr>
      <w:bookmarkStart w:id="3" w:name="_Toc210579499"/>
      <w:r w:rsidRPr="00C85BD5">
        <w:rPr>
          <w:rFonts w:asciiTheme="minorBidi" w:hAnsiTheme="minorBidi" w:cstheme="minorBidi"/>
          <w:i w:val="0"/>
          <w:iCs/>
          <w:sz w:val="22"/>
          <w:szCs w:val="22"/>
        </w:rPr>
        <w:t xml:space="preserve">Problems with patient involvement and care </w:t>
      </w:r>
      <w:r w:rsidR="004C1590" w:rsidRPr="00C85BD5">
        <w:rPr>
          <w:rFonts w:asciiTheme="minorBidi" w:hAnsiTheme="minorBidi" w:cstheme="minorBidi"/>
          <w:i w:val="0"/>
          <w:iCs/>
          <w:sz w:val="22"/>
          <w:szCs w:val="22"/>
        </w:rPr>
        <w:t>organisation</w:t>
      </w:r>
      <w:r w:rsidRPr="00C85BD5">
        <w:rPr>
          <w:rFonts w:asciiTheme="minorBidi" w:hAnsiTheme="minorBidi" w:cstheme="minorBidi"/>
          <w:i w:val="0"/>
          <w:iCs/>
          <w:sz w:val="22"/>
          <w:szCs w:val="22"/>
        </w:rPr>
        <w:t>.</w:t>
      </w:r>
      <w:bookmarkEnd w:id="3"/>
    </w:p>
    <w:p w14:paraId="14F02D77"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Fragmented communication and poor digital inclusion often negatively impact patient engagement, or, more accurately, the active involvement of patients in their care. According to Hutchings (2020), co-designed digital tools are capable of enhancing engagement, but most systems do not incorporate patient voices. In the meantime, care coordination is disrupted because of siloed information systems, poor interoperability, and gaps in communication across </w:t>
      </w:r>
      <w:r w:rsidRPr="00C85BD5">
        <w:rPr>
          <w:rFonts w:asciiTheme="minorBidi" w:hAnsiTheme="minorBidi"/>
          <w:sz w:val="22"/>
          <w:szCs w:val="22"/>
        </w:rPr>
        <w:lastRenderedPageBreak/>
        <w:t>providers, resulting in duplicate work, care transition delays, and continuity (Kukoryte, 2022). Oliver Wyman also indicates that a shift from coordination on behalf of patients to coordination with patients is also critically important to make engagement effective (Brown et al., 2023). This is in practice referred to as various patients being passive in their course and untransparent regarding referrals, test outcomes, and follow-ups.</w:t>
      </w:r>
    </w:p>
    <w:p w14:paraId="5D0CDDF5" w14:textId="77777777" w:rsidR="00B246EE" w:rsidRPr="00C85BD5" w:rsidRDefault="00C85BD5" w:rsidP="00AB44F4">
      <w:pPr>
        <w:pStyle w:val="Heading2"/>
        <w:numPr>
          <w:ilvl w:val="1"/>
          <w:numId w:val="1"/>
        </w:numPr>
        <w:rPr>
          <w:rFonts w:asciiTheme="minorBidi" w:hAnsiTheme="minorBidi" w:cstheme="minorBidi"/>
          <w:i w:val="0"/>
          <w:iCs/>
          <w:sz w:val="22"/>
          <w:szCs w:val="22"/>
        </w:rPr>
      </w:pPr>
      <w:bookmarkStart w:id="4" w:name="_Toc210579500"/>
      <w:r w:rsidRPr="00C85BD5">
        <w:rPr>
          <w:rFonts w:asciiTheme="minorBidi" w:hAnsiTheme="minorBidi" w:cstheme="minorBidi"/>
          <w:i w:val="0"/>
          <w:iCs/>
          <w:sz w:val="22"/>
          <w:szCs w:val="22"/>
        </w:rPr>
        <w:t>The Reason Digital Innovation Was Needed.</w:t>
      </w:r>
      <w:bookmarkEnd w:id="4"/>
    </w:p>
    <w:p w14:paraId="51ABF4E4"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With the above challenges, digital innovation will be more than desirable and necessary. Existing workflows and analogue processes cannot be scaled to demand, minimise waiting, or facilitate smooth patient experiences. Digital technology can provide ease of access, transparency, and automation. To illustrate, electronic appointment systems might help decrease the administration load and alleviate bottlenecks (Chowdhury et al., 2021). Online prescription refilling can help decrease turnaround time and decrea</w:t>
      </w:r>
      <w:r w:rsidRPr="00C85BD5">
        <w:rPr>
          <w:rFonts w:asciiTheme="minorBidi" w:hAnsiTheme="minorBidi"/>
          <w:sz w:val="22"/>
          <w:szCs w:val="22"/>
        </w:rPr>
        <w:t>se the need to visit the pharmacy. Patients can access records, receive notifications, and communicate with providers directly using integrated patient portals or apps that fill in communication gaps (Salway et al., 2024). Simply put, healthcare requires digital innovation to ensure it becomes more efficient, patient-</w:t>
      </w:r>
      <w:r w:rsidR="00F634FA" w:rsidRPr="00C85BD5">
        <w:rPr>
          <w:rFonts w:asciiTheme="minorBidi" w:hAnsiTheme="minorBidi"/>
          <w:sz w:val="22"/>
          <w:szCs w:val="22"/>
        </w:rPr>
        <w:t>centred</w:t>
      </w:r>
      <w:r w:rsidRPr="00C85BD5">
        <w:rPr>
          <w:rFonts w:asciiTheme="minorBidi" w:hAnsiTheme="minorBidi"/>
          <w:sz w:val="22"/>
          <w:szCs w:val="22"/>
        </w:rPr>
        <w:t>, and responsive in an age of rising demand and limited resources.</w:t>
      </w:r>
    </w:p>
    <w:p w14:paraId="4CDEB674" w14:textId="77777777" w:rsidR="00B246EE" w:rsidRPr="00C85BD5" w:rsidRDefault="00C85BD5" w:rsidP="00AB44F4">
      <w:pPr>
        <w:pStyle w:val="Heading1"/>
        <w:numPr>
          <w:ilvl w:val="0"/>
          <w:numId w:val="1"/>
        </w:numPr>
        <w:rPr>
          <w:rFonts w:asciiTheme="minorBidi" w:hAnsiTheme="minorBidi" w:cstheme="minorBidi"/>
          <w:sz w:val="22"/>
          <w:szCs w:val="22"/>
        </w:rPr>
      </w:pPr>
      <w:bookmarkStart w:id="5" w:name="_Toc210579501"/>
      <w:r w:rsidRPr="00C85BD5">
        <w:rPr>
          <w:rFonts w:asciiTheme="minorBidi" w:hAnsiTheme="minorBidi" w:cstheme="minorBidi"/>
          <w:sz w:val="22"/>
          <w:szCs w:val="22"/>
        </w:rPr>
        <w:t>The NHS App as a Solution</w:t>
      </w:r>
      <w:bookmarkEnd w:id="5"/>
    </w:p>
    <w:p w14:paraId="170A6200" w14:textId="77777777" w:rsidR="00B246EE" w:rsidRPr="00C85BD5" w:rsidRDefault="00C85BD5" w:rsidP="00AB44F4">
      <w:pPr>
        <w:pStyle w:val="Heading2"/>
        <w:numPr>
          <w:ilvl w:val="1"/>
          <w:numId w:val="1"/>
        </w:numPr>
        <w:rPr>
          <w:rFonts w:asciiTheme="minorBidi" w:hAnsiTheme="minorBidi" w:cstheme="minorBidi"/>
          <w:i w:val="0"/>
          <w:iCs/>
          <w:sz w:val="22"/>
          <w:szCs w:val="22"/>
        </w:rPr>
      </w:pPr>
      <w:bookmarkStart w:id="6" w:name="_Toc210579502"/>
      <w:r w:rsidRPr="00C85BD5">
        <w:rPr>
          <w:rFonts w:asciiTheme="minorBidi" w:hAnsiTheme="minorBidi" w:cstheme="minorBidi"/>
          <w:i w:val="0"/>
          <w:iCs/>
          <w:sz w:val="22"/>
          <w:szCs w:val="22"/>
        </w:rPr>
        <w:t>Key Features</w:t>
      </w:r>
      <w:bookmarkEnd w:id="6"/>
    </w:p>
    <w:p w14:paraId="045E5606"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The NHS App was created to create a digital backdoor to primary care core services in England. It allows patients to make, modify, or cancel GP appointments, request repeat prescriptions, and access their GP health record and information about allergies, test results, and immunisations (NHS Digital, 2025). Moreover, referral information, organ donor choices, and secure messages will be made available to the users in their practice. In the context of the COVID-19 pandemic, download numbers have risen dramati</w:t>
      </w:r>
      <w:r w:rsidRPr="00C85BD5">
        <w:rPr>
          <w:rFonts w:asciiTheme="minorBidi" w:hAnsiTheme="minorBidi"/>
          <w:sz w:val="22"/>
          <w:szCs w:val="22"/>
        </w:rPr>
        <w:t>cally thanks to the introduction of the NHS COVID Pass, and the app is now an indispensable health resource (Reidy et al., 2025).</w:t>
      </w:r>
    </w:p>
    <w:p w14:paraId="3216C440" w14:textId="77777777" w:rsidR="00B246EE" w:rsidRPr="00C85BD5" w:rsidRDefault="00C85BD5" w:rsidP="00AB44F4">
      <w:pPr>
        <w:pStyle w:val="Heading2"/>
        <w:numPr>
          <w:ilvl w:val="1"/>
          <w:numId w:val="1"/>
        </w:numPr>
        <w:rPr>
          <w:rFonts w:asciiTheme="minorBidi" w:hAnsiTheme="minorBidi" w:cstheme="minorBidi"/>
          <w:i w:val="0"/>
          <w:iCs/>
          <w:sz w:val="22"/>
          <w:szCs w:val="22"/>
        </w:rPr>
      </w:pPr>
      <w:bookmarkStart w:id="7" w:name="_Toc210579503"/>
      <w:r w:rsidRPr="00C85BD5">
        <w:rPr>
          <w:rFonts w:asciiTheme="minorBidi" w:hAnsiTheme="minorBidi" w:cstheme="minorBidi"/>
          <w:i w:val="0"/>
          <w:iCs/>
          <w:sz w:val="22"/>
          <w:szCs w:val="22"/>
        </w:rPr>
        <w:t>Implementation and Rollout in the NHS</w:t>
      </w:r>
      <w:bookmarkEnd w:id="7"/>
    </w:p>
    <w:p w14:paraId="2E739B33"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In 2018, the app was introduced on a national level after being tested in several GP practices (Brown et al., 2023). It was rolled out under the NHS Long Term Plan, which made digital transformation one of its priorities to relieve pressures on face-to-face services (Greenhalgh et al., 2022). Adoption meant that GP practices needed to be integrated with the app using national funding and training resources. In England, by 2023, more than 30 million citizens were registered </w:t>
      </w:r>
      <w:r w:rsidRPr="00C85BD5">
        <w:rPr>
          <w:rFonts w:asciiTheme="minorBidi" w:hAnsiTheme="minorBidi"/>
          <w:sz w:val="22"/>
          <w:szCs w:val="22"/>
        </w:rPr>
        <w:lastRenderedPageBreak/>
        <w:t>users, which represents one of the most rapid digital adoptions in NHS history (Hutchings, 2020). The pandemic served as an impetus to action, and it accelerated patient awareness and digital preparedness at the practice level.</w:t>
      </w:r>
    </w:p>
    <w:p w14:paraId="2415C61A" w14:textId="77777777" w:rsidR="00B246EE" w:rsidRPr="00C85BD5" w:rsidRDefault="00C85BD5" w:rsidP="00AB44F4">
      <w:pPr>
        <w:pStyle w:val="Heading2"/>
        <w:numPr>
          <w:ilvl w:val="1"/>
          <w:numId w:val="1"/>
        </w:numPr>
        <w:rPr>
          <w:rFonts w:asciiTheme="minorBidi" w:hAnsiTheme="minorBidi" w:cstheme="minorBidi"/>
          <w:sz w:val="22"/>
          <w:szCs w:val="22"/>
        </w:rPr>
      </w:pPr>
      <w:bookmarkStart w:id="8" w:name="_Toc210579504"/>
      <w:r w:rsidRPr="00C85BD5">
        <w:rPr>
          <w:rFonts w:asciiTheme="minorBidi" w:hAnsiTheme="minorBidi" w:cstheme="minorBidi"/>
          <w:sz w:val="22"/>
          <w:szCs w:val="22"/>
        </w:rPr>
        <w:t>Addressing Identified Challenges</w:t>
      </w:r>
      <w:bookmarkEnd w:id="8"/>
    </w:p>
    <w:p w14:paraId="725D8D5D"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The NHS App responds directly to the challenges associated with accessing appointments and </w:t>
      </w:r>
      <w:r w:rsidR="00907B34" w:rsidRPr="00C85BD5">
        <w:rPr>
          <w:rFonts w:asciiTheme="minorBidi" w:hAnsiTheme="minorBidi"/>
          <w:sz w:val="22"/>
          <w:szCs w:val="22"/>
        </w:rPr>
        <w:t>medicines and</w:t>
      </w:r>
      <w:r w:rsidRPr="00C85BD5">
        <w:rPr>
          <w:rFonts w:asciiTheme="minorBidi" w:hAnsiTheme="minorBidi"/>
          <w:sz w:val="22"/>
          <w:szCs w:val="22"/>
        </w:rPr>
        <w:t xml:space="preserve"> enhancing patient engagement. It also eliminates the use of phone lines and in-person visits as it provides around-the-clock online booking and prescription requests (Kukorytea, 2022). By accessing health records, patients will have more transparency and control in making decisions about themselves. Though obstacles still exist, including digital literacy disparities and inconsistent adoption by older or poorer demographics, the app has demonstrated a scalable, patient-centred intervention tha</w:t>
      </w:r>
      <w:r w:rsidRPr="00C85BD5">
        <w:rPr>
          <w:rFonts w:asciiTheme="minorBidi" w:hAnsiTheme="minorBidi"/>
          <w:sz w:val="22"/>
          <w:szCs w:val="22"/>
        </w:rPr>
        <w:t>t is starting to mitigate inefficiencies and foster continuity of care (Wood et al, 2025).</w:t>
      </w:r>
    </w:p>
    <w:p w14:paraId="0A05124A" w14:textId="77777777" w:rsidR="00B246EE" w:rsidRPr="00C85BD5" w:rsidRDefault="00C85BD5" w:rsidP="00AB44F4">
      <w:pPr>
        <w:pStyle w:val="Heading1"/>
        <w:numPr>
          <w:ilvl w:val="0"/>
          <w:numId w:val="1"/>
        </w:numPr>
        <w:rPr>
          <w:rFonts w:asciiTheme="minorBidi" w:hAnsiTheme="minorBidi" w:cstheme="minorBidi"/>
          <w:sz w:val="22"/>
          <w:szCs w:val="22"/>
        </w:rPr>
      </w:pPr>
      <w:bookmarkStart w:id="9" w:name="_Toc210579505"/>
      <w:r w:rsidRPr="00C85BD5">
        <w:rPr>
          <w:rFonts w:asciiTheme="minorBidi" w:hAnsiTheme="minorBidi" w:cstheme="minorBidi"/>
          <w:sz w:val="22"/>
          <w:szCs w:val="22"/>
        </w:rPr>
        <w:t>Service Delivery Outcomes</w:t>
      </w:r>
      <w:bookmarkEnd w:id="9"/>
    </w:p>
    <w:p w14:paraId="7F9B4AC4" w14:textId="77777777" w:rsidR="00B246EE" w:rsidRPr="00C85BD5" w:rsidRDefault="00C85BD5" w:rsidP="00AB44F4">
      <w:pPr>
        <w:pStyle w:val="Heading2"/>
        <w:numPr>
          <w:ilvl w:val="1"/>
          <w:numId w:val="1"/>
        </w:numPr>
        <w:rPr>
          <w:rFonts w:asciiTheme="minorBidi" w:hAnsiTheme="minorBidi" w:cstheme="minorBidi"/>
          <w:sz w:val="22"/>
          <w:szCs w:val="22"/>
        </w:rPr>
      </w:pPr>
      <w:bookmarkStart w:id="10" w:name="_Toc210579506"/>
      <w:r w:rsidRPr="00C85BD5">
        <w:rPr>
          <w:rFonts w:asciiTheme="minorBidi" w:hAnsiTheme="minorBidi" w:cstheme="minorBidi"/>
          <w:sz w:val="22"/>
          <w:szCs w:val="22"/>
        </w:rPr>
        <w:t>Impact on Efficiency and Accessibility of Services</w:t>
      </w:r>
      <w:bookmarkEnd w:id="10"/>
    </w:p>
    <w:p w14:paraId="03902FA7"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The NHS App has helped greatly improve the efficiency and accessibility of services, cutting down on the need to use telephones to book appointments and visit in person. In its uptake analysis, KC et al. (2024) discovered that registrations and usage spiked just after COVID-19 began, suggesting that patients were willing to utilise digital tools in order to access services. The App has been used to book millions of appointments and repeat prescriptions, resulting in less administrative work for general prac</w:t>
      </w:r>
      <w:r w:rsidRPr="00C85BD5">
        <w:rPr>
          <w:rFonts w:asciiTheme="minorBidi" w:hAnsiTheme="minorBidi"/>
          <w:sz w:val="22"/>
          <w:szCs w:val="22"/>
        </w:rPr>
        <w:t>tices (Vezyridis, 2024). According to Teoh et al (2023), the App surpassed usage targets: Over 34 million users with millions of repeat prescription orders and record views (NHS England, 2025). Digital letters and notifications through the App have led to reduced paper use and postal costs - digital communications in some services have shown a 97.8% reduction in carbon emissions per appointment letter compared with paper equivalent (NHS Digital, 2025).</w:t>
      </w:r>
    </w:p>
    <w:p w14:paraId="4D80C341" w14:textId="77777777" w:rsidR="00B246EE" w:rsidRPr="00C85BD5" w:rsidRDefault="00C85BD5" w:rsidP="00AB44F4">
      <w:pPr>
        <w:jc w:val="center"/>
        <w:rPr>
          <w:rFonts w:asciiTheme="minorBidi" w:hAnsiTheme="minorBidi"/>
          <w:sz w:val="22"/>
          <w:szCs w:val="22"/>
        </w:rPr>
      </w:pPr>
      <w:r w:rsidRPr="00C85BD5">
        <w:rPr>
          <w:rFonts w:asciiTheme="minorBidi" w:hAnsiTheme="minorBidi"/>
          <w:sz w:val="22"/>
          <w:szCs w:val="22"/>
        </w:rPr>
        <w:lastRenderedPageBreak/>
        <w:drawing>
          <wp:inline distT="0" distB="0" distL="0" distR="0" wp14:anchorId="47149373" wp14:editId="7B698AD9">
            <wp:extent cx="2241550" cy="5156200"/>
            <wp:effectExtent l="0" t="0" r="0" b="0"/>
            <wp:docPr id="660219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19896" name="Picture 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241550" cy="5156200"/>
                    </a:xfrm>
                    <a:prstGeom prst="rect">
                      <a:avLst/>
                    </a:prstGeom>
                  </pic:spPr>
                </pic:pic>
              </a:graphicData>
            </a:graphic>
          </wp:inline>
        </w:drawing>
      </w:r>
    </w:p>
    <w:p w14:paraId="5FCF672F" w14:textId="77777777" w:rsidR="00B246EE" w:rsidRPr="00C85BD5" w:rsidRDefault="00C85BD5" w:rsidP="00AB44F4">
      <w:pPr>
        <w:jc w:val="center"/>
        <w:rPr>
          <w:rFonts w:asciiTheme="minorBidi" w:hAnsiTheme="minorBidi"/>
          <w:b/>
          <w:bCs/>
          <w:sz w:val="22"/>
          <w:szCs w:val="22"/>
        </w:rPr>
      </w:pPr>
      <w:r w:rsidRPr="00C85BD5">
        <w:rPr>
          <w:rFonts w:asciiTheme="minorBidi" w:hAnsiTheme="minorBidi"/>
          <w:b/>
          <w:bCs/>
          <w:sz w:val="22"/>
          <w:szCs w:val="22"/>
        </w:rPr>
        <w:t>Figure 2: Impact on Service Delivery (Teoh et al, 2023)</w:t>
      </w:r>
    </w:p>
    <w:p w14:paraId="32B6565C" w14:textId="77777777" w:rsidR="00B246EE" w:rsidRPr="00C85BD5" w:rsidRDefault="00C85BD5" w:rsidP="00AB44F4">
      <w:pPr>
        <w:pStyle w:val="Heading2"/>
        <w:numPr>
          <w:ilvl w:val="1"/>
          <w:numId w:val="1"/>
        </w:numPr>
        <w:rPr>
          <w:rFonts w:asciiTheme="minorBidi" w:hAnsiTheme="minorBidi" w:cstheme="minorBidi"/>
          <w:sz w:val="22"/>
          <w:szCs w:val="22"/>
        </w:rPr>
      </w:pPr>
      <w:bookmarkStart w:id="11" w:name="_Toc210579507"/>
      <w:r w:rsidRPr="00C85BD5">
        <w:rPr>
          <w:rFonts w:asciiTheme="minorBidi" w:hAnsiTheme="minorBidi" w:cstheme="minorBidi"/>
          <w:sz w:val="22"/>
          <w:szCs w:val="22"/>
        </w:rPr>
        <w:t>Improvements in Healthcare Delivery daily</w:t>
      </w:r>
      <w:bookmarkEnd w:id="11"/>
    </w:p>
    <w:p w14:paraId="181BCA8F"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On a daily level, the App is helping to optimise workflows and minimise friction in patient-staff interactions. Moving toward a core component of NHS infrastructure, practices see the NHS App as allowing patients to self-service many tasks and freeing up staff for more complex care (Reidy et al., 2025). Patients can manage appointments and prescriptions outside of the practice's opening hours, and this reduces the peak of phone traffic. Some practices have found that patients are more likely to attend when </w:t>
      </w:r>
      <w:r w:rsidRPr="00C85BD5">
        <w:rPr>
          <w:rFonts w:asciiTheme="minorBidi" w:hAnsiTheme="minorBidi"/>
          <w:sz w:val="22"/>
          <w:szCs w:val="22"/>
        </w:rPr>
        <w:t>they book themselves in (Tewolde et al, 2022). The ability to share hospital referral data has enabled hospital appointments and documents to be viewable in one place, reducing fragmentation (Abel et al, 2024).</w:t>
      </w:r>
    </w:p>
    <w:p w14:paraId="7D36A032" w14:textId="77777777" w:rsidR="00B246EE" w:rsidRPr="00C85BD5" w:rsidRDefault="00C85BD5" w:rsidP="00AB44F4">
      <w:pPr>
        <w:pStyle w:val="Heading2"/>
        <w:numPr>
          <w:ilvl w:val="1"/>
          <w:numId w:val="1"/>
        </w:numPr>
        <w:rPr>
          <w:rFonts w:asciiTheme="minorBidi" w:hAnsiTheme="minorBidi" w:cstheme="minorBidi"/>
          <w:sz w:val="22"/>
          <w:szCs w:val="22"/>
        </w:rPr>
      </w:pPr>
      <w:bookmarkStart w:id="12" w:name="_Toc210579508"/>
      <w:r w:rsidRPr="00C85BD5">
        <w:rPr>
          <w:rFonts w:asciiTheme="minorBidi" w:hAnsiTheme="minorBidi" w:cstheme="minorBidi"/>
          <w:sz w:val="22"/>
          <w:szCs w:val="22"/>
        </w:rPr>
        <w:lastRenderedPageBreak/>
        <w:t>Limitations and Challenges of Service Use</w:t>
      </w:r>
      <w:bookmarkEnd w:id="12"/>
    </w:p>
    <w:p w14:paraId="33AC8C9C"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Despite these advantages, NHS App is not without service delivery concerns. Not every practice includes the functionality, which leads to fragmentation and the lack of a similar user experience (Salway et al., 2024). Data standardisation and siloing of various systems in the NHS hinder full integration (Chowdhury et al., 2021). </w:t>
      </w:r>
      <w:r w:rsidR="00AF463B" w:rsidRPr="00C85BD5">
        <w:rPr>
          <w:rFonts w:asciiTheme="minorBidi" w:hAnsiTheme="minorBidi"/>
          <w:sz w:val="22"/>
          <w:szCs w:val="22"/>
        </w:rPr>
        <w:t>Moreover,</w:t>
      </w:r>
      <w:r w:rsidR="000524B5" w:rsidRPr="00C85BD5">
        <w:rPr>
          <w:rFonts w:asciiTheme="minorBidi" w:hAnsiTheme="minorBidi"/>
          <w:sz w:val="22"/>
          <w:szCs w:val="22"/>
        </w:rPr>
        <w:t xml:space="preserve"> </w:t>
      </w:r>
      <w:r w:rsidRPr="00C85BD5">
        <w:rPr>
          <w:rFonts w:asciiTheme="minorBidi" w:hAnsiTheme="minorBidi"/>
          <w:sz w:val="22"/>
          <w:szCs w:val="22"/>
        </w:rPr>
        <w:t>under the General Data Protection Regulation (GDPR), this presents an additional commitment upon the NHS to determine whether sensitive data about patients is stored, processed and shared within the law as required by law. Security problems related to privacy, potential data leakage, and the security of personal health records explain the necessity of strong governance (Rodgers et al., 2019). Poorly digital-literate patients, patients with no use of a smartphone, or those with unstable internet co</w:t>
      </w:r>
      <w:r w:rsidRPr="00C85BD5">
        <w:rPr>
          <w:rFonts w:asciiTheme="minorBidi" w:hAnsiTheme="minorBidi"/>
          <w:sz w:val="22"/>
          <w:szCs w:val="22"/>
        </w:rPr>
        <w:t>nnections may also be left behind. The interface and its options may seem confusing to them, especially the old users. Allcock et al. (2024) argue that the NHS is not an exception; therefore, digital interventions are more prone to fall into the pit of complexity of systems, governance, and incompatibility.</w:t>
      </w:r>
    </w:p>
    <w:p w14:paraId="7D9B0C9E" w14:textId="77777777" w:rsidR="00B246EE" w:rsidRPr="00C85BD5" w:rsidRDefault="00C85BD5" w:rsidP="00AB44F4">
      <w:pPr>
        <w:pStyle w:val="Heading1"/>
        <w:numPr>
          <w:ilvl w:val="0"/>
          <w:numId w:val="1"/>
        </w:numPr>
        <w:rPr>
          <w:rFonts w:asciiTheme="minorBidi" w:hAnsiTheme="minorBidi" w:cstheme="minorBidi"/>
          <w:sz w:val="22"/>
          <w:szCs w:val="22"/>
        </w:rPr>
      </w:pPr>
      <w:bookmarkStart w:id="13" w:name="_Toc210579509"/>
      <w:r w:rsidRPr="00C85BD5">
        <w:rPr>
          <w:rFonts w:asciiTheme="minorBidi" w:hAnsiTheme="minorBidi" w:cstheme="minorBidi"/>
          <w:sz w:val="22"/>
          <w:szCs w:val="22"/>
        </w:rPr>
        <w:t>Patient and Service User Outcomes</w:t>
      </w:r>
      <w:bookmarkEnd w:id="13"/>
    </w:p>
    <w:p w14:paraId="40400255" w14:textId="77777777" w:rsidR="00B246EE" w:rsidRPr="00C85BD5" w:rsidRDefault="00C85BD5" w:rsidP="00AB44F4">
      <w:pPr>
        <w:pStyle w:val="Heading2"/>
        <w:numPr>
          <w:ilvl w:val="1"/>
          <w:numId w:val="1"/>
        </w:numPr>
        <w:rPr>
          <w:rFonts w:asciiTheme="minorBidi" w:hAnsiTheme="minorBidi" w:cstheme="minorBidi"/>
          <w:sz w:val="22"/>
          <w:szCs w:val="22"/>
        </w:rPr>
      </w:pPr>
      <w:bookmarkStart w:id="14" w:name="_Toc210579510"/>
      <w:r w:rsidRPr="00C85BD5">
        <w:rPr>
          <w:rFonts w:asciiTheme="minorBidi" w:hAnsiTheme="minorBidi" w:cstheme="minorBidi"/>
          <w:sz w:val="22"/>
          <w:szCs w:val="22"/>
        </w:rPr>
        <w:t>Patient Perceptions and Experiences</w:t>
      </w:r>
      <w:bookmarkEnd w:id="14"/>
    </w:p>
    <w:p w14:paraId="72A6574F"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The NHS app has changed the way of interaction with patients and provided a new level of convenience and immediacy. Initial feedback indicates a high adoption rate, with several users appreciating the convenience of making appointments and ordering repeat prescriptions without calling on the bustling phone lines or walking into practices to do so (Rodgers et al., 2019). Patients also state that by having access to their health records, there is an increase in collaboration and transparency with </w:t>
      </w:r>
      <w:r w:rsidR="008A0307" w:rsidRPr="00C85BD5">
        <w:rPr>
          <w:rFonts w:asciiTheme="minorBidi" w:hAnsiTheme="minorBidi"/>
          <w:sz w:val="22"/>
          <w:szCs w:val="22"/>
        </w:rPr>
        <w:t>clinicians. But</w:t>
      </w:r>
      <w:r w:rsidRPr="00C85BD5">
        <w:rPr>
          <w:rFonts w:asciiTheme="minorBidi" w:hAnsiTheme="minorBidi"/>
          <w:sz w:val="22"/>
          <w:szCs w:val="22"/>
        </w:rPr>
        <w:t xml:space="preserve"> these perceptions are not all the same. Patients who are digitally confident report high satisfaction rates, whereas patients who are less technologically savvy are confused by the interface and become disengaged and frustrated (Mohammad et al., 2020).</w:t>
      </w:r>
    </w:p>
    <w:p w14:paraId="72706922" w14:textId="77777777" w:rsidR="00B246EE" w:rsidRPr="00C85BD5" w:rsidRDefault="00C85BD5" w:rsidP="00AB44F4">
      <w:pPr>
        <w:pStyle w:val="Heading2"/>
        <w:numPr>
          <w:ilvl w:val="1"/>
          <w:numId w:val="1"/>
        </w:numPr>
        <w:rPr>
          <w:rFonts w:asciiTheme="minorBidi" w:hAnsiTheme="minorBidi" w:cstheme="minorBidi"/>
          <w:sz w:val="22"/>
          <w:szCs w:val="22"/>
        </w:rPr>
      </w:pPr>
      <w:bookmarkStart w:id="15" w:name="_Toc210579511"/>
      <w:r w:rsidRPr="00C85BD5">
        <w:rPr>
          <w:rFonts w:asciiTheme="minorBidi" w:hAnsiTheme="minorBidi" w:cstheme="minorBidi"/>
          <w:sz w:val="22"/>
          <w:szCs w:val="22"/>
        </w:rPr>
        <w:t>Benefits: Empowerment, Convenience, and Transparency</w:t>
      </w:r>
      <w:bookmarkEnd w:id="15"/>
    </w:p>
    <w:p w14:paraId="5D7E2BDF"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A user of a service gains a sense of empowerment. The app allows people to access their own records, order medication, and receive test results, helping people self-manage and reducing reliance on administrative staff (Chambers et al., 2019). Another obvious advantage is convenience: patients can consult services at any time, bringing health care closer to the realities of the modern world. Improved transparency: Patients can see referrals, prescriptions, and clinical notes, as well as the status of referra</w:t>
      </w:r>
      <w:r w:rsidRPr="00C85BD5">
        <w:rPr>
          <w:rFonts w:asciiTheme="minorBidi" w:hAnsiTheme="minorBidi"/>
          <w:sz w:val="22"/>
          <w:szCs w:val="22"/>
        </w:rPr>
        <w:t xml:space="preserve">ls, providing more insight into the patient's journey, which can help increase trust and engagement with the platform. Evidence indicates that patients' </w:t>
      </w:r>
      <w:r w:rsidRPr="00C85BD5">
        <w:rPr>
          <w:rFonts w:asciiTheme="minorBidi" w:hAnsiTheme="minorBidi"/>
          <w:sz w:val="22"/>
          <w:szCs w:val="22"/>
        </w:rPr>
        <w:lastRenderedPageBreak/>
        <w:t>adherence to treatment and satisfaction with care are often improved if patients feel more informed and involved (Clarke et al., 2022).</w:t>
      </w:r>
    </w:p>
    <w:p w14:paraId="4C65E0DA" w14:textId="77777777" w:rsidR="00B246EE" w:rsidRPr="00C85BD5" w:rsidRDefault="00C85BD5" w:rsidP="00AB44F4">
      <w:pPr>
        <w:pStyle w:val="Heading2"/>
        <w:numPr>
          <w:ilvl w:val="1"/>
          <w:numId w:val="1"/>
        </w:numPr>
        <w:rPr>
          <w:rFonts w:asciiTheme="minorBidi" w:hAnsiTheme="minorBidi" w:cstheme="minorBidi"/>
          <w:sz w:val="22"/>
          <w:szCs w:val="22"/>
        </w:rPr>
      </w:pPr>
      <w:bookmarkStart w:id="16" w:name="_Toc210579512"/>
      <w:r w:rsidRPr="00C85BD5">
        <w:rPr>
          <w:rFonts w:asciiTheme="minorBidi" w:hAnsiTheme="minorBidi" w:cstheme="minorBidi"/>
          <w:sz w:val="22"/>
          <w:szCs w:val="22"/>
        </w:rPr>
        <w:t>Digital Literacy, Accessibility, and Trust</w:t>
      </w:r>
      <w:bookmarkEnd w:id="16"/>
    </w:p>
    <w:p w14:paraId="7B6FF909"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Despite these benefits, there are still impediments. Digital literacy is a significant barrier, especially for elderly people, persons with disabilities, or people living in deprived communities with no digital access (Leach et al., 2022). The digital divide risks exacerbating inequalities and leaving vulnerable groups behind. Accessibility issues where the smartphone is not accessible or the internet connection is not available. Finally, trust is a recurring concern: some patients are worried about the pri</w:t>
      </w:r>
      <w:r w:rsidRPr="00C85BD5">
        <w:rPr>
          <w:rFonts w:asciiTheme="minorBidi" w:hAnsiTheme="minorBidi"/>
          <w:sz w:val="22"/>
          <w:szCs w:val="22"/>
        </w:rPr>
        <w:t>vacy of their data, data security breaches, or the misconception of medical information that is viewed out of context (Milne-Ives et al., 2022). These issues demonstrate the need to design, educate, and support to make sure that digital healthcare is accessible and usable by everyone and will not contribute to disparities.</w:t>
      </w:r>
    </w:p>
    <w:p w14:paraId="11B1D96A" w14:textId="77777777" w:rsidR="00B246EE" w:rsidRPr="00C85BD5" w:rsidRDefault="00C85BD5" w:rsidP="00AB44F4">
      <w:pPr>
        <w:pStyle w:val="Heading1"/>
        <w:numPr>
          <w:ilvl w:val="0"/>
          <w:numId w:val="1"/>
        </w:numPr>
        <w:rPr>
          <w:rFonts w:asciiTheme="minorBidi" w:hAnsiTheme="minorBidi" w:cstheme="minorBidi"/>
          <w:sz w:val="22"/>
          <w:szCs w:val="22"/>
        </w:rPr>
      </w:pPr>
      <w:bookmarkStart w:id="17" w:name="_Toc210579513"/>
      <w:r w:rsidRPr="00C85BD5">
        <w:rPr>
          <w:rFonts w:asciiTheme="minorBidi" w:hAnsiTheme="minorBidi" w:cstheme="minorBidi"/>
          <w:sz w:val="22"/>
          <w:szCs w:val="22"/>
        </w:rPr>
        <w:t>Conclusion</w:t>
      </w:r>
      <w:bookmarkEnd w:id="17"/>
      <w:r w:rsidRPr="00C85BD5">
        <w:rPr>
          <w:rFonts w:asciiTheme="minorBidi" w:hAnsiTheme="minorBidi" w:cstheme="minorBidi"/>
          <w:sz w:val="22"/>
          <w:szCs w:val="22"/>
        </w:rPr>
        <w:t xml:space="preserve"> </w:t>
      </w:r>
    </w:p>
    <w:p w14:paraId="6EEE76D2"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The NHS App is regarded as one of the most significant digital innovations ever introduced to the UK health system over the past 10 years. Developed to support continued issues related to booking appointments, prescription accessibility, and patient contact, it has been created as a scaled solution that aligns with the NHS Long Term Plan of a digitally enabled service. The application has revolutionised the experience of delivering services and receiving care by introducing aspects such as making appointmen</w:t>
      </w:r>
      <w:r w:rsidRPr="00C85BD5">
        <w:rPr>
          <w:rFonts w:asciiTheme="minorBidi" w:hAnsiTheme="minorBidi"/>
          <w:sz w:val="22"/>
          <w:szCs w:val="22"/>
        </w:rPr>
        <w:t>ts, recurring prescriptions, and access to health records, among others. From the service delivery perspective, the app has eliminated the sensitivity of resource-consuming processes and lower administration costs, leading to efficiencies that can also mean more time for staff on more valuable clinical concerns. Patient benefits are also obvious - convenience, transparency, and more control over their healthcare. However, challenges remain. Digital disparity: variability in practices implementation, lack of</w:t>
      </w:r>
      <w:r w:rsidRPr="00C85BD5">
        <w:rPr>
          <w:rFonts w:asciiTheme="minorBidi" w:hAnsiTheme="minorBidi"/>
          <w:sz w:val="22"/>
          <w:szCs w:val="22"/>
        </w:rPr>
        <w:t xml:space="preserve"> digital proficiency, disparate access that might leave some groups unreachable, and ongoing concerns about information security and personal data are all indicators that digital health can become an agent of inequality unless addressed properly.</w:t>
      </w:r>
    </w:p>
    <w:p w14:paraId="4D5142C9"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While the NHS App doesn't solve all the issues of systemic pressures, it exemplifies how digital transformation has the power to modernise healthcare, drive patient-</w:t>
      </w:r>
      <w:r w:rsidR="00B50D45" w:rsidRPr="00C85BD5">
        <w:rPr>
          <w:rFonts w:asciiTheme="minorBidi" w:hAnsiTheme="minorBidi"/>
          <w:sz w:val="22"/>
          <w:szCs w:val="22"/>
        </w:rPr>
        <w:t>centred</w:t>
      </w:r>
      <w:r w:rsidRPr="00C85BD5">
        <w:rPr>
          <w:rFonts w:asciiTheme="minorBidi" w:hAnsiTheme="minorBidi"/>
          <w:sz w:val="22"/>
          <w:szCs w:val="22"/>
        </w:rPr>
        <w:t xml:space="preserve"> services, and serve as the foundation for more inclusive innovation in the future.</w:t>
      </w:r>
    </w:p>
    <w:p w14:paraId="417BF375" w14:textId="77777777" w:rsidR="00B246EE" w:rsidRPr="00C85BD5" w:rsidRDefault="00B246EE" w:rsidP="00AB44F4">
      <w:pPr>
        <w:rPr>
          <w:rFonts w:asciiTheme="minorBidi" w:hAnsiTheme="minorBidi"/>
          <w:sz w:val="22"/>
          <w:szCs w:val="22"/>
        </w:rPr>
      </w:pPr>
    </w:p>
    <w:p w14:paraId="4B37B28F" w14:textId="77777777" w:rsidR="00B246EE" w:rsidRPr="00C85BD5" w:rsidRDefault="00C85BD5" w:rsidP="00AB44F4">
      <w:pPr>
        <w:pStyle w:val="Heading1"/>
        <w:rPr>
          <w:rFonts w:asciiTheme="minorBidi" w:hAnsiTheme="minorBidi" w:cstheme="minorBidi"/>
          <w:sz w:val="22"/>
          <w:szCs w:val="22"/>
        </w:rPr>
      </w:pPr>
      <w:bookmarkStart w:id="18" w:name="_Toc210579514"/>
      <w:r w:rsidRPr="00C85BD5">
        <w:rPr>
          <w:rFonts w:asciiTheme="minorBidi" w:hAnsiTheme="minorBidi" w:cstheme="minorBidi"/>
          <w:sz w:val="22"/>
          <w:szCs w:val="22"/>
        </w:rPr>
        <w:lastRenderedPageBreak/>
        <w:t>References</w:t>
      </w:r>
      <w:bookmarkEnd w:id="18"/>
    </w:p>
    <w:p w14:paraId="32C9F6BC"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Abel, G., Atherton, H., Sussex, J., Akter, N., Aminu, A.Q., Aminu, A., Bak, W., Bryce, C., Clark, C.E., Clark, C., and Cockcroft, E., 2024. Current experience and future potential of facilitating access to digital NHS primary care services in England: the Di-Facto mixed-methods study. </w:t>
      </w:r>
      <w:r w:rsidRPr="00C85BD5">
        <w:rPr>
          <w:rFonts w:asciiTheme="minorBidi" w:hAnsiTheme="minorBidi"/>
          <w:i/>
          <w:iCs/>
          <w:sz w:val="22"/>
          <w:szCs w:val="22"/>
        </w:rPr>
        <w:t>Health and Social Care Delivery Research</w:t>
      </w:r>
      <w:r w:rsidRPr="00C85BD5">
        <w:rPr>
          <w:rFonts w:asciiTheme="minorBidi" w:hAnsiTheme="minorBidi"/>
          <w:sz w:val="22"/>
          <w:szCs w:val="22"/>
        </w:rPr>
        <w:t>, </w:t>
      </w:r>
      <w:r w:rsidRPr="00C85BD5">
        <w:rPr>
          <w:rFonts w:asciiTheme="minorBidi" w:hAnsiTheme="minorBidi"/>
          <w:i/>
          <w:iCs/>
          <w:sz w:val="22"/>
          <w:szCs w:val="22"/>
        </w:rPr>
        <w:t>12</w:t>
      </w:r>
      <w:r w:rsidRPr="00C85BD5">
        <w:rPr>
          <w:rFonts w:asciiTheme="minorBidi" w:hAnsiTheme="minorBidi"/>
          <w:sz w:val="22"/>
          <w:szCs w:val="22"/>
        </w:rPr>
        <w:t>(32), pp.1-197.</w:t>
      </w:r>
    </w:p>
    <w:p w14:paraId="090B5B86"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Allcock, J.A., Zhuang, M., Li, S., and Zhao, X., 2024. Landscape of digital technologies used in the national health service in England: content analysis. </w:t>
      </w:r>
      <w:r w:rsidRPr="00C85BD5">
        <w:rPr>
          <w:rFonts w:asciiTheme="minorBidi" w:hAnsiTheme="minorBidi"/>
          <w:i/>
          <w:iCs/>
          <w:sz w:val="22"/>
          <w:szCs w:val="22"/>
        </w:rPr>
        <w:t>JMIR Formative Research</w:t>
      </w:r>
      <w:r w:rsidRPr="00C85BD5">
        <w:rPr>
          <w:rFonts w:asciiTheme="minorBidi" w:hAnsiTheme="minorBidi"/>
          <w:sz w:val="22"/>
          <w:szCs w:val="22"/>
        </w:rPr>
        <w:t>, </w:t>
      </w:r>
      <w:r w:rsidRPr="00C85BD5">
        <w:rPr>
          <w:rFonts w:asciiTheme="minorBidi" w:hAnsiTheme="minorBidi"/>
          <w:i/>
          <w:iCs/>
          <w:sz w:val="22"/>
          <w:szCs w:val="22"/>
        </w:rPr>
        <w:t>8</w:t>
      </w:r>
      <w:r w:rsidRPr="00C85BD5">
        <w:rPr>
          <w:rFonts w:asciiTheme="minorBidi" w:hAnsiTheme="minorBidi"/>
          <w:sz w:val="22"/>
          <w:szCs w:val="22"/>
        </w:rPr>
        <w:t>, p.e51859.</w:t>
      </w:r>
    </w:p>
    <w:p w14:paraId="13C2D343"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Brown, M.R., Knight, M., Peters, C.J., Maleki, S., Motavalli, A. and Nedjat-Shokouhi, B., 2023. Digital outpatient health solutions as a vehicle to improve healthcare sustainability—a United Kingdom-focused policy and practice perspective. </w:t>
      </w:r>
      <w:r w:rsidRPr="00C85BD5">
        <w:rPr>
          <w:rFonts w:asciiTheme="minorBidi" w:hAnsiTheme="minorBidi"/>
          <w:i/>
          <w:iCs/>
          <w:sz w:val="22"/>
          <w:szCs w:val="22"/>
        </w:rPr>
        <w:t>Frontiers in Digital Health</w:t>
      </w:r>
      <w:r w:rsidRPr="00C85BD5">
        <w:rPr>
          <w:rFonts w:asciiTheme="minorBidi" w:hAnsiTheme="minorBidi"/>
          <w:sz w:val="22"/>
          <w:szCs w:val="22"/>
        </w:rPr>
        <w:t>, </w:t>
      </w:r>
      <w:r w:rsidRPr="00C85BD5">
        <w:rPr>
          <w:rFonts w:asciiTheme="minorBidi" w:hAnsiTheme="minorBidi"/>
          <w:i/>
          <w:iCs/>
          <w:sz w:val="22"/>
          <w:szCs w:val="22"/>
        </w:rPr>
        <w:t>5</w:t>
      </w:r>
      <w:r w:rsidRPr="00C85BD5">
        <w:rPr>
          <w:rFonts w:asciiTheme="minorBidi" w:hAnsiTheme="minorBidi"/>
          <w:sz w:val="22"/>
          <w:szCs w:val="22"/>
        </w:rPr>
        <w:t>, p.1242896.</w:t>
      </w:r>
    </w:p>
    <w:p w14:paraId="342F71EE"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Chambers, D., Cantrell, A.J., Johnson, M., Preston, L., Baxter, S.K., Booth, A., and Turner, J., 2019. Digital and online symptom checkers and health assessment/triage services for urgent health problems: systematic review. </w:t>
      </w:r>
      <w:r w:rsidRPr="00C85BD5">
        <w:rPr>
          <w:rFonts w:asciiTheme="minorBidi" w:hAnsiTheme="minorBidi"/>
          <w:i/>
          <w:iCs/>
          <w:sz w:val="22"/>
          <w:szCs w:val="22"/>
        </w:rPr>
        <w:t>BMJ open</w:t>
      </w:r>
      <w:r w:rsidRPr="00C85BD5">
        <w:rPr>
          <w:rFonts w:asciiTheme="minorBidi" w:hAnsiTheme="minorBidi"/>
          <w:sz w:val="22"/>
          <w:szCs w:val="22"/>
        </w:rPr>
        <w:t>, </w:t>
      </w:r>
      <w:r w:rsidRPr="00C85BD5">
        <w:rPr>
          <w:rFonts w:asciiTheme="minorBidi" w:hAnsiTheme="minorBidi"/>
          <w:i/>
          <w:iCs/>
          <w:sz w:val="22"/>
          <w:szCs w:val="22"/>
        </w:rPr>
        <w:t>9</w:t>
      </w:r>
      <w:r w:rsidRPr="00C85BD5">
        <w:rPr>
          <w:rFonts w:asciiTheme="minorBidi" w:hAnsiTheme="minorBidi"/>
          <w:sz w:val="22"/>
          <w:szCs w:val="22"/>
        </w:rPr>
        <w:t>(8), p.e027743.</w:t>
      </w:r>
    </w:p>
    <w:p w14:paraId="1B3280F8"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Chowdhury, T. and Nilforooshan, R., 2021. ‘No more routine outpatient appointments in the NHS’: it is time to shift to data-driven appointments. </w:t>
      </w:r>
      <w:r w:rsidRPr="00C85BD5">
        <w:rPr>
          <w:rFonts w:asciiTheme="minorBidi" w:hAnsiTheme="minorBidi"/>
          <w:i/>
          <w:iCs/>
          <w:sz w:val="22"/>
          <w:szCs w:val="22"/>
        </w:rPr>
        <w:t>International Journal for Quality in Health Care</w:t>
      </w:r>
      <w:r w:rsidRPr="00C85BD5">
        <w:rPr>
          <w:rFonts w:asciiTheme="minorBidi" w:hAnsiTheme="minorBidi"/>
          <w:sz w:val="22"/>
          <w:szCs w:val="22"/>
        </w:rPr>
        <w:t>, </w:t>
      </w:r>
      <w:r w:rsidRPr="00C85BD5">
        <w:rPr>
          <w:rFonts w:asciiTheme="minorBidi" w:hAnsiTheme="minorBidi"/>
          <w:i/>
          <w:iCs/>
          <w:sz w:val="22"/>
          <w:szCs w:val="22"/>
        </w:rPr>
        <w:t>33</w:t>
      </w:r>
      <w:r w:rsidRPr="00C85BD5">
        <w:rPr>
          <w:rFonts w:asciiTheme="minorBidi" w:hAnsiTheme="minorBidi"/>
          <w:sz w:val="22"/>
          <w:szCs w:val="22"/>
        </w:rPr>
        <w:t>(1), p.mzaa150.</w:t>
      </w:r>
    </w:p>
    <w:p w14:paraId="7B8A64D6"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Clarke, G., Dias, A. and Wolters, A., 2022. Access to and delivery of general practice services: a study of patients at practices using digital and online tools. </w:t>
      </w:r>
      <w:r w:rsidRPr="00C85BD5">
        <w:rPr>
          <w:rFonts w:asciiTheme="minorBidi" w:hAnsiTheme="minorBidi"/>
          <w:i/>
          <w:iCs/>
          <w:sz w:val="22"/>
          <w:szCs w:val="22"/>
        </w:rPr>
        <w:t>The Health Foundation</w:t>
      </w:r>
      <w:r w:rsidRPr="00C85BD5">
        <w:rPr>
          <w:rFonts w:asciiTheme="minorBidi" w:hAnsiTheme="minorBidi"/>
          <w:sz w:val="22"/>
          <w:szCs w:val="22"/>
        </w:rPr>
        <w:t>.</w:t>
      </w:r>
    </w:p>
    <w:p w14:paraId="074B4F2C"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Eccles, A., Bryce, C., Driessen, A., Pope, C., MacLellan, J., Gronlund, T., Nicholson, B.D., Ziebland, S., and Atherton, H. 2024. </w:t>
      </w:r>
      <w:r w:rsidRPr="00C85BD5">
        <w:rPr>
          <w:rFonts w:asciiTheme="minorBidi" w:hAnsiTheme="minorBidi"/>
          <w:i/>
          <w:iCs/>
          <w:sz w:val="22"/>
          <w:szCs w:val="22"/>
        </w:rPr>
        <w:t>Access systems in general practice: a systematic scoping review</w:t>
      </w:r>
      <w:r w:rsidRPr="00C85BD5">
        <w:rPr>
          <w:rFonts w:asciiTheme="minorBidi" w:hAnsiTheme="minorBidi"/>
          <w:sz w:val="22"/>
          <w:szCs w:val="22"/>
        </w:rPr>
        <w:t xml:space="preserve">. </w:t>
      </w:r>
      <w:r w:rsidRPr="00C85BD5">
        <w:rPr>
          <w:rFonts w:asciiTheme="minorBidi" w:hAnsiTheme="minorBidi"/>
          <w:i/>
          <w:iCs/>
          <w:sz w:val="22"/>
          <w:szCs w:val="22"/>
        </w:rPr>
        <w:t>British Journal of General Practice</w:t>
      </w:r>
      <w:r w:rsidRPr="00C85BD5">
        <w:rPr>
          <w:rFonts w:asciiTheme="minorBidi" w:hAnsiTheme="minorBidi"/>
          <w:sz w:val="22"/>
          <w:szCs w:val="22"/>
        </w:rPr>
        <w:t>, 74(747), pp. e674-e682. Available at: https://pmc.ncbi.nlm.nih.gov/articles/PMC11388093/ (Accessed: 5 October 2025).</w:t>
      </w:r>
    </w:p>
    <w:p w14:paraId="6F28EDF9"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Greenhalgh, T., Wherton, J., Papoutsi, C., Lynch, J., Hughes, G., A’Court, C., et al. 2022.  ‘The role of the digital in the disappearance of the divide between technology and healthcare: a mixed methods evaluation’, </w:t>
      </w:r>
      <w:r w:rsidRPr="00C85BD5">
        <w:rPr>
          <w:rFonts w:asciiTheme="minorBidi" w:hAnsiTheme="minorBidi"/>
          <w:i/>
          <w:iCs/>
          <w:sz w:val="22"/>
          <w:szCs w:val="22"/>
        </w:rPr>
        <w:t>International Journal for Quality in Health Care</w:t>
      </w:r>
      <w:r w:rsidRPr="00C85BD5">
        <w:rPr>
          <w:rFonts w:asciiTheme="minorBidi" w:hAnsiTheme="minorBidi"/>
          <w:sz w:val="22"/>
          <w:szCs w:val="22"/>
        </w:rPr>
        <w:t xml:space="preserve">, 33(1). </w:t>
      </w:r>
    </w:p>
    <w:p w14:paraId="103E62FE"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HIMSS 2025. </w:t>
      </w:r>
      <w:r w:rsidRPr="00C85BD5">
        <w:rPr>
          <w:rFonts w:asciiTheme="minorBidi" w:hAnsiTheme="minorBidi"/>
          <w:i/>
          <w:iCs/>
          <w:sz w:val="22"/>
          <w:szCs w:val="22"/>
        </w:rPr>
        <w:t>Digital Health Indicator: Measure your healthcare outcomes</w:t>
      </w:r>
      <w:r w:rsidRPr="00C85BD5">
        <w:rPr>
          <w:rFonts w:asciiTheme="minorBidi" w:hAnsiTheme="minorBidi"/>
          <w:sz w:val="22"/>
          <w:szCs w:val="22"/>
        </w:rPr>
        <w:t xml:space="preserve">. Available at: </w:t>
      </w:r>
      <w:hyperlink r:id="rId10" w:tgtFrame="_new" w:history="1">
        <w:r w:rsidR="00B246EE" w:rsidRPr="00C85BD5">
          <w:rPr>
            <w:rStyle w:val="Hyperlink"/>
            <w:rFonts w:asciiTheme="minorBidi" w:hAnsiTheme="minorBidi"/>
            <w:sz w:val="22"/>
            <w:szCs w:val="22"/>
          </w:rPr>
          <w:t>https://www.himss.org/maturity-models/digital-health-indicator/</w:t>
        </w:r>
      </w:hyperlink>
      <w:r w:rsidRPr="00C85BD5">
        <w:rPr>
          <w:rFonts w:asciiTheme="minorBidi" w:hAnsiTheme="minorBidi"/>
          <w:sz w:val="22"/>
          <w:szCs w:val="22"/>
        </w:rPr>
        <w:t xml:space="preserve"> (Accessed: 5 October 2025).</w:t>
      </w:r>
    </w:p>
    <w:p w14:paraId="446875BA"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Hutchings, R., 2020. The impact of COVID-19 on the use of digital technology in the NHS. </w:t>
      </w:r>
      <w:r w:rsidRPr="00C85BD5">
        <w:rPr>
          <w:rFonts w:asciiTheme="minorBidi" w:hAnsiTheme="minorBidi"/>
          <w:i/>
          <w:iCs/>
          <w:sz w:val="22"/>
          <w:szCs w:val="22"/>
        </w:rPr>
        <w:t>Nuffield Trust</w:t>
      </w:r>
      <w:r w:rsidRPr="00C85BD5">
        <w:rPr>
          <w:rFonts w:asciiTheme="minorBidi" w:hAnsiTheme="minorBidi"/>
          <w:sz w:val="22"/>
          <w:szCs w:val="22"/>
        </w:rPr>
        <w:t>, </w:t>
      </w:r>
      <w:r w:rsidRPr="00C85BD5">
        <w:rPr>
          <w:rFonts w:asciiTheme="minorBidi" w:hAnsiTheme="minorBidi"/>
          <w:i/>
          <w:iCs/>
          <w:sz w:val="22"/>
          <w:szCs w:val="22"/>
        </w:rPr>
        <w:t>27</w:t>
      </w:r>
      <w:r w:rsidRPr="00C85BD5">
        <w:rPr>
          <w:rFonts w:asciiTheme="minorBidi" w:hAnsiTheme="minorBidi"/>
          <w:sz w:val="22"/>
          <w:szCs w:val="22"/>
        </w:rPr>
        <w:t>, pp.2002-2008.</w:t>
      </w:r>
    </w:p>
    <w:p w14:paraId="76793709"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lastRenderedPageBreak/>
        <w:t>Kc, S., Papoutsi, C., Reidy, C., Gudgin, B., Powell, J., Majeed, A., Greaves, F., and Laverty, A.A., 2024. Differences in use of a patient portal across sociodemographic groups: observational study of the NHS app in England. </w:t>
      </w:r>
      <w:r w:rsidRPr="00C85BD5">
        <w:rPr>
          <w:rFonts w:asciiTheme="minorBidi" w:hAnsiTheme="minorBidi"/>
          <w:i/>
          <w:iCs/>
          <w:sz w:val="22"/>
          <w:szCs w:val="22"/>
        </w:rPr>
        <w:t>Journal of Medical Internet Research</w:t>
      </w:r>
      <w:r w:rsidRPr="00C85BD5">
        <w:rPr>
          <w:rFonts w:asciiTheme="minorBidi" w:hAnsiTheme="minorBidi"/>
          <w:sz w:val="22"/>
          <w:szCs w:val="22"/>
        </w:rPr>
        <w:t>, </w:t>
      </w:r>
      <w:r w:rsidRPr="00C85BD5">
        <w:rPr>
          <w:rFonts w:asciiTheme="minorBidi" w:hAnsiTheme="minorBidi"/>
          <w:i/>
          <w:iCs/>
          <w:sz w:val="22"/>
          <w:szCs w:val="22"/>
        </w:rPr>
        <w:t>26</w:t>
      </w:r>
      <w:r w:rsidRPr="00C85BD5">
        <w:rPr>
          <w:rFonts w:asciiTheme="minorBidi" w:hAnsiTheme="minorBidi"/>
          <w:sz w:val="22"/>
          <w:szCs w:val="22"/>
        </w:rPr>
        <w:t>, p.e56320.</w:t>
      </w:r>
    </w:p>
    <w:p w14:paraId="234145A3"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Kukoryte, E., 2022. The impact of digital technologies on the UK Healthcare: A Human-Centred Study.</w:t>
      </w:r>
    </w:p>
    <w:p w14:paraId="1A195150"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Leach, B., Parkinson, S., Gkousis, E., Abel, G., Atherton, H., Campbell, J., Clark, C., Cockcroft, E., Marriott, C., Pitchforth, E., and Sussex, J., 2022. Digital facilitation to support patient access to web-based primary care services: scoping literature review. </w:t>
      </w:r>
      <w:r w:rsidRPr="00C85BD5">
        <w:rPr>
          <w:rFonts w:asciiTheme="minorBidi" w:hAnsiTheme="minorBidi"/>
          <w:i/>
          <w:iCs/>
          <w:sz w:val="22"/>
          <w:szCs w:val="22"/>
        </w:rPr>
        <w:t>Journal of Medical Internet Research</w:t>
      </w:r>
      <w:r w:rsidRPr="00C85BD5">
        <w:rPr>
          <w:rFonts w:asciiTheme="minorBidi" w:hAnsiTheme="minorBidi"/>
          <w:sz w:val="22"/>
          <w:szCs w:val="22"/>
        </w:rPr>
        <w:t>, </w:t>
      </w:r>
      <w:r w:rsidRPr="00C85BD5">
        <w:rPr>
          <w:rFonts w:asciiTheme="minorBidi" w:hAnsiTheme="minorBidi"/>
          <w:i/>
          <w:iCs/>
          <w:sz w:val="22"/>
          <w:szCs w:val="22"/>
        </w:rPr>
        <w:t>24</w:t>
      </w:r>
      <w:r w:rsidRPr="00C85BD5">
        <w:rPr>
          <w:rFonts w:asciiTheme="minorBidi" w:hAnsiTheme="minorBidi"/>
          <w:sz w:val="22"/>
          <w:szCs w:val="22"/>
        </w:rPr>
        <w:t>(7), p.e33911.</w:t>
      </w:r>
    </w:p>
    <w:p w14:paraId="58512E65"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Maini, M. 2024. ‘What is Digital Transformation in Healthcare and why is it important?’, </w:t>
      </w:r>
      <w:r w:rsidRPr="00C85BD5">
        <w:rPr>
          <w:rFonts w:asciiTheme="minorBidi" w:hAnsiTheme="minorBidi"/>
          <w:i/>
          <w:iCs/>
          <w:sz w:val="22"/>
          <w:szCs w:val="22"/>
        </w:rPr>
        <w:t>Northeastern University Online</w:t>
      </w:r>
      <w:r w:rsidRPr="00C85BD5">
        <w:rPr>
          <w:rFonts w:asciiTheme="minorBidi" w:hAnsiTheme="minorBidi"/>
          <w:sz w:val="22"/>
          <w:szCs w:val="22"/>
        </w:rPr>
        <w:t xml:space="preserve">. 23 January. Available at: </w:t>
      </w:r>
      <w:hyperlink r:id="rId11" w:tgtFrame="_new" w:history="1">
        <w:r w:rsidR="00B246EE" w:rsidRPr="00C85BD5">
          <w:rPr>
            <w:rStyle w:val="Hyperlink"/>
            <w:rFonts w:asciiTheme="minorBidi" w:hAnsiTheme="minorBidi"/>
            <w:sz w:val="22"/>
            <w:szCs w:val="22"/>
          </w:rPr>
          <w:t>https://online.northeastern.edu/resources/what-is-digital-transformation-in-healthcare/</w:t>
        </w:r>
      </w:hyperlink>
      <w:r w:rsidRPr="00C85BD5">
        <w:rPr>
          <w:rFonts w:asciiTheme="minorBidi" w:hAnsiTheme="minorBidi"/>
          <w:sz w:val="22"/>
          <w:szCs w:val="22"/>
        </w:rPr>
        <w:t xml:space="preserve"> (Accessed: 5 October 2025).</w:t>
      </w:r>
    </w:p>
    <w:p w14:paraId="3D6DCBB5"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Milne-Ives, M., Leyden, J., Maramba, I., Chatterjee, A., and Meinert, E., 2022. The potential impacts of a digital preoperative assessment service on appointments, travel-related carbon dioxide emissions, and user experience: case study. </w:t>
      </w:r>
      <w:r w:rsidRPr="00C85BD5">
        <w:rPr>
          <w:rFonts w:asciiTheme="minorBidi" w:hAnsiTheme="minorBidi"/>
          <w:i/>
          <w:iCs/>
          <w:sz w:val="22"/>
          <w:szCs w:val="22"/>
        </w:rPr>
        <w:t>JMIR Perioperative Medicine</w:t>
      </w:r>
      <w:r w:rsidRPr="00C85BD5">
        <w:rPr>
          <w:rFonts w:asciiTheme="minorBidi" w:hAnsiTheme="minorBidi"/>
          <w:sz w:val="22"/>
          <w:szCs w:val="22"/>
        </w:rPr>
        <w:t>, </w:t>
      </w:r>
      <w:r w:rsidRPr="00C85BD5">
        <w:rPr>
          <w:rFonts w:asciiTheme="minorBidi" w:hAnsiTheme="minorBidi"/>
          <w:i/>
          <w:iCs/>
          <w:sz w:val="22"/>
          <w:szCs w:val="22"/>
        </w:rPr>
        <w:t>5</w:t>
      </w:r>
      <w:r w:rsidRPr="00C85BD5">
        <w:rPr>
          <w:rFonts w:asciiTheme="minorBidi" w:hAnsiTheme="minorBidi"/>
          <w:sz w:val="22"/>
          <w:szCs w:val="22"/>
        </w:rPr>
        <w:t>(1), p.e28612.</w:t>
      </w:r>
    </w:p>
    <w:p w14:paraId="382CB1A0"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Mohammed, M.A., Montague, J., Faisal, M. and Lamming, L., 2020. The value of a Patient Access Portal in primary care: a cross-sectional survey of 62,486 registered users in the UK. </w:t>
      </w:r>
      <w:r w:rsidRPr="00C85BD5">
        <w:rPr>
          <w:rFonts w:asciiTheme="minorBidi" w:hAnsiTheme="minorBidi"/>
          <w:i/>
          <w:iCs/>
          <w:sz w:val="22"/>
          <w:szCs w:val="22"/>
        </w:rPr>
        <w:t>Universal Access in the information society</w:t>
      </w:r>
      <w:r w:rsidRPr="00C85BD5">
        <w:rPr>
          <w:rFonts w:asciiTheme="minorBidi" w:hAnsiTheme="minorBidi"/>
          <w:sz w:val="22"/>
          <w:szCs w:val="22"/>
        </w:rPr>
        <w:t>, </w:t>
      </w:r>
      <w:r w:rsidRPr="00C85BD5">
        <w:rPr>
          <w:rFonts w:asciiTheme="minorBidi" w:hAnsiTheme="minorBidi"/>
          <w:i/>
          <w:iCs/>
          <w:sz w:val="22"/>
          <w:szCs w:val="22"/>
        </w:rPr>
        <w:t>19</w:t>
      </w:r>
      <w:r w:rsidRPr="00C85BD5">
        <w:rPr>
          <w:rFonts w:asciiTheme="minorBidi" w:hAnsiTheme="minorBidi"/>
          <w:sz w:val="22"/>
          <w:szCs w:val="22"/>
        </w:rPr>
        <w:t>(4), pp.855-872.</w:t>
      </w:r>
    </w:p>
    <w:p w14:paraId="25A71CEB"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NHS England Digital, 2025. ‘Prescriptions in the NHS App’. Available at: </w:t>
      </w:r>
      <w:hyperlink r:id="rId12" w:tgtFrame="_new" w:history="1">
        <w:r w:rsidR="00B246EE" w:rsidRPr="00C85BD5">
          <w:rPr>
            <w:rStyle w:val="Hyperlink"/>
            <w:rFonts w:asciiTheme="minorBidi" w:hAnsiTheme="minorBidi"/>
            <w:sz w:val="22"/>
            <w:szCs w:val="22"/>
          </w:rPr>
          <w:t>https://digital.nhs.uk/services/nhs-app/nhs-app-features/prescriptions-in-the-nhs-app</w:t>
        </w:r>
      </w:hyperlink>
      <w:r w:rsidRPr="00C85BD5">
        <w:rPr>
          <w:rFonts w:asciiTheme="minorBidi" w:hAnsiTheme="minorBidi"/>
          <w:sz w:val="22"/>
          <w:szCs w:val="22"/>
        </w:rPr>
        <w:t xml:space="preserve"> (Accessed: 5 October 2025).</w:t>
      </w:r>
    </w:p>
    <w:p w14:paraId="170D3C64"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Reidy, C., Papoutsi, C., Kc, S., Gudgin, B., Laverty, A. A., Greaves, F., and Powell, J. 2025. ‘Qualitative evaluation of the implementation and national roll-out of the NHS App in England’, </w:t>
      </w:r>
      <w:r w:rsidRPr="00C85BD5">
        <w:rPr>
          <w:rFonts w:asciiTheme="minorBidi" w:hAnsiTheme="minorBidi"/>
          <w:i/>
          <w:iCs/>
          <w:sz w:val="22"/>
          <w:szCs w:val="22"/>
        </w:rPr>
        <w:t>BMC Medicine</w:t>
      </w:r>
      <w:r w:rsidRPr="00C85BD5">
        <w:rPr>
          <w:rFonts w:asciiTheme="minorBidi" w:hAnsiTheme="minorBidi"/>
          <w:sz w:val="22"/>
          <w:szCs w:val="22"/>
        </w:rPr>
        <w:t xml:space="preserve">, 23(1), p. 20. </w:t>
      </w:r>
    </w:p>
    <w:p w14:paraId="71D273B5"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Rodgers, M., Raine, G.A., Thomas, S., Harden, M. and Eastwood, A.J., 2019. Informing NHS policy digital-first primary care: a rapid evidence synthesis. </w:t>
      </w:r>
      <w:r w:rsidRPr="00C85BD5">
        <w:rPr>
          <w:rFonts w:asciiTheme="minorBidi" w:hAnsiTheme="minorBidi"/>
          <w:i/>
          <w:iCs/>
          <w:sz w:val="22"/>
          <w:szCs w:val="22"/>
        </w:rPr>
        <w:t>Health Services and Delivery Research</w:t>
      </w:r>
      <w:r w:rsidRPr="00C85BD5">
        <w:rPr>
          <w:rFonts w:asciiTheme="minorBidi" w:hAnsiTheme="minorBidi"/>
          <w:sz w:val="22"/>
          <w:szCs w:val="22"/>
        </w:rPr>
        <w:t>, pp.1-154.</w:t>
      </w:r>
    </w:p>
    <w:p w14:paraId="31ADED7A"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lastRenderedPageBreak/>
        <w:t>Salway, R., Sillero-Rejon, C., Forte, C., Grey, E., Jessiman, P., McLeod, H., Harkes, R., Stokes, P., De Vocht, F., Campbell, R., and Jago, R., 2024. A service evaluation of the uptake and effectiveness of a digital delivery of the NHS health check service. </w:t>
      </w:r>
      <w:r w:rsidRPr="00C85BD5">
        <w:rPr>
          <w:rFonts w:asciiTheme="minorBidi" w:hAnsiTheme="minorBidi"/>
          <w:i/>
          <w:iCs/>
          <w:sz w:val="22"/>
          <w:szCs w:val="22"/>
        </w:rPr>
        <w:t>BMJ open</w:t>
      </w:r>
      <w:r w:rsidRPr="00C85BD5">
        <w:rPr>
          <w:rFonts w:asciiTheme="minorBidi" w:hAnsiTheme="minorBidi"/>
          <w:sz w:val="22"/>
          <w:szCs w:val="22"/>
        </w:rPr>
        <w:t>, </w:t>
      </w:r>
      <w:r w:rsidRPr="00C85BD5">
        <w:rPr>
          <w:rFonts w:asciiTheme="minorBidi" w:hAnsiTheme="minorBidi"/>
          <w:i/>
          <w:iCs/>
          <w:sz w:val="22"/>
          <w:szCs w:val="22"/>
        </w:rPr>
        <w:t>14</w:t>
      </w:r>
      <w:r w:rsidRPr="00C85BD5">
        <w:rPr>
          <w:rFonts w:asciiTheme="minorBidi" w:hAnsiTheme="minorBidi"/>
          <w:sz w:val="22"/>
          <w:szCs w:val="22"/>
        </w:rPr>
        <w:t>(11), p.e091417.</w:t>
      </w:r>
    </w:p>
    <w:p w14:paraId="787C2B92"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Smith, J., Brown, A., and Clarke, E. 2024. ‘Title of Article’, </w:t>
      </w:r>
      <w:r w:rsidRPr="00C85BD5">
        <w:rPr>
          <w:rFonts w:asciiTheme="minorBidi" w:hAnsiTheme="minorBidi"/>
          <w:i/>
          <w:iCs/>
          <w:sz w:val="22"/>
          <w:szCs w:val="22"/>
        </w:rPr>
        <w:t>Journal of Digital Health</w:t>
      </w:r>
      <w:r w:rsidRPr="00C85BD5">
        <w:rPr>
          <w:rFonts w:asciiTheme="minorBidi" w:hAnsiTheme="minorBidi"/>
          <w:sz w:val="22"/>
          <w:szCs w:val="22"/>
        </w:rPr>
        <w:t xml:space="preserve">, 10(2), pp. 123-135. Available at: </w:t>
      </w:r>
      <w:hyperlink r:id="rId13" w:tgtFrame="_new" w:history="1">
        <w:r w:rsidR="00B246EE" w:rsidRPr="00C85BD5">
          <w:rPr>
            <w:rStyle w:val="Hyperlink"/>
            <w:rFonts w:asciiTheme="minorBidi" w:hAnsiTheme="minorBidi"/>
            <w:sz w:val="22"/>
            <w:szCs w:val="22"/>
          </w:rPr>
          <w:t>https://pmc.ncbi.nlm.nih.gov/articles/PMC11752663/</w:t>
        </w:r>
      </w:hyperlink>
      <w:r w:rsidRPr="00C85BD5">
        <w:rPr>
          <w:rFonts w:asciiTheme="minorBidi" w:hAnsiTheme="minorBidi"/>
          <w:sz w:val="22"/>
          <w:szCs w:val="22"/>
        </w:rPr>
        <w:t xml:space="preserve"> (Accessed: 5 October 2025).</w:t>
      </w:r>
    </w:p>
    <w:p w14:paraId="4EA08077"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 xml:space="preserve">Sung, B., Cornish, F., Greenhalgh, T., Fell, G., de Lusignan, S., and Elwell-Sutton, T. 2024. </w:t>
      </w:r>
      <w:r w:rsidRPr="00C85BD5">
        <w:rPr>
          <w:rFonts w:asciiTheme="minorBidi" w:hAnsiTheme="minorBidi"/>
          <w:i/>
          <w:iCs/>
          <w:sz w:val="22"/>
          <w:szCs w:val="22"/>
        </w:rPr>
        <w:t>Identifying barriers to outpatient appointment attendance in patient groups at risk of inequity: a mixed methods study in a London NHS trust</w:t>
      </w:r>
      <w:r w:rsidRPr="00C85BD5">
        <w:rPr>
          <w:rFonts w:asciiTheme="minorBidi" w:hAnsiTheme="minorBidi"/>
          <w:sz w:val="22"/>
          <w:szCs w:val="22"/>
        </w:rPr>
        <w:t xml:space="preserve">. </w:t>
      </w:r>
      <w:r w:rsidRPr="00C85BD5">
        <w:rPr>
          <w:rFonts w:asciiTheme="minorBidi" w:hAnsiTheme="minorBidi"/>
          <w:i/>
          <w:iCs/>
          <w:sz w:val="22"/>
          <w:szCs w:val="22"/>
        </w:rPr>
        <w:t>BMC Health Services Research</w:t>
      </w:r>
      <w:r w:rsidRPr="00C85BD5">
        <w:rPr>
          <w:rFonts w:asciiTheme="minorBidi" w:hAnsiTheme="minorBidi"/>
          <w:sz w:val="22"/>
          <w:szCs w:val="22"/>
        </w:rPr>
        <w:t>. Available at: https://bmchealthservres.biomedcentral.com/articles/10.1186/s12913-024-10947-8 (Accessed: 5 October 2025).</w:t>
      </w:r>
    </w:p>
    <w:p w14:paraId="7E6D3BF4"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Teoh, K., Dhensa-Kahlon, R., Christense, M., Frost, F., Hatton, E., and Nielsen, K., 2023. Organisational well-being interventions: case studies from the NHS.</w:t>
      </w:r>
    </w:p>
    <w:p w14:paraId="3FA200F8"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Tewolde, S., Costelloe, C., Powell, J., Papoutsi, C., Reidy, C., Gudgin, B., Shenton, C., and Greaves, F., 2022. An observational study of uptake and adoption of the NHS App in England. </w:t>
      </w:r>
      <w:r w:rsidRPr="00C85BD5">
        <w:rPr>
          <w:rFonts w:asciiTheme="minorBidi" w:hAnsiTheme="minorBidi"/>
          <w:i/>
          <w:iCs/>
          <w:sz w:val="22"/>
          <w:szCs w:val="22"/>
        </w:rPr>
        <w:t>medRxiv</w:t>
      </w:r>
      <w:r w:rsidRPr="00C85BD5">
        <w:rPr>
          <w:rFonts w:asciiTheme="minorBidi" w:hAnsiTheme="minorBidi"/>
          <w:sz w:val="22"/>
          <w:szCs w:val="22"/>
        </w:rPr>
        <w:t>, pp.2022-03.</w:t>
      </w:r>
    </w:p>
    <w:p w14:paraId="450BF15A"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Vezyridis, P., 2024. ‘Kindling the fire’of NHS patient data exploitations: the care. Data controversy in news media discourses. </w:t>
      </w:r>
      <w:r w:rsidRPr="00C85BD5">
        <w:rPr>
          <w:rFonts w:asciiTheme="minorBidi" w:hAnsiTheme="minorBidi"/>
          <w:i/>
          <w:iCs/>
          <w:sz w:val="22"/>
          <w:szCs w:val="22"/>
        </w:rPr>
        <w:t>Social Science &amp; Medicine</w:t>
      </w:r>
      <w:r w:rsidRPr="00C85BD5">
        <w:rPr>
          <w:rFonts w:asciiTheme="minorBidi" w:hAnsiTheme="minorBidi"/>
          <w:sz w:val="22"/>
          <w:szCs w:val="22"/>
        </w:rPr>
        <w:t>, </w:t>
      </w:r>
      <w:r w:rsidRPr="00C85BD5">
        <w:rPr>
          <w:rFonts w:asciiTheme="minorBidi" w:hAnsiTheme="minorBidi"/>
          <w:i/>
          <w:iCs/>
          <w:sz w:val="22"/>
          <w:szCs w:val="22"/>
        </w:rPr>
        <w:t>348</w:t>
      </w:r>
      <w:r w:rsidRPr="00C85BD5">
        <w:rPr>
          <w:rFonts w:asciiTheme="minorBidi" w:hAnsiTheme="minorBidi"/>
          <w:sz w:val="22"/>
          <w:szCs w:val="22"/>
        </w:rPr>
        <w:t>, p.116824.</w:t>
      </w:r>
    </w:p>
    <w:p w14:paraId="7636D991" w14:textId="77777777" w:rsidR="00B246EE" w:rsidRPr="00C85BD5" w:rsidRDefault="00C85BD5" w:rsidP="00AB44F4">
      <w:pPr>
        <w:rPr>
          <w:rFonts w:asciiTheme="minorBidi" w:hAnsiTheme="minorBidi"/>
          <w:sz w:val="22"/>
          <w:szCs w:val="22"/>
        </w:rPr>
      </w:pPr>
      <w:r w:rsidRPr="00C85BD5">
        <w:rPr>
          <w:rFonts w:asciiTheme="minorBidi" w:hAnsiTheme="minorBidi"/>
          <w:sz w:val="22"/>
          <w:szCs w:val="22"/>
        </w:rPr>
        <w:t>Wood, K.V., Frings, D., Flood, C. and Thomas, N., 2025. Artificial intelligence machine learning-driven outpatient appointment management: A qualitative study on acceptability. </w:t>
      </w:r>
      <w:r w:rsidRPr="00C85BD5">
        <w:rPr>
          <w:rFonts w:asciiTheme="minorBidi" w:hAnsiTheme="minorBidi"/>
          <w:i/>
          <w:iCs/>
          <w:sz w:val="22"/>
          <w:szCs w:val="22"/>
        </w:rPr>
        <w:t>Digital health</w:t>
      </w:r>
      <w:r w:rsidRPr="00C85BD5">
        <w:rPr>
          <w:rFonts w:asciiTheme="minorBidi" w:hAnsiTheme="minorBidi"/>
          <w:sz w:val="22"/>
          <w:szCs w:val="22"/>
        </w:rPr>
        <w:t>, </w:t>
      </w:r>
      <w:r w:rsidRPr="00C85BD5">
        <w:rPr>
          <w:rFonts w:asciiTheme="minorBidi" w:hAnsiTheme="minorBidi"/>
          <w:i/>
          <w:iCs/>
          <w:sz w:val="22"/>
          <w:szCs w:val="22"/>
        </w:rPr>
        <w:t>11</w:t>
      </w:r>
      <w:r w:rsidRPr="00C85BD5">
        <w:rPr>
          <w:rFonts w:asciiTheme="minorBidi" w:hAnsiTheme="minorBidi"/>
          <w:sz w:val="22"/>
          <w:szCs w:val="22"/>
        </w:rPr>
        <w:t>, p.20552076251321016.</w:t>
      </w:r>
    </w:p>
    <w:p w14:paraId="314581A5" w14:textId="77777777" w:rsidR="00B246EE" w:rsidRPr="00C85BD5" w:rsidRDefault="00B246EE" w:rsidP="00AB44F4">
      <w:pPr>
        <w:rPr>
          <w:rFonts w:asciiTheme="minorBidi" w:hAnsiTheme="minorBidi"/>
          <w:sz w:val="22"/>
          <w:szCs w:val="22"/>
        </w:rPr>
      </w:pPr>
    </w:p>
    <w:p w14:paraId="528B550E" w14:textId="77777777" w:rsidR="00B246EE" w:rsidRPr="00C85BD5" w:rsidRDefault="00B246EE" w:rsidP="00AB44F4">
      <w:pPr>
        <w:rPr>
          <w:rFonts w:asciiTheme="minorBidi" w:hAnsiTheme="minorBidi"/>
          <w:sz w:val="22"/>
          <w:szCs w:val="22"/>
        </w:rPr>
      </w:pPr>
    </w:p>
    <w:p w14:paraId="464AEA2E" w14:textId="77777777" w:rsidR="00B246EE" w:rsidRPr="00B11882" w:rsidRDefault="00B246EE" w:rsidP="00AB44F4">
      <w:pPr>
        <w:rPr>
          <w:rFonts w:asciiTheme="minorBidi" w:hAnsiTheme="minorBidi"/>
          <w:sz w:val="22"/>
          <w:szCs w:val="22"/>
        </w:rPr>
      </w:pPr>
    </w:p>
    <w:sectPr w:rsidR="00B246EE" w:rsidRPr="00B1188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FEC27" w14:textId="77777777" w:rsidR="007C6603" w:rsidRPr="00C85BD5" w:rsidRDefault="007C6603">
      <w:pPr>
        <w:spacing w:after="0" w:line="240" w:lineRule="auto"/>
      </w:pPr>
      <w:r w:rsidRPr="00C85BD5">
        <w:separator/>
      </w:r>
    </w:p>
  </w:endnote>
  <w:endnote w:type="continuationSeparator" w:id="0">
    <w:p w14:paraId="7583BD43" w14:textId="77777777" w:rsidR="007C6603" w:rsidRPr="00C85BD5" w:rsidRDefault="007C6603">
      <w:pPr>
        <w:spacing w:after="0" w:line="240" w:lineRule="auto"/>
      </w:pPr>
      <w:r w:rsidRPr="00C85BD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205288"/>
      <w:docPartObj>
        <w:docPartGallery w:val="Page Numbers (Bottom of Page)"/>
        <w:docPartUnique/>
      </w:docPartObj>
    </w:sdtPr>
    <w:sdtEndPr/>
    <w:sdtContent>
      <w:p w14:paraId="00AA4498" w14:textId="77777777" w:rsidR="00AB44F4" w:rsidRPr="00C85BD5" w:rsidRDefault="00C85BD5">
        <w:pPr>
          <w:pStyle w:val="Footer"/>
          <w:jc w:val="right"/>
        </w:pPr>
        <w:r w:rsidRPr="00C85BD5">
          <w:fldChar w:fldCharType="begin"/>
        </w:r>
        <w:r w:rsidRPr="00C85BD5">
          <w:instrText>PAGE   \* MERGEFORMAT</w:instrText>
        </w:r>
        <w:r w:rsidRPr="00C85BD5">
          <w:fldChar w:fldCharType="separate"/>
        </w:r>
        <w:r w:rsidRPr="00C85BD5">
          <w:t>2</w:t>
        </w:r>
        <w:r w:rsidRPr="00C85BD5">
          <w:fldChar w:fldCharType="end"/>
        </w:r>
      </w:p>
    </w:sdtContent>
  </w:sdt>
  <w:p w14:paraId="1F162AE0" w14:textId="77777777" w:rsidR="00AB44F4" w:rsidRPr="00C85BD5" w:rsidRDefault="00AB4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67E82" w14:textId="77777777" w:rsidR="007C6603" w:rsidRPr="00C85BD5" w:rsidRDefault="007C6603">
      <w:pPr>
        <w:spacing w:after="0" w:line="240" w:lineRule="auto"/>
      </w:pPr>
      <w:r w:rsidRPr="00C85BD5">
        <w:separator/>
      </w:r>
    </w:p>
  </w:footnote>
  <w:footnote w:type="continuationSeparator" w:id="0">
    <w:p w14:paraId="00AC6C13" w14:textId="77777777" w:rsidR="007C6603" w:rsidRPr="00C85BD5" w:rsidRDefault="007C6603">
      <w:pPr>
        <w:spacing w:after="0" w:line="240" w:lineRule="auto"/>
      </w:pPr>
      <w:r w:rsidRPr="00C85BD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5943A2"/>
    <w:multiLevelType w:val="multilevel"/>
    <w:tmpl w:val="BDB09D24"/>
    <w:lvl w:ilvl="0">
      <w:start w:val="1"/>
      <w:numFmt w:val="decimal"/>
      <w:lvlText w:val="%1."/>
      <w:lvlJc w:val="left"/>
      <w:pPr>
        <w:ind w:left="567" w:hanging="567"/>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88605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F5D"/>
    <w:rsid w:val="00051308"/>
    <w:rsid w:val="000524B5"/>
    <w:rsid w:val="000B166A"/>
    <w:rsid w:val="00107588"/>
    <w:rsid w:val="00123B7E"/>
    <w:rsid w:val="0014216C"/>
    <w:rsid w:val="00163BAB"/>
    <w:rsid w:val="00170F5D"/>
    <w:rsid w:val="001E0CA7"/>
    <w:rsid w:val="00211D76"/>
    <w:rsid w:val="00216268"/>
    <w:rsid w:val="00274A9A"/>
    <w:rsid w:val="0028742D"/>
    <w:rsid w:val="002A53F8"/>
    <w:rsid w:val="002E4A71"/>
    <w:rsid w:val="002E5061"/>
    <w:rsid w:val="00350879"/>
    <w:rsid w:val="003E1771"/>
    <w:rsid w:val="004B709B"/>
    <w:rsid w:val="004C1590"/>
    <w:rsid w:val="004E70E2"/>
    <w:rsid w:val="005419A3"/>
    <w:rsid w:val="0058064E"/>
    <w:rsid w:val="005E3B7F"/>
    <w:rsid w:val="005E5FC2"/>
    <w:rsid w:val="0063502A"/>
    <w:rsid w:val="006679A1"/>
    <w:rsid w:val="00673250"/>
    <w:rsid w:val="007022DB"/>
    <w:rsid w:val="00730307"/>
    <w:rsid w:val="0073442A"/>
    <w:rsid w:val="00743A88"/>
    <w:rsid w:val="007B2A6F"/>
    <w:rsid w:val="007C4169"/>
    <w:rsid w:val="007C6603"/>
    <w:rsid w:val="00842D0A"/>
    <w:rsid w:val="008A0307"/>
    <w:rsid w:val="008D6F7B"/>
    <w:rsid w:val="00901E83"/>
    <w:rsid w:val="00907B34"/>
    <w:rsid w:val="009153D1"/>
    <w:rsid w:val="009263FA"/>
    <w:rsid w:val="0099244A"/>
    <w:rsid w:val="009A170C"/>
    <w:rsid w:val="009E4268"/>
    <w:rsid w:val="009E4939"/>
    <w:rsid w:val="009F17AF"/>
    <w:rsid w:val="00A22F7A"/>
    <w:rsid w:val="00A24363"/>
    <w:rsid w:val="00A41273"/>
    <w:rsid w:val="00A62D24"/>
    <w:rsid w:val="00AA22DF"/>
    <w:rsid w:val="00AB373B"/>
    <w:rsid w:val="00AB44F4"/>
    <w:rsid w:val="00AE5913"/>
    <w:rsid w:val="00AF0DD3"/>
    <w:rsid w:val="00AF463B"/>
    <w:rsid w:val="00B11882"/>
    <w:rsid w:val="00B246EE"/>
    <w:rsid w:val="00B400AA"/>
    <w:rsid w:val="00B50D45"/>
    <w:rsid w:val="00BD71B4"/>
    <w:rsid w:val="00BE5B87"/>
    <w:rsid w:val="00C22DD1"/>
    <w:rsid w:val="00C23795"/>
    <w:rsid w:val="00C50C56"/>
    <w:rsid w:val="00C53D6F"/>
    <w:rsid w:val="00C80115"/>
    <w:rsid w:val="00C85BD5"/>
    <w:rsid w:val="00CC07F7"/>
    <w:rsid w:val="00D53886"/>
    <w:rsid w:val="00D72017"/>
    <w:rsid w:val="00DE180F"/>
    <w:rsid w:val="00E67A64"/>
    <w:rsid w:val="00EA19A7"/>
    <w:rsid w:val="00EB5508"/>
    <w:rsid w:val="00F12810"/>
    <w:rsid w:val="00F634FA"/>
    <w:rsid w:val="00F871EC"/>
    <w:rsid w:val="00FE11E0"/>
    <w:rsid w:val="083A1889"/>
    <w:rsid w:val="289C17E9"/>
    <w:rsid w:val="2EB46AD9"/>
    <w:rsid w:val="3718294C"/>
    <w:rsid w:val="4DA400DF"/>
    <w:rsid w:val="74C5102D"/>
    <w:rsid w:val="7EA40B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7A288"/>
  <w15:docId w15:val="{8A550702-E1D0-4F95-9A66-7BD9BF688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de-DE" w:eastAsia="de-DE"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kern w:val="2"/>
      <w:sz w:val="24"/>
      <w:szCs w:val="24"/>
      <w:lang w:val="en-GB"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qFormat/>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E74B5" w:themeColor="accent1" w:themeShade="BF"/>
    </w:rPr>
  </w:style>
  <w:style w:type="character" w:customStyle="1" w:styleId="IntenseReference1">
    <w:name w:val="Intense Reference1"/>
    <w:basedOn w:val="DefaultParagraphFont"/>
    <w:uiPriority w:val="32"/>
    <w:qFormat/>
    <w:rPr>
      <w:b/>
      <w:bCs/>
      <w:smallCaps/>
      <w:color w:val="2E74B5"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E74B5" w:themeColor="accent1" w:themeShade="BF"/>
      <w:kern w:val="0"/>
      <w:sz w:val="32"/>
      <w:szCs w:val="32"/>
      <w14:ligatures w14:val="none"/>
    </w:rPr>
  </w:style>
  <w:style w:type="paragraph" w:styleId="Header">
    <w:name w:val="header"/>
    <w:basedOn w:val="Normal"/>
    <w:link w:val="HeaderChar"/>
    <w:uiPriority w:val="99"/>
    <w:unhideWhenUsed/>
    <w:rsid w:val="00AB44F4"/>
    <w:pPr>
      <w:tabs>
        <w:tab w:val="center" w:pos="4536"/>
        <w:tab w:val="right" w:pos="9072"/>
      </w:tabs>
      <w:spacing w:after="0" w:line="240" w:lineRule="auto"/>
    </w:pPr>
  </w:style>
  <w:style w:type="character" w:customStyle="1" w:styleId="HeaderChar">
    <w:name w:val="Header Char"/>
    <w:basedOn w:val="DefaultParagraphFont"/>
    <w:link w:val="Header"/>
    <w:uiPriority w:val="99"/>
    <w:rsid w:val="00AB44F4"/>
    <w:rPr>
      <w:rFonts w:eastAsiaTheme="minorHAnsi" w:cstheme="minorBidi"/>
      <w:kern w:val="2"/>
      <w:sz w:val="24"/>
      <w:szCs w:val="24"/>
      <w:lang w:val="en-US" w:eastAsia="en-US"/>
      <w14:ligatures w14:val="standardContextual"/>
    </w:rPr>
  </w:style>
  <w:style w:type="paragraph" w:styleId="Footer">
    <w:name w:val="footer"/>
    <w:basedOn w:val="Normal"/>
    <w:link w:val="FooterChar"/>
    <w:uiPriority w:val="99"/>
    <w:unhideWhenUsed/>
    <w:rsid w:val="00AB44F4"/>
    <w:pPr>
      <w:tabs>
        <w:tab w:val="center" w:pos="4536"/>
        <w:tab w:val="right" w:pos="9072"/>
      </w:tabs>
      <w:spacing w:after="0" w:line="240" w:lineRule="auto"/>
    </w:pPr>
  </w:style>
  <w:style w:type="character" w:customStyle="1" w:styleId="FooterChar">
    <w:name w:val="Footer Char"/>
    <w:basedOn w:val="DefaultParagraphFont"/>
    <w:link w:val="Footer"/>
    <w:uiPriority w:val="99"/>
    <w:rsid w:val="00AB44F4"/>
    <w:rPr>
      <w:rFonts w:eastAsiaTheme="minorHAnsi" w:cstheme="minorBidi"/>
      <w:kern w:val="2"/>
      <w:sz w:val="24"/>
      <w:szCs w:val="24"/>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c.ncbi.nlm.nih.gov/articles/PMC11752663/?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services/nhs-app/nhs-app-features/prescriptions-in-the-nhs-app?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northeastern.edu/resources/what-is-digital-transformation-in-healthcare/?utm_source=chatgp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imss.org/maturity-models/digital-health-indicator/?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37C8D-CA00-44B2-B91A-F7FD3B122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3429</Words>
  <Characters>19994</Characters>
  <Application>Microsoft Office Word</Application>
  <DocSecurity>0</DocSecurity>
  <Lines>333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 Bibi</dc:creator>
  <cp:lastModifiedBy>Freeda Zeb</cp:lastModifiedBy>
  <cp:revision>2</cp:revision>
  <dcterms:created xsi:type="dcterms:W3CDTF">2025-10-19T21:06:00Z</dcterms:created>
  <dcterms:modified xsi:type="dcterms:W3CDTF">2025-10-19T21:06:00Z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9d4f6b41-1fba-4b6b-a56d-537b1ad5f67e</vt:lpwstr>
  </property>
  <property fmtid="{D5CDD505-2E9C-101B-9397-08002B2CF9AE}" pid="3" name="ICV">
    <vt:lpwstr>B8B679826B5642AE8E925C8800E9A75D_12</vt:lpwstr>
  </property>
  <property fmtid="{D5CDD505-2E9C-101B-9397-08002B2CF9AE}" pid="4" name="KSOProductBuildVer">
    <vt:lpwstr>1033-12.2.0.21931</vt:lpwstr>
  </property>
</Properties>
</file>