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048115" w14:textId="7B31B86D" w:rsidR="000B2224" w:rsidRDefault="005C2781" w:rsidP="005C2781">
      <w:pPr>
        <w:jc w:val="center"/>
        <w:rPr>
          <w:rFonts w:ascii="Arial" w:hAnsi="Arial" w:cs="Arial"/>
          <w:sz w:val="28"/>
          <w:szCs w:val="28"/>
          <w:u w:val="single"/>
        </w:rPr>
      </w:pPr>
      <w:r w:rsidRPr="005C2781">
        <w:rPr>
          <w:rFonts w:ascii="Arial" w:hAnsi="Arial" w:cs="Arial"/>
          <w:sz w:val="28"/>
          <w:szCs w:val="28"/>
          <w:u w:val="single"/>
        </w:rPr>
        <w:t>Media and Digital Literacy</w:t>
      </w:r>
    </w:p>
    <w:p w14:paraId="3D7D354B" w14:textId="0EB16D22" w:rsidR="005C2781" w:rsidRDefault="005C2781" w:rsidP="005C2781">
      <w:pPr>
        <w:rPr>
          <w:rFonts w:ascii="Arial" w:hAnsi="Arial" w:cs="Arial"/>
          <w:sz w:val="24"/>
          <w:szCs w:val="24"/>
          <w:u w:val="single"/>
        </w:rPr>
      </w:pPr>
      <w:r>
        <w:rPr>
          <w:rFonts w:ascii="Arial" w:hAnsi="Arial" w:cs="Arial"/>
          <w:sz w:val="24"/>
          <w:szCs w:val="24"/>
          <w:u w:val="single"/>
        </w:rPr>
        <w:t xml:space="preserve">Part One- </w:t>
      </w:r>
    </w:p>
    <w:p w14:paraId="302596BF" w14:textId="77777777" w:rsidR="00E87863"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According to the work of Heitin (2016) Literacy is commonly referred to as reading and writing. However, Heitin (2016) expands on this and states that when the word digital is placed in front, becoming Digital Literacy, the word encompasses greater meaning. Whereas reading and writing is still centre to this term Heitin (2016) explains that the new and continuously changing way technology is used throughout the world, Digital Literacy continues to add skills and knowledge, ranging from online communication to the ability to online reading. According to the Business Dictionary (2020), Media is explained as the multiple communication channels in which news, entertainment, education, </w:t>
      </w:r>
      <w:r w:rsidR="007D0B32" w:rsidRPr="005C2781">
        <w:rPr>
          <w:rFonts w:ascii="Arial" w:hAnsi="Arial" w:cs="Arial"/>
          <w:sz w:val="24"/>
          <w:szCs w:val="24"/>
        </w:rPr>
        <w:t>data,</w:t>
      </w:r>
      <w:r w:rsidRPr="005C2781">
        <w:rPr>
          <w:rFonts w:ascii="Arial" w:hAnsi="Arial" w:cs="Arial"/>
          <w:sz w:val="24"/>
          <w:szCs w:val="24"/>
        </w:rPr>
        <w:t xml:space="preserve"> and promotional messages are shared. In the work of Johnston, </w:t>
      </w:r>
      <w:r w:rsidR="007D0B32" w:rsidRPr="005C2781">
        <w:rPr>
          <w:rFonts w:ascii="Arial" w:hAnsi="Arial" w:cs="Arial"/>
          <w:sz w:val="24"/>
          <w:szCs w:val="24"/>
        </w:rPr>
        <w:t>Highfield,</w:t>
      </w:r>
      <w:r w:rsidRPr="005C2781">
        <w:rPr>
          <w:rFonts w:ascii="Arial" w:hAnsi="Arial" w:cs="Arial"/>
          <w:sz w:val="24"/>
          <w:szCs w:val="24"/>
        </w:rPr>
        <w:t xml:space="preserve"> and Hadley (2018) it is outlined that the use and understanding of technology within today’s contemporary society is a ‘significant cultural tool’ in a child’s life.</w:t>
      </w:r>
    </w:p>
    <w:p w14:paraId="53637176" w14:textId="77777777" w:rsidR="00E3696F"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Nikolopoulou and Gialamas (2015) explain that children have wide access to a broad range of technologies, including the opportunity to observe different individuals using technology as a key everyday resource. Adding to this, Rogoff (1995) backed up with the work of Nikolopoulou and Gialamas (2015) suggest that the use of technology has become a cultural tool with the significance of supplying the understanding of the world. While this research encourages the importance of technology and media within children’s lives, Gibbsons (2015) explains that the misunderstanding of new technology in relation to early childhood is due to the fast-paced changes within short timeframes, however Gibbson (2015) explains that this is not a new phenomenon. Gibbson (2015) expand on this and suggests that children should be encouraged and taught to have the ability to incorporate technology into their everyday lives, rather than construct ‘broader beliefs, </w:t>
      </w:r>
      <w:r w:rsidR="00EC515F" w:rsidRPr="005C2781">
        <w:rPr>
          <w:rFonts w:ascii="Arial" w:hAnsi="Arial" w:cs="Arial"/>
          <w:sz w:val="24"/>
          <w:szCs w:val="24"/>
        </w:rPr>
        <w:t>conceptualisations,</w:t>
      </w:r>
      <w:r w:rsidRPr="005C2781">
        <w:rPr>
          <w:rFonts w:ascii="Arial" w:hAnsi="Arial" w:cs="Arial"/>
          <w:sz w:val="24"/>
          <w:szCs w:val="24"/>
        </w:rPr>
        <w:t xml:space="preserve"> and understandings’ of new technologies. </w:t>
      </w:r>
    </w:p>
    <w:p w14:paraId="093B7A1B" w14:textId="4178D3D5" w:rsidR="005C2781" w:rsidRPr="005C2781"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Fred Rogers (2012) encourage the use of using digital devices, as suggested that the curriculums foster children’s development to grow into digital citizens. The work of Aldhafeeri, Palaiologou and Flolrunsho (2016) discovered that the negative opinions surrounding children becoming ‘digital citizens’ often stem from older generations with acquired understanding and slimmer experiences within the digital world. Aldhafeeri, </w:t>
      </w:r>
      <w:r w:rsidRPr="005C2781">
        <w:rPr>
          <w:rFonts w:ascii="Arial" w:hAnsi="Arial" w:cs="Arial"/>
          <w:sz w:val="24"/>
          <w:szCs w:val="24"/>
        </w:rPr>
        <w:lastRenderedPageBreak/>
        <w:t>Palaiologou and Flolrunsho (2016) expand on this and suggest that these opinions impact on the views of technology as being ‘irrelevant’ in the early year’s stages.</w:t>
      </w:r>
    </w:p>
    <w:p w14:paraId="633BA91E" w14:textId="77777777" w:rsidR="00BB533A"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The work of Brito, Dias and Olivera (2018) discuss that contemporary homes are filled with digital technologies, exposing children from a young age to the digital world. Chaudron (2015) explains that due to this, children gain their first digital experiences are an early age. Marsh, Plowman, Yamada-Rice, Bishop, Lahmar and Scott (2018) explain that there is growing evidence to support the fact that larger percentage of children are engaging with digital devices, ranging from in the classroom to at home. Ofcom (2017) explains that a large percent of children under the age of five years old have access to their own tablet and are used on a daily basis. The work of Yelland (2018) reported that more children are engaging with tablets for different reasons. Yelland (2018) expands and states that this can range from play to learning and understanding. </w:t>
      </w:r>
    </w:p>
    <w:p w14:paraId="13AF2478" w14:textId="77777777" w:rsidR="00BB533A"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Work conducted by Nevski and Siibak (2016) agrees with Yelland (2018) and found that children use their digital devices to learn through games and also communicate with family members on a daily basis, therefore encouraging their social development as well as their digital development. Chaudron (2015) explain that this is a positive of using digital devices as children have the opportunity to develop their skills. Chaudron (2015) expands on this and states that the majority of children have parent involvement during digital periods of time, therefore encouraging adults to support children when discovering new aspects of the tablets. Within the work of Donaldson (2015), there is encouragement based on the inclusion of collaboration in early years development. Siraj-Blatchford (2007) agree with this claim as, it is included that children have the ability to further their knowledge when working with other individuals. </w:t>
      </w:r>
    </w:p>
    <w:p w14:paraId="49C82032" w14:textId="02D3D56B" w:rsidR="005C2781" w:rsidRPr="005C2781"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Similarly, to this, is the work of Vygotsky (1896). Whereas children use tablets for different aspects of their daily lives. Vygotsky (1896) supported the use of the ‘More Knowledgeable Other’. Children have the opportunity to take part in different activities and consult to their tablet to further their knowledge and understanding of different aspects, therefore the tablet playing the part of their ‘More Knowledgeable Other’. Marsh (2014) supports this and suggests that children have wider knowledge surrounding the digital world compared to adults in today’s society, so therefore, knowledge from the tablet will allow children to further their own understandings. </w:t>
      </w:r>
      <w:r w:rsidRPr="005C2781">
        <w:rPr>
          <w:rFonts w:ascii="Arial" w:hAnsi="Arial" w:cs="Arial"/>
          <w:sz w:val="24"/>
          <w:szCs w:val="24"/>
        </w:rPr>
        <w:lastRenderedPageBreak/>
        <w:t>Similar to this is the work of Hirsh-Pasek (2015) who encourages the use of digital devices with the engagement from parents. Hirsh-Pasek (2015) explains that from this, adults will have the ability to further the child’s development when using these devices as they have the opportunity to ask questions and explore the different aspects further, aiding the child to extend their knowledge.</w:t>
      </w:r>
    </w:p>
    <w:p w14:paraId="66A51062" w14:textId="77777777" w:rsidR="00863DD1"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Research conducted by Couse and Chen (2010) and Price, Jewitt and Crescenzi (2015) discovered that within early years settings, children were able to use tablets to support playful and creative practice, encouraging them to explore their creative abilities further. Couse and Chen (2010) and Price, Jewitt and Crescenzi (2015) expand on this and explain that the use of a tablet can foster art and drawing skills  and also creative thinking through problem solving within children. Flewitt, Messer and Kucirkova (2015) agree with this statement and explain that practitioners within the early years use tablets on a daily basis for a range of creative activities for children, this can extend from digital book creation to music creation and photography. Whereas there is multiple sources of evidence to provide the knowledge that tablets allow children to develop their creativity, Ofcom (2017) supply the information that tablets also allow children to conduct different play experiences. </w:t>
      </w:r>
    </w:p>
    <w:p w14:paraId="1D87F575" w14:textId="325E4C62" w:rsidR="005C2781" w:rsidRPr="005C2781" w:rsidRDefault="005C2781" w:rsidP="005C2781">
      <w:pPr>
        <w:spacing w:line="360" w:lineRule="auto"/>
        <w:jc w:val="both"/>
        <w:rPr>
          <w:rFonts w:ascii="Arial" w:hAnsi="Arial" w:cs="Arial"/>
          <w:sz w:val="24"/>
          <w:szCs w:val="24"/>
        </w:rPr>
      </w:pPr>
      <w:r w:rsidRPr="005C2781">
        <w:rPr>
          <w:rFonts w:ascii="Arial" w:hAnsi="Arial" w:cs="Arial"/>
          <w:sz w:val="24"/>
          <w:szCs w:val="24"/>
        </w:rPr>
        <w:t>Ofcom (2017) states that there are a number of ways in way digital devices have the opportunity to inform play. Plowman, Stevenson, Stephen and McPake (2012) explain that these digital devices can be used to encourage pretend play within children, therefore encouraging them to develop their imaginative skills. Marsh (2014) extends on this and suggests that digital devices allow children to take part in physical play also, as the child has the opportunity to play based on characters and narratives encountered within online games or ‘virtual worlds.’ Marsh (2014) states that children gain enjoyment when playing with toys that have a digital aspect enabled within. Adding to this, there are close links between play and creativity suggests Marsh (2014). Within the work of Vygotsky (2004), it is highlighted that play is a crucial aspect of a child’s cognitive development. Vygotsky (2004) expands on this and suggests that it is a ‘leading activity’ as it encourages children on to the acquisition of different skills, knowledge and understanding.</w:t>
      </w:r>
    </w:p>
    <w:p w14:paraId="03E05470" w14:textId="77777777" w:rsidR="005C2781" w:rsidRPr="005C2781"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Whereas Vygotsky (1896) believed that children developed further from the aid of a more knowledgeable other through a social interaction theory, Piaget (1989) believed </w:t>
      </w:r>
      <w:r w:rsidRPr="005C2781">
        <w:rPr>
          <w:rFonts w:ascii="Arial" w:hAnsi="Arial" w:cs="Arial"/>
          <w:sz w:val="24"/>
          <w:szCs w:val="24"/>
        </w:rPr>
        <w:lastRenderedPageBreak/>
        <w:t>that children developed ad gained understanding of the world through exploration with little to none social interaction needed, ‘Young Scientists’. When relating this to the world today, children have the opportunity to explore different appropriate learning materials through online digital devices, allowing them to further their understanding further. Piaget (1989) believed that all children development, start with physical aspects, therefore agreeing with the work of Marsh (2014) who encourages the use of digital devices incorporated into physical play and overall holistic development of the children.</w:t>
      </w:r>
    </w:p>
    <w:p w14:paraId="5013F260" w14:textId="68C56C72" w:rsidR="005C2781" w:rsidRPr="005C2781" w:rsidRDefault="005C2781" w:rsidP="005C2781">
      <w:pPr>
        <w:spacing w:line="360" w:lineRule="auto"/>
        <w:jc w:val="both"/>
        <w:rPr>
          <w:rFonts w:ascii="Arial" w:hAnsi="Arial" w:cs="Arial"/>
          <w:sz w:val="24"/>
          <w:szCs w:val="24"/>
        </w:rPr>
      </w:pPr>
      <w:r w:rsidRPr="005C2781">
        <w:rPr>
          <w:rFonts w:ascii="Arial" w:hAnsi="Arial" w:cs="Arial"/>
          <w:sz w:val="24"/>
          <w:szCs w:val="24"/>
        </w:rPr>
        <w:t>Erdogan, Johnson, Dong and Qiu (2018) explain that play environments and materials supplied to children are constantly changing, and within today’s society are becoming more digitally inclined. Erdogan, Johnson, Dong and Qiu (2018) expand on this and state that parents and practitioners’ views surrounding play and the preferences about the importance of play based education, possess influences on the use of digital devices being incorporated. Further research conducted by Erdogan, Johnson, Dong and Qiu (2018) found that a majority of parents and practitioners discouraged children to experience digital play based on their individual views and opinions.  Within the work of Marsh (2014), Ofcom (2017) and Flewitt, Messer and Kucirkova (2015) who argue that the use of tablets within children’s education are an effective learning tool, Thornthwaite (2014) agree that these tablets are powerful tools for enabling the engagement from children during education when used appropriately. However, disagreeing with Erdogan, Johnson, Dong and Qiu (2018) findings,  Thornthwaite (2014) explain that a number of practitioners avoid the use of tablets within education, based on  a lack of understanding of how to deliver effective education. Thornthwaite (2014) expands and states that the scepticism present in practitioners’ places children at a disadvantage as they are not presented with the opportunity to further their development using these resourceful tools of education.</w:t>
      </w:r>
    </w:p>
    <w:p w14:paraId="7B52CEB6" w14:textId="77777777" w:rsidR="00BF33E5"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The work of Dunn and Sweeney (2018) provides the knowledge that fewer children are engaging with writing inside and outside of the classroom, as they are using digital devices more often. As a result of this, </w:t>
      </w:r>
      <w:r w:rsidR="00D07398" w:rsidRPr="005C2781">
        <w:rPr>
          <w:rFonts w:ascii="Arial" w:hAnsi="Arial" w:cs="Arial"/>
          <w:sz w:val="24"/>
          <w:szCs w:val="24"/>
        </w:rPr>
        <w:t>Dunn,</w:t>
      </w:r>
      <w:r w:rsidRPr="005C2781">
        <w:rPr>
          <w:rFonts w:ascii="Arial" w:hAnsi="Arial" w:cs="Arial"/>
          <w:sz w:val="24"/>
          <w:szCs w:val="24"/>
        </w:rPr>
        <w:t xml:space="preserve"> and Sweeney (2018) discus that this is placing a negative effect on children’s fine-motor skills. Dunn and Sweeney (2018) expand on this and explain that within the curriculum, compositional writing is an essential part of education, where children are engaging less in learning to write and strengthen their abilities, they are then lacking the key elements of their education. </w:t>
      </w:r>
      <w:r w:rsidRPr="005C2781">
        <w:rPr>
          <w:rFonts w:ascii="Arial" w:hAnsi="Arial" w:cs="Arial"/>
          <w:sz w:val="24"/>
          <w:szCs w:val="24"/>
        </w:rPr>
        <w:lastRenderedPageBreak/>
        <w:t xml:space="preserve">Whereas this is stated, Ebbeck and Waniganayake (2016) would disagree with this statement and state that children learn key skills and values through play-based activities. Ebbeck and Waniganayake (2016) add to this and suggest that within the ‘forever changing, digital society’ children require the need of understanding and developing their knowledge surrounding the use of digital devices, extending their opportunities for later in life. According to Unser (2017) there are both negative and positive aspects surrounding the use of tablets within the classroom in the early year’s stages. One positive that is outlined by Unser (2017) is that using technology within the classroom, allows practitioners to explore different effective approaches to educating their students, therefore providing children with heightened effective education. Unser (2017) expands on this and suggests that it is known that when practitioners have access to interesting and engaging data, it will enable the creation of effective models and demonstrations that foster a clear connection between online content and day to day life.  </w:t>
      </w:r>
    </w:p>
    <w:p w14:paraId="284634BA" w14:textId="46E932E8" w:rsidR="005C2781" w:rsidRPr="005C2781" w:rsidRDefault="005C2781" w:rsidP="005C2781">
      <w:pPr>
        <w:spacing w:line="360" w:lineRule="auto"/>
        <w:jc w:val="both"/>
        <w:rPr>
          <w:rFonts w:ascii="Arial" w:hAnsi="Arial" w:cs="Arial"/>
          <w:sz w:val="24"/>
          <w:szCs w:val="24"/>
        </w:rPr>
      </w:pPr>
      <w:r w:rsidRPr="005C2781">
        <w:rPr>
          <w:rFonts w:ascii="Arial" w:hAnsi="Arial" w:cs="Arial"/>
          <w:sz w:val="24"/>
          <w:szCs w:val="24"/>
        </w:rPr>
        <w:t xml:space="preserve">Within the work of Hatzigianni and Kalaitzidis (2018) there is clear speculation as to the result of not implementing the use of digital devices to children at an early stage. Hatzigianni and Kalaitzidis (2018) outline that a risk of late introduction could result in anxiety surrounding the use and a lack of training to educate young children in the area of technology. Within the new curriculum created by Donaldson (2015), there is clear instruction to educate children and allow the experiments conducted by children surrounding devices, so they are digitally competent within the digital world today. The work of Jowett (2012) found that when using a digital device, such as a tablet, supported the development in children with additional learning needs. Jowett (2012) explained that this was done as there was multiple play-based activities with different visual aids and specifically made designed with the aim to support the individual children. </w:t>
      </w:r>
    </w:p>
    <w:p w14:paraId="286193F8" w14:textId="78DE38E3" w:rsidR="005C2781" w:rsidRDefault="005C2781" w:rsidP="005C2781">
      <w:pPr>
        <w:spacing w:line="360" w:lineRule="auto"/>
        <w:jc w:val="both"/>
        <w:rPr>
          <w:rFonts w:ascii="Arial" w:hAnsi="Arial" w:cs="Arial"/>
          <w:sz w:val="24"/>
          <w:szCs w:val="24"/>
        </w:rPr>
      </w:pPr>
      <w:r w:rsidRPr="005C2781">
        <w:rPr>
          <w:rFonts w:ascii="Arial" w:hAnsi="Arial" w:cs="Arial"/>
          <w:sz w:val="24"/>
          <w:szCs w:val="24"/>
        </w:rPr>
        <w:t>Overall, digital devices provide children with multiple learning and holistic development opportunities suggests Gibbson (2015). However, Thornthwaite (2014) explains that a percentage of children are unable to interact with digital devices during education-based o practitioners views and opinions, therefore disallowing them to use devices for different developmental opportunities.</w:t>
      </w:r>
    </w:p>
    <w:p w14:paraId="003956C1" w14:textId="32C1C803" w:rsidR="005C2781" w:rsidRDefault="005C2781" w:rsidP="005C2781">
      <w:pPr>
        <w:spacing w:line="360" w:lineRule="auto"/>
        <w:jc w:val="both"/>
        <w:rPr>
          <w:rFonts w:ascii="Arial" w:hAnsi="Arial" w:cs="Arial"/>
          <w:sz w:val="24"/>
          <w:szCs w:val="24"/>
        </w:rPr>
      </w:pPr>
    </w:p>
    <w:p w14:paraId="5B210D19" w14:textId="77777777" w:rsidR="005C2781" w:rsidRDefault="005C2781" w:rsidP="005C2781">
      <w:pPr>
        <w:rPr>
          <w:rFonts w:ascii="Arial" w:hAnsi="Arial" w:cs="Arial"/>
          <w:sz w:val="24"/>
          <w:szCs w:val="24"/>
        </w:rPr>
        <w:sectPr w:rsidR="005C2781">
          <w:headerReference w:type="default" r:id="rId7"/>
          <w:footerReference w:type="default" r:id="rId8"/>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21"/>
        <w:tblW w:w="9255" w:type="dxa"/>
        <w:tblLook w:val="04A0" w:firstRow="1" w:lastRow="0" w:firstColumn="1" w:lastColumn="0" w:noHBand="0" w:noVBand="1"/>
      </w:tblPr>
      <w:tblGrid>
        <w:gridCol w:w="9255"/>
      </w:tblGrid>
      <w:tr w:rsidR="005C2781" w14:paraId="62767C3F" w14:textId="77777777" w:rsidTr="00ED1E25">
        <w:trPr>
          <w:trHeight w:val="1457"/>
        </w:trPr>
        <w:tc>
          <w:tcPr>
            <w:tcW w:w="9255" w:type="dxa"/>
            <w:shd w:val="clear" w:color="auto" w:fill="FFFFCC"/>
          </w:tcPr>
          <w:p w14:paraId="2B80AF7A" w14:textId="77777777" w:rsidR="005C2781" w:rsidRDefault="005C2781" w:rsidP="00ED1E25">
            <w:pPr>
              <w:jc w:val="center"/>
              <w:rPr>
                <w:rFonts w:ascii="Arial" w:hAnsi="Arial" w:cs="Arial"/>
                <w:sz w:val="56"/>
                <w:szCs w:val="56"/>
              </w:rPr>
            </w:pPr>
          </w:p>
          <w:p w14:paraId="02D898B1" w14:textId="77777777" w:rsidR="005C2781" w:rsidRPr="009F1D7B" w:rsidRDefault="005C2781" w:rsidP="00ED1E25">
            <w:pPr>
              <w:jc w:val="center"/>
              <w:rPr>
                <w:rFonts w:ascii="Arial" w:hAnsi="Arial" w:cs="Arial"/>
                <w:sz w:val="56"/>
                <w:szCs w:val="56"/>
              </w:rPr>
            </w:pPr>
            <w:r w:rsidRPr="009F1D7B">
              <w:rPr>
                <w:rFonts w:ascii="Arial" w:hAnsi="Arial" w:cs="Arial"/>
                <w:sz w:val="56"/>
                <w:szCs w:val="56"/>
              </w:rPr>
              <w:t>Keeping Children Safe Online</w:t>
            </w:r>
          </w:p>
          <w:p w14:paraId="4A6668B6" w14:textId="77777777" w:rsidR="005C2781" w:rsidRDefault="005C2781" w:rsidP="00ED1E25">
            <w:pPr>
              <w:rPr>
                <w:rFonts w:ascii="Arial" w:hAnsi="Arial" w:cs="Arial"/>
                <w:sz w:val="32"/>
                <w:szCs w:val="32"/>
              </w:rPr>
            </w:pPr>
          </w:p>
          <w:p w14:paraId="55CBE09D" w14:textId="77777777" w:rsidR="005C2781" w:rsidRDefault="005C2781" w:rsidP="00ED1E25">
            <w:pPr>
              <w:rPr>
                <w:rFonts w:ascii="Arial" w:hAnsi="Arial" w:cs="Arial"/>
                <w:sz w:val="32"/>
                <w:szCs w:val="32"/>
              </w:rPr>
            </w:pPr>
            <w:r w:rsidRPr="009F1D7B">
              <w:rPr>
                <w:rFonts w:ascii="Arial" w:hAnsi="Arial" w:cs="Arial"/>
                <w:sz w:val="32"/>
                <w:szCs w:val="32"/>
              </w:rPr>
              <w:t>Tips and Methods for Children 0-7 Years old.</w:t>
            </w:r>
          </w:p>
          <w:p w14:paraId="0974D75B" w14:textId="77777777" w:rsidR="005C2781" w:rsidRDefault="005C2781" w:rsidP="00ED1E25">
            <w:pPr>
              <w:rPr>
                <w:rFonts w:ascii="Arial" w:hAnsi="Arial" w:cs="Arial"/>
                <w:sz w:val="24"/>
                <w:szCs w:val="24"/>
              </w:rPr>
            </w:pPr>
          </w:p>
        </w:tc>
      </w:tr>
    </w:tbl>
    <w:p w14:paraId="768973F2" w14:textId="77777777" w:rsidR="005C2781" w:rsidRDefault="005C2781" w:rsidP="005C2781"/>
    <w:p w14:paraId="1231FCCF" w14:textId="77777777" w:rsidR="005C2781" w:rsidRDefault="005C2781" w:rsidP="005C2781">
      <w:pPr>
        <w:rPr>
          <w:rFonts w:ascii="Arial" w:hAnsi="Arial" w:cs="Arial"/>
          <w:sz w:val="24"/>
          <w:szCs w:val="24"/>
        </w:rPr>
      </w:pPr>
    </w:p>
    <w:p w14:paraId="22BC4846" w14:textId="77777777" w:rsidR="005C2781" w:rsidRDefault="005C2781" w:rsidP="005C2781">
      <w:pPr>
        <w:rPr>
          <w:rFonts w:ascii="Arial" w:hAnsi="Arial" w:cs="Arial"/>
          <w:sz w:val="24"/>
          <w:szCs w:val="24"/>
        </w:rPr>
      </w:pPr>
    </w:p>
    <w:p w14:paraId="2C2D6C50" w14:textId="77777777" w:rsidR="005C2781" w:rsidRDefault="005C2781" w:rsidP="005C2781">
      <w:pPr>
        <w:rPr>
          <w:rFonts w:ascii="Arial" w:hAnsi="Arial" w:cs="Arial"/>
          <w:sz w:val="24"/>
          <w:szCs w:val="24"/>
        </w:rPr>
      </w:pPr>
    </w:p>
    <w:p w14:paraId="65A10C75" w14:textId="77777777" w:rsidR="005C2781" w:rsidRDefault="005C2781" w:rsidP="005C2781">
      <w:pPr>
        <w:rPr>
          <w:rFonts w:ascii="Arial" w:hAnsi="Arial" w:cs="Arial"/>
          <w:sz w:val="24"/>
          <w:szCs w:val="24"/>
        </w:rPr>
      </w:pPr>
    </w:p>
    <w:p w14:paraId="6E67C4B6" w14:textId="766568BF" w:rsidR="005C2781" w:rsidRDefault="005C2781" w:rsidP="005C2781">
      <w:pPr>
        <w:rPr>
          <w:rFonts w:ascii="Arial" w:hAnsi="Arial" w:cs="Arial"/>
          <w:sz w:val="24"/>
          <w:szCs w:val="24"/>
        </w:rPr>
      </w:pPr>
      <w:r>
        <w:rPr>
          <w:noProof/>
        </w:rPr>
        <mc:AlternateContent>
          <mc:Choice Requires="wps">
            <w:drawing>
              <wp:anchor distT="45720" distB="45720" distL="114300" distR="114300" simplePos="0" relativeHeight="251659264" behindDoc="0" locked="0" layoutInCell="1" allowOverlap="1" wp14:anchorId="08461378" wp14:editId="0FF64D90">
                <wp:simplePos x="0" y="0"/>
                <wp:positionH relativeFrom="margin">
                  <wp:posOffset>-301625</wp:posOffset>
                </wp:positionH>
                <wp:positionV relativeFrom="page">
                  <wp:posOffset>2193925</wp:posOffset>
                </wp:positionV>
                <wp:extent cx="4521200" cy="22733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1200" cy="2273300"/>
                        </a:xfrm>
                        <a:prstGeom prst="rect">
                          <a:avLst/>
                        </a:prstGeom>
                        <a:solidFill>
                          <a:srgbClr val="FF99FF"/>
                        </a:solidFill>
                        <a:ln w="9525">
                          <a:solidFill>
                            <a:srgbClr val="000000"/>
                          </a:solidFill>
                          <a:miter lim="800000"/>
                          <a:headEnd/>
                          <a:tailEnd/>
                        </a:ln>
                      </wps:spPr>
                      <wps:txbx>
                        <w:txbxContent>
                          <w:p w14:paraId="191FF5AA" w14:textId="77777777" w:rsidR="005C2781" w:rsidRPr="003D650B" w:rsidRDefault="005C2781" w:rsidP="005C2781">
                            <w:pPr>
                              <w:rPr>
                                <w:rFonts w:ascii="Arial" w:hAnsi="Arial" w:cs="Arial"/>
                                <w:sz w:val="24"/>
                                <w:szCs w:val="24"/>
                              </w:rPr>
                            </w:pPr>
                            <w:r w:rsidRPr="003D650B">
                              <w:rPr>
                                <w:rFonts w:ascii="Arial" w:hAnsi="Arial" w:cs="Arial"/>
                                <w:sz w:val="24"/>
                                <w:szCs w:val="24"/>
                              </w:rPr>
                              <w:t>Within today’s society, the number of children engaging within the online world is increasing each day. Ofcom (2017) share the understanding that 60% of children ages 3-4 years old use a digital device to go online. Adding to this, Ofcom (2017) shares that 80% of children aged 5-7 years old use a digital device to go online. With the forever going number of children accessing the internet, a number of safety rules must be followed in order to keep the children safe when doing so.</w:t>
                            </w:r>
                            <w:r>
                              <w:rPr>
                                <w:rFonts w:ascii="Arial" w:hAnsi="Arial" w:cs="Arial"/>
                                <w:sz w:val="24"/>
                                <w:szCs w:val="24"/>
                              </w:rPr>
                              <w:t xml:space="preserve"> This is also included in the United Nations Convention on the Rights of the Child (1990) Article 17, that supports the use of children gaining access and information from the online 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461378" id="_x0000_t202" coordsize="21600,21600" o:spt="202" path="m,l,21600r21600,l21600,xe">
                <v:stroke joinstyle="miter"/>
                <v:path gradientshapeok="t" o:connecttype="rect"/>
              </v:shapetype>
              <v:shape id="Text Box 2" o:spid="_x0000_s1026" type="#_x0000_t202" style="position:absolute;margin-left:-23.75pt;margin-top:172.75pt;width:356pt;height:179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" fillcolor="#f9f">
                <v:textbox>
                  <w:txbxContent>
                    <w:p w14:paraId="191FF5AA" w14:textId="77777777" w:rsidR="005C2781" w:rsidRPr="003D650B" w:rsidRDefault="005C2781" w:rsidP="005C2781">
                      <w:pPr>
                        <w:rPr>
                          <w:rFonts w:ascii="Arial" w:hAnsi="Arial" w:cs="Arial"/>
                          <w:sz w:val="24"/>
                          <w:szCs w:val="24"/>
                        </w:rPr>
                      </w:pPr>
                      <w:r w:rsidRPr="003D650B">
                        <w:rPr>
                          <w:rFonts w:ascii="Arial" w:hAnsi="Arial" w:cs="Arial"/>
                          <w:sz w:val="24"/>
                          <w:szCs w:val="24"/>
                        </w:rPr>
                        <w:t>Within today’s society, the number of children engaging within the online world is increasing each day. Ofcom (2017) share the understanding that 60% of children ages 3-4 years old use a digital device to go online. Adding to this, Ofcom (2017) shares that 80% of children aged 5-7 years old use a digital device to go online. With the forever going number of children accessing the internet, a number of safety rules must be followed in order to keep the children safe when doing so.</w:t>
                      </w:r>
                      <w:r>
                        <w:rPr>
                          <w:rFonts w:ascii="Arial" w:hAnsi="Arial" w:cs="Arial"/>
                          <w:sz w:val="24"/>
                          <w:szCs w:val="24"/>
                        </w:rPr>
                        <w:t xml:space="preserve"> This is also included in the United Nations Convention on the Rights of the Child (1990) Article 17, that supports the use of children gaining access and information from the online media.</w:t>
                      </w:r>
                    </w:p>
                  </w:txbxContent>
                </v:textbox>
                <w10:wrap type="square" anchorx="margin" anchory="page"/>
              </v:shape>
            </w:pict>
          </mc:Fallback>
        </mc:AlternateContent>
      </w:r>
      <w:r w:rsidRPr="00017D4B">
        <w:rPr>
          <w:noProof/>
        </w:rPr>
        <w:drawing>
          <wp:anchor distT="0" distB="0" distL="114300" distR="114300" simplePos="0" relativeHeight="251663360" behindDoc="0" locked="0" layoutInCell="1" allowOverlap="1" wp14:anchorId="25CA346D" wp14:editId="7825F77A">
            <wp:simplePos x="0" y="0"/>
            <wp:positionH relativeFrom="page">
              <wp:align>right</wp:align>
            </wp:positionH>
            <wp:positionV relativeFrom="paragraph">
              <wp:posOffset>12065</wp:posOffset>
            </wp:positionV>
            <wp:extent cx="3149600" cy="31496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3149600" cy="3149600"/>
                    </a:xfrm>
                    <a:prstGeom prst="rect">
                      <a:avLst/>
                    </a:prstGeom>
                  </pic:spPr>
                </pic:pic>
              </a:graphicData>
            </a:graphic>
            <wp14:sizeRelH relativeFrom="margin">
              <wp14:pctWidth>0</wp14:pctWidth>
            </wp14:sizeRelH>
            <wp14:sizeRelV relativeFrom="margin">
              <wp14:pctHeight>0</wp14:pctHeight>
            </wp14:sizeRelV>
          </wp:anchor>
        </w:drawing>
      </w:r>
    </w:p>
    <w:p w14:paraId="1DF25CA6" w14:textId="77777777" w:rsidR="005C2781" w:rsidRDefault="005C2781" w:rsidP="005C2781">
      <w:pPr>
        <w:rPr>
          <w:rFonts w:ascii="Arial" w:hAnsi="Arial" w:cs="Arial"/>
          <w:sz w:val="24"/>
          <w:szCs w:val="24"/>
        </w:rPr>
      </w:pPr>
    </w:p>
    <w:p w14:paraId="75D920BF" w14:textId="7BDEA819" w:rsidR="005C2781" w:rsidRDefault="005C2781" w:rsidP="005C2781">
      <w:pPr>
        <w:rPr>
          <w:rFonts w:ascii="Arial" w:hAnsi="Arial" w:cs="Arial"/>
          <w:sz w:val="24"/>
          <w:szCs w:val="24"/>
        </w:rPr>
      </w:pPr>
      <w:r w:rsidRPr="001A73BA">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B699CDD" wp14:editId="76FF3844">
                <wp:simplePos x="0" y="0"/>
                <wp:positionH relativeFrom="page">
                  <wp:posOffset>4754880</wp:posOffset>
                </wp:positionH>
                <wp:positionV relativeFrom="paragraph">
                  <wp:posOffset>2610485</wp:posOffset>
                </wp:positionV>
                <wp:extent cx="2360930" cy="2413000"/>
                <wp:effectExtent l="0" t="0" r="2794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13000"/>
                        </a:xfrm>
                        <a:prstGeom prst="rect">
                          <a:avLst/>
                        </a:prstGeom>
                        <a:solidFill>
                          <a:srgbClr val="66FFFF"/>
                        </a:solidFill>
                        <a:ln w="9525">
                          <a:solidFill>
                            <a:srgbClr val="000000"/>
                          </a:solidFill>
                          <a:miter lim="800000"/>
                          <a:headEnd/>
                          <a:tailEnd/>
                        </a:ln>
                      </wps:spPr>
                      <wps:txbx>
                        <w:txbxContent>
                          <w:p w14:paraId="6272D2CF" w14:textId="77777777" w:rsidR="005C2781" w:rsidRPr="001A73BA" w:rsidRDefault="005C2781" w:rsidP="005C2781">
                            <w:pPr>
                              <w:rPr>
                                <w:rFonts w:ascii="Arial" w:hAnsi="Arial" w:cs="Arial"/>
                                <w:sz w:val="24"/>
                                <w:szCs w:val="24"/>
                              </w:rPr>
                            </w:pPr>
                            <w:r>
                              <w:rPr>
                                <w:rFonts w:ascii="Arial" w:hAnsi="Arial" w:cs="Arial"/>
                                <w:sz w:val="24"/>
                                <w:szCs w:val="24"/>
                              </w:rPr>
                              <w:t>Playful Childhoods (2020) outline the different concerns parents have for their children engaging in screen time and online activity. Whereas a majority of parents view this screen time as unresourceful, Playful Childhoods (2020) encourage the use of screen time as it is a positive and important role in the child’s development, enabling them to grow and gain an understanding of the digital world.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B699CDD" id="_x0000_s1027" type="#_x0000_t202" style="position:absolute;margin-left:374.4pt;margin-top:205.55pt;width:185.9pt;height:190pt;z-index:251660288;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" fillcolor="#6ff">
                <v:textbox>
                  <w:txbxContent>
                    <w:p w14:paraId="6272D2CF" w14:textId="77777777" w:rsidR="005C2781" w:rsidRPr="001A73BA" w:rsidRDefault="005C2781" w:rsidP="005C2781">
                      <w:pPr>
                        <w:rPr>
                          <w:rFonts w:ascii="Arial" w:hAnsi="Arial" w:cs="Arial"/>
                          <w:sz w:val="24"/>
                          <w:szCs w:val="24"/>
                        </w:rPr>
                      </w:pPr>
                      <w:r>
                        <w:rPr>
                          <w:rFonts w:ascii="Arial" w:hAnsi="Arial" w:cs="Arial"/>
                          <w:sz w:val="24"/>
                          <w:szCs w:val="24"/>
                        </w:rPr>
                        <w:t>Playful Childhoods (2020) outline the different concerns parents have for their children engaging in screen time and online activity. Whereas a majority of parents view this screen time as unresourceful, Playful Childhoods (2020) encourage the use of screen time as it is a positive and important role in the child’s development, enabling them to grow and gain an understanding of the digital world.</w:t>
                      </w:r>
                    </w:p>
                  </w:txbxContent>
                </v:textbox>
                <w10:wrap type="square" anchorx="page"/>
              </v:shape>
            </w:pict>
          </mc:Fallback>
        </mc:AlternateContent>
      </w:r>
      <w:r w:rsidRPr="00BA25A4">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6B634066" wp14:editId="194B79C2">
                <wp:simplePos x="0" y="0"/>
                <wp:positionH relativeFrom="column">
                  <wp:posOffset>4991100</wp:posOffset>
                </wp:positionH>
                <wp:positionV relativeFrom="paragraph">
                  <wp:posOffset>2131060</wp:posOffset>
                </wp:positionV>
                <wp:extent cx="1282700" cy="34290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700" cy="342900"/>
                        </a:xfrm>
                        <a:prstGeom prst="rect">
                          <a:avLst/>
                        </a:prstGeom>
                        <a:noFill/>
                        <a:ln w="9525">
                          <a:noFill/>
                          <a:miter lim="800000"/>
                          <a:headEnd/>
                          <a:tailEnd/>
                        </a:ln>
                      </wps:spPr>
                      <wps:txbx>
                        <w:txbxContent>
                          <w:p w14:paraId="440CD241" w14:textId="77777777" w:rsidR="005C2781" w:rsidRPr="007E04D1" w:rsidRDefault="005C2781" w:rsidP="005C2781">
                            <w:pPr>
                              <w:rPr>
                                <w:rFonts w:ascii="Arial" w:hAnsi="Arial" w:cs="Arial"/>
                                <w:sz w:val="24"/>
                                <w:szCs w:val="24"/>
                              </w:rPr>
                            </w:pPr>
                            <w:r w:rsidRPr="007E04D1">
                              <w:rPr>
                                <w:rFonts w:ascii="Arial" w:hAnsi="Arial" w:cs="Arial"/>
                                <w:sz w:val="24"/>
                                <w:szCs w:val="24"/>
                              </w:rPr>
                              <w:t>(NSPCC,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634066" id="_x0000_s1028" type="#_x0000_t202" style="position:absolute;margin-left:393pt;margin-top:167.8pt;width:101pt;height:27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" filled="f" stroked="f">
                <v:textbox>
                  <w:txbxContent>
                    <w:p w14:paraId="440CD241" w14:textId="77777777" w:rsidR="005C2781" w:rsidRPr="007E04D1" w:rsidRDefault="005C2781" w:rsidP="005C2781">
                      <w:pPr>
                        <w:rPr>
                          <w:rFonts w:ascii="Arial" w:hAnsi="Arial" w:cs="Arial"/>
                          <w:sz w:val="24"/>
                          <w:szCs w:val="24"/>
                        </w:rPr>
                      </w:pPr>
                      <w:r w:rsidRPr="007E04D1">
                        <w:rPr>
                          <w:rFonts w:ascii="Arial" w:hAnsi="Arial" w:cs="Arial"/>
                          <w:sz w:val="24"/>
                          <w:szCs w:val="24"/>
                        </w:rPr>
                        <w:t>(NSPCC, 2020)</w:t>
                      </w:r>
                    </w:p>
                  </w:txbxContent>
                </v:textbox>
                <w10:wrap type="square"/>
              </v:shape>
            </w:pict>
          </mc:Fallback>
        </mc:AlternateContent>
      </w:r>
      <w:r w:rsidRPr="009F4A00">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12B72E67" wp14:editId="6B2757D0">
                <wp:simplePos x="0" y="0"/>
                <wp:positionH relativeFrom="column">
                  <wp:posOffset>-282575</wp:posOffset>
                </wp:positionH>
                <wp:positionV relativeFrom="paragraph">
                  <wp:posOffset>1894205</wp:posOffset>
                </wp:positionV>
                <wp:extent cx="4492625" cy="3134360"/>
                <wp:effectExtent l="0" t="0" r="22225" b="2794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2625" cy="3134360"/>
                        </a:xfrm>
                        <a:prstGeom prst="rect">
                          <a:avLst/>
                        </a:prstGeom>
                        <a:solidFill>
                          <a:srgbClr val="99FF99"/>
                        </a:solidFill>
                        <a:ln w="9525">
                          <a:solidFill>
                            <a:srgbClr val="000000"/>
                          </a:solidFill>
                          <a:miter lim="800000"/>
                          <a:headEnd/>
                          <a:tailEnd/>
                        </a:ln>
                      </wps:spPr>
                      <wps:txbx>
                        <w:txbxContent>
                          <w:p w14:paraId="3CAAF1E8" w14:textId="77777777" w:rsidR="005C2781" w:rsidRDefault="005C2781" w:rsidP="005C2781">
                            <w:pPr>
                              <w:rPr>
                                <w:rFonts w:ascii="Arial" w:hAnsi="Arial" w:cs="Arial"/>
                              </w:rPr>
                            </w:pPr>
                            <w:r>
                              <w:rPr>
                                <w:rFonts w:ascii="Arial" w:hAnsi="Arial" w:cs="Arial"/>
                              </w:rPr>
                              <w:t xml:space="preserve">Stop Bullying.Gov (2020) outlines the different risks and concerns surrounding online bullying for children. Cyberbullying can occur through different platforms and aspects of media, ranging from games to social networking. Cyberbullying can include sending, posting, or sharing negative, harmful, or inappropriate content about another person. A further case of cyberbullying can occur when someone shares personal or private information about an individual with the aim to embarrass or humiliate them. </w:t>
                            </w:r>
                          </w:p>
                          <w:p w14:paraId="050F3803" w14:textId="77777777" w:rsidR="005C2781" w:rsidRPr="009F4A00" w:rsidRDefault="005C2781" w:rsidP="005C2781">
                            <w:pPr>
                              <w:rPr>
                                <w:rFonts w:ascii="Arial" w:hAnsi="Arial" w:cs="Arial"/>
                              </w:rPr>
                            </w:pPr>
                            <w:r>
                              <w:rPr>
                                <w:rFonts w:ascii="Arial" w:hAnsi="Arial" w:cs="Arial"/>
                              </w:rPr>
                              <w:t>With the growing digital world, NSPCC (2020) and Stop Bullying.Gov (2020) outline their further concerns on the growing risks in today’s society. NSPCC (2020) explain that cyberbullying is hard to notice as a percentage of parents do not monitor a child’s screen time or what the child accesses. However, with the growing concerns, laws and legislations surrounding cyberbullying are becoming recognised. Under Article 36 of the United Nations Convention on the Rights of the Child (1990) children have the right to be protected from the different aspects of the 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72E67" id="Text Box 8" o:spid="_x0000_s1029" type="#_x0000_t202" style="position:absolute;margin-left:-22.25pt;margin-top:149.15pt;width:353.75pt;height:246.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" fillcolor="#9f9">
                <v:textbox>
                  <w:txbxContent>
                    <w:p w14:paraId="3CAAF1E8" w14:textId="77777777" w:rsidR="005C2781" w:rsidRDefault="005C2781" w:rsidP="005C2781">
                      <w:pPr>
                        <w:rPr>
                          <w:rFonts w:ascii="Arial" w:hAnsi="Arial" w:cs="Arial"/>
                        </w:rPr>
                      </w:pPr>
                      <w:r>
                        <w:rPr>
                          <w:rFonts w:ascii="Arial" w:hAnsi="Arial" w:cs="Arial"/>
                        </w:rPr>
                        <w:t xml:space="preserve">Stop Bullying.Gov (2020) outlines the different risks and concerns surrounding online bullying for children. Cyberbullying can occur through different platforms and aspects of media, ranging from games to social networking. Cyberbullying can include sending, posting, or sharing negative, harmful, or inappropriate content about another person. A further case of cyberbullying can occur when someone shares personal or private information about an individual with the aim to embarrass or humiliate them. </w:t>
                      </w:r>
                    </w:p>
                    <w:p w14:paraId="050F3803" w14:textId="77777777" w:rsidR="005C2781" w:rsidRPr="009F4A00" w:rsidRDefault="005C2781" w:rsidP="005C2781">
                      <w:pPr>
                        <w:rPr>
                          <w:rFonts w:ascii="Arial" w:hAnsi="Arial" w:cs="Arial"/>
                        </w:rPr>
                      </w:pPr>
                      <w:r>
                        <w:rPr>
                          <w:rFonts w:ascii="Arial" w:hAnsi="Arial" w:cs="Arial"/>
                        </w:rPr>
                        <w:t>With the growing digital world, NSPCC (2020) and Stop Bullying.Gov (2020) outline their further concerns on the growing risks in today’s society. NSPCC (2020) explain that cyberbullying is hard to notice as a percentage of parents do not monitor a child’s screen time or what the child accesses. However, with the growing concerns, laws and legislations surrounding cyberbullying are becoming recognised. Under Article 36 of the United Nations Convention on the Rights of the Child (1990) children have the right to be protected from the different aspects of the media.</w:t>
                      </w:r>
                    </w:p>
                  </w:txbxContent>
                </v:textbox>
                <w10:wrap type="square"/>
              </v:shape>
            </w:pict>
          </mc:Fallback>
        </mc:AlternateContent>
      </w:r>
      <w:r w:rsidRPr="009F4A00">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639E2AF4" wp14:editId="52FA659D">
                <wp:simplePos x="0" y="0"/>
                <wp:positionH relativeFrom="page">
                  <wp:align>center</wp:align>
                </wp:positionH>
                <wp:positionV relativeFrom="paragraph">
                  <wp:posOffset>5113655</wp:posOffset>
                </wp:positionV>
                <wp:extent cx="7219950" cy="2105025"/>
                <wp:effectExtent l="0" t="0" r="19050" b="2857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950" cy="2105025"/>
                        </a:xfrm>
                        <a:prstGeom prst="rect">
                          <a:avLst/>
                        </a:prstGeom>
                        <a:solidFill>
                          <a:srgbClr val="CC99FF"/>
                        </a:solidFill>
                        <a:ln w="9525">
                          <a:solidFill>
                            <a:srgbClr val="000000"/>
                          </a:solidFill>
                          <a:miter lim="800000"/>
                          <a:headEnd/>
                          <a:tailEnd/>
                        </a:ln>
                      </wps:spPr>
                      <wps:txbx>
                        <w:txbxContent>
                          <w:p w14:paraId="60037068" w14:textId="77777777" w:rsidR="005C2781" w:rsidRPr="009F4A00" w:rsidRDefault="005C2781" w:rsidP="005C2781">
                            <w:pPr>
                              <w:rPr>
                                <w:rFonts w:ascii="Arial" w:hAnsi="Arial" w:cs="Arial"/>
                              </w:rPr>
                            </w:pPr>
                            <w:r>
                              <w:rPr>
                                <w:rFonts w:ascii="Arial" w:hAnsi="Arial" w:cs="Arial"/>
                              </w:rPr>
                              <w:t>The NSPCC (2020) explain that to can be difficult to start the discussion surrounding internet safety, ranging from what they do online to who they communicate with online. However, the NSPCC (2020) encourages regular communication surrounding online safety as it will enable the child to feel relaxed and confident when knowing how to approach the online world and any possible risks they may face. To enable a child to feel comfortable when communicating around these aspects, you should reassure them that you are very interested in their life, both offline and online. The NSPCC (2020) and Internet Matters (2020) explains that parents should be open and understanding that children will engage online for both educational and social reasons. The NSPCC (2020) expands further and states that parents should encourage children to always communicate if they feel worried or anxious about anything they may be facing, regardless of the nature of the topic. Therefore, providing strong communication skills. According to Perrin (2018), parents and care givers have a Duty of Care over the health and well-being of children in their custody.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E2AF4" id="Text Box 9" o:spid="_x0000_s1030" type="#_x0000_t202" style="position:absolute;margin-left:0;margin-top:402.65pt;width:568.5pt;height:165.75pt;z-index:251662336;visibility:visible;mso-wrap-style:square;mso-width-percent:0;mso-height-percent:0;mso-wrap-distance-left:9pt;mso-wrap-distance-top:3.6pt;mso-wrap-distance-right:9pt;mso-wrap-distance-bottom:3.6pt;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" fillcolor="#c9f">
                <v:textbox>
                  <w:txbxContent>
                    <w:p w14:paraId="60037068" w14:textId="77777777" w:rsidR="005C2781" w:rsidRPr="009F4A00" w:rsidRDefault="005C2781" w:rsidP="005C2781">
                      <w:pPr>
                        <w:rPr>
                          <w:rFonts w:ascii="Arial" w:hAnsi="Arial" w:cs="Arial"/>
                        </w:rPr>
                      </w:pPr>
                      <w:r>
                        <w:rPr>
                          <w:rFonts w:ascii="Arial" w:hAnsi="Arial" w:cs="Arial"/>
                        </w:rPr>
                        <w:t>The NSPCC (2020) explain that to can be difficult to start the discussion surrounding internet safety, ranging from what they do online to who they communicate with online. However, the NSPCC (2020) encourages regular communication surrounding online safety as it will enable the child to feel relaxed and confident when knowing how to approach the online world and any possible risks they may face. To enable a child to feel comfortable when communicating around these aspects, you should reassure them that you are very interested in their life, both offline and online. The NSPCC (2020) and Internet Matters (2020) explains that parents should be open and understanding that children will engage online for both educational and social reasons. The NSPCC (2020) expands further and states that parents should encourage children to always communicate if they feel worried or anxious about anything they may be facing, regardless of the nature of the topic. Therefore, providing strong communication skills. According to Perrin (2018), parents and care givers have a Duty of Care over the health and well-being of children in their custody.</w:t>
                      </w:r>
                    </w:p>
                  </w:txbxContent>
                </v:textbox>
                <w10:wrap type="square" anchorx="page"/>
              </v:shape>
            </w:pict>
          </mc:Fallback>
        </mc:AlternateContent>
      </w:r>
      <w:r>
        <w:rPr>
          <w:rFonts w:ascii="Arial" w:hAnsi="Arial" w:cs="Arial"/>
          <w:sz w:val="24"/>
          <w:szCs w:val="24"/>
        </w:rPr>
        <w:br w:type="page"/>
      </w:r>
    </w:p>
    <w:p w14:paraId="4F68763C" w14:textId="13F51C57" w:rsidR="005C2781" w:rsidRDefault="009B68E0" w:rsidP="005C2781">
      <w:pPr>
        <w:rPr>
          <w:rFonts w:ascii="Arial" w:hAnsi="Arial" w:cs="Arial"/>
          <w:sz w:val="24"/>
          <w:szCs w:val="24"/>
        </w:rPr>
      </w:pPr>
      <w:r w:rsidRPr="009F4A00">
        <w:rPr>
          <w:rFonts w:ascii="Arial" w:hAnsi="Arial" w:cs="Arial"/>
          <w:noProof/>
          <w:sz w:val="24"/>
          <w:szCs w:val="24"/>
        </w:rPr>
        <w:lastRenderedPageBreak/>
        <mc:AlternateContent>
          <mc:Choice Requires="wps">
            <w:drawing>
              <wp:anchor distT="45720" distB="45720" distL="114300" distR="114300" simplePos="0" relativeHeight="251667456" behindDoc="0" locked="0" layoutInCell="1" allowOverlap="1" wp14:anchorId="013FE243" wp14:editId="646980C1">
                <wp:simplePos x="0" y="0"/>
                <wp:positionH relativeFrom="column">
                  <wp:posOffset>-152400</wp:posOffset>
                </wp:positionH>
                <wp:positionV relativeFrom="paragraph">
                  <wp:posOffset>5589270</wp:posOffset>
                </wp:positionV>
                <wp:extent cx="3248025" cy="1704975"/>
                <wp:effectExtent l="0" t="0" r="28575"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8025" cy="1704975"/>
                        </a:xfrm>
                        <a:prstGeom prst="rect">
                          <a:avLst/>
                        </a:prstGeom>
                        <a:solidFill>
                          <a:srgbClr val="CCCCFF"/>
                        </a:solidFill>
                        <a:ln w="9525">
                          <a:solidFill>
                            <a:srgbClr val="000000"/>
                          </a:solidFill>
                          <a:miter lim="800000"/>
                          <a:headEnd/>
                          <a:tailEnd/>
                        </a:ln>
                      </wps:spPr>
                      <wps:txbx>
                        <w:txbxContent>
                          <w:p w14:paraId="091A40D5"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Put Yourself in Control </w:t>
                            </w:r>
                          </w:p>
                          <w:p w14:paraId="4F35D2CA" w14:textId="77777777" w:rsidR="005C2781" w:rsidRPr="009F4A00" w:rsidRDefault="005C2781" w:rsidP="005C2781">
                            <w:pPr>
                              <w:rPr>
                                <w:rFonts w:ascii="Arial" w:hAnsi="Arial" w:cs="Arial"/>
                              </w:rPr>
                            </w:pPr>
                            <w:r>
                              <w:rPr>
                                <w:rFonts w:ascii="Arial" w:hAnsi="Arial" w:cs="Arial"/>
                              </w:rPr>
                              <w:t xml:space="preserve">Internet Matters (2020) suggest that placing parental controls on the children’s devices as a way to keep them safe during screen times. From doing this, parents have the responsibility to monitor and also block access to inappropriate features or information that the children might be faced with.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FE243" id="Text Box 3" o:spid="_x0000_s1031" type="#_x0000_t202" style="position:absolute;margin-left:-12pt;margin-top:440.1pt;width:255.75pt;height:134.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" fillcolor="#ccf">
                <v:textbox>
                  <w:txbxContent>
                    <w:p w14:paraId="091A40D5"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Put Yourself in Control </w:t>
                      </w:r>
                    </w:p>
                    <w:p w14:paraId="4F35D2CA" w14:textId="77777777" w:rsidR="005C2781" w:rsidRPr="009F4A00" w:rsidRDefault="005C2781" w:rsidP="005C2781">
                      <w:pPr>
                        <w:rPr>
                          <w:rFonts w:ascii="Arial" w:hAnsi="Arial" w:cs="Arial"/>
                        </w:rPr>
                      </w:pPr>
                      <w:r>
                        <w:rPr>
                          <w:rFonts w:ascii="Arial" w:hAnsi="Arial" w:cs="Arial"/>
                        </w:rPr>
                        <w:t xml:space="preserve">Internet Matters (2020) suggest that placing parental controls on the children’s devices as a way to keep them safe during screen times. From doing this, parents have the responsibility to monitor and also block access to inappropriate features or information that the children might be faced with. </w:t>
                      </w:r>
                    </w:p>
                  </w:txbxContent>
                </v:textbox>
                <w10:wrap type="square"/>
              </v:shape>
            </w:pict>
          </mc:Fallback>
        </mc:AlternateContent>
      </w:r>
      <w:r w:rsidR="00417183" w:rsidRPr="009F4A00">
        <w:rPr>
          <w:rFonts w:ascii="Arial" w:hAnsi="Arial" w:cs="Arial"/>
          <w:noProof/>
          <w:sz w:val="24"/>
          <w:szCs w:val="24"/>
        </w:rPr>
        <mc:AlternateContent>
          <mc:Choice Requires="wps">
            <w:drawing>
              <wp:anchor distT="45720" distB="45720" distL="114300" distR="114300" simplePos="0" relativeHeight="251674624" behindDoc="0" locked="0" layoutInCell="1" allowOverlap="1" wp14:anchorId="6B076421" wp14:editId="52FF90EE">
                <wp:simplePos x="0" y="0"/>
                <wp:positionH relativeFrom="margin">
                  <wp:posOffset>-117475</wp:posOffset>
                </wp:positionH>
                <wp:positionV relativeFrom="paragraph">
                  <wp:posOffset>7494270</wp:posOffset>
                </wp:positionV>
                <wp:extent cx="3225800" cy="695960"/>
                <wp:effectExtent l="0" t="0" r="12700" b="279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695960"/>
                        </a:xfrm>
                        <a:prstGeom prst="rect">
                          <a:avLst/>
                        </a:prstGeom>
                        <a:solidFill>
                          <a:srgbClr val="66CCFF"/>
                        </a:solidFill>
                        <a:ln w="9525">
                          <a:solidFill>
                            <a:srgbClr val="000000"/>
                          </a:solidFill>
                          <a:miter lim="800000"/>
                          <a:headEnd/>
                          <a:tailEnd/>
                        </a:ln>
                      </wps:spPr>
                      <wps:txbx>
                        <w:txbxContent>
                          <w:p w14:paraId="38E2CE35" w14:textId="77777777" w:rsidR="00BA7F98" w:rsidRDefault="00BA7F98" w:rsidP="00BA7F98">
                            <w:pPr>
                              <w:rPr>
                                <w:rFonts w:ascii="Arial" w:hAnsi="Arial" w:cs="Arial"/>
                                <w:sz w:val="24"/>
                                <w:szCs w:val="24"/>
                              </w:rPr>
                            </w:pPr>
                            <w:r>
                              <w:rPr>
                                <w:rFonts w:ascii="Arial" w:hAnsi="Arial" w:cs="Arial"/>
                                <w:sz w:val="24"/>
                                <w:szCs w:val="24"/>
                              </w:rPr>
                              <w:t xml:space="preserve">Useful Websites </w:t>
                            </w:r>
                          </w:p>
                          <w:p w14:paraId="10CFA5F2" w14:textId="23B4BD83" w:rsidR="00BA7F98" w:rsidRDefault="00BA7F98" w:rsidP="00BA7F98">
                            <w:pPr>
                              <w:pStyle w:val="ListParagraph"/>
                              <w:numPr>
                                <w:ilvl w:val="0"/>
                                <w:numId w:val="1"/>
                              </w:numPr>
                              <w:rPr>
                                <w:rFonts w:ascii="Arial" w:hAnsi="Arial" w:cs="Arial"/>
                              </w:rPr>
                            </w:pPr>
                            <w:r>
                              <w:rPr>
                                <w:rFonts w:ascii="Arial" w:hAnsi="Arial" w:cs="Arial"/>
                              </w:rPr>
                              <w:t xml:space="preserve">NSPCC </w:t>
                            </w:r>
                          </w:p>
                          <w:p w14:paraId="5606C22C" w14:textId="6636991F" w:rsidR="000A24B0" w:rsidRPr="00417183" w:rsidRDefault="00BA7F98" w:rsidP="00417183">
                            <w:pPr>
                              <w:pStyle w:val="ListParagraph"/>
                              <w:numPr>
                                <w:ilvl w:val="0"/>
                                <w:numId w:val="1"/>
                              </w:numPr>
                              <w:rPr>
                                <w:rFonts w:ascii="Arial" w:hAnsi="Arial" w:cs="Arial"/>
                              </w:rPr>
                            </w:pPr>
                            <w:r>
                              <w:rPr>
                                <w:rFonts w:ascii="Arial" w:hAnsi="Arial" w:cs="Arial"/>
                              </w:rPr>
                              <w:t xml:space="preserve">Internet Matters </w:t>
                            </w:r>
                            <w:r w:rsidR="000A24B0" w:rsidRPr="00417183">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76421" id="Text Box 5" o:spid="_x0000_s1032" type="#_x0000_t202" style="position:absolute;margin-left:-9.25pt;margin-top:590.1pt;width:254pt;height:54.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" fillcolor="#6cf">
                <v:textbox>
                  <w:txbxContent>
                    <w:p w14:paraId="38E2CE35" w14:textId="77777777" w:rsidR="00BA7F98" w:rsidRDefault="00BA7F98" w:rsidP="00BA7F98">
                      <w:pPr>
                        <w:rPr>
                          <w:rFonts w:ascii="Arial" w:hAnsi="Arial" w:cs="Arial"/>
                          <w:sz w:val="24"/>
                          <w:szCs w:val="24"/>
                        </w:rPr>
                      </w:pPr>
                      <w:r>
                        <w:rPr>
                          <w:rFonts w:ascii="Arial" w:hAnsi="Arial" w:cs="Arial"/>
                          <w:sz w:val="24"/>
                          <w:szCs w:val="24"/>
                        </w:rPr>
                        <w:t xml:space="preserve">Useful Websites </w:t>
                      </w:r>
                    </w:p>
                    <w:p w14:paraId="10CFA5F2" w14:textId="23B4BD83" w:rsidR="00BA7F98" w:rsidRDefault="00BA7F98" w:rsidP="00BA7F98">
                      <w:pPr>
                        <w:pStyle w:val="ListParagraph"/>
                        <w:numPr>
                          <w:ilvl w:val="0"/>
                          <w:numId w:val="1"/>
                        </w:numPr>
                        <w:rPr>
                          <w:rFonts w:ascii="Arial" w:hAnsi="Arial" w:cs="Arial"/>
                        </w:rPr>
                      </w:pPr>
                      <w:r>
                        <w:rPr>
                          <w:rFonts w:ascii="Arial" w:hAnsi="Arial" w:cs="Arial"/>
                        </w:rPr>
                        <w:t xml:space="preserve">NSPCC </w:t>
                      </w:r>
                    </w:p>
                    <w:p w14:paraId="5606C22C" w14:textId="6636991F" w:rsidR="000A24B0" w:rsidRPr="00417183" w:rsidRDefault="00BA7F98" w:rsidP="00417183">
                      <w:pPr>
                        <w:pStyle w:val="ListParagraph"/>
                        <w:numPr>
                          <w:ilvl w:val="0"/>
                          <w:numId w:val="1"/>
                        </w:numPr>
                        <w:rPr>
                          <w:rFonts w:ascii="Arial" w:hAnsi="Arial" w:cs="Arial"/>
                        </w:rPr>
                      </w:pPr>
                      <w:r>
                        <w:rPr>
                          <w:rFonts w:ascii="Arial" w:hAnsi="Arial" w:cs="Arial"/>
                        </w:rPr>
                        <w:t xml:space="preserve">Internet Matters </w:t>
                      </w:r>
                      <w:r w:rsidR="000A24B0" w:rsidRPr="00417183">
                        <w:rPr>
                          <w:rFonts w:ascii="Arial" w:hAnsi="Arial" w:cs="Arial"/>
                        </w:rPr>
                        <w:t xml:space="preserve"> </w:t>
                      </w:r>
                    </w:p>
                  </w:txbxContent>
                </v:textbox>
                <w10:wrap type="square" anchorx="margin"/>
              </v:shape>
            </w:pict>
          </mc:Fallback>
        </mc:AlternateContent>
      </w:r>
      <w:r w:rsidR="00417183" w:rsidRPr="009F4A00">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239DD8C9" wp14:editId="2385FF86">
                <wp:simplePos x="0" y="0"/>
                <wp:positionH relativeFrom="column">
                  <wp:posOffset>-163830</wp:posOffset>
                </wp:positionH>
                <wp:positionV relativeFrom="paragraph">
                  <wp:posOffset>3525520</wp:posOffset>
                </wp:positionV>
                <wp:extent cx="3273425" cy="1895475"/>
                <wp:effectExtent l="0" t="0" r="22225" b="2857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3425" cy="1895475"/>
                        </a:xfrm>
                        <a:prstGeom prst="rect">
                          <a:avLst/>
                        </a:prstGeom>
                        <a:solidFill>
                          <a:srgbClr val="FFCCFF"/>
                        </a:solidFill>
                        <a:ln w="9525">
                          <a:solidFill>
                            <a:srgbClr val="000000"/>
                          </a:solidFill>
                          <a:miter lim="800000"/>
                          <a:headEnd/>
                          <a:tailEnd/>
                        </a:ln>
                      </wps:spPr>
                      <wps:txbx>
                        <w:txbxContent>
                          <w:p w14:paraId="33A50F53"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Search Safely </w:t>
                            </w:r>
                          </w:p>
                          <w:p w14:paraId="5E49AD8E" w14:textId="77777777" w:rsidR="005C2781" w:rsidRPr="009F4A00" w:rsidRDefault="005C2781" w:rsidP="005C2781">
                            <w:pPr>
                              <w:rPr>
                                <w:rFonts w:ascii="Arial" w:hAnsi="Arial" w:cs="Arial"/>
                              </w:rPr>
                            </w:pPr>
                            <w:r>
                              <w:rPr>
                                <w:rFonts w:ascii="Arial" w:hAnsi="Arial" w:cs="Arial"/>
                              </w:rPr>
                              <w:t>When children are accessing the internet, Internet Matters (2020) explains the multiple ways parents have the opportunity to ensure children as safe, this is done through safe search engines designed for children. These search engines, such as Swiggle or Kids-Search can be activated through the device to ensure child friendly content is shown at all times.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9DD8C9" id="Text Box 4" o:spid="_x0000_s1033" type="#_x0000_t202" style="position:absolute;margin-left:-12.9pt;margin-top:277.6pt;width:257.75pt;height:149.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" fillcolor="#fcf">
                <v:textbox>
                  <w:txbxContent>
                    <w:p w14:paraId="33A50F53"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Search Safely </w:t>
                      </w:r>
                    </w:p>
                    <w:p w14:paraId="5E49AD8E" w14:textId="77777777" w:rsidR="005C2781" w:rsidRPr="009F4A00" w:rsidRDefault="005C2781" w:rsidP="005C2781">
                      <w:pPr>
                        <w:rPr>
                          <w:rFonts w:ascii="Arial" w:hAnsi="Arial" w:cs="Arial"/>
                        </w:rPr>
                      </w:pPr>
                      <w:r>
                        <w:rPr>
                          <w:rFonts w:ascii="Arial" w:hAnsi="Arial" w:cs="Arial"/>
                        </w:rPr>
                        <w:t>When children are accessing the internet, Internet Matters (2020) explains the multiple ways parents have the opportunity to ensure children as safe, this is done through safe search engines designed for children. These search engines, such as Swiggle or Kids-Search can be activated through the device to ensure child friendly content is shown at all times.</w:t>
                      </w:r>
                    </w:p>
                  </w:txbxContent>
                </v:textbox>
                <w10:wrap type="square"/>
              </v:shape>
            </w:pict>
          </mc:Fallback>
        </mc:AlternateContent>
      </w:r>
      <w:r w:rsidR="00417183" w:rsidRPr="009F4A00">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16933230" wp14:editId="049727DA">
                <wp:simplePos x="0" y="0"/>
                <wp:positionH relativeFrom="column">
                  <wp:posOffset>-180975</wp:posOffset>
                </wp:positionH>
                <wp:positionV relativeFrom="page">
                  <wp:posOffset>1367155</wp:posOffset>
                </wp:positionV>
                <wp:extent cx="3265170" cy="2677795"/>
                <wp:effectExtent l="0" t="0" r="1143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5170" cy="2677795"/>
                        </a:xfrm>
                        <a:prstGeom prst="rect">
                          <a:avLst/>
                        </a:prstGeom>
                        <a:solidFill>
                          <a:srgbClr val="FF9999"/>
                        </a:solidFill>
                        <a:ln w="9525">
                          <a:solidFill>
                            <a:srgbClr val="000000"/>
                          </a:solidFill>
                          <a:miter lim="800000"/>
                          <a:headEnd/>
                          <a:tailEnd/>
                        </a:ln>
                      </wps:spPr>
                      <wps:txbx>
                        <w:txbxContent>
                          <w:p w14:paraId="7EC49D6C"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Explore Together/ Get Involved </w:t>
                            </w:r>
                          </w:p>
                          <w:p w14:paraId="57D83D3B" w14:textId="77777777" w:rsidR="005C2781" w:rsidRPr="009F4A00" w:rsidRDefault="005C2781" w:rsidP="005C2781">
                            <w:pPr>
                              <w:rPr>
                                <w:rFonts w:ascii="Arial" w:hAnsi="Arial" w:cs="Arial"/>
                              </w:rPr>
                            </w:pPr>
                            <w:r>
                              <w:rPr>
                                <w:rFonts w:ascii="Arial" w:hAnsi="Arial" w:cs="Arial"/>
                              </w:rPr>
                              <w:t>Internet Matters (2020) and the NSPCC (2020) both encourage the use of exploring the internet together. This can allow key communication and development as the parents has the opportunity to discuss the risks that children may face when online. When doing this, parents also can show children the different fun and educational aspects they can complete when using online effectively and safely. Parents should also encourage children to access the devices in communal areas so that the adults have the opportunities to monitor what they are exploring and viewing.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933230" id="_x0000_s1034" type="#_x0000_t202" style="position:absolute;margin-left:-14.25pt;margin-top:107.65pt;width:257.1pt;height:210.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" fillcolor="#f99">
                <v:textbox>
                  <w:txbxContent>
                    <w:p w14:paraId="7EC49D6C"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Explore Together/ Get Involved </w:t>
                      </w:r>
                    </w:p>
                    <w:p w14:paraId="57D83D3B" w14:textId="77777777" w:rsidR="005C2781" w:rsidRPr="009F4A00" w:rsidRDefault="005C2781" w:rsidP="005C2781">
                      <w:pPr>
                        <w:rPr>
                          <w:rFonts w:ascii="Arial" w:hAnsi="Arial" w:cs="Arial"/>
                        </w:rPr>
                      </w:pPr>
                      <w:r>
                        <w:rPr>
                          <w:rFonts w:ascii="Arial" w:hAnsi="Arial" w:cs="Arial"/>
                        </w:rPr>
                        <w:t>Internet Matters (2020) and the NSPCC (2020) both encourage the use of exploring the internet together. This can allow key communication and development as the parents has the opportunity to discuss the risks that children may face when online. When doing this, parents also can show children the different fun and educational aspects they can complete when using online effectively and safely. Parents should also encourage children to access the devices in communal areas so that the adults have the opportunities to monitor what they are exploring and viewing.</w:t>
                      </w:r>
                    </w:p>
                  </w:txbxContent>
                </v:textbox>
                <w10:wrap type="square" anchory="page"/>
              </v:shape>
            </w:pict>
          </mc:Fallback>
        </mc:AlternateContent>
      </w:r>
      <w:r w:rsidR="007E08E1" w:rsidRPr="00B70018">
        <w:rPr>
          <w:rFonts w:ascii="Arial" w:hAnsi="Arial" w:cs="Arial"/>
          <w:noProof/>
          <w:sz w:val="24"/>
          <w:szCs w:val="24"/>
        </w:rPr>
        <mc:AlternateContent>
          <mc:Choice Requires="wps">
            <w:drawing>
              <wp:anchor distT="45720" distB="45720" distL="114300" distR="114300" simplePos="0" relativeHeight="251672576" behindDoc="0" locked="0" layoutInCell="1" allowOverlap="1" wp14:anchorId="49EEE75F" wp14:editId="094D4222">
                <wp:simplePos x="0" y="0"/>
                <wp:positionH relativeFrom="margin">
                  <wp:align>right</wp:align>
                </wp:positionH>
                <wp:positionV relativeFrom="paragraph">
                  <wp:posOffset>7962900</wp:posOffset>
                </wp:positionV>
                <wp:extent cx="2006600" cy="31496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6600" cy="314960"/>
                        </a:xfrm>
                        <a:prstGeom prst="rect">
                          <a:avLst/>
                        </a:prstGeom>
                        <a:noFill/>
                        <a:ln w="9525">
                          <a:noFill/>
                          <a:miter lim="800000"/>
                          <a:headEnd/>
                          <a:tailEnd/>
                        </a:ln>
                      </wps:spPr>
                      <wps:txbx>
                        <w:txbxContent>
                          <w:p w14:paraId="2DDDE2D9" w14:textId="77777777" w:rsidR="005C2781" w:rsidRPr="00B70018" w:rsidRDefault="005C2781" w:rsidP="005C2781">
                            <w:pPr>
                              <w:rPr>
                                <w:rFonts w:ascii="Arial" w:hAnsi="Arial" w:cs="Arial"/>
                                <w:sz w:val="24"/>
                                <w:szCs w:val="24"/>
                              </w:rPr>
                            </w:pPr>
                            <w:r w:rsidRPr="00B70018">
                              <w:rPr>
                                <w:rFonts w:ascii="Arial" w:hAnsi="Arial" w:cs="Arial"/>
                                <w:sz w:val="24"/>
                                <w:szCs w:val="24"/>
                              </w:rPr>
                              <w:t>(Internet Matters,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EEE75F" id="_x0000_s1035" type="#_x0000_t202" style="position:absolute;margin-left:106.8pt;margin-top:627pt;width:158pt;height:24.8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" filled="f" stroked="f">
                <v:textbox>
                  <w:txbxContent>
                    <w:p w14:paraId="2DDDE2D9" w14:textId="77777777" w:rsidR="005C2781" w:rsidRPr="00B70018" w:rsidRDefault="005C2781" w:rsidP="005C2781">
                      <w:pPr>
                        <w:rPr>
                          <w:rFonts w:ascii="Arial" w:hAnsi="Arial" w:cs="Arial"/>
                          <w:sz w:val="24"/>
                          <w:szCs w:val="24"/>
                        </w:rPr>
                      </w:pPr>
                      <w:r w:rsidRPr="00B70018">
                        <w:rPr>
                          <w:rFonts w:ascii="Arial" w:hAnsi="Arial" w:cs="Arial"/>
                          <w:sz w:val="24"/>
                          <w:szCs w:val="24"/>
                        </w:rPr>
                        <w:t>(Internet Matters, 2020)</w:t>
                      </w:r>
                    </w:p>
                  </w:txbxContent>
                </v:textbox>
                <w10:wrap type="square" anchorx="margin"/>
              </v:shape>
            </w:pict>
          </mc:Fallback>
        </mc:AlternateContent>
      </w:r>
      <w:r w:rsidR="007E08E1" w:rsidRPr="00B70018">
        <w:rPr>
          <w:noProof/>
        </w:rPr>
        <w:drawing>
          <wp:anchor distT="0" distB="0" distL="114300" distR="114300" simplePos="0" relativeHeight="251671552" behindDoc="0" locked="0" layoutInCell="1" allowOverlap="1" wp14:anchorId="400E82F6" wp14:editId="1AAB4435">
            <wp:simplePos x="0" y="0"/>
            <wp:positionH relativeFrom="page">
              <wp:align>center</wp:align>
            </wp:positionH>
            <wp:positionV relativeFrom="paragraph">
              <wp:posOffset>8172450</wp:posOffset>
            </wp:positionV>
            <wp:extent cx="7150100" cy="170116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150100" cy="1701165"/>
                    </a:xfrm>
                    <a:prstGeom prst="rect">
                      <a:avLst/>
                    </a:prstGeom>
                  </pic:spPr>
                </pic:pic>
              </a:graphicData>
            </a:graphic>
            <wp14:sizeRelH relativeFrom="margin">
              <wp14:pctWidth>0</wp14:pctWidth>
            </wp14:sizeRelH>
          </wp:anchor>
        </w:drawing>
      </w:r>
      <w:r w:rsidR="007E08E1" w:rsidRPr="009F4A00">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189A0A4D" wp14:editId="0120EFA2">
                <wp:simplePos x="0" y="0"/>
                <wp:positionH relativeFrom="margin">
                  <wp:align>right</wp:align>
                </wp:positionH>
                <wp:positionV relativeFrom="paragraph">
                  <wp:posOffset>3069590</wp:posOffset>
                </wp:positionV>
                <wp:extent cx="3209925" cy="4660900"/>
                <wp:effectExtent l="0" t="0" r="28575" b="254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4660900"/>
                        </a:xfrm>
                        <a:prstGeom prst="rect">
                          <a:avLst/>
                        </a:prstGeom>
                        <a:solidFill>
                          <a:srgbClr val="FFFF99"/>
                        </a:solidFill>
                        <a:ln w="9525">
                          <a:solidFill>
                            <a:srgbClr val="000000"/>
                          </a:solidFill>
                          <a:miter lim="800000"/>
                          <a:headEnd/>
                          <a:tailEnd/>
                        </a:ln>
                      </wps:spPr>
                      <wps:txbx>
                        <w:txbxContent>
                          <w:p w14:paraId="4D70E5AF"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Online Games </w:t>
                            </w:r>
                          </w:p>
                          <w:p w14:paraId="7F284CA7" w14:textId="77777777" w:rsidR="005C2781" w:rsidRPr="009F4A00" w:rsidRDefault="005C2781" w:rsidP="005C2781">
                            <w:pPr>
                              <w:rPr>
                                <w:rFonts w:ascii="Arial" w:hAnsi="Arial" w:cs="Arial"/>
                              </w:rPr>
                            </w:pPr>
                            <w:r>
                              <w:rPr>
                                <w:rFonts w:ascii="Arial" w:hAnsi="Arial" w:cs="Arial"/>
                              </w:rPr>
                              <w:t xml:space="preserve">The NSPCC (2020) explain that online games can be an effective way for children to relax, socialise with their friends and have fun. Online games can be educational and used in school, as well as watching videos of people playing different games. The NSPCC (2020) outline the risks that follow online games, such as cyberbullying and scams. These risks put children at risk when online. According to the United Nations Convention on the Rights of the Child (1990) children have the right to be safe within all aspects of their lives. Whereas there are multiple games children can access online, ranging from educational to fun. Playful Childhoods (2020) encourage parents to allow their children to develop their ability and confidence to play independently online. However, Playful Childhoods (2020) explain that to do this, children expect their caregivers to set limits and participate in managing their time. It is outlined by Playful Childhoods (2020) that it is important to know your children’s friends and understand where they are spending time online.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9A0A4D" id="Text Box 7" o:spid="_x0000_s1036" type="#_x0000_t202" style="position:absolute;margin-left:201.55pt;margin-top:241.7pt;width:252.75pt;height:367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" fillcolor="#ff9">
                <v:textbox>
                  <w:txbxContent>
                    <w:p w14:paraId="4D70E5AF" w14:textId="77777777" w:rsidR="005C2781" w:rsidRPr="00C672DB" w:rsidRDefault="005C2781" w:rsidP="005C2781">
                      <w:pPr>
                        <w:rPr>
                          <w:rFonts w:ascii="Arial" w:hAnsi="Arial" w:cs="Arial"/>
                          <w:sz w:val="24"/>
                          <w:szCs w:val="24"/>
                        </w:rPr>
                      </w:pPr>
                      <w:r w:rsidRPr="00C672DB">
                        <w:rPr>
                          <w:rFonts w:ascii="Arial" w:hAnsi="Arial" w:cs="Arial"/>
                          <w:sz w:val="24"/>
                          <w:szCs w:val="24"/>
                        </w:rPr>
                        <w:t xml:space="preserve">Online Games </w:t>
                      </w:r>
                    </w:p>
                    <w:p w14:paraId="7F284CA7" w14:textId="77777777" w:rsidR="005C2781" w:rsidRPr="009F4A00" w:rsidRDefault="005C2781" w:rsidP="005C2781">
                      <w:pPr>
                        <w:rPr>
                          <w:rFonts w:ascii="Arial" w:hAnsi="Arial" w:cs="Arial"/>
                        </w:rPr>
                      </w:pPr>
                      <w:r>
                        <w:rPr>
                          <w:rFonts w:ascii="Arial" w:hAnsi="Arial" w:cs="Arial"/>
                        </w:rPr>
                        <w:t xml:space="preserve">The NSPCC (2020) explain that online games can be an effective way for children to relax, socialise with their friends and have fun. Online games can be educational and used in school, as well as watching videos of people playing different games. The NSPCC (2020) outline the risks that follow online games, such as cyberbullying and scams. These risks put children at risk when online. According to the United Nations Convention on the Rights of the Child (1990) children have the right to be safe within all aspects of their lives. Whereas there are multiple games children can access online, ranging from educational to fun. Playful Childhoods (2020) encourage parents to allow their children to develop their ability and confidence to play independently online. However, Playful Childhoods (2020) explain that to do this, children expect their caregivers to set limits and participate in managing their time. It is outlined by Playful Childhoods (2020) that it is important to know your children’s friends and understand where they are spending time online. </w:t>
                      </w:r>
                    </w:p>
                  </w:txbxContent>
                </v:textbox>
                <w10:wrap type="square" anchorx="margin"/>
              </v:shape>
            </w:pict>
          </mc:Fallback>
        </mc:AlternateContent>
      </w:r>
      <w:r w:rsidR="005C2781" w:rsidRPr="009F4A00">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0B556BA4" wp14:editId="425897CB">
                <wp:simplePos x="0" y="0"/>
                <wp:positionH relativeFrom="margin">
                  <wp:posOffset>3346450</wp:posOffset>
                </wp:positionH>
                <wp:positionV relativeFrom="paragraph">
                  <wp:posOffset>818515</wp:posOffset>
                </wp:positionV>
                <wp:extent cx="3286125" cy="2006600"/>
                <wp:effectExtent l="0" t="0" r="28575"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2006600"/>
                        </a:xfrm>
                        <a:prstGeom prst="rect">
                          <a:avLst/>
                        </a:prstGeom>
                        <a:solidFill>
                          <a:srgbClr val="CCFFCC"/>
                        </a:solidFill>
                        <a:ln w="9525">
                          <a:solidFill>
                            <a:srgbClr val="000000"/>
                          </a:solidFill>
                          <a:miter lim="800000"/>
                          <a:headEnd/>
                          <a:tailEnd/>
                        </a:ln>
                      </wps:spPr>
                      <wps:txbx>
                        <w:txbxContent>
                          <w:p w14:paraId="664C0612" w14:textId="77777777" w:rsidR="005C2781" w:rsidRPr="00C672DB" w:rsidRDefault="005C2781" w:rsidP="005C2781">
                            <w:pPr>
                              <w:rPr>
                                <w:rFonts w:ascii="Arial" w:hAnsi="Arial" w:cs="Arial"/>
                                <w:sz w:val="24"/>
                                <w:szCs w:val="24"/>
                              </w:rPr>
                            </w:pPr>
                            <w:r w:rsidRPr="00C672DB">
                              <w:rPr>
                                <w:rFonts w:ascii="Arial" w:hAnsi="Arial" w:cs="Arial"/>
                                <w:sz w:val="24"/>
                                <w:szCs w:val="24"/>
                              </w:rPr>
                              <w:t>Set Rules/ Boundaries</w:t>
                            </w:r>
                          </w:p>
                          <w:p w14:paraId="0D91D7FA" w14:textId="2E510A72" w:rsidR="005C2781" w:rsidRPr="009F4A00" w:rsidRDefault="005C2781" w:rsidP="005C2781">
                            <w:pPr>
                              <w:rPr>
                                <w:rFonts w:ascii="Arial" w:hAnsi="Arial" w:cs="Arial"/>
                              </w:rPr>
                            </w:pPr>
                            <w:r>
                              <w:rPr>
                                <w:rFonts w:ascii="Arial" w:hAnsi="Arial" w:cs="Arial"/>
                              </w:rPr>
                              <w:t xml:space="preserve">The NSPCC (2020), Internet Matters (2020) and BT (2020) suggest that producing rules online is a keyway of keeping children safe. This can be done from incorporating at home rules to online rules. One example used by BT (2020) is that if </w:t>
                            </w:r>
                            <w:r w:rsidR="00627C58">
                              <w:rPr>
                                <w:rFonts w:ascii="Arial" w:hAnsi="Arial" w:cs="Arial"/>
                              </w:rPr>
                              <w:t>an</w:t>
                            </w:r>
                            <w:r>
                              <w:rPr>
                                <w:rFonts w:ascii="Arial" w:hAnsi="Arial" w:cs="Arial"/>
                              </w:rPr>
                              <w:t xml:space="preserve"> unknown adult tries to communicate with you, then you should inform an adult. This can also be done if an unknown adult online tries to communicate with a child.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56BA4" id="Text Box 6" o:spid="_x0000_s1037" type="#_x0000_t202" style="position:absolute;margin-left:263.5pt;margin-top:64.45pt;width:258.75pt;height:158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" fillcolor="#cfc">
                <v:textbox>
                  <w:txbxContent>
                    <w:p w14:paraId="664C0612" w14:textId="77777777" w:rsidR="005C2781" w:rsidRPr="00C672DB" w:rsidRDefault="005C2781" w:rsidP="005C2781">
                      <w:pPr>
                        <w:rPr>
                          <w:rFonts w:ascii="Arial" w:hAnsi="Arial" w:cs="Arial"/>
                          <w:sz w:val="24"/>
                          <w:szCs w:val="24"/>
                        </w:rPr>
                      </w:pPr>
                      <w:r w:rsidRPr="00C672DB">
                        <w:rPr>
                          <w:rFonts w:ascii="Arial" w:hAnsi="Arial" w:cs="Arial"/>
                          <w:sz w:val="24"/>
                          <w:szCs w:val="24"/>
                        </w:rPr>
                        <w:t>Set Rules/ Boundaries</w:t>
                      </w:r>
                    </w:p>
                    <w:p w14:paraId="0D91D7FA" w14:textId="2E510A72" w:rsidR="005C2781" w:rsidRPr="009F4A00" w:rsidRDefault="005C2781" w:rsidP="005C2781">
                      <w:pPr>
                        <w:rPr>
                          <w:rFonts w:ascii="Arial" w:hAnsi="Arial" w:cs="Arial"/>
                        </w:rPr>
                      </w:pPr>
                      <w:r>
                        <w:rPr>
                          <w:rFonts w:ascii="Arial" w:hAnsi="Arial" w:cs="Arial"/>
                        </w:rPr>
                        <w:t xml:space="preserve">The NSPCC (2020), Internet Matters (2020) and BT (2020) suggest that producing rules online is a keyway of keeping children safe. This can be done from incorporating at home rules to online rules. One example used by BT (2020) is that if </w:t>
                      </w:r>
                      <w:r w:rsidR="00627C58">
                        <w:rPr>
                          <w:rFonts w:ascii="Arial" w:hAnsi="Arial" w:cs="Arial"/>
                        </w:rPr>
                        <w:t>an</w:t>
                      </w:r>
                      <w:r>
                        <w:rPr>
                          <w:rFonts w:ascii="Arial" w:hAnsi="Arial" w:cs="Arial"/>
                        </w:rPr>
                        <w:t xml:space="preserve"> unknown adult tries to communicate with you, then you should inform an adult. This can also be done if an unknown adult online tries to communicate with a child. </w:t>
                      </w:r>
                    </w:p>
                  </w:txbxContent>
                </v:textbox>
                <w10:wrap type="square" anchorx="margin"/>
              </v:shape>
            </w:pict>
          </mc:Fallback>
        </mc:AlternateContent>
      </w:r>
    </w:p>
    <w:p w14:paraId="3046B53A" w14:textId="12CD14CE" w:rsidR="005C2781" w:rsidRDefault="005C2781">
      <w:pPr>
        <w:rPr>
          <w:rFonts w:ascii="Arial" w:hAnsi="Arial" w:cs="Arial"/>
          <w:sz w:val="24"/>
          <w:szCs w:val="24"/>
        </w:rPr>
      </w:pPr>
    </w:p>
    <w:p w14:paraId="2516CDA5" w14:textId="3B99C648" w:rsidR="005C2781" w:rsidRDefault="005C2781" w:rsidP="005C2781">
      <w:pPr>
        <w:rPr>
          <w:rFonts w:ascii="Arial" w:hAnsi="Arial" w:cs="Arial"/>
          <w:sz w:val="24"/>
          <w:szCs w:val="24"/>
        </w:rPr>
      </w:pPr>
    </w:p>
    <w:tbl>
      <w:tblPr>
        <w:tblStyle w:val="TableGrid"/>
        <w:tblpPr w:leftFromText="180" w:rightFromText="180" w:vertAnchor="page" w:horzAnchor="margin" w:tblpXSpec="center" w:tblpY="1001"/>
        <w:tblW w:w="0" w:type="auto"/>
        <w:tblLook w:val="04A0" w:firstRow="1" w:lastRow="0" w:firstColumn="1" w:lastColumn="0" w:noHBand="0" w:noVBand="1"/>
      </w:tblPr>
      <w:tblGrid>
        <w:gridCol w:w="9781"/>
      </w:tblGrid>
      <w:tr w:rsidR="005C2781" w14:paraId="0E0265A6" w14:textId="77777777" w:rsidTr="00ED1E25">
        <w:tc>
          <w:tcPr>
            <w:tcW w:w="9781" w:type="dxa"/>
            <w:shd w:val="clear" w:color="auto" w:fill="6699FF"/>
          </w:tcPr>
          <w:p w14:paraId="76DBF8D9" w14:textId="77777777" w:rsidR="005C2781" w:rsidRDefault="005C2781" w:rsidP="00ED1E25">
            <w:pPr>
              <w:rPr>
                <w:rFonts w:ascii="Arial" w:hAnsi="Arial" w:cs="Arial"/>
                <w:sz w:val="24"/>
                <w:szCs w:val="24"/>
              </w:rPr>
            </w:pPr>
          </w:p>
          <w:p w14:paraId="6FE688BA" w14:textId="77777777" w:rsidR="005C2781" w:rsidRPr="00704545" w:rsidRDefault="005C2781" w:rsidP="00ED1E25">
            <w:pPr>
              <w:tabs>
                <w:tab w:val="center" w:pos="4400"/>
                <w:tab w:val="right" w:pos="8800"/>
              </w:tabs>
              <w:jc w:val="center"/>
              <w:rPr>
                <w:rFonts w:ascii="Arial" w:hAnsi="Arial" w:cs="Arial"/>
                <w:sz w:val="40"/>
                <w:szCs w:val="40"/>
              </w:rPr>
            </w:pPr>
            <w:r w:rsidRPr="00704545">
              <w:rPr>
                <w:rFonts w:ascii="Arial" w:hAnsi="Arial" w:cs="Arial"/>
                <w:sz w:val="40"/>
                <w:szCs w:val="40"/>
              </w:rPr>
              <w:t>Online Safety Checklist</w:t>
            </w:r>
          </w:p>
          <w:p w14:paraId="7A1836FC" w14:textId="2A81C7FE" w:rsidR="005C2781" w:rsidRDefault="005C2781" w:rsidP="00ED1E25">
            <w:pPr>
              <w:rPr>
                <w:rFonts w:ascii="Arial" w:hAnsi="Arial" w:cs="Arial"/>
                <w:sz w:val="24"/>
                <w:szCs w:val="24"/>
              </w:rPr>
            </w:pPr>
          </w:p>
        </w:tc>
      </w:tr>
    </w:tbl>
    <w:p w14:paraId="0D024DC6" w14:textId="032FEB54" w:rsidR="005C2781" w:rsidRDefault="005C2781" w:rsidP="005C2781">
      <w:pPr>
        <w:rPr>
          <w:rFonts w:ascii="Arial" w:hAnsi="Arial" w:cs="Arial"/>
          <w:sz w:val="24"/>
          <w:szCs w:val="24"/>
        </w:rPr>
      </w:pPr>
    </w:p>
    <w:p w14:paraId="2E7A4ED3" w14:textId="31852B08" w:rsidR="007E08E1" w:rsidRDefault="007E08E1" w:rsidP="005C2781">
      <w:pPr>
        <w:rPr>
          <w:rFonts w:ascii="Arial" w:hAnsi="Arial" w:cs="Arial"/>
          <w:sz w:val="24"/>
          <w:szCs w:val="24"/>
        </w:rPr>
      </w:pPr>
    </w:p>
    <w:p w14:paraId="487DA67B" w14:textId="77777777" w:rsidR="00AA23E4" w:rsidRDefault="00AA23E4" w:rsidP="005C2781">
      <w:pPr>
        <w:rPr>
          <w:rFonts w:ascii="Arial" w:hAnsi="Arial" w:cs="Arial"/>
          <w:sz w:val="24"/>
          <w:szCs w:val="24"/>
        </w:rPr>
        <w:sectPr w:rsidR="00AA23E4" w:rsidSect="005C2781">
          <w:pgSz w:w="11906" w:h="16838"/>
          <w:pgMar w:top="720" w:right="720" w:bottom="720" w:left="720" w:header="709" w:footer="709" w:gutter="0"/>
          <w:cols w:space="708"/>
          <w:docGrid w:linePitch="360"/>
        </w:sectPr>
      </w:pPr>
    </w:p>
    <w:p w14:paraId="475FBDB8" w14:textId="5F833D09" w:rsidR="007E08E1" w:rsidRPr="00011267" w:rsidRDefault="00011267" w:rsidP="00B027E3">
      <w:pPr>
        <w:spacing w:line="360" w:lineRule="auto"/>
        <w:rPr>
          <w:rFonts w:ascii="Arial" w:hAnsi="Arial" w:cs="Arial"/>
          <w:sz w:val="24"/>
          <w:szCs w:val="24"/>
          <w:u w:val="single"/>
        </w:rPr>
      </w:pPr>
      <w:r w:rsidRPr="00011267">
        <w:rPr>
          <w:rFonts w:ascii="Arial" w:hAnsi="Arial" w:cs="Arial"/>
          <w:sz w:val="24"/>
          <w:szCs w:val="24"/>
          <w:u w:val="single"/>
        </w:rPr>
        <w:lastRenderedPageBreak/>
        <w:t>Part Three-</w:t>
      </w:r>
    </w:p>
    <w:tbl>
      <w:tblPr>
        <w:tblStyle w:val="TableGrid"/>
        <w:tblW w:w="0" w:type="auto"/>
        <w:tblLook w:val="04A0" w:firstRow="1" w:lastRow="0" w:firstColumn="1" w:lastColumn="0" w:noHBand="0" w:noVBand="1"/>
      </w:tblPr>
      <w:tblGrid>
        <w:gridCol w:w="2965"/>
        <w:gridCol w:w="3150"/>
        <w:gridCol w:w="2901"/>
      </w:tblGrid>
      <w:tr w:rsidR="00011267" w:rsidRPr="00011267" w14:paraId="08F8EDDA" w14:textId="77777777" w:rsidTr="00B027E3">
        <w:tc>
          <w:tcPr>
            <w:tcW w:w="9016" w:type="dxa"/>
            <w:gridSpan w:val="3"/>
          </w:tcPr>
          <w:p w14:paraId="49E24835" w14:textId="77777777" w:rsidR="00011267" w:rsidRPr="00011267" w:rsidRDefault="00011267" w:rsidP="00B027E3">
            <w:pPr>
              <w:spacing w:line="360" w:lineRule="auto"/>
              <w:jc w:val="center"/>
              <w:rPr>
                <w:rFonts w:ascii="Calibri" w:eastAsia="Calibri" w:hAnsi="Calibri" w:cs="Times New Roman"/>
                <w:b/>
                <w:lang w:val="cy-GB"/>
              </w:rPr>
            </w:pPr>
            <w:r w:rsidRPr="00011267">
              <w:rPr>
                <w:rFonts w:ascii="Calibri" w:eastAsia="Calibri" w:hAnsi="Calibri" w:cs="Times New Roman"/>
                <w:b/>
                <w:i/>
                <w:lang w:val="en-US"/>
              </w:rPr>
              <w:t>Activity Plan</w:t>
            </w:r>
          </w:p>
        </w:tc>
      </w:tr>
      <w:tr w:rsidR="00011267" w:rsidRPr="00011267" w14:paraId="16DECCE1" w14:textId="77777777" w:rsidTr="00B027E3">
        <w:tc>
          <w:tcPr>
            <w:tcW w:w="9016" w:type="dxa"/>
            <w:gridSpan w:val="3"/>
          </w:tcPr>
          <w:p w14:paraId="50C97A71" w14:textId="77777777" w:rsidR="00011267" w:rsidRPr="00011267" w:rsidRDefault="00011267" w:rsidP="00B027E3">
            <w:pPr>
              <w:spacing w:line="360" w:lineRule="auto"/>
              <w:rPr>
                <w:rFonts w:ascii="Calibri" w:eastAsia="Calibri" w:hAnsi="Calibri" w:cs="Times New Roman"/>
                <w:b/>
                <w:lang w:val="en-US"/>
              </w:rPr>
            </w:pPr>
            <w:r w:rsidRPr="00011267">
              <w:rPr>
                <w:rFonts w:ascii="Calibri" w:eastAsia="Calibri" w:hAnsi="Calibri" w:cs="Times New Roman"/>
                <w:b/>
                <w:i/>
                <w:lang w:val="en-US"/>
              </w:rPr>
              <w:t>Activity:</w:t>
            </w:r>
          </w:p>
          <w:p w14:paraId="5C6B2E5F" w14:textId="77777777" w:rsidR="00011267" w:rsidRPr="00011267" w:rsidRDefault="00011267" w:rsidP="00B027E3">
            <w:pPr>
              <w:spacing w:line="360" w:lineRule="auto"/>
              <w:rPr>
                <w:rFonts w:ascii="Calibri" w:eastAsia="Calibri" w:hAnsi="Calibri" w:cs="Times New Roman"/>
                <w:lang w:val="en-US"/>
              </w:rPr>
            </w:pPr>
            <w:r w:rsidRPr="00011267">
              <w:rPr>
                <w:rFonts w:ascii="Calibri" w:eastAsia="Calibri" w:hAnsi="Calibri" w:cs="Times New Roman"/>
                <w:lang w:val="en-US"/>
              </w:rPr>
              <w:t xml:space="preserve">Garden Exploration </w:t>
            </w:r>
          </w:p>
        </w:tc>
      </w:tr>
      <w:tr w:rsidR="00011267" w:rsidRPr="00011267" w14:paraId="1FB47141" w14:textId="77777777" w:rsidTr="00B027E3">
        <w:tc>
          <w:tcPr>
            <w:tcW w:w="2965" w:type="dxa"/>
          </w:tcPr>
          <w:p w14:paraId="7C668975" w14:textId="77777777" w:rsidR="00011267" w:rsidRPr="00011267" w:rsidRDefault="00011267" w:rsidP="00B027E3">
            <w:pPr>
              <w:spacing w:line="360" w:lineRule="auto"/>
              <w:rPr>
                <w:rFonts w:ascii="Calibri" w:eastAsia="Calibri" w:hAnsi="Calibri" w:cs="Times New Roman"/>
                <w:b/>
                <w:lang w:val="en-US"/>
              </w:rPr>
            </w:pPr>
            <w:r w:rsidRPr="00011267">
              <w:rPr>
                <w:rFonts w:ascii="Calibri" w:eastAsia="Calibri" w:hAnsi="Calibri" w:cs="Times New Roman"/>
                <w:b/>
                <w:i/>
                <w:lang w:val="en-US"/>
              </w:rPr>
              <w:t>Number of children:</w:t>
            </w:r>
          </w:p>
          <w:p w14:paraId="04B456C7" w14:textId="77777777" w:rsidR="00011267" w:rsidRPr="00011267" w:rsidRDefault="00011267" w:rsidP="00B027E3">
            <w:pPr>
              <w:spacing w:line="360" w:lineRule="auto"/>
              <w:rPr>
                <w:rFonts w:ascii="Calibri" w:eastAsia="Calibri" w:hAnsi="Calibri" w:cs="Times New Roman"/>
                <w:lang w:val="en-US"/>
              </w:rPr>
            </w:pPr>
            <w:r w:rsidRPr="00011267">
              <w:rPr>
                <w:rFonts w:ascii="Calibri" w:eastAsia="Calibri" w:hAnsi="Calibri" w:cs="Times New Roman"/>
                <w:lang w:val="en-US"/>
              </w:rPr>
              <w:t xml:space="preserve">6 Children </w:t>
            </w:r>
          </w:p>
        </w:tc>
        <w:tc>
          <w:tcPr>
            <w:tcW w:w="3150" w:type="dxa"/>
          </w:tcPr>
          <w:p w14:paraId="1571BAC8" w14:textId="77777777" w:rsidR="00011267" w:rsidRPr="00011267" w:rsidRDefault="00011267" w:rsidP="00B027E3">
            <w:pPr>
              <w:spacing w:line="360" w:lineRule="auto"/>
              <w:rPr>
                <w:rFonts w:ascii="Calibri" w:eastAsia="Calibri" w:hAnsi="Calibri" w:cs="Times New Roman"/>
                <w:b/>
                <w:i/>
                <w:lang w:val="en-US"/>
              </w:rPr>
            </w:pPr>
            <w:r w:rsidRPr="00011267">
              <w:rPr>
                <w:rFonts w:ascii="Calibri" w:eastAsia="Calibri" w:hAnsi="Calibri" w:cs="Times New Roman"/>
                <w:b/>
                <w:i/>
                <w:lang w:val="en-US"/>
              </w:rPr>
              <w:t>Age of children:</w:t>
            </w:r>
          </w:p>
          <w:p w14:paraId="47173DC2" w14:textId="77777777" w:rsidR="00011267" w:rsidRPr="00011267" w:rsidRDefault="00011267" w:rsidP="00B027E3">
            <w:pPr>
              <w:spacing w:line="360" w:lineRule="auto"/>
              <w:rPr>
                <w:rFonts w:ascii="Calibri" w:eastAsia="Calibri" w:hAnsi="Calibri" w:cs="Times New Roman"/>
                <w:bCs/>
                <w:iCs/>
                <w:lang w:val="en-US"/>
              </w:rPr>
            </w:pPr>
            <w:r w:rsidRPr="00011267">
              <w:rPr>
                <w:rFonts w:ascii="Calibri" w:eastAsia="Calibri" w:hAnsi="Calibri" w:cs="Times New Roman"/>
                <w:bCs/>
                <w:iCs/>
                <w:lang w:val="en-US"/>
              </w:rPr>
              <w:t>6 Years Old</w:t>
            </w:r>
          </w:p>
        </w:tc>
        <w:tc>
          <w:tcPr>
            <w:tcW w:w="2901" w:type="dxa"/>
          </w:tcPr>
          <w:p w14:paraId="61A910AB" w14:textId="77777777" w:rsidR="00011267" w:rsidRPr="00011267" w:rsidRDefault="00011267" w:rsidP="00B027E3">
            <w:pPr>
              <w:spacing w:line="360" w:lineRule="auto"/>
              <w:rPr>
                <w:rFonts w:ascii="Calibri" w:eastAsia="Calibri" w:hAnsi="Calibri" w:cs="Times New Roman"/>
                <w:b/>
                <w:i/>
                <w:lang w:val="en-US"/>
              </w:rPr>
            </w:pPr>
            <w:r w:rsidRPr="00011267">
              <w:rPr>
                <w:rFonts w:ascii="Calibri" w:eastAsia="Calibri" w:hAnsi="Calibri" w:cs="Times New Roman"/>
                <w:b/>
                <w:i/>
                <w:lang w:val="en-US"/>
              </w:rPr>
              <w:t>Number of adults:</w:t>
            </w:r>
          </w:p>
          <w:p w14:paraId="2DF15E1E" w14:textId="77777777" w:rsidR="00011267" w:rsidRPr="00011267" w:rsidRDefault="00011267" w:rsidP="00B027E3">
            <w:pPr>
              <w:spacing w:line="360" w:lineRule="auto"/>
              <w:rPr>
                <w:rFonts w:ascii="Calibri" w:eastAsia="Calibri" w:hAnsi="Calibri" w:cs="Times New Roman"/>
                <w:bCs/>
                <w:iCs/>
                <w:lang w:val="en-US"/>
              </w:rPr>
            </w:pPr>
            <w:r w:rsidRPr="00011267">
              <w:rPr>
                <w:rFonts w:ascii="Calibri" w:eastAsia="Calibri" w:hAnsi="Calibri" w:cs="Times New Roman"/>
                <w:bCs/>
                <w:iCs/>
                <w:lang w:val="en-US"/>
              </w:rPr>
              <w:t>2</w:t>
            </w:r>
          </w:p>
        </w:tc>
      </w:tr>
      <w:tr w:rsidR="00011267" w:rsidRPr="00011267" w14:paraId="719BB9CA" w14:textId="77777777" w:rsidTr="00B027E3">
        <w:tc>
          <w:tcPr>
            <w:tcW w:w="2965" w:type="dxa"/>
          </w:tcPr>
          <w:p w14:paraId="6869819C" w14:textId="77777777" w:rsidR="00011267" w:rsidRPr="00011267" w:rsidRDefault="00011267" w:rsidP="00B027E3">
            <w:pPr>
              <w:spacing w:line="360" w:lineRule="auto"/>
              <w:rPr>
                <w:rFonts w:ascii="Calibri" w:eastAsia="Calibri" w:hAnsi="Calibri" w:cs="Times New Roman"/>
                <w:b/>
                <w:lang w:val="en-US"/>
              </w:rPr>
            </w:pPr>
            <w:r w:rsidRPr="00011267">
              <w:rPr>
                <w:rFonts w:ascii="Calibri" w:eastAsia="Calibri" w:hAnsi="Calibri" w:cs="Times New Roman"/>
                <w:b/>
                <w:i/>
                <w:lang w:val="en-US"/>
              </w:rPr>
              <w:t>Location:</w:t>
            </w:r>
          </w:p>
          <w:p w14:paraId="329E23F3" w14:textId="77777777" w:rsidR="00011267" w:rsidRPr="00011267" w:rsidRDefault="00011267" w:rsidP="00B027E3">
            <w:pPr>
              <w:spacing w:line="360" w:lineRule="auto"/>
              <w:rPr>
                <w:rFonts w:ascii="Calibri" w:eastAsia="Calibri" w:hAnsi="Calibri" w:cs="Times New Roman"/>
                <w:lang w:val="en-US"/>
              </w:rPr>
            </w:pPr>
            <w:r w:rsidRPr="00011267">
              <w:rPr>
                <w:rFonts w:ascii="Calibri" w:eastAsia="Calibri" w:hAnsi="Calibri" w:cs="Times New Roman"/>
                <w:lang w:val="en-US"/>
              </w:rPr>
              <w:t xml:space="preserve">School </w:t>
            </w:r>
          </w:p>
        </w:tc>
        <w:tc>
          <w:tcPr>
            <w:tcW w:w="3150" w:type="dxa"/>
          </w:tcPr>
          <w:p w14:paraId="77D5F8CA" w14:textId="77777777" w:rsidR="00011267" w:rsidRPr="00011267" w:rsidRDefault="00011267" w:rsidP="00B027E3">
            <w:pPr>
              <w:spacing w:line="360" w:lineRule="auto"/>
              <w:rPr>
                <w:rFonts w:ascii="Calibri" w:eastAsia="Calibri" w:hAnsi="Calibri" w:cs="Times New Roman"/>
                <w:b/>
                <w:i/>
                <w:lang w:val="en-US"/>
              </w:rPr>
            </w:pPr>
            <w:r w:rsidRPr="00011267">
              <w:rPr>
                <w:rFonts w:ascii="Calibri" w:eastAsia="Calibri" w:hAnsi="Calibri" w:cs="Times New Roman"/>
                <w:b/>
                <w:i/>
                <w:lang w:val="en-US"/>
              </w:rPr>
              <w:t>Preparation time:</w:t>
            </w:r>
          </w:p>
          <w:p w14:paraId="66B66394" w14:textId="77777777" w:rsidR="00011267" w:rsidRPr="00011267" w:rsidRDefault="00011267" w:rsidP="00B027E3">
            <w:pPr>
              <w:spacing w:line="360" w:lineRule="auto"/>
              <w:rPr>
                <w:rFonts w:ascii="Calibri" w:eastAsia="Calibri" w:hAnsi="Calibri" w:cs="Times New Roman"/>
                <w:bCs/>
                <w:iCs/>
                <w:lang w:val="en-US"/>
              </w:rPr>
            </w:pPr>
            <w:r w:rsidRPr="00011267">
              <w:rPr>
                <w:rFonts w:ascii="Calibri" w:eastAsia="Calibri" w:hAnsi="Calibri" w:cs="Times New Roman"/>
                <w:bCs/>
                <w:iCs/>
                <w:lang w:val="en-US"/>
              </w:rPr>
              <w:t>5 Minutes</w:t>
            </w:r>
          </w:p>
        </w:tc>
        <w:tc>
          <w:tcPr>
            <w:tcW w:w="2901" w:type="dxa"/>
          </w:tcPr>
          <w:p w14:paraId="7E170AE4" w14:textId="77777777" w:rsidR="00011267" w:rsidRPr="00011267" w:rsidRDefault="00011267" w:rsidP="00B027E3">
            <w:pPr>
              <w:spacing w:line="360" w:lineRule="auto"/>
              <w:rPr>
                <w:rFonts w:ascii="Calibri" w:eastAsia="Calibri" w:hAnsi="Calibri" w:cs="Times New Roman"/>
                <w:b/>
                <w:i/>
                <w:lang w:val="en-US"/>
              </w:rPr>
            </w:pPr>
            <w:r w:rsidRPr="00011267">
              <w:rPr>
                <w:rFonts w:ascii="Calibri" w:eastAsia="Calibri" w:hAnsi="Calibri" w:cs="Times New Roman"/>
                <w:b/>
                <w:i/>
                <w:lang w:val="en-US"/>
              </w:rPr>
              <w:t>Activity time:</w:t>
            </w:r>
          </w:p>
          <w:p w14:paraId="5509BCC5" w14:textId="77777777" w:rsidR="00011267" w:rsidRPr="00011267" w:rsidRDefault="00011267" w:rsidP="00B027E3">
            <w:pPr>
              <w:spacing w:line="360" w:lineRule="auto"/>
              <w:rPr>
                <w:rFonts w:ascii="Calibri" w:eastAsia="Calibri" w:hAnsi="Calibri" w:cs="Times New Roman"/>
                <w:bCs/>
                <w:iCs/>
                <w:lang w:val="en-US"/>
              </w:rPr>
            </w:pPr>
            <w:r w:rsidRPr="00011267">
              <w:rPr>
                <w:rFonts w:ascii="Calibri" w:eastAsia="Calibri" w:hAnsi="Calibri" w:cs="Times New Roman"/>
                <w:bCs/>
                <w:iCs/>
                <w:lang w:val="en-US"/>
              </w:rPr>
              <w:t xml:space="preserve">2 Hours </w:t>
            </w:r>
          </w:p>
        </w:tc>
      </w:tr>
      <w:tr w:rsidR="00011267" w:rsidRPr="00011267" w14:paraId="3893511B" w14:textId="77777777" w:rsidTr="00B027E3">
        <w:tc>
          <w:tcPr>
            <w:tcW w:w="9016" w:type="dxa"/>
            <w:gridSpan w:val="3"/>
          </w:tcPr>
          <w:p w14:paraId="7E336D9E" w14:textId="77777777" w:rsidR="00011267" w:rsidRPr="00011267" w:rsidRDefault="00011267" w:rsidP="00B027E3">
            <w:pPr>
              <w:spacing w:line="360" w:lineRule="auto"/>
              <w:jc w:val="both"/>
              <w:rPr>
                <w:rFonts w:ascii="Calibri" w:eastAsia="Calibri" w:hAnsi="Calibri" w:cs="Times New Roman"/>
                <w:b/>
                <w:lang w:val="en-US"/>
              </w:rPr>
            </w:pPr>
            <w:r w:rsidRPr="00011267">
              <w:rPr>
                <w:rFonts w:ascii="Calibri" w:eastAsia="Calibri" w:hAnsi="Calibri" w:cs="Times New Roman"/>
                <w:b/>
                <w:i/>
                <w:lang w:val="en-US"/>
              </w:rPr>
              <w:t>Resources:</w:t>
            </w:r>
          </w:p>
          <w:p w14:paraId="160154B1" w14:textId="77777777" w:rsidR="00011267" w:rsidRPr="00011267" w:rsidRDefault="00011267" w:rsidP="00B027E3">
            <w:pPr>
              <w:spacing w:line="360" w:lineRule="auto"/>
              <w:jc w:val="both"/>
              <w:rPr>
                <w:rFonts w:ascii="Calibri" w:eastAsia="Calibri" w:hAnsi="Calibri" w:cs="Times New Roman"/>
                <w:lang w:val="en-US"/>
              </w:rPr>
            </w:pPr>
            <w:r w:rsidRPr="00011267">
              <w:rPr>
                <w:rFonts w:ascii="Calibri" w:eastAsia="Calibri" w:hAnsi="Calibri" w:cs="Times New Roman"/>
                <w:lang w:val="en-US"/>
              </w:rPr>
              <w:t xml:space="preserve">For this activity, there are a number of resources that would be needed to complete. The first being appropriate clothing depending on the weather on the day of the activity, if it is a warm day, sunscreen will be supplied for children which is advised by Sun Safety (2019). Relating this to the Adult to Child Ratio provided by NSPCC (2019), an updated First AAID Kit must be present with a practitioner trained in first aid. Children will also be supplied with a digital tablet to share within a group, a notepad to record their findings and a pen. </w:t>
            </w:r>
          </w:p>
          <w:p w14:paraId="4C1ABB61" w14:textId="77777777" w:rsidR="00011267" w:rsidRPr="00011267" w:rsidRDefault="00011267" w:rsidP="00B027E3">
            <w:pPr>
              <w:spacing w:line="360" w:lineRule="auto"/>
              <w:jc w:val="both"/>
              <w:rPr>
                <w:rFonts w:ascii="Calibri" w:eastAsia="Calibri" w:hAnsi="Calibri" w:cs="Times New Roman"/>
                <w:lang w:val="en-US"/>
              </w:rPr>
            </w:pPr>
          </w:p>
        </w:tc>
      </w:tr>
      <w:tr w:rsidR="00011267" w:rsidRPr="00011267" w14:paraId="1E6C3BE4" w14:textId="77777777" w:rsidTr="00B027E3">
        <w:tc>
          <w:tcPr>
            <w:tcW w:w="9016" w:type="dxa"/>
            <w:gridSpan w:val="3"/>
          </w:tcPr>
          <w:p w14:paraId="069B3C9F" w14:textId="77777777" w:rsidR="00011267" w:rsidRPr="00011267" w:rsidRDefault="00011267" w:rsidP="00B027E3">
            <w:pPr>
              <w:spacing w:line="360" w:lineRule="auto"/>
              <w:jc w:val="both"/>
              <w:rPr>
                <w:rFonts w:ascii="Calibri" w:eastAsia="Calibri" w:hAnsi="Calibri" w:cs="Times New Roman"/>
                <w:b/>
                <w:lang w:val="en-US"/>
              </w:rPr>
            </w:pPr>
            <w:r w:rsidRPr="00011267">
              <w:rPr>
                <w:rFonts w:ascii="Calibri" w:eastAsia="Calibri" w:hAnsi="Calibri" w:cs="Times New Roman"/>
                <w:b/>
                <w:i/>
                <w:lang w:val="en-US"/>
              </w:rPr>
              <w:t>Links to outcomes:</w:t>
            </w:r>
          </w:p>
          <w:p w14:paraId="6CF56D3A" w14:textId="54437315" w:rsidR="00011267" w:rsidRPr="00011267" w:rsidRDefault="00011267" w:rsidP="00B027E3">
            <w:pPr>
              <w:spacing w:line="360" w:lineRule="auto"/>
              <w:jc w:val="both"/>
              <w:rPr>
                <w:rFonts w:ascii="Calibri" w:eastAsia="Calibri" w:hAnsi="Calibri" w:cs="Times New Roman"/>
                <w:lang w:val="en-US"/>
              </w:rPr>
            </w:pPr>
            <w:r w:rsidRPr="00011267">
              <w:rPr>
                <w:rFonts w:ascii="Calibri" w:eastAsia="Calibri" w:hAnsi="Calibri" w:cs="Times New Roman"/>
                <w:lang w:val="en-US"/>
              </w:rPr>
              <w:t xml:space="preserve">Stated within the work of Donaldson (2015) and the Digital Competence Framework (2008) children should be promoted to use digital devices so that they have the opportunity to develop their understandings and become ‘Digital Citizens’. The Foundation Phase Framework (2015) encourages the use of outdoor exploration and allowing children to explore freely with little risk. The framework (2015) also suggests that play should be incorporated into a child’s learning. This is supported by the work of Piaget (1962) and Vygotsky (1978) who states that play in learning allows children to develop their cognitive development as well as their physical. This activity is also supported by the work of Frobel (1967) who encourages that children should have the opportunity to experience the different situations themselves and make their personal first-hand judgement. Since the activity is also child-led and play-based, children have the opportunity to develop their confidence within the outdoors and also on a digital device, this is supported by the work of Donaldson (2015). </w:t>
            </w:r>
          </w:p>
        </w:tc>
      </w:tr>
      <w:tr w:rsidR="00011267" w:rsidRPr="00011267" w14:paraId="0F09E535" w14:textId="77777777" w:rsidTr="00B027E3">
        <w:tc>
          <w:tcPr>
            <w:tcW w:w="9016" w:type="dxa"/>
            <w:gridSpan w:val="3"/>
          </w:tcPr>
          <w:p w14:paraId="39424A02" w14:textId="77777777" w:rsidR="00011267" w:rsidRPr="00011267" w:rsidRDefault="00011267" w:rsidP="00B027E3">
            <w:pPr>
              <w:spacing w:line="360" w:lineRule="auto"/>
              <w:jc w:val="both"/>
              <w:rPr>
                <w:rFonts w:ascii="Calibri" w:eastAsia="Calibri" w:hAnsi="Calibri" w:cs="Times New Roman"/>
                <w:b/>
                <w:lang w:val="en-US"/>
              </w:rPr>
            </w:pPr>
            <w:r w:rsidRPr="00011267">
              <w:rPr>
                <w:rFonts w:ascii="Calibri" w:eastAsia="Calibri" w:hAnsi="Calibri" w:cs="Times New Roman"/>
                <w:b/>
                <w:i/>
                <w:lang w:val="en-US"/>
              </w:rPr>
              <w:t>Role of adult/adults:</w:t>
            </w:r>
          </w:p>
          <w:p w14:paraId="7D0DA1EC" w14:textId="0BE39761" w:rsidR="00011267" w:rsidRPr="00011267" w:rsidRDefault="00011267" w:rsidP="00B027E3">
            <w:pPr>
              <w:spacing w:line="360" w:lineRule="auto"/>
              <w:jc w:val="both"/>
              <w:rPr>
                <w:rFonts w:ascii="Calibri" w:eastAsia="Calibri" w:hAnsi="Calibri" w:cs="Times New Roman"/>
                <w:lang w:val="en-US"/>
              </w:rPr>
            </w:pPr>
            <w:r w:rsidRPr="00011267">
              <w:rPr>
                <w:rFonts w:ascii="Calibri" w:eastAsia="Calibri" w:hAnsi="Calibri" w:cs="Times New Roman"/>
                <w:lang w:val="en-US"/>
              </w:rPr>
              <w:t xml:space="preserve">The practitioners present within the activity have a number of different responsibilities to follow. The main role for the practitioners is to ensure that all children involved with this activity are safe at all times and have their individual needs met. </w:t>
            </w:r>
            <w:r w:rsidR="005A6C76" w:rsidRPr="005A6C76">
              <w:rPr>
                <w:rFonts w:ascii="Calibri" w:eastAsia="Calibri" w:hAnsi="Calibri" w:cs="Times New Roman"/>
                <w:lang w:val="en-US"/>
              </w:rPr>
              <w:t xml:space="preserve">Since this activity is digital based, practitioners also have the role to support children when exploring the tablets. </w:t>
            </w:r>
            <w:r w:rsidRPr="00011267">
              <w:rPr>
                <w:rFonts w:ascii="Calibri" w:eastAsia="Calibri" w:hAnsi="Calibri" w:cs="Times New Roman"/>
                <w:lang w:val="en-US"/>
              </w:rPr>
              <w:t xml:space="preserve">Stated within the National Strategies Early Years (2009) framework, it suggests that when self-led activities are taking place, practitioners </w:t>
            </w:r>
            <w:r w:rsidRPr="00011267">
              <w:rPr>
                <w:rFonts w:ascii="Calibri" w:eastAsia="Calibri" w:hAnsi="Calibri" w:cs="Times New Roman"/>
                <w:lang w:val="en-US"/>
              </w:rPr>
              <w:lastRenderedPageBreak/>
              <w:t>are to promote children to fully engage and explore new places. This is supported by the work of Frobel (1967) who explains that practitioners should support and extend self-led learning with the opportunity to develop their understanding.</w:t>
            </w:r>
          </w:p>
        </w:tc>
      </w:tr>
      <w:tr w:rsidR="00011267" w:rsidRPr="00011267" w14:paraId="70BDA8BB" w14:textId="77777777" w:rsidTr="00B027E3">
        <w:tc>
          <w:tcPr>
            <w:tcW w:w="9016" w:type="dxa"/>
            <w:gridSpan w:val="3"/>
          </w:tcPr>
          <w:p w14:paraId="09AAC925" w14:textId="77777777" w:rsidR="00011267" w:rsidRPr="00011267" w:rsidRDefault="00011267" w:rsidP="00B027E3">
            <w:pPr>
              <w:spacing w:line="360" w:lineRule="auto"/>
              <w:jc w:val="both"/>
              <w:rPr>
                <w:rFonts w:ascii="Calibri" w:eastAsia="Calibri" w:hAnsi="Calibri" w:cs="Times New Roman"/>
                <w:b/>
                <w:i/>
                <w:lang w:val="en-US"/>
              </w:rPr>
            </w:pPr>
            <w:r w:rsidRPr="00011267">
              <w:rPr>
                <w:rFonts w:ascii="Calibri" w:eastAsia="Calibri" w:hAnsi="Calibri" w:cs="Times New Roman"/>
                <w:b/>
                <w:i/>
                <w:lang w:val="en-US"/>
              </w:rPr>
              <w:lastRenderedPageBreak/>
              <w:t>The activity:</w:t>
            </w:r>
          </w:p>
          <w:p w14:paraId="04209340" w14:textId="1D12D1CC" w:rsidR="00011267" w:rsidRPr="00615E28" w:rsidRDefault="00011267" w:rsidP="00B027E3">
            <w:pPr>
              <w:spacing w:line="360" w:lineRule="auto"/>
              <w:jc w:val="both"/>
              <w:rPr>
                <w:rFonts w:ascii="Calibri" w:eastAsia="Calibri" w:hAnsi="Calibri" w:cs="Times New Roman"/>
                <w:bCs/>
                <w:iCs/>
                <w:lang w:val="en-US"/>
              </w:rPr>
            </w:pPr>
            <w:r w:rsidRPr="00011267">
              <w:rPr>
                <w:rFonts w:ascii="Calibri" w:eastAsia="Calibri" w:hAnsi="Calibri" w:cs="Times New Roman"/>
                <w:bCs/>
                <w:iCs/>
                <w:lang w:val="en-US"/>
              </w:rPr>
              <w:t>The chosen activity for this plan is the school Garden Exploration. This exploration will promote children to explore different elements within the garden and find different organisms that live within the environment, this could involve different bugs or plants. According to Family Lives.org (2018), allowing children the opportunity to explore the outdoors is beneficial because it promotes the children taking part to gain an understanding of their surroundings and environment. This activity will also allow children to use their whole body and therefore develop their multi-sensory needs.  This activity will take place during a school day and last for two hours. This activity is a child-led play-based activity, the practitioners that are involved during this should be open to the activity changing and adjusting as the children take control. The activity has a second part in which children will present their findings within the classroom on the interactive whiteboard, sharing what they found and sharing images they captured with the tablet.</w:t>
            </w:r>
          </w:p>
        </w:tc>
      </w:tr>
    </w:tbl>
    <w:p w14:paraId="35EB9CBA" w14:textId="77777777" w:rsidR="007E08E1" w:rsidRDefault="007E08E1" w:rsidP="00B027E3">
      <w:pPr>
        <w:spacing w:line="360" w:lineRule="auto"/>
        <w:rPr>
          <w:rFonts w:ascii="Arial" w:hAnsi="Arial" w:cs="Arial"/>
          <w:sz w:val="24"/>
          <w:szCs w:val="24"/>
        </w:rPr>
      </w:pPr>
    </w:p>
    <w:p w14:paraId="3116F85A" w14:textId="77777777" w:rsidR="007E08E1" w:rsidRDefault="007E08E1" w:rsidP="00B027E3">
      <w:pPr>
        <w:spacing w:line="360" w:lineRule="auto"/>
        <w:rPr>
          <w:rFonts w:ascii="Arial" w:hAnsi="Arial" w:cs="Arial"/>
          <w:sz w:val="24"/>
          <w:szCs w:val="24"/>
        </w:rPr>
      </w:pPr>
    </w:p>
    <w:p w14:paraId="6263E8CA" w14:textId="43BE4E99" w:rsidR="007E08E1" w:rsidRDefault="007E08E1" w:rsidP="00B027E3">
      <w:pPr>
        <w:spacing w:line="360" w:lineRule="auto"/>
        <w:rPr>
          <w:rFonts w:ascii="Arial" w:hAnsi="Arial" w:cs="Arial"/>
          <w:sz w:val="24"/>
          <w:szCs w:val="24"/>
        </w:rPr>
      </w:pPr>
    </w:p>
    <w:p w14:paraId="1B1FC596" w14:textId="7B96C58F" w:rsidR="00FC019A" w:rsidRDefault="00FC019A" w:rsidP="00B027E3">
      <w:pPr>
        <w:spacing w:line="360" w:lineRule="auto"/>
        <w:rPr>
          <w:rFonts w:ascii="Arial" w:hAnsi="Arial" w:cs="Arial"/>
          <w:sz w:val="24"/>
          <w:szCs w:val="24"/>
        </w:rPr>
      </w:pPr>
    </w:p>
    <w:p w14:paraId="6A6D58D0" w14:textId="7FF50A8C" w:rsidR="00FC019A" w:rsidRDefault="00FC019A" w:rsidP="00B027E3">
      <w:pPr>
        <w:spacing w:line="360" w:lineRule="auto"/>
        <w:rPr>
          <w:rFonts w:ascii="Arial" w:hAnsi="Arial" w:cs="Arial"/>
          <w:sz w:val="24"/>
          <w:szCs w:val="24"/>
        </w:rPr>
      </w:pPr>
    </w:p>
    <w:p w14:paraId="76A2A36D" w14:textId="5864957E" w:rsidR="00FC019A" w:rsidRDefault="00FC019A" w:rsidP="00B027E3">
      <w:pPr>
        <w:spacing w:line="360" w:lineRule="auto"/>
        <w:rPr>
          <w:rFonts w:ascii="Arial" w:hAnsi="Arial" w:cs="Arial"/>
          <w:sz w:val="24"/>
          <w:szCs w:val="24"/>
        </w:rPr>
      </w:pPr>
    </w:p>
    <w:p w14:paraId="25C7D738" w14:textId="7E984E04" w:rsidR="00FC019A" w:rsidRDefault="00FC019A" w:rsidP="00B027E3">
      <w:pPr>
        <w:spacing w:line="360" w:lineRule="auto"/>
        <w:rPr>
          <w:rFonts w:ascii="Arial" w:hAnsi="Arial" w:cs="Arial"/>
          <w:sz w:val="24"/>
          <w:szCs w:val="24"/>
        </w:rPr>
      </w:pPr>
    </w:p>
    <w:p w14:paraId="33F5E504" w14:textId="1E3FDF01" w:rsidR="00FC019A" w:rsidRDefault="00FC019A" w:rsidP="00B027E3">
      <w:pPr>
        <w:spacing w:line="360" w:lineRule="auto"/>
        <w:rPr>
          <w:rFonts w:ascii="Arial" w:hAnsi="Arial" w:cs="Arial"/>
          <w:sz w:val="24"/>
          <w:szCs w:val="24"/>
        </w:rPr>
      </w:pPr>
    </w:p>
    <w:p w14:paraId="135AF651" w14:textId="760743E4" w:rsidR="00C978B6" w:rsidRDefault="00C978B6" w:rsidP="00B027E3">
      <w:pPr>
        <w:spacing w:line="360" w:lineRule="auto"/>
        <w:rPr>
          <w:rFonts w:ascii="Arial" w:hAnsi="Arial" w:cs="Arial"/>
          <w:sz w:val="24"/>
          <w:szCs w:val="24"/>
        </w:rPr>
      </w:pPr>
    </w:p>
    <w:p w14:paraId="0FC4784B" w14:textId="7F478F76" w:rsidR="00615E28" w:rsidRDefault="00615E28" w:rsidP="00B027E3">
      <w:pPr>
        <w:spacing w:line="360" w:lineRule="auto"/>
        <w:rPr>
          <w:rFonts w:ascii="Arial" w:hAnsi="Arial" w:cs="Arial"/>
          <w:sz w:val="24"/>
          <w:szCs w:val="24"/>
        </w:rPr>
      </w:pPr>
    </w:p>
    <w:p w14:paraId="7757A73D" w14:textId="78B7B549" w:rsidR="00615E28" w:rsidRDefault="00615E28" w:rsidP="00B027E3">
      <w:pPr>
        <w:spacing w:line="360" w:lineRule="auto"/>
        <w:rPr>
          <w:rFonts w:ascii="Arial" w:hAnsi="Arial" w:cs="Arial"/>
          <w:sz w:val="24"/>
          <w:szCs w:val="24"/>
        </w:rPr>
      </w:pPr>
    </w:p>
    <w:p w14:paraId="3AB2A18A" w14:textId="71EBF3E3" w:rsidR="00615E28" w:rsidRDefault="00615E28" w:rsidP="00B027E3">
      <w:pPr>
        <w:spacing w:line="360" w:lineRule="auto"/>
        <w:rPr>
          <w:rFonts w:ascii="Arial" w:hAnsi="Arial" w:cs="Arial"/>
          <w:sz w:val="24"/>
          <w:szCs w:val="24"/>
        </w:rPr>
      </w:pPr>
    </w:p>
    <w:p w14:paraId="03F8339F" w14:textId="77777777" w:rsidR="00615E28" w:rsidRDefault="00615E28" w:rsidP="00B027E3">
      <w:pPr>
        <w:spacing w:line="360" w:lineRule="auto"/>
        <w:rPr>
          <w:rFonts w:ascii="Arial" w:hAnsi="Arial" w:cs="Arial"/>
          <w:sz w:val="24"/>
          <w:szCs w:val="24"/>
        </w:rPr>
      </w:pPr>
    </w:p>
    <w:p w14:paraId="1B0C5D78" w14:textId="77777777" w:rsidR="008E1CE7" w:rsidRDefault="008E1CE7" w:rsidP="00B027E3">
      <w:pPr>
        <w:spacing w:line="360" w:lineRule="auto"/>
        <w:rPr>
          <w:rFonts w:ascii="Arial" w:hAnsi="Arial" w:cs="Arial"/>
          <w:sz w:val="24"/>
          <w:szCs w:val="24"/>
          <w:u w:val="single"/>
        </w:rPr>
      </w:pPr>
    </w:p>
    <w:p w14:paraId="0A244F83" w14:textId="4992AD3A" w:rsidR="00C978B6" w:rsidRDefault="00C978B6" w:rsidP="00B027E3">
      <w:pPr>
        <w:spacing w:line="360" w:lineRule="auto"/>
        <w:rPr>
          <w:rFonts w:ascii="Arial" w:hAnsi="Arial" w:cs="Arial"/>
          <w:sz w:val="24"/>
          <w:szCs w:val="24"/>
          <w:u w:val="single"/>
        </w:rPr>
      </w:pPr>
      <w:r w:rsidRPr="00C978B6">
        <w:rPr>
          <w:rFonts w:ascii="Arial" w:hAnsi="Arial" w:cs="Arial"/>
          <w:sz w:val="24"/>
          <w:szCs w:val="24"/>
          <w:u w:val="single"/>
        </w:rPr>
        <w:lastRenderedPageBreak/>
        <w:t>Part Four-</w:t>
      </w:r>
    </w:p>
    <w:p w14:paraId="642757DB" w14:textId="77777777" w:rsidR="008E1CE7" w:rsidRPr="008E1CE7" w:rsidRDefault="008E1CE7" w:rsidP="00231118">
      <w:pPr>
        <w:spacing w:line="360" w:lineRule="auto"/>
        <w:jc w:val="both"/>
        <w:rPr>
          <w:rFonts w:ascii="Arial" w:hAnsi="Arial" w:cs="Arial"/>
          <w:sz w:val="24"/>
          <w:szCs w:val="24"/>
        </w:rPr>
      </w:pPr>
      <w:r w:rsidRPr="008E1CE7">
        <w:rPr>
          <w:rFonts w:ascii="Arial" w:hAnsi="Arial" w:cs="Arial"/>
          <w:sz w:val="24"/>
          <w:szCs w:val="24"/>
        </w:rPr>
        <w:t>Within the Digital Childhood Report (2017), it is outlined that the digital world is here to stay, and the use of technology is only going to develop further. The Digital Childhood Report (2017) expands on this and explains that children’s well-being and development within the digital environment is at ‘no less importance’ of any other environment. The work of Beschorner and Hutchison (2013) states that there are numerous benefits surrounding the developmental areas from the use of technology from a younger age. This is also backed up with the work of Couse and Chen (2010) who argue that the use of technology encourages cognitive and social growth within young children.</w:t>
      </w:r>
    </w:p>
    <w:p w14:paraId="16F5CA05" w14:textId="77777777" w:rsidR="004E3CEF" w:rsidRDefault="008E1CE7" w:rsidP="00231118">
      <w:pPr>
        <w:spacing w:line="360" w:lineRule="auto"/>
        <w:jc w:val="both"/>
        <w:rPr>
          <w:rFonts w:ascii="Arial" w:hAnsi="Arial" w:cs="Arial"/>
          <w:sz w:val="24"/>
          <w:szCs w:val="24"/>
        </w:rPr>
      </w:pPr>
      <w:r w:rsidRPr="008E1CE7">
        <w:rPr>
          <w:rFonts w:ascii="Arial" w:hAnsi="Arial" w:cs="Arial"/>
          <w:sz w:val="24"/>
          <w:szCs w:val="24"/>
        </w:rPr>
        <w:t>Within the Garden Exploration activity, there are a number of areas that will affect or support a child’s development in the digital environment. The work of Beschorner and Hutchinson (2013) suggest that this activity will have a positive impact on the children who participate as it encourages the use of a digital device. Dobler (2012) explain that children of the age present within the activity have the ability to work together and learn different aspects of the device. This coincides with the work of Vygotsky (1896), who believes children learn and develop with the use of a ‘More Knowledgeable Other’, therefore, children would have the opportunity to learn from each other. The Digital Competence Framework (2011) states that children should have the ability to work collaboratively and create digital work. This activity allows children to extend their collaborative skills and gain new knowledge on how to work together effectively.</w:t>
      </w:r>
    </w:p>
    <w:p w14:paraId="251B6287" w14:textId="77777777" w:rsidR="004E3CEF" w:rsidRDefault="008E1CE7" w:rsidP="00231118">
      <w:pPr>
        <w:spacing w:line="360" w:lineRule="auto"/>
        <w:jc w:val="both"/>
        <w:rPr>
          <w:rFonts w:ascii="Arial" w:hAnsi="Arial" w:cs="Arial"/>
          <w:sz w:val="24"/>
          <w:szCs w:val="24"/>
        </w:rPr>
      </w:pPr>
      <w:r w:rsidRPr="008E1CE7">
        <w:rPr>
          <w:rFonts w:ascii="Arial" w:hAnsi="Arial" w:cs="Arial"/>
          <w:sz w:val="24"/>
          <w:szCs w:val="24"/>
        </w:rPr>
        <w:t xml:space="preserve"> Beschomer and Hutchinson (2013) explain that based on this, children will have the opportunity to explore freely and gain an understanding from first-hand experiences. Therefore, supporting the work of Piaget (1989) who stated that children learn best from exploring and gaining their own opinions of the experience. Hillman and Marshall’s (2010) work states that when enabling children to learn and gain an understanding of technology, the device chosen should allow children to discover and explore new relevant information. Within this activity, children are encouraged to use a tablet to research different plants or insects they find, from doing this, it allows children to explore within the real world, but also gain further understanding from the digital world. </w:t>
      </w:r>
    </w:p>
    <w:p w14:paraId="5462632B" w14:textId="6E53EF97" w:rsidR="008E1CE7" w:rsidRPr="008E1CE7" w:rsidRDefault="008E1CE7" w:rsidP="00231118">
      <w:pPr>
        <w:spacing w:line="360" w:lineRule="auto"/>
        <w:jc w:val="both"/>
        <w:rPr>
          <w:rFonts w:ascii="Arial" w:hAnsi="Arial" w:cs="Arial"/>
          <w:sz w:val="24"/>
          <w:szCs w:val="24"/>
        </w:rPr>
      </w:pPr>
      <w:r w:rsidRPr="008E1CE7">
        <w:rPr>
          <w:rFonts w:ascii="Arial" w:hAnsi="Arial" w:cs="Arial"/>
          <w:sz w:val="24"/>
          <w:szCs w:val="24"/>
        </w:rPr>
        <w:lastRenderedPageBreak/>
        <w:t>According to the Digital Competence Framework (2011), at this age children should have the ability to use different digital devices with care and understanding. Relating this back to the work of Piaget (1989), children who may not be fully aware of this, have the opportunity to develop and gain understanding from taking part in the activity. Since this activity is play based, the work of Marsh (2016) supports this as Marsh (2016) explains that there are numerous learning opportunities to be explored through digital devices. Whereas this is placed, Levin (2015) highly disagrees and explains that children should be encourages and have the opportunity to learn ‘away from the screen’ as there are negative effects from this, such as not exploring the real world that they live in. Levin (2015) extends on this and explains that adults’ preferences and beliefs surrounding the use of digital play could also cause have a negative impact on children as they will be less aware of correctly using the devices, therefore affecting them in later life. This would be a negative to the activity as it does not take into consideration children who may not actively use digital devices.</w:t>
      </w:r>
    </w:p>
    <w:p w14:paraId="243DDA9A" w14:textId="77777777" w:rsidR="00964C98" w:rsidRDefault="008E1CE7" w:rsidP="00231118">
      <w:pPr>
        <w:spacing w:line="360" w:lineRule="auto"/>
        <w:jc w:val="both"/>
        <w:rPr>
          <w:rFonts w:ascii="Arial" w:hAnsi="Arial" w:cs="Arial"/>
          <w:sz w:val="24"/>
          <w:szCs w:val="24"/>
        </w:rPr>
      </w:pPr>
      <w:r w:rsidRPr="008E1CE7">
        <w:rPr>
          <w:rFonts w:ascii="Arial" w:hAnsi="Arial" w:cs="Arial"/>
          <w:sz w:val="24"/>
          <w:szCs w:val="24"/>
        </w:rPr>
        <w:t xml:space="preserve">Within the activity, the practitioners have the responsibility and role of ensuring that the children are exploring freely on the digital devices to gain further knowledge and understanding. Within the new curriculum, produced by Donaldson (2015) children should have the opportunity to develop their digital skills, with the aim to become ‘digital citizens’. Therefore, this activity promotes and encourages the use of technology. However, one negative to this aspect of the activity is noted by Toit (2015) who identifies that practitioners may not be aware or trained to teach aspects surrounding digital devices effectively. Toit (2015) and Twinning and Henry (2014) agree that based on the current practise, mature practitioners may be at a disadvantage to support children in digital learning as they are not aware of the process themselves. </w:t>
      </w:r>
    </w:p>
    <w:p w14:paraId="3C9F73E1" w14:textId="77777777" w:rsidR="00A60A04" w:rsidRDefault="008E1CE7" w:rsidP="00231118">
      <w:pPr>
        <w:spacing w:line="360" w:lineRule="auto"/>
        <w:jc w:val="both"/>
        <w:rPr>
          <w:rFonts w:ascii="Arial" w:hAnsi="Arial" w:cs="Arial"/>
          <w:sz w:val="24"/>
          <w:szCs w:val="24"/>
        </w:rPr>
      </w:pPr>
      <w:r w:rsidRPr="008E1CE7">
        <w:rPr>
          <w:rFonts w:ascii="Arial" w:hAnsi="Arial" w:cs="Arial"/>
          <w:sz w:val="24"/>
          <w:szCs w:val="24"/>
        </w:rPr>
        <w:t xml:space="preserve">Work by Infodev (2015) discovered that practitioners training of digital devices is also limited, therefore placing further disadvantage on the children. This activity also does not take into consideration children and practitioners being unable to operate the digital device effectively, therefore adequate learning is not taking place. Within the new curriculum produced by Donaldson (2015), there is further areas of development included for children using digital device. Adding to this, Donaldson (2015) includes the need for practitioners to gain further training within the field of digital technology, therefore, providing children with effective support. The work of An and Reigeluth </w:t>
      </w:r>
      <w:r w:rsidRPr="008E1CE7">
        <w:rPr>
          <w:rFonts w:ascii="Arial" w:hAnsi="Arial" w:cs="Arial"/>
          <w:sz w:val="24"/>
          <w:szCs w:val="24"/>
        </w:rPr>
        <w:lastRenderedPageBreak/>
        <w:t xml:space="preserve">(2011), discuss that practitioners having the ability to support children during digital discovery, will enable them to use digital technology outside of the classroom and apply their knowledge to different aspect of their life. </w:t>
      </w:r>
    </w:p>
    <w:p w14:paraId="5D835710" w14:textId="6BEB4ABF" w:rsidR="008E1CE7" w:rsidRPr="008E1CE7" w:rsidRDefault="008E1CE7" w:rsidP="00231118">
      <w:pPr>
        <w:spacing w:line="360" w:lineRule="auto"/>
        <w:jc w:val="both"/>
        <w:rPr>
          <w:rFonts w:ascii="Arial" w:hAnsi="Arial" w:cs="Arial"/>
          <w:sz w:val="24"/>
          <w:szCs w:val="24"/>
        </w:rPr>
      </w:pPr>
      <w:r w:rsidRPr="008E1CE7">
        <w:rPr>
          <w:rFonts w:ascii="Arial" w:hAnsi="Arial" w:cs="Arial"/>
          <w:sz w:val="24"/>
          <w:szCs w:val="24"/>
        </w:rPr>
        <w:t>An and Reigeluth (2011) explain that from children obtaining the knowledge to do this, will support them throughout their lifetime, as it provides development for different key areas, such as cognitive and social development. The work of An and Reigeluth (2011) also outlines that practitioner’s willingness to change their practice also becomes a negative aspect of this activity, as mature practitioners may not agree with the use of digital technology within educating. However, the Digital Competence Framework (2011) encourages activities such as this, as it enabled children to play and explore the different aspects surrounding technology, but also, this activity promotes children to fire-hand experience the aspects.</w:t>
      </w:r>
    </w:p>
    <w:p w14:paraId="669F0342" w14:textId="77777777" w:rsidR="00E85937" w:rsidRDefault="008E1CE7" w:rsidP="00231118">
      <w:pPr>
        <w:spacing w:line="360" w:lineRule="auto"/>
        <w:jc w:val="both"/>
        <w:rPr>
          <w:rFonts w:ascii="Arial" w:hAnsi="Arial" w:cs="Arial"/>
          <w:sz w:val="24"/>
          <w:szCs w:val="24"/>
        </w:rPr>
      </w:pPr>
      <w:r w:rsidRPr="008E1CE7">
        <w:rPr>
          <w:rFonts w:ascii="Arial" w:hAnsi="Arial" w:cs="Arial"/>
          <w:sz w:val="24"/>
          <w:szCs w:val="24"/>
        </w:rPr>
        <w:t xml:space="preserve">The work of Smeets (2005) identifies that children will Additional Learning Needs, gain support from different digital devices thy may gain access too. Relating to this, the activity in question have the ability to support children with additional learning needs as there is a digital device to aid their learning as well as support from different practitioners if needed. Work by Florian and Hegarty (2004) discuss that more a large majority of additional learning needs, having the support from devices such as tablets, will allow children to feel more confident when exploring their education, however, Florian and Hegarty (2004) state that this is not always the case. Florian and Hegarty (2004) expand and state that within digital technology there are numerous adaptations that can be made to support children with additional learning needs, therefore not placing them at a disadvantage within their learning. </w:t>
      </w:r>
    </w:p>
    <w:p w14:paraId="12AFF6FA" w14:textId="66F52BD2" w:rsidR="008E1CE7" w:rsidRPr="008E1CE7" w:rsidRDefault="008E1CE7" w:rsidP="00231118">
      <w:pPr>
        <w:spacing w:line="360" w:lineRule="auto"/>
        <w:jc w:val="both"/>
        <w:rPr>
          <w:rFonts w:ascii="Arial" w:hAnsi="Arial" w:cs="Arial"/>
          <w:sz w:val="24"/>
          <w:szCs w:val="24"/>
        </w:rPr>
      </w:pPr>
      <w:r w:rsidRPr="008E1CE7">
        <w:rPr>
          <w:rFonts w:ascii="Arial" w:hAnsi="Arial" w:cs="Arial"/>
          <w:sz w:val="24"/>
          <w:szCs w:val="24"/>
        </w:rPr>
        <w:t xml:space="preserve">The work of Smeets (2005) and Florian and Hegarty (2004) coincide and explain that children will additional needs require specialised support, practitioners may not have the resources to provide the support they require, therefore the digital device has the opportunity to support these children in the way the practitioners may struggle. Price-Dennis, Holmes, and Smith (2015) found that incorporating digital literacy into classroom education, eliminated the need to remove children from the classroom to receive specialist support, therefore gained inclusive education as the device allowed lessons to be adapted to the individual child. Relating to this, the activity that is under review supports this as if children have additional learning needs, adaptations are able </w:t>
      </w:r>
      <w:r w:rsidRPr="008E1CE7">
        <w:rPr>
          <w:rFonts w:ascii="Arial" w:hAnsi="Arial" w:cs="Arial"/>
          <w:sz w:val="24"/>
          <w:szCs w:val="24"/>
        </w:rPr>
        <w:lastRenderedPageBreak/>
        <w:t xml:space="preserve">to be made to the devices they are using so that each child has the same opportunities and no child is at a disadvantage. Price-Dennis, Holmes, and Smith (2015) also places empathises on a digitally incorporated pedagogy as the new curriculum produced by Donaldson (2015) explains the importance of creating ‘digital citizens.’ This activity also supports the Digital Competence Framework (2011) as within the framework it states that children should have the ability to capture photographs, this is </w:t>
      </w:r>
      <w:r w:rsidR="00627C58" w:rsidRPr="008E1CE7">
        <w:rPr>
          <w:rFonts w:ascii="Arial" w:hAnsi="Arial" w:cs="Arial"/>
          <w:sz w:val="24"/>
          <w:szCs w:val="24"/>
        </w:rPr>
        <w:t>an</w:t>
      </w:r>
      <w:r w:rsidRPr="008E1CE7">
        <w:rPr>
          <w:rFonts w:ascii="Arial" w:hAnsi="Arial" w:cs="Arial"/>
          <w:sz w:val="24"/>
          <w:szCs w:val="24"/>
        </w:rPr>
        <w:t xml:space="preserve"> aspect of the activity, therefore encouraging the development of the children’s digital competence.</w:t>
      </w:r>
    </w:p>
    <w:p w14:paraId="7D1E047F" w14:textId="03A29975" w:rsidR="00C978B6" w:rsidRPr="00C978B6" w:rsidRDefault="008E1CE7" w:rsidP="00231118">
      <w:pPr>
        <w:spacing w:line="360" w:lineRule="auto"/>
        <w:jc w:val="both"/>
        <w:rPr>
          <w:rFonts w:ascii="Arial" w:hAnsi="Arial" w:cs="Arial"/>
          <w:sz w:val="24"/>
          <w:szCs w:val="24"/>
        </w:rPr>
      </w:pPr>
      <w:r w:rsidRPr="008E1CE7">
        <w:rPr>
          <w:rFonts w:ascii="Arial" w:hAnsi="Arial" w:cs="Arial"/>
          <w:sz w:val="24"/>
          <w:szCs w:val="24"/>
        </w:rPr>
        <w:t>Overall, this activity supplies children with multiple learning opportunities, such as gaining Digital Competence, which is supported within the Digital Competence Framework (2011). Whereas there are positives to this activity, there are negatives which are outlined by the work of Toit (2015) who argues that practitioners have not gained adequate training and knowledge to support children with digital technology.</w:t>
      </w:r>
    </w:p>
    <w:p w14:paraId="2C6E6ECF" w14:textId="0EBE701F" w:rsidR="005C2781" w:rsidRPr="009F1D7B" w:rsidRDefault="005C2781" w:rsidP="00231118">
      <w:pPr>
        <w:spacing w:line="360" w:lineRule="auto"/>
        <w:jc w:val="both"/>
        <w:rPr>
          <w:rFonts w:ascii="Arial" w:hAnsi="Arial" w:cs="Arial"/>
          <w:sz w:val="24"/>
          <w:szCs w:val="24"/>
        </w:rPr>
      </w:pPr>
    </w:p>
    <w:p w14:paraId="47B468F3" w14:textId="6A0F8CC1" w:rsidR="005C2781" w:rsidRDefault="005C2781" w:rsidP="00231118">
      <w:pPr>
        <w:spacing w:line="360" w:lineRule="auto"/>
        <w:jc w:val="both"/>
        <w:rPr>
          <w:rFonts w:ascii="Arial" w:hAnsi="Arial" w:cs="Arial"/>
          <w:sz w:val="24"/>
          <w:szCs w:val="24"/>
        </w:rPr>
      </w:pPr>
    </w:p>
    <w:p w14:paraId="7197AA74" w14:textId="627320AB" w:rsidR="00F36BB4" w:rsidRDefault="00F36BB4" w:rsidP="00231118">
      <w:pPr>
        <w:spacing w:line="360" w:lineRule="auto"/>
        <w:jc w:val="both"/>
        <w:rPr>
          <w:rFonts w:ascii="Arial" w:hAnsi="Arial" w:cs="Arial"/>
          <w:sz w:val="24"/>
          <w:szCs w:val="24"/>
        </w:rPr>
      </w:pPr>
    </w:p>
    <w:p w14:paraId="75B93C20" w14:textId="5E448911" w:rsidR="00F36BB4" w:rsidRDefault="00F36BB4" w:rsidP="00231118">
      <w:pPr>
        <w:spacing w:line="360" w:lineRule="auto"/>
        <w:jc w:val="both"/>
        <w:rPr>
          <w:rFonts w:ascii="Arial" w:hAnsi="Arial" w:cs="Arial"/>
          <w:sz w:val="24"/>
          <w:szCs w:val="24"/>
        </w:rPr>
      </w:pPr>
    </w:p>
    <w:p w14:paraId="064B2B52" w14:textId="0CC9899C" w:rsidR="00F36BB4" w:rsidRDefault="00F36BB4" w:rsidP="00231118">
      <w:pPr>
        <w:spacing w:line="360" w:lineRule="auto"/>
        <w:jc w:val="both"/>
        <w:rPr>
          <w:rFonts w:ascii="Arial" w:hAnsi="Arial" w:cs="Arial"/>
          <w:sz w:val="24"/>
          <w:szCs w:val="24"/>
        </w:rPr>
      </w:pPr>
    </w:p>
    <w:p w14:paraId="2AB0EE94" w14:textId="60BD737D" w:rsidR="00F36BB4" w:rsidRDefault="00F36BB4" w:rsidP="00231118">
      <w:pPr>
        <w:spacing w:line="360" w:lineRule="auto"/>
        <w:jc w:val="both"/>
        <w:rPr>
          <w:rFonts w:ascii="Arial" w:hAnsi="Arial" w:cs="Arial"/>
          <w:sz w:val="24"/>
          <w:szCs w:val="24"/>
        </w:rPr>
      </w:pPr>
    </w:p>
    <w:p w14:paraId="5F046670" w14:textId="46DAC355" w:rsidR="00F36BB4" w:rsidRDefault="00F36BB4" w:rsidP="00231118">
      <w:pPr>
        <w:spacing w:line="360" w:lineRule="auto"/>
        <w:jc w:val="both"/>
        <w:rPr>
          <w:rFonts w:ascii="Arial" w:hAnsi="Arial" w:cs="Arial"/>
          <w:sz w:val="24"/>
          <w:szCs w:val="24"/>
        </w:rPr>
      </w:pPr>
    </w:p>
    <w:p w14:paraId="51847C41" w14:textId="629FA46D" w:rsidR="00F36BB4" w:rsidRDefault="00F36BB4" w:rsidP="00231118">
      <w:pPr>
        <w:spacing w:line="360" w:lineRule="auto"/>
        <w:jc w:val="both"/>
        <w:rPr>
          <w:rFonts w:ascii="Arial" w:hAnsi="Arial" w:cs="Arial"/>
          <w:sz w:val="24"/>
          <w:szCs w:val="24"/>
        </w:rPr>
      </w:pPr>
    </w:p>
    <w:p w14:paraId="2173C922" w14:textId="71F7E787" w:rsidR="00F36BB4" w:rsidRDefault="00F36BB4" w:rsidP="00231118">
      <w:pPr>
        <w:spacing w:line="360" w:lineRule="auto"/>
        <w:jc w:val="both"/>
        <w:rPr>
          <w:rFonts w:ascii="Arial" w:hAnsi="Arial" w:cs="Arial"/>
          <w:sz w:val="24"/>
          <w:szCs w:val="24"/>
        </w:rPr>
      </w:pPr>
    </w:p>
    <w:p w14:paraId="4E7A1F80" w14:textId="3E175C46" w:rsidR="00F36BB4" w:rsidRDefault="00F36BB4" w:rsidP="00231118">
      <w:pPr>
        <w:spacing w:line="360" w:lineRule="auto"/>
        <w:jc w:val="both"/>
        <w:rPr>
          <w:rFonts w:ascii="Arial" w:hAnsi="Arial" w:cs="Arial"/>
          <w:sz w:val="24"/>
          <w:szCs w:val="24"/>
        </w:rPr>
      </w:pPr>
    </w:p>
    <w:p w14:paraId="213BBD0D" w14:textId="0BD06A7A" w:rsidR="00F36BB4" w:rsidRDefault="00F36BB4" w:rsidP="00231118">
      <w:pPr>
        <w:spacing w:line="360" w:lineRule="auto"/>
        <w:jc w:val="both"/>
        <w:rPr>
          <w:rFonts w:ascii="Arial" w:hAnsi="Arial" w:cs="Arial"/>
          <w:sz w:val="24"/>
          <w:szCs w:val="24"/>
        </w:rPr>
      </w:pPr>
    </w:p>
    <w:p w14:paraId="55917A20" w14:textId="4906F31E" w:rsidR="00F36BB4" w:rsidRDefault="00F36BB4" w:rsidP="00231118">
      <w:pPr>
        <w:spacing w:line="360" w:lineRule="auto"/>
        <w:jc w:val="both"/>
        <w:rPr>
          <w:rFonts w:ascii="Arial" w:hAnsi="Arial" w:cs="Arial"/>
          <w:sz w:val="24"/>
          <w:szCs w:val="24"/>
        </w:rPr>
      </w:pPr>
    </w:p>
    <w:p w14:paraId="2AA9A968" w14:textId="49D4B6A6" w:rsidR="00F36BB4" w:rsidRDefault="00F36BB4" w:rsidP="00231118">
      <w:pPr>
        <w:spacing w:line="360" w:lineRule="auto"/>
        <w:jc w:val="both"/>
        <w:rPr>
          <w:rFonts w:ascii="Arial" w:hAnsi="Arial" w:cs="Arial"/>
          <w:sz w:val="24"/>
          <w:szCs w:val="24"/>
        </w:rPr>
      </w:pPr>
    </w:p>
    <w:p w14:paraId="006FDD2B" w14:textId="5E846C72" w:rsidR="00F36BB4" w:rsidRDefault="00F36BB4" w:rsidP="00231118">
      <w:pPr>
        <w:spacing w:line="360" w:lineRule="auto"/>
        <w:jc w:val="both"/>
        <w:rPr>
          <w:rFonts w:ascii="Arial" w:hAnsi="Arial" w:cs="Arial"/>
          <w:sz w:val="24"/>
          <w:szCs w:val="24"/>
        </w:rPr>
      </w:pPr>
    </w:p>
    <w:p w14:paraId="5B585D09" w14:textId="3AE529C1" w:rsidR="00F36BB4" w:rsidRDefault="00F36BB4" w:rsidP="00B027E3">
      <w:pPr>
        <w:spacing w:line="360" w:lineRule="auto"/>
        <w:rPr>
          <w:rFonts w:ascii="Arial" w:hAnsi="Arial" w:cs="Arial"/>
          <w:sz w:val="24"/>
          <w:szCs w:val="24"/>
          <w:u w:val="single"/>
        </w:rPr>
      </w:pPr>
      <w:r w:rsidRPr="00F36BB4">
        <w:rPr>
          <w:rFonts w:ascii="Arial" w:hAnsi="Arial" w:cs="Arial"/>
          <w:sz w:val="24"/>
          <w:szCs w:val="24"/>
          <w:u w:val="single"/>
        </w:rPr>
        <w:lastRenderedPageBreak/>
        <w:t>References-</w:t>
      </w:r>
    </w:p>
    <w:p w14:paraId="536C2E8C"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Aldhafeeri, F., &amp; Palaiologou, I. (2016). </w:t>
      </w:r>
      <w:r w:rsidRPr="00730B2B">
        <w:rPr>
          <w:rFonts w:ascii="Arial" w:hAnsi="Arial" w:cs="Arial"/>
          <w:i/>
          <w:iCs/>
          <w:sz w:val="24"/>
          <w:szCs w:val="24"/>
        </w:rPr>
        <w:t>Interactions with digital technologies of children from 3 to 6 in Kuwaiti homes.</w:t>
      </w:r>
      <w:r w:rsidRPr="00730B2B">
        <w:rPr>
          <w:rFonts w:ascii="Arial" w:hAnsi="Arial" w:cs="Arial"/>
          <w:sz w:val="24"/>
          <w:szCs w:val="24"/>
        </w:rPr>
        <w:t xml:space="preserve"> Education futures, 7, 3, 48–68.  </w:t>
      </w:r>
    </w:p>
    <w:p w14:paraId="78428035"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Aldhafeeri, F., Palaiologou, I., &amp; Folorunsho, A. (2016). </w:t>
      </w:r>
      <w:r w:rsidRPr="00730B2B">
        <w:rPr>
          <w:rFonts w:ascii="Arial" w:hAnsi="Arial" w:cs="Arial"/>
          <w:i/>
          <w:iCs/>
          <w:sz w:val="24"/>
          <w:szCs w:val="24"/>
        </w:rPr>
        <w:t>Integration of digital technologies into play-based pedagogy in Kuwaiti early childhood education: Teacher’s views, attitudes, and aptitudes</w:t>
      </w:r>
      <w:r w:rsidRPr="00730B2B">
        <w:rPr>
          <w:rFonts w:ascii="Arial" w:hAnsi="Arial" w:cs="Arial"/>
          <w:sz w:val="24"/>
          <w:szCs w:val="24"/>
        </w:rPr>
        <w:t>. International Journal of Early Years Education, 24, 3, 342–360.</w:t>
      </w:r>
    </w:p>
    <w:p w14:paraId="2A3D58CE"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An, Y, J., and Reigeluth, C., (2014). </w:t>
      </w:r>
      <w:r w:rsidRPr="00730B2B">
        <w:rPr>
          <w:rFonts w:ascii="Arial" w:hAnsi="Arial" w:cs="Arial"/>
          <w:i/>
          <w:iCs/>
          <w:sz w:val="24"/>
          <w:szCs w:val="24"/>
        </w:rPr>
        <w:t>Creating technology-enhances, learner-centred classrooms.</w:t>
      </w:r>
      <w:r w:rsidRPr="00730B2B">
        <w:rPr>
          <w:rFonts w:ascii="Arial" w:hAnsi="Arial" w:cs="Arial"/>
          <w:sz w:val="24"/>
          <w:szCs w:val="24"/>
        </w:rPr>
        <w:t xml:space="preserve"> Journal of Digital Learning in Teacher Education, Vol 28, Iss 2. </w:t>
      </w:r>
    </w:p>
    <w:p w14:paraId="0E84B1E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Beschorner, B., and Hutchison, A., (2013). iPads as a literacy teaching tool in early childhood. International Journal of Education in Mathematics, </w:t>
      </w:r>
      <w:r w:rsidRPr="00730B2B">
        <w:rPr>
          <w:rFonts w:ascii="Arial" w:hAnsi="Arial" w:cs="Arial"/>
          <w:i/>
          <w:iCs/>
          <w:sz w:val="24"/>
          <w:szCs w:val="24"/>
        </w:rPr>
        <w:t>Science and Technology</w:t>
      </w:r>
      <w:r w:rsidRPr="00730B2B">
        <w:rPr>
          <w:rFonts w:ascii="Arial" w:hAnsi="Arial" w:cs="Arial"/>
          <w:sz w:val="24"/>
          <w:szCs w:val="24"/>
        </w:rPr>
        <w:t>, 1(1), 16-24.</w:t>
      </w:r>
    </w:p>
    <w:p w14:paraId="13A8AC74"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Brito, R., Francisco, R., Dias, P., &amp; Chaudron, S. (2017). Family dynamics in digital homes: The role played by parental mediation in young children’s digital practices around 14 European countries. </w:t>
      </w:r>
      <w:r w:rsidRPr="00730B2B">
        <w:rPr>
          <w:rFonts w:ascii="Arial" w:hAnsi="Arial" w:cs="Arial"/>
          <w:i/>
          <w:iCs/>
          <w:sz w:val="24"/>
          <w:szCs w:val="24"/>
        </w:rPr>
        <w:t>Contemporary Family Therapy</w:t>
      </w:r>
      <w:r w:rsidRPr="00730B2B">
        <w:rPr>
          <w:rFonts w:ascii="Arial" w:hAnsi="Arial" w:cs="Arial"/>
          <w:sz w:val="24"/>
          <w:szCs w:val="24"/>
        </w:rPr>
        <w:t>, 39(4), 271–280.</w:t>
      </w:r>
    </w:p>
    <w:p w14:paraId="48EC9BF5"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BT. (2020). ‘BT Parental Controls: Keep your children safe online’. </w:t>
      </w:r>
      <w:hyperlink r:id="rId12" w:history="1">
        <w:r w:rsidRPr="00730B2B">
          <w:rPr>
            <w:rStyle w:val="Hyperlink"/>
            <w:rFonts w:ascii="Arial" w:hAnsi="Arial" w:cs="Arial"/>
            <w:sz w:val="24"/>
            <w:szCs w:val="24"/>
          </w:rPr>
          <w:t>https://home.bt.com/tech-gadgets/internet/broadband/stay-safe-with-bt-parental-controls-11363887238413</w:t>
        </w:r>
      </w:hyperlink>
      <w:r w:rsidRPr="00730B2B">
        <w:rPr>
          <w:rFonts w:ascii="Arial" w:hAnsi="Arial" w:cs="Arial"/>
          <w:sz w:val="24"/>
          <w:szCs w:val="24"/>
        </w:rPr>
        <w:t xml:space="preserve"> [Accessed: 10</w:t>
      </w:r>
      <w:r w:rsidRPr="00730B2B">
        <w:rPr>
          <w:rFonts w:ascii="Arial" w:hAnsi="Arial" w:cs="Arial"/>
          <w:sz w:val="24"/>
          <w:szCs w:val="24"/>
          <w:vertAlign w:val="superscript"/>
        </w:rPr>
        <w:t>th</w:t>
      </w:r>
      <w:r w:rsidRPr="00730B2B">
        <w:rPr>
          <w:rFonts w:ascii="Arial" w:hAnsi="Arial" w:cs="Arial"/>
          <w:sz w:val="24"/>
          <w:szCs w:val="24"/>
        </w:rPr>
        <w:t xml:space="preserve"> May 2020].</w:t>
      </w:r>
    </w:p>
    <w:p w14:paraId="3827DA39"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Business Dictionary. (2020). ‘Definitions’. </w:t>
      </w:r>
      <w:hyperlink r:id="rId13" w:history="1">
        <w:r w:rsidRPr="00730B2B">
          <w:rPr>
            <w:rStyle w:val="Hyperlink"/>
            <w:rFonts w:ascii="Arial" w:hAnsi="Arial" w:cs="Arial"/>
            <w:sz w:val="24"/>
          </w:rPr>
          <w:t>http://www.businessdictionary.com/definition/media.html</w:t>
        </w:r>
      </w:hyperlink>
      <w:r w:rsidRPr="00730B2B">
        <w:rPr>
          <w:rFonts w:ascii="Arial" w:hAnsi="Arial" w:cs="Arial"/>
          <w:sz w:val="24"/>
        </w:rPr>
        <w:t xml:space="preserve"> [Accessed: 1</w:t>
      </w:r>
      <w:r w:rsidRPr="00730B2B">
        <w:rPr>
          <w:rFonts w:ascii="Arial" w:hAnsi="Arial" w:cs="Arial"/>
          <w:sz w:val="24"/>
          <w:vertAlign w:val="superscript"/>
        </w:rPr>
        <w:t>st</w:t>
      </w:r>
      <w:r w:rsidRPr="00730B2B">
        <w:rPr>
          <w:rFonts w:ascii="Arial" w:hAnsi="Arial" w:cs="Arial"/>
          <w:sz w:val="24"/>
        </w:rPr>
        <w:t xml:space="preserve"> May 2020]. </w:t>
      </w:r>
    </w:p>
    <w:p w14:paraId="6BEB9CD6" w14:textId="77777777" w:rsidR="00C47B45" w:rsidRPr="00730B2B" w:rsidRDefault="00C47B45" w:rsidP="001F189A">
      <w:pPr>
        <w:spacing w:line="360" w:lineRule="auto"/>
        <w:ind w:left="360"/>
        <w:jc w:val="both"/>
        <w:rPr>
          <w:rFonts w:ascii="Arial" w:hAnsi="Arial" w:cs="Arial"/>
          <w:i/>
          <w:iCs/>
          <w:sz w:val="24"/>
          <w:szCs w:val="24"/>
        </w:rPr>
      </w:pPr>
      <w:r w:rsidRPr="00730B2B">
        <w:rPr>
          <w:rFonts w:ascii="Arial" w:hAnsi="Arial" w:cs="Arial"/>
          <w:sz w:val="24"/>
          <w:szCs w:val="24"/>
        </w:rPr>
        <w:t>Chaudron, S., Di Gioia, R., Gemo, M., Holloway, D., Marsh, J., Mascheroni, G., Peter, J., &amp; Yamada-Rice, D. (2017</w:t>
      </w:r>
      <w:r w:rsidRPr="00730B2B">
        <w:rPr>
          <w:rFonts w:ascii="Arial" w:hAnsi="Arial" w:cs="Arial"/>
          <w:i/>
          <w:iCs/>
          <w:sz w:val="24"/>
          <w:szCs w:val="24"/>
        </w:rPr>
        <w:t>). Kaleidoscope on the Internet of Toys - Safety, security, privacy, and societal insights.</w:t>
      </w:r>
      <w:r w:rsidRPr="00730B2B">
        <w:rPr>
          <w:rFonts w:ascii="Arial" w:hAnsi="Arial" w:cs="Arial"/>
          <w:sz w:val="24"/>
          <w:szCs w:val="24"/>
        </w:rPr>
        <w:t xml:space="preserve"> Luxembourg: Publications Office of the European Union. </w:t>
      </w:r>
    </w:p>
    <w:p w14:paraId="48ECBFAB"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Chaudron, S., Plowman, L., Beutel, M. E., Černikova, M., Navarette, Donoso, Dreier, V. M., &amp; Wölfling, K., (2015). </w:t>
      </w:r>
      <w:r w:rsidRPr="00730B2B">
        <w:rPr>
          <w:rFonts w:ascii="Arial" w:hAnsi="Arial" w:cs="Arial"/>
          <w:i/>
          <w:iCs/>
          <w:sz w:val="24"/>
          <w:szCs w:val="24"/>
        </w:rPr>
        <w:t xml:space="preserve">Young children (0–8) and digital technology—EU report. </w:t>
      </w:r>
      <w:r w:rsidRPr="00730B2B">
        <w:rPr>
          <w:rFonts w:ascii="Arial" w:hAnsi="Arial" w:cs="Arial"/>
          <w:sz w:val="24"/>
          <w:szCs w:val="24"/>
        </w:rPr>
        <w:t xml:space="preserve">Luxembourg: Publications Office of the European Union. </w:t>
      </w:r>
    </w:p>
    <w:p w14:paraId="3D81DBC3"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lastRenderedPageBreak/>
        <w:t>Couse L &amp; Chen D (2010) A tablet computer for young children</w:t>
      </w:r>
      <w:r w:rsidRPr="00730B2B">
        <w:rPr>
          <w:rFonts w:ascii="Arial" w:hAnsi="Arial" w:cs="Arial"/>
          <w:i/>
          <w:iCs/>
          <w:sz w:val="24"/>
          <w:szCs w:val="24"/>
        </w:rPr>
        <w:t>? Exploring viability for early childhood education. Journals of Research on Technology Education</w:t>
      </w:r>
      <w:r w:rsidRPr="00730B2B">
        <w:rPr>
          <w:rFonts w:ascii="Arial" w:hAnsi="Arial" w:cs="Arial"/>
          <w:sz w:val="24"/>
          <w:szCs w:val="24"/>
        </w:rPr>
        <w:t>, 43(1), 75-98.</w:t>
      </w:r>
    </w:p>
    <w:p w14:paraId="39D89D1C"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Couse, L. J., &amp; Chen, D. W. (2010). </w:t>
      </w:r>
      <w:r w:rsidRPr="00730B2B">
        <w:rPr>
          <w:rFonts w:ascii="Arial" w:hAnsi="Arial" w:cs="Arial"/>
          <w:i/>
          <w:iCs/>
          <w:sz w:val="24"/>
          <w:szCs w:val="24"/>
        </w:rPr>
        <w:t xml:space="preserve">A tablet computer for young children? Exploring its viability for early childhood education. </w:t>
      </w:r>
      <w:r w:rsidRPr="00730B2B">
        <w:rPr>
          <w:rFonts w:ascii="Arial" w:hAnsi="Arial" w:cs="Arial"/>
          <w:sz w:val="24"/>
          <w:szCs w:val="24"/>
        </w:rPr>
        <w:t>Journal of Research on Technology in Education, 43, 75–98. Csikszentmihalyi, M. (2002). Flow. London: Rider.</w:t>
      </w:r>
    </w:p>
    <w:p w14:paraId="461009C6"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Dobler,. B. (2012). ‘Reading Today’ 1(1), 14-26. </w:t>
      </w:r>
    </w:p>
    <w:p w14:paraId="7053B928"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Donaldson, G. (2015). </w:t>
      </w:r>
      <w:r w:rsidRPr="00730B2B">
        <w:rPr>
          <w:rFonts w:ascii="Arial" w:hAnsi="Arial" w:cs="Arial"/>
          <w:i/>
          <w:iCs/>
          <w:sz w:val="24"/>
          <w:szCs w:val="24"/>
        </w:rPr>
        <w:t>Successful Futures: Independent Review of Curriculum and Assessment Arrangements in Wales.</w:t>
      </w:r>
      <w:r w:rsidRPr="00730B2B">
        <w:rPr>
          <w:rFonts w:ascii="Arial" w:hAnsi="Arial" w:cs="Arial"/>
          <w:sz w:val="24"/>
          <w:szCs w:val="24"/>
        </w:rPr>
        <w:t xml:space="preserve"> Cardiff: Welsh Government.</w:t>
      </w:r>
    </w:p>
    <w:p w14:paraId="56F337A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Dunn, J,. and Sweeney, T. (2018). </w:t>
      </w:r>
      <w:r w:rsidRPr="00730B2B">
        <w:rPr>
          <w:rFonts w:ascii="Arial" w:hAnsi="Arial" w:cs="Arial"/>
          <w:i/>
          <w:iCs/>
          <w:sz w:val="24"/>
          <w:szCs w:val="24"/>
        </w:rPr>
        <w:t>Writing and IPads in the Early Years: Perspective from Within the Classroom</w:t>
      </w:r>
      <w:r w:rsidRPr="00730B2B">
        <w:rPr>
          <w:rFonts w:ascii="Arial" w:hAnsi="Arial" w:cs="Arial"/>
          <w:sz w:val="24"/>
          <w:szCs w:val="24"/>
        </w:rPr>
        <w:t xml:space="preserve">. British Journal of Educational Technology: Vol 49. P859-869. </w:t>
      </w:r>
    </w:p>
    <w:p w14:paraId="4BA9FE5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Ebbeck, M., &amp; Waniganayake, M. (2016). </w:t>
      </w:r>
      <w:r w:rsidRPr="00730B2B">
        <w:rPr>
          <w:rFonts w:ascii="Arial" w:hAnsi="Arial" w:cs="Arial"/>
          <w:i/>
          <w:iCs/>
          <w:sz w:val="24"/>
          <w:szCs w:val="24"/>
        </w:rPr>
        <w:t>Perspectives on play in a changing world</w:t>
      </w:r>
      <w:r w:rsidRPr="00730B2B">
        <w:rPr>
          <w:rFonts w:ascii="Arial" w:hAnsi="Arial" w:cs="Arial"/>
          <w:sz w:val="24"/>
          <w:szCs w:val="24"/>
        </w:rPr>
        <w:t>. In M. Ebbeck, &amp; M. Waniganayake (Eds</w:t>
      </w:r>
      <w:r w:rsidRPr="00730B2B">
        <w:rPr>
          <w:rFonts w:ascii="Arial" w:hAnsi="Arial" w:cs="Arial"/>
          <w:i/>
          <w:iCs/>
          <w:sz w:val="24"/>
          <w:szCs w:val="24"/>
        </w:rPr>
        <w:t>.), Play in early childhood education: Learning in diverse contexts,</w:t>
      </w:r>
      <w:r w:rsidRPr="00730B2B">
        <w:rPr>
          <w:rFonts w:ascii="Arial" w:hAnsi="Arial" w:cs="Arial"/>
          <w:sz w:val="24"/>
          <w:szCs w:val="24"/>
        </w:rPr>
        <w:t xml:space="preserve"> 2nd ed. (pp. 3–23). Melbourne: Oxford University Press.</w:t>
      </w:r>
    </w:p>
    <w:p w14:paraId="538E59AB"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Erdogan, N, I., Johnson, J, E., Dong, P, Ip,. And Oiu, Z., 2018) </w:t>
      </w:r>
      <w:r w:rsidRPr="00730B2B">
        <w:rPr>
          <w:rFonts w:ascii="Arial" w:hAnsi="Arial" w:cs="Arial"/>
          <w:i/>
          <w:iCs/>
          <w:sz w:val="24"/>
          <w:szCs w:val="24"/>
        </w:rPr>
        <w:t xml:space="preserve">Do parents prefer Digital Play? Examination of Preferences and Beliefs in Four Nations. </w:t>
      </w:r>
      <w:r w:rsidRPr="00730B2B">
        <w:rPr>
          <w:rFonts w:ascii="Arial" w:hAnsi="Arial" w:cs="Arial"/>
          <w:sz w:val="24"/>
          <w:szCs w:val="24"/>
        </w:rPr>
        <w:t xml:space="preserve">Early Childhood Journal, 47:131-132. </w:t>
      </w:r>
    </w:p>
    <w:p w14:paraId="1712D2B6"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color w:val="000000"/>
          <w:sz w:val="26"/>
          <w:szCs w:val="26"/>
          <w:shd w:val="clear" w:color="auto" w:fill="FFFFFF"/>
        </w:rPr>
        <w:t xml:space="preserve">Family Lives.Org. (2018) ‘Why Play Matters’ </w:t>
      </w:r>
      <w:hyperlink r:id="rId14" w:history="1">
        <w:r w:rsidRPr="00730B2B">
          <w:rPr>
            <w:rStyle w:val="Hyperlink"/>
            <w:rFonts w:ascii="Arial" w:hAnsi="Arial" w:cs="Arial"/>
            <w:sz w:val="26"/>
            <w:szCs w:val="26"/>
            <w:shd w:val="clear" w:color="auto" w:fill="FFFFFF"/>
          </w:rPr>
          <w:t>https://www.familylives.org.uk/advice/early-years-development/learning-and-play/why-play-matters/?fbclid=IwAR0FEs67us1t8h7Yy8i0e2-2_mbylZrbXjmEM3EdEB1DvEpDOH9CrCcWnjw</w:t>
        </w:r>
      </w:hyperlink>
      <w:r w:rsidRPr="00730B2B">
        <w:rPr>
          <w:rFonts w:ascii="Arial" w:hAnsi="Arial" w:cs="Arial"/>
          <w:color w:val="000000"/>
          <w:sz w:val="26"/>
          <w:szCs w:val="26"/>
          <w:shd w:val="clear" w:color="auto" w:fill="FFFFFF"/>
        </w:rPr>
        <w:t xml:space="preserve"> [Accessed: 8</w:t>
      </w:r>
      <w:r w:rsidRPr="00730B2B">
        <w:rPr>
          <w:rFonts w:ascii="Arial" w:hAnsi="Arial" w:cs="Arial"/>
          <w:color w:val="000000"/>
          <w:sz w:val="26"/>
          <w:szCs w:val="26"/>
          <w:shd w:val="clear" w:color="auto" w:fill="FFFFFF"/>
          <w:vertAlign w:val="superscript"/>
        </w:rPr>
        <w:t>th</w:t>
      </w:r>
      <w:r w:rsidRPr="00730B2B">
        <w:rPr>
          <w:rFonts w:ascii="Arial" w:hAnsi="Arial" w:cs="Arial"/>
          <w:color w:val="000000"/>
          <w:sz w:val="26"/>
          <w:szCs w:val="26"/>
          <w:shd w:val="clear" w:color="auto" w:fill="FFFFFF"/>
        </w:rPr>
        <w:t xml:space="preserve"> May 2020].</w:t>
      </w:r>
    </w:p>
    <w:p w14:paraId="482A3E93"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Flewitt, R. S., Messer, D., &amp; Kucirkova, N. (2015). </w:t>
      </w:r>
      <w:r w:rsidRPr="00730B2B">
        <w:rPr>
          <w:rFonts w:ascii="Arial" w:hAnsi="Arial" w:cs="Arial"/>
          <w:i/>
          <w:iCs/>
          <w:sz w:val="24"/>
          <w:szCs w:val="24"/>
        </w:rPr>
        <w:t>New directions for early literacy in a digital age: the iPad.</w:t>
      </w:r>
      <w:r w:rsidRPr="00730B2B">
        <w:rPr>
          <w:rFonts w:ascii="Arial" w:hAnsi="Arial" w:cs="Arial"/>
          <w:sz w:val="24"/>
          <w:szCs w:val="24"/>
        </w:rPr>
        <w:t xml:space="preserve"> Journal of Early Childhood Literacy, 15, 289–310.</w:t>
      </w:r>
    </w:p>
    <w:p w14:paraId="17AF588F"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Florian, L., and Hegarty, J. (2004). </w:t>
      </w:r>
      <w:r w:rsidRPr="00730B2B">
        <w:rPr>
          <w:rFonts w:ascii="Arial" w:hAnsi="Arial" w:cs="Arial"/>
          <w:i/>
          <w:iCs/>
          <w:sz w:val="24"/>
          <w:szCs w:val="24"/>
        </w:rPr>
        <w:t>ICT and Additional Learning Needs</w:t>
      </w:r>
      <w:r w:rsidRPr="00730B2B">
        <w:rPr>
          <w:rFonts w:ascii="Arial" w:hAnsi="Arial" w:cs="Arial"/>
          <w:sz w:val="24"/>
          <w:szCs w:val="24"/>
        </w:rPr>
        <w:t>. Open University Press: Berkshire.</w:t>
      </w:r>
    </w:p>
    <w:p w14:paraId="3CE5208B"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szCs w:val="24"/>
        </w:rPr>
        <w:t>Froebel, F. (1867) The Education of Man New York: Appleton &amp; Co.</w:t>
      </w:r>
    </w:p>
    <w:p w14:paraId="3D1E4FFC"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lastRenderedPageBreak/>
        <w:t xml:space="preserve">Gibbons, A. (2015). Debating digital childhoods: Questions concerning technologies, economics, and determinism. </w:t>
      </w:r>
      <w:r w:rsidRPr="00730B2B">
        <w:rPr>
          <w:rFonts w:ascii="Arial" w:hAnsi="Arial" w:cs="Arial"/>
          <w:i/>
          <w:iCs/>
          <w:sz w:val="24"/>
          <w:szCs w:val="24"/>
        </w:rPr>
        <w:t>Open Review of Educational Research,</w:t>
      </w:r>
      <w:r w:rsidRPr="00730B2B">
        <w:rPr>
          <w:rFonts w:ascii="Arial" w:hAnsi="Arial" w:cs="Arial"/>
          <w:sz w:val="24"/>
          <w:szCs w:val="24"/>
        </w:rPr>
        <w:t xml:space="preserve"> 2, 1, 118–127. </w:t>
      </w:r>
    </w:p>
    <w:p w14:paraId="4EEF481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Hatzigianni, Ma,. and Kalaitzidis, I. (2018) </w:t>
      </w:r>
      <w:r w:rsidRPr="00730B2B">
        <w:rPr>
          <w:rFonts w:ascii="Arial" w:hAnsi="Arial" w:cs="Arial"/>
          <w:i/>
          <w:iCs/>
          <w:sz w:val="24"/>
          <w:szCs w:val="24"/>
        </w:rPr>
        <w:t>Early childhood educators’ attitudes and beliefs around the use of touchscreen technologies by children under three years of age</w:t>
      </w:r>
      <w:r w:rsidRPr="00730B2B">
        <w:rPr>
          <w:rFonts w:ascii="Arial" w:hAnsi="Arial" w:cs="Arial"/>
          <w:sz w:val="24"/>
          <w:szCs w:val="24"/>
        </w:rPr>
        <w:t xml:space="preserve">. British Journal of Educational Technology: Vol 49. P883-895. </w:t>
      </w:r>
    </w:p>
    <w:p w14:paraId="4CACA5FE"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Heitin, L. (2016). ‘Digital Literacy: An Evolving Definition’. </w:t>
      </w:r>
      <w:hyperlink r:id="rId15" w:history="1">
        <w:r w:rsidRPr="00730B2B">
          <w:rPr>
            <w:rStyle w:val="Hyperlink"/>
            <w:rFonts w:ascii="Arial" w:hAnsi="Arial" w:cs="Arial"/>
            <w:sz w:val="24"/>
          </w:rPr>
          <w:t>https://www.edweek.org/ew/articles/2016/11/09/what-is-digital-literacy.html</w:t>
        </w:r>
      </w:hyperlink>
      <w:r w:rsidRPr="00730B2B">
        <w:rPr>
          <w:rFonts w:ascii="Arial" w:hAnsi="Arial" w:cs="Arial"/>
          <w:sz w:val="24"/>
        </w:rPr>
        <w:t xml:space="preserve"> [Accessed: 1</w:t>
      </w:r>
      <w:r w:rsidRPr="00730B2B">
        <w:rPr>
          <w:rFonts w:ascii="Arial" w:hAnsi="Arial" w:cs="Arial"/>
          <w:sz w:val="24"/>
          <w:vertAlign w:val="superscript"/>
        </w:rPr>
        <w:t>st</w:t>
      </w:r>
      <w:r w:rsidRPr="00730B2B">
        <w:rPr>
          <w:rFonts w:ascii="Arial" w:hAnsi="Arial" w:cs="Arial"/>
          <w:sz w:val="24"/>
        </w:rPr>
        <w:t xml:space="preserve"> May 2020]. </w:t>
      </w:r>
    </w:p>
    <w:p w14:paraId="1668D7BE"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Hillman M &amp; Marshall J (2010) Evaluation of digital media for emergent literacy. </w:t>
      </w:r>
      <w:r w:rsidRPr="00730B2B">
        <w:rPr>
          <w:rFonts w:ascii="Arial" w:hAnsi="Arial" w:cs="Arial"/>
          <w:i/>
          <w:iCs/>
          <w:sz w:val="24"/>
          <w:szCs w:val="24"/>
        </w:rPr>
        <w:t>Computers in schools</w:t>
      </w:r>
      <w:r w:rsidRPr="00730B2B">
        <w:rPr>
          <w:rFonts w:ascii="Arial" w:hAnsi="Arial" w:cs="Arial"/>
          <w:sz w:val="24"/>
          <w:szCs w:val="24"/>
        </w:rPr>
        <w:t>, 25(4), 256-270</w:t>
      </w:r>
    </w:p>
    <w:p w14:paraId="4F295F07"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Hirsh-Pasek, K., &amp; Golinkoff, R. M. (2003). </w:t>
      </w:r>
      <w:r w:rsidRPr="00730B2B">
        <w:rPr>
          <w:rFonts w:ascii="Arial" w:hAnsi="Arial" w:cs="Arial"/>
          <w:i/>
          <w:iCs/>
          <w:sz w:val="24"/>
          <w:szCs w:val="24"/>
        </w:rPr>
        <w:t>Einstein never used flash cards: how our children really learn– and why they need to play more and memorize less</w:t>
      </w:r>
      <w:r w:rsidRPr="00730B2B">
        <w:rPr>
          <w:rFonts w:ascii="Arial" w:hAnsi="Arial" w:cs="Arial"/>
          <w:sz w:val="24"/>
          <w:szCs w:val="24"/>
        </w:rPr>
        <w:t xml:space="preserve">. Emmaus, PA: Rodale. </w:t>
      </w:r>
    </w:p>
    <w:p w14:paraId="012F629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Internet Matters.org. (2020). ‘Online safety advice’. </w:t>
      </w:r>
      <w:hyperlink r:id="rId16" w:history="1">
        <w:r w:rsidRPr="00730B2B">
          <w:rPr>
            <w:rStyle w:val="Hyperlink"/>
            <w:rFonts w:ascii="Arial" w:hAnsi="Arial" w:cs="Arial"/>
            <w:sz w:val="24"/>
            <w:szCs w:val="24"/>
          </w:rPr>
          <w:t>https://www.internetmatters.org/advice/0-5/</w:t>
        </w:r>
      </w:hyperlink>
      <w:r w:rsidRPr="00730B2B">
        <w:rPr>
          <w:rFonts w:ascii="Arial" w:hAnsi="Arial" w:cs="Arial"/>
          <w:sz w:val="24"/>
          <w:szCs w:val="24"/>
        </w:rPr>
        <w:t xml:space="preserve"> [Accessed: 10</w:t>
      </w:r>
      <w:r w:rsidRPr="00730B2B">
        <w:rPr>
          <w:rFonts w:ascii="Arial" w:hAnsi="Arial" w:cs="Arial"/>
          <w:sz w:val="24"/>
          <w:szCs w:val="24"/>
          <w:vertAlign w:val="superscript"/>
        </w:rPr>
        <w:t>th</w:t>
      </w:r>
      <w:r w:rsidRPr="00730B2B">
        <w:rPr>
          <w:rFonts w:ascii="Arial" w:hAnsi="Arial" w:cs="Arial"/>
          <w:sz w:val="24"/>
          <w:szCs w:val="24"/>
        </w:rPr>
        <w:t xml:space="preserve"> May 2020]. </w:t>
      </w:r>
    </w:p>
    <w:p w14:paraId="11E5120C"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Jewitt, C. (2003). </w:t>
      </w:r>
      <w:r w:rsidRPr="00730B2B">
        <w:rPr>
          <w:rFonts w:ascii="Arial" w:hAnsi="Arial" w:cs="Arial"/>
          <w:i/>
          <w:iCs/>
          <w:sz w:val="24"/>
          <w:szCs w:val="24"/>
        </w:rPr>
        <w:t>Technology, literacy, and learning. A multimodal approach</w:t>
      </w:r>
      <w:r w:rsidRPr="00730B2B">
        <w:rPr>
          <w:rFonts w:ascii="Arial" w:hAnsi="Arial" w:cs="Arial"/>
          <w:sz w:val="24"/>
          <w:szCs w:val="24"/>
        </w:rPr>
        <w:t>. London, UK: Routledge.</w:t>
      </w:r>
    </w:p>
    <w:p w14:paraId="1BF200C6"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Johnston, K., Highfield, K., and Hadley., F, (2018</w:t>
      </w:r>
      <w:r w:rsidRPr="00730B2B">
        <w:rPr>
          <w:rFonts w:ascii="Arial" w:hAnsi="Arial" w:cs="Arial"/>
          <w:i/>
          <w:iCs/>
          <w:sz w:val="24"/>
        </w:rPr>
        <w:t>). Supporting Young Children as digital citizens: The importance of shared understandings of technology to support integration in Play-Based learning.</w:t>
      </w:r>
      <w:r w:rsidRPr="00730B2B">
        <w:rPr>
          <w:rFonts w:ascii="Arial" w:hAnsi="Arial" w:cs="Arial"/>
          <w:sz w:val="24"/>
        </w:rPr>
        <w:t xml:space="preserve"> British Journal of Educational Technology, Vol 49., P., 896-910., </w:t>
      </w:r>
    </w:p>
    <w:p w14:paraId="2E14639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Levin, D. E. (2015). Technology play cthatoncerns. In D. P. Fromberg &amp; D. Bergen (Eds.), </w:t>
      </w:r>
      <w:r w:rsidRPr="00730B2B">
        <w:rPr>
          <w:rFonts w:ascii="Arial" w:hAnsi="Arial" w:cs="Arial"/>
          <w:i/>
          <w:iCs/>
          <w:sz w:val="24"/>
          <w:szCs w:val="24"/>
        </w:rPr>
        <w:t>Play from birth to twelve: Contexts, perspectives, and meanings</w:t>
      </w:r>
      <w:r w:rsidRPr="00730B2B">
        <w:rPr>
          <w:rFonts w:ascii="Arial" w:hAnsi="Arial" w:cs="Arial"/>
          <w:sz w:val="24"/>
          <w:szCs w:val="24"/>
        </w:rPr>
        <w:t xml:space="preserve"> (pp. 225–232). New York: Routledge. Lovato, S. B., &amp; Waxman, S. R. (2016). Young children learning.</w:t>
      </w:r>
    </w:p>
    <w:p w14:paraId="5F3C7346"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Marsh, J., &amp; Bishop, J. C. (2014). </w:t>
      </w:r>
      <w:r w:rsidRPr="00730B2B">
        <w:rPr>
          <w:rFonts w:ascii="Arial" w:hAnsi="Arial" w:cs="Arial"/>
          <w:i/>
          <w:iCs/>
          <w:sz w:val="24"/>
          <w:szCs w:val="24"/>
        </w:rPr>
        <w:t>Changing play: Play, media and commercial culture from the 1950s to the present day</w:t>
      </w:r>
      <w:r w:rsidRPr="00730B2B">
        <w:rPr>
          <w:rFonts w:ascii="Arial" w:hAnsi="Arial" w:cs="Arial"/>
          <w:sz w:val="24"/>
          <w:szCs w:val="24"/>
        </w:rPr>
        <w:t xml:space="preserve">. Berkshire: Open University Press/ McGrawHill. </w:t>
      </w:r>
    </w:p>
    <w:p w14:paraId="2D1F3277"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lastRenderedPageBreak/>
        <w:t xml:space="preserve"> Marsh, J., Plowman, L., Yamada-Rice, D., Bishop, J., Lahmar, J., and Scott, F. (2018). </w:t>
      </w:r>
      <w:r w:rsidRPr="00730B2B">
        <w:rPr>
          <w:rFonts w:ascii="Arial" w:hAnsi="Arial" w:cs="Arial"/>
          <w:i/>
          <w:iCs/>
          <w:sz w:val="24"/>
          <w:szCs w:val="24"/>
        </w:rPr>
        <w:t>Play and Creativity in Young Children’s use of apps</w:t>
      </w:r>
      <w:r w:rsidRPr="00730B2B">
        <w:rPr>
          <w:rFonts w:ascii="Arial" w:hAnsi="Arial" w:cs="Arial"/>
          <w:sz w:val="24"/>
          <w:szCs w:val="24"/>
        </w:rPr>
        <w:t xml:space="preserve">. British Journal of Educational Technology, Vol 49, P 870-882. </w:t>
      </w:r>
    </w:p>
    <w:p w14:paraId="20DFBBED"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Nikolopoulou, K., &amp; Gialamas, V. (2015). </w:t>
      </w:r>
      <w:r w:rsidRPr="00730B2B">
        <w:rPr>
          <w:rFonts w:ascii="Arial" w:hAnsi="Arial" w:cs="Arial"/>
          <w:i/>
          <w:iCs/>
          <w:sz w:val="24"/>
          <w:szCs w:val="24"/>
        </w:rPr>
        <w:t>Barriers to the integration of computers in early childhood settings: Teachers’ perceptions. Education and Information Technologies</w:t>
      </w:r>
      <w:r w:rsidRPr="00730B2B">
        <w:rPr>
          <w:rFonts w:ascii="Arial" w:hAnsi="Arial" w:cs="Arial"/>
          <w:sz w:val="24"/>
          <w:szCs w:val="24"/>
        </w:rPr>
        <w:t xml:space="preserve">, 20, 2, 285–301. https://doi. org/10.1007/s10639-013-9281-9. </w:t>
      </w:r>
    </w:p>
    <w:p w14:paraId="42392B85"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NSPCC. (2019) ‘Recommended adult to child ratios for working with children’. </w:t>
      </w:r>
      <w:hyperlink r:id="rId17" w:anchor="article-top" w:history="1">
        <w:r w:rsidRPr="00730B2B">
          <w:rPr>
            <w:rStyle w:val="Hyperlink"/>
            <w:rFonts w:ascii="Arial" w:hAnsi="Arial" w:cs="Arial"/>
            <w:sz w:val="24"/>
          </w:rPr>
          <w:t>https://learning.nspcc.org.uk/research-resources/briefings/recommended-adult-child-ratios-working-with-children/?fbclid=IwAR2H31FPc8wMJJUvlb4c42zUmApMNlDZqEkSFKk0IIbs71osMbVEPp8TtVQ#article-top</w:t>
        </w:r>
      </w:hyperlink>
      <w:r w:rsidRPr="00730B2B">
        <w:rPr>
          <w:rFonts w:ascii="Arial" w:hAnsi="Arial" w:cs="Arial"/>
          <w:sz w:val="24"/>
        </w:rPr>
        <w:t xml:space="preserve"> [Accessed: 8</w:t>
      </w:r>
      <w:r w:rsidRPr="00730B2B">
        <w:rPr>
          <w:rFonts w:ascii="Arial" w:hAnsi="Arial" w:cs="Arial"/>
          <w:sz w:val="24"/>
          <w:vertAlign w:val="superscript"/>
        </w:rPr>
        <w:t>th</w:t>
      </w:r>
      <w:r w:rsidRPr="00730B2B">
        <w:rPr>
          <w:rFonts w:ascii="Arial" w:hAnsi="Arial" w:cs="Arial"/>
          <w:sz w:val="24"/>
        </w:rPr>
        <w:t xml:space="preserve"> May 2020].</w:t>
      </w:r>
    </w:p>
    <w:p w14:paraId="26475E8A"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NSPCC. (2020). ‘Talking to your child about online safety’. </w:t>
      </w:r>
      <w:hyperlink r:id="rId18" w:history="1">
        <w:r w:rsidRPr="00730B2B">
          <w:rPr>
            <w:rStyle w:val="Hyperlink"/>
            <w:rFonts w:ascii="Arial" w:hAnsi="Arial" w:cs="Arial"/>
            <w:sz w:val="24"/>
            <w:szCs w:val="24"/>
          </w:rPr>
          <w:t>https://www.nspcc.org.uk/keeping-children-safe/online-safety/talking-child-online-safety/</w:t>
        </w:r>
      </w:hyperlink>
      <w:r w:rsidRPr="00730B2B">
        <w:rPr>
          <w:rFonts w:ascii="Arial" w:hAnsi="Arial" w:cs="Arial"/>
          <w:sz w:val="24"/>
          <w:szCs w:val="24"/>
        </w:rPr>
        <w:t xml:space="preserve"> [Accessed: 10</w:t>
      </w:r>
      <w:r w:rsidRPr="00730B2B">
        <w:rPr>
          <w:rFonts w:ascii="Arial" w:hAnsi="Arial" w:cs="Arial"/>
          <w:sz w:val="24"/>
          <w:szCs w:val="24"/>
          <w:vertAlign w:val="superscript"/>
        </w:rPr>
        <w:t>th</w:t>
      </w:r>
      <w:r w:rsidRPr="00730B2B">
        <w:rPr>
          <w:rFonts w:ascii="Arial" w:hAnsi="Arial" w:cs="Arial"/>
          <w:sz w:val="24"/>
          <w:szCs w:val="24"/>
        </w:rPr>
        <w:t xml:space="preserve"> May 2020]. </w:t>
      </w:r>
    </w:p>
    <w:p w14:paraId="1B02AA14"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Ofcom,, (2017). </w:t>
      </w:r>
      <w:r w:rsidRPr="00730B2B">
        <w:rPr>
          <w:rFonts w:ascii="Arial" w:hAnsi="Arial" w:cs="Arial"/>
          <w:i/>
          <w:iCs/>
          <w:sz w:val="24"/>
          <w:szCs w:val="24"/>
        </w:rPr>
        <w:t>Children and parents: media use and attitudes repor</w:t>
      </w:r>
      <w:r w:rsidRPr="00730B2B">
        <w:rPr>
          <w:rFonts w:ascii="Arial" w:hAnsi="Arial" w:cs="Arial"/>
          <w:sz w:val="24"/>
          <w:szCs w:val="24"/>
        </w:rPr>
        <w:t xml:space="preserve">t, (November), 1–53. </w:t>
      </w:r>
    </w:p>
    <w:p w14:paraId="504381DA"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Perrin, W., (2018). ‘Reducing harm in social media through a duty of care’. </w:t>
      </w:r>
      <w:hyperlink r:id="rId19" w:history="1">
        <w:r w:rsidRPr="00730B2B">
          <w:rPr>
            <w:rStyle w:val="Hyperlink"/>
            <w:rFonts w:ascii="Arial" w:hAnsi="Arial" w:cs="Arial"/>
            <w:sz w:val="24"/>
            <w:szCs w:val="24"/>
          </w:rPr>
          <w:t>https://www.carnegieuktrust.org.uk/blog/reducing-harm-social-media-duty-care/?gclid=Cj0KCQjwzN71BRCOARIsAF8pjfiAH72Ia0lv7rhEEhpgozEdiJhaaBNznB8l_WCIYlUTm1eNoSocyTUaAkMUEALw_wcB</w:t>
        </w:r>
      </w:hyperlink>
      <w:r w:rsidRPr="00730B2B">
        <w:rPr>
          <w:rFonts w:ascii="Arial" w:hAnsi="Arial" w:cs="Arial"/>
          <w:sz w:val="24"/>
          <w:szCs w:val="24"/>
        </w:rPr>
        <w:t xml:space="preserve"> [Accessed: 10</w:t>
      </w:r>
      <w:r w:rsidRPr="00730B2B">
        <w:rPr>
          <w:rFonts w:ascii="Arial" w:hAnsi="Arial" w:cs="Arial"/>
          <w:sz w:val="24"/>
          <w:szCs w:val="24"/>
          <w:vertAlign w:val="superscript"/>
        </w:rPr>
        <w:t>th</w:t>
      </w:r>
      <w:r w:rsidRPr="00730B2B">
        <w:rPr>
          <w:rFonts w:ascii="Arial" w:hAnsi="Arial" w:cs="Arial"/>
          <w:sz w:val="24"/>
          <w:szCs w:val="24"/>
        </w:rPr>
        <w:t xml:space="preserve"> March 2020]. </w:t>
      </w:r>
    </w:p>
    <w:p w14:paraId="48D97810"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Piaget, J. (1945). </w:t>
      </w:r>
      <w:r w:rsidRPr="00730B2B">
        <w:rPr>
          <w:rFonts w:ascii="Arial" w:hAnsi="Arial" w:cs="Arial"/>
          <w:i/>
          <w:iCs/>
          <w:sz w:val="24"/>
        </w:rPr>
        <w:t>Play, dreams and imitation in childhood</w:t>
      </w:r>
      <w:r w:rsidRPr="00730B2B">
        <w:rPr>
          <w:rFonts w:ascii="Arial" w:hAnsi="Arial" w:cs="Arial"/>
          <w:sz w:val="24"/>
        </w:rPr>
        <w:t>. London: Heinemann.</w:t>
      </w:r>
    </w:p>
    <w:p w14:paraId="59DFDEEB"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Piaget, J. (1957). </w:t>
      </w:r>
      <w:r w:rsidRPr="00730B2B">
        <w:rPr>
          <w:rFonts w:ascii="Arial" w:hAnsi="Arial" w:cs="Arial"/>
          <w:i/>
          <w:iCs/>
          <w:sz w:val="24"/>
        </w:rPr>
        <w:t>Construction of reality in the child</w:t>
      </w:r>
      <w:r w:rsidRPr="00730B2B">
        <w:rPr>
          <w:rFonts w:ascii="Arial" w:hAnsi="Arial" w:cs="Arial"/>
          <w:sz w:val="24"/>
        </w:rPr>
        <w:t>. London: Routledge &amp; Kegan Paul.</w:t>
      </w:r>
    </w:p>
    <w:p w14:paraId="7C77C6CB"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Piaget, J. (1958). </w:t>
      </w:r>
      <w:r w:rsidRPr="00730B2B">
        <w:rPr>
          <w:rFonts w:ascii="Arial" w:hAnsi="Arial" w:cs="Arial"/>
          <w:i/>
          <w:iCs/>
          <w:sz w:val="24"/>
        </w:rPr>
        <w:t>The growth of logical thinking from childhood to adolescence.</w:t>
      </w:r>
      <w:r w:rsidRPr="00730B2B">
        <w:rPr>
          <w:rFonts w:ascii="Arial" w:hAnsi="Arial" w:cs="Arial"/>
          <w:sz w:val="24"/>
        </w:rPr>
        <w:t xml:space="preserve"> AMC, 10, 12.</w:t>
      </w:r>
    </w:p>
    <w:p w14:paraId="1A124964"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Piaget, J., &amp; Cook, M. T. (1962). </w:t>
      </w:r>
      <w:r w:rsidRPr="00730B2B">
        <w:rPr>
          <w:rFonts w:ascii="Arial" w:hAnsi="Arial" w:cs="Arial"/>
          <w:i/>
          <w:iCs/>
          <w:sz w:val="24"/>
        </w:rPr>
        <w:t>The origins of intelligence in children.</w:t>
      </w:r>
      <w:r w:rsidRPr="00730B2B">
        <w:rPr>
          <w:rFonts w:ascii="Arial" w:hAnsi="Arial" w:cs="Arial"/>
          <w:sz w:val="24"/>
        </w:rPr>
        <w:t xml:space="preserve"> New York, NY: International University Press.</w:t>
      </w:r>
    </w:p>
    <w:p w14:paraId="4A964DAE"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Playful Childhoods. (2020). ‘Top Tips for Screen Time’. </w:t>
      </w:r>
      <w:hyperlink r:id="rId20" w:history="1">
        <w:r w:rsidRPr="00730B2B">
          <w:rPr>
            <w:rStyle w:val="Hyperlink"/>
            <w:rFonts w:ascii="Arial" w:hAnsi="Arial" w:cs="Arial"/>
            <w:sz w:val="24"/>
            <w:szCs w:val="24"/>
          </w:rPr>
          <w:t>https://www.playfulchildhoods.wales/Handlers/Download.ashx?IDMF=c7eaffe4-f252-4bd9-b0d7-a67cb5d1e0e6</w:t>
        </w:r>
      </w:hyperlink>
      <w:r w:rsidRPr="00730B2B">
        <w:rPr>
          <w:rFonts w:ascii="Arial" w:hAnsi="Arial" w:cs="Arial"/>
          <w:sz w:val="24"/>
          <w:szCs w:val="24"/>
        </w:rPr>
        <w:t xml:space="preserve"> [Accessed: 10</w:t>
      </w:r>
      <w:r w:rsidRPr="00730B2B">
        <w:rPr>
          <w:rFonts w:ascii="Arial" w:hAnsi="Arial" w:cs="Arial"/>
          <w:sz w:val="24"/>
          <w:szCs w:val="24"/>
          <w:vertAlign w:val="superscript"/>
        </w:rPr>
        <w:t>th</w:t>
      </w:r>
      <w:r w:rsidRPr="00730B2B">
        <w:rPr>
          <w:rFonts w:ascii="Arial" w:hAnsi="Arial" w:cs="Arial"/>
          <w:sz w:val="24"/>
          <w:szCs w:val="24"/>
        </w:rPr>
        <w:t xml:space="preserve"> May 2020].</w:t>
      </w:r>
    </w:p>
    <w:p w14:paraId="032EE993"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lastRenderedPageBreak/>
        <w:t xml:space="preserve">Plowman, L., Stevenson, O., Stephen, C., &amp; McPake, J. (2012). </w:t>
      </w:r>
      <w:r w:rsidRPr="00730B2B">
        <w:rPr>
          <w:rFonts w:ascii="Arial" w:hAnsi="Arial" w:cs="Arial"/>
          <w:i/>
          <w:iCs/>
          <w:sz w:val="24"/>
          <w:szCs w:val="24"/>
        </w:rPr>
        <w:t xml:space="preserve">Preschool children’s learning with technology at home. </w:t>
      </w:r>
      <w:r w:rsidRPr="00730B2B">
        <w:rPr>
          <w:rFonts w:ascii="Arial" w:hAnsi="Arial" w:cs="Arial"/>
          <w:sz w:val="24"/>
          <w:szCs w:val="24"/>
        </w:rPr>
        <w:t>Computers and Education, 59, 30–37.</w:t>
      </w:r>
    </w:p>
    <w:p w14:paraId="39C36C51"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Price, S., Jewitt, C., &amp; Crescenzi, L. (2015). </w:t>
      </w:r>
      <w:r w:rsidRPr="00730B2B">
        <w:rPr>
          <w:rFonts w:ascii="Arial" w:hAnsi="Arial" w:cs="Arial"/>
          <w:i/>
          <w:iCs/>
          <w:sz w:val="24"/>
          <w:szCs w:val="24"/>
        </w:rPr>
        <w:t>The role of iPads in pre-school children’s mark making development.</w:t>
      </w:r>
      <w:r w:rsidRPr="00730B2B">
        <w:rPr>
          <w:rFonts w:ascii="Arial" w:hAnsi="Arial" w:cs="Arial"/>
          <w:sz w:val="24"/>
          <w:szCs w:val="24"/>
        </w:rPr>
        <w:t xml:space="preserve"> Computers and Education, 87, 131–141.</w:t>
      </w:r>
    </w:p>
    <w:p w14:paraId="191F36F2"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Price-Dennis, P., Holmes, K, A., and Smith, E., (2015) </w:t>
      </w:r>
      <w:r w:rsidRPr="00730B2B">
        <w:rPr>
          <w:rFonts w:ascii="Arial" w:hAnsi="Arial" w:cs="Arial"/>
          <w:i/>
          <w:iCs/>
          <w:sz w:val="24"/>
          <w:szCs w:val="24"/>
        </w:rPr>
        <w:t>Exploring Digital literacy practices in an inclusive classroom</w:t>
      </w:r>
      <w:r w:rsidRPr="00730B2B">
        <w:rPr>
          <w:rFonts w:ascii="Arial" w:hAnsi="Arial" w:cs="Arial"/>
          <w:sz w:val="24"/>
          <w:szCs w:val="24"/>
        </w:rPr>
        <w:t xml:space="preserve">. Vol 69. Iss 2. </w:t>
      </w:r>
    </w:p>
    <w:p w14:paraId="5D8BB263"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Rudkin, A., (2017). ‘Digital Childhood Report’. </w:t>
      </w:r>
      <w:hyperlink r:id="rId21" w:history="1">
        <w:r w:rsidRPr="00730B2B">
          <w:rPr>
            <w:rStyle w:val="Hyperlink"/>
            <w:rFonts w:ascii="Arial" w:hAnsi="Arial" w:cs="Arial"/>
            <w:sz w:val="24"/>
            <w:szCs w:val="24"/>
          </w:rPr>
          <w:t>https://5rightsfoundation.com/static/Digital_Childhood_report_-_EMBARGOED.pdf</w:t>
        </w:r>
      </w:hyperlink>
      <w:r w:rsidRPr="00730B2B">
        <w:rPr>
          <w:rFonts w:ascii="Arial" w:hAnsi="Arial" w:cs="Arial"/>
          <w:sz w:val="24"/>
          <w:szCs w:val="24"/>
        </w:rPr>
        <w:t xml:space="preserve"> [Accessed: 12</w:t>
      </w:r>
      <w:r w:rsidRPr="00730B2B">
        <w:rPr>
          <w:rFonts w:ascii="Arial" w:hAnsi="Arial" w:cs="Arial"/>
          <w:sz w:val="24"/>
          <w:szCs w:val="24"/>
          <w:vertAlign w:val="superscript"/>
        </w:rPr>
        <w:t>th</w:t>
      </w:r>
      <w:r w:rsidRPr="00730B2B">
        <w:rPr>
          <w:rFonts w:ascii="Arial" w:hAnsi="Arial" w:cs="Arial"/>
          <w:sz w:val="24"/>
          <w:szCs w:val="24"/>
        </w:rPr>
        <w:t xml:space="preserve"> May 2020]. </w:t>
      </w:r>
    </w:p>
    <w:p w14:paraId="53475CF3"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Siraj-Batchford, I. (2007) Creativity, Communication and Collaboration: The Identification of Pedagogic Progression in Sustained Shared Thinking. </w:t>
      </w:r>
      <w:hyperlink r:id="rId22" w:anchor="references" w:history="1">
        <w:r w:rsidRPr="00730B2B">
          <w:rPr>
            <w:rStyle w:val="Hyperlink"/>
            <w:rFonts w:ascii="Arial" w:hAnsi="Arial" w:cs="Arial"/>
            <w:sz w:val="24"/>
            <w:szCs w:val="24"/>
          </w:rPr>
          <w:t>https://www.semanticscholar.org/paper/Creativity%2C-Communication-and-Collaboration%3A-The-of-Siraj-Blatchford/2f3c40127230d383ab65300683c19f470eb871e9#references</w:t>
        </w:r>
      </w:hyperlink>
      <w:r w:rsidRPr="00730B2B">
        <w:rPr>
          <w:rFonts w:ascii="Arial" w:hAnsi="Arial" w:cs="Arial"/>
          <w:sz w:val="24"/>
          <w:szCs w:val="24"/>
        </w:rPr>
        <w:t xml:space="preserve"> [Accessed: 2</w:t>
      </w:r>
      <w:r w:rsidRPr="00730B2B">
        <w:rPr>
          <w:rFonts w:ascii="Arial" w:hAnsi="Arial" w:cs="Arial"/>
          <w:sz w:val="24"/>
          <w:szCs w:val="24"/>
          <w:vertAlign w:val="superscript"/>
        </w:rPr>
        <w:t>nd</w:t>
      </w:r>
      <w:r w:rsidRPr="00730B2B">
        <w:rPr>
          <w:rFonts w:ascii="Arial" w:hAnsi="Arial" w:cs="Arial"/>
          <w:sz w:val="24"/>
          <w:szCs w:val="24"/>
        </w:rPr>
        <w:t xml:space="preserve"> May 2020]. </w:t>
      </w:r>
    </w:p>
    <w:p w14:paraId="73C5C013"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Smeets, E., (2005). </w:t>
      </w:r>
      <w:r w:rsidRPr="00730B2B">
        <w:rPr>
          <w:rFonts w:ascii="Arial" w:hAnsi="Arial" w:cs="Arial"/>
          <w:i/>
          <w:iCs/>
          <w:sz w:val="24"/>
          <w:szCs w:val="24"/>
        </w:rPr>
        <w:t>Does ICT contribute to powerful learning environments in primary education?</w:t>
      </w:r>
      <w:r w:rsidRPr="00730B2B">
        <w:rPr>
          <w:rFonts w:ascii="Arial" w:hAnsi="Arial" w:cs="Arial"/>
          <w:sz w:val="24"/>
          <w:szCs w:val="24"/>
        </w:rPr>
        <w:t xml:space="preserve"> Computers and education. Vol 44, Iss 3. </w:t>
      </w:r>
    </w:p>
    <w:p w14:paraId="04668507"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Stop bullying.gov. (2020). ‘What is cyberbullying’. </w:t>
      </w:r>
      <w:hyperlink r:id="rId23" w:history="1">
        <w:r w:rsidRPr="00730B2B">
          <w:rPr>
            <w:rStyle w:val="Hyperlink"/>
            <w:rFonts w:ascii="Arial" w:hAnsi="Arial" w:cs="Arial"/>
            <w:sz w:val="24"/>
            <w:szCs w:val="24"/>
          </w:rPr>
          <w:t>https://www.stopbullying.gov/cyberbullying/what-is-it</w:t>
        </w:r>
      </w:hyperlink>
      <w:r w:rsidRPr="00730B2B">
        <w:rPr>
          <w:rFonts w:ascii="Arial" w:hAnsi="Arial" w:cs="Arial"/>
          <w:sz w:val="24"/>
          <w:szCs w:val="24"/>
        </w:rPr>
        <w:t xml:space="preserve"> [Accessed: 10</w:t>
      </w:r>
      <w:r w:rsidRPr="00730B2B">
        <w:rPr>
          <w:rFonts w:ascii="Arial" w:hAnsi="Arial" w:cs="Arial"/>
          <w:sz w:val="24"/>
          <w:szCs w:val="24"/>
          <w:vertAlign w:val="superscript"/>
        </w:rPr>
        <w:t>th</w:t>
      </w:r>
      <w:r w:rsidRPr="00730B2B">
        <w:rPr>
          <w:rFonts w:ascii="Arial" w:hAnsi="Arial" w:cs="Arial"/>
          <w:sz w:val="24"/>
          <w:szCs w:val="24"/>
        </w:rPr>
        <w:t xml:space="preserve"> May 2020]. </w:t>
      </w:r>
    </w:p>
    <w:p w14:paraId="6C0A1536"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Sun Safety for Kids. (2019) ‘Sun Protection’. </w:t>
      </w:r>
      <w:hyperlink r:id="rId24" w:history="1">
        <w:r w:rsidRPr="00730B2B">
          <w:rPr>
            <w:rStyle w:val="Hyperlink"/>
            <w:rFonts w:ascii="Arial" w:hAnsi="Arial" w:cs="Arial"/>
            <w:sz w:val="24"/>
          </w:rPr>
          <w:t>http://sunsafetyforkids.org/sunprotection/index.html?fbclid=IwAR0TN3Vh0NPp63nPJV2C7bIAkh9hMPJjdRKCV90VFSMdBuwbxPY4mJqm3p8</w:t>
        </w:r>
      </w:hyperlink>
      <w:r w:rsidRPr="00730B2B">
        <w:rPr>
          <w:rFonts w:ascii="Arial" w:hAnsi="Arial" w:cs="Arial"/>
          <w:sz w:val="24"/>
        </w:rPr>
        <w:t xml:space="preserve"> [Accessed: 8</w:t>
      </w:r>
      <w:r w:rsidRPr="00730B2B">
        <w:rPr>
          <w:rFonts w:ascii="Arial" w:hAnsi="Arial" w:cs="Arial"/>
          <w:sz w:val="24"/>
          <w:vertAlign w:val="superscript"/>
        </w:rPr>
        <w:t>th</w:t>
      </w:r>
      <w:r w:rsidRPr="00730B2B">
        <w:rPr>
          <w:rFonts w:ascii="Arial" w:hAnsi="Arial" w:cs="Arial"/>
          <w:sz w:val="24"/>
        </w:rPr>
        <w:t xml:space="preserve"> May 2020].</w:t>
      </w:r>
    </w:p>
    <w:p w14:paraId="59DCB73F"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The National Strategies Early Years. (2009). ‘Learning, Playing and Interacting’. </w:t>
      </w:r>
      <w:hyperlink r:id="rId25" w:history="1">
        <w:r w:rsidRPr="00730B2B">
          <w:rPr>
            <w:rStyle w:val="Hyperlink"/>
            <w:rFonts w:ascii="Arial" w:hAnsi="Arial" w:cs="Arial"/>
            <w:sz w:val="24"/>
            <w:szCs w:val="24"/>
          </w:rPr>
          <w:t>https://www.keap.org.uk/documents/LearningPlayingInteracting.pdf?fbclid=IwAR2l7O2STP_9os9guSnVuuk9MQHeHVAg5w3ND0wxzaauXHIogkpRjzzhioM</w:t>
        </w:r>
      </w:hyperlink>
      <w:r w:rsidRPr="00730B2B">
        <w:rPr>
          <w:rFonts w:ascii="Arial" w:hAnsi="Arial" w:cs="Arial"/>
          <w:sz w:val="24"/>
          <w:szCs w:val="24"/>
        </w:rPr>
        <w:t xml:space="preserve"> [Accessed: 8</w:t>
      </w:r>
      <w:r w:rsidRPr="00730B2B">
        <w:rPr>
          <w:rFonts w:ascii="Arial" w:hAnsi="Arial" w:cs="Arial"/>
          <w:sz w:val="24"/>
          <w:szCs w:val="24"/>
          <w:vertAlign w:val="superscript"/>
        </w:rPr>
        <w:t>th</w:t>
      </w:r>
      <w:r w:rsidRPr="00730B2B">
        <w:rPr>
          <w:rFonts w:ascii="Arial" w:hAnsi="Arial" w:cs="Arial"/>
          <w:sz w:val="24"/>
          <w:szCs w:val="24"/>
        </w:rPr>
        <w:t xml:space="preserve"> May 2020].</w:t>
      </w:r>
    </w:p>
    <w:p w14:paraId="036EC4D5"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Thornthwaite, C., (2017) </w:t>
      </w:r>
      <w:r w:rsidRPr="00730B2B">
        <w:rPr>
          <w:rFonts w:ascii="Arial" w:hAnsi="Arial" w:cs="Arial"/>
          <w:i/>
          <w:iCs/>
          <w:sz w:val="24"/>
          <w:szCs w:val="24"/>
        </w:rPr>
        <w:t>Not a Toy, But a Tool.</w:t>
      </w:r>
      <w:r w:rsidRPr="00730B2B">
        <w:rPr>
          <w:rFonts w:ascii="Arial" w:hAnsi="Arial" w:cs="Arial"/>
          <w:sz w:val="24"/>
          <w:szCs w:val="24"/>
        </w:rPr>
        <w:t xml:space="preserve"> Rowman and Littlefield Publication: New York. </w:t>
      </w:r>
    </w:p>
    <w:p w14:paraId="4B81C3CB"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lastRenderedPageBreak/>
        <w:t xml:space="preserve">Toit, J, D., (2015). ‘Teacher Training and Usage of ICT in Education’. United Nations: Institute and Statistics. </w:t>
      </w:r>
    </w:p>
    <w:p w14:paraId="4C412739"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Unser, C, E., (2017) A study the Positives and Negatives of Using Technology in the Classroom. Long Island University: Department of Education. </w:t>
      </w:r>
    </w:p>
    <w:p w14:paraId="7A8AA5CC"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color w:val="000000"/>
          <w:sz w:val="26"/>
          <w:szCs w:val="26"/>
          <w:shd w:val="clear" w:color="auto" w:fill="FFFFFF"/>
        </w:rPr>
        <w:t>Vygotsky, L. S. (1978). </w:t>
      </w:r>
      <w:r w:rsidRPr="00730B2B">
        <w:rPr>
          <w:rStyle w:val="Emphasis"/>
          <w:rFonts w:ascii="Arial" w:hAnsi="Arial" w:cs="Arial"/>
          <w:color w:val="000000"/>
          <w:sz w:val="26"/>
          <w:szCs w:val="26"/>
          <w:shd w:val="clear" w:color="auto" w:fill="FFFFFF"/>
        </w:rPr>
        <w:t>Mind in society: The development of higher psychological processes</w:t>
      </w:r>
      <w:r w:rsidRPr="00730B2B">
        <w:rPr>
          <w:rFonts w:ascii="Arial" w:hAnsi="Arial" w:cs="Arial"/>
          <w:color w:val="000000"/>
          <w:sz w:val="26"/>
          <w:szCs w:val="26"/>
          <w:shd w:val="clear" w:color="auto" w:fill="FFFFFF"/>
        </w:rPr>
        <w:t>. Cambridge, MA: Harvard University Press.</w:t>
      </w:r>
    </w:p>
    <w:p w14:paraId="3407791F"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color w:val="000000"/>
          <w:sz w:val="24"/>
          <w:szCs w:val="24"/>
          <w:shd w:val="clear" w:color="auto" w:fill="FFFFFF"/>
        </w:rPr>
        <w:t>Vygotsky, L. S. (1987). Thinking and speech. In R.W. Rieber &amp; A.S. Carton (Eds.), </w:t>
      </w:r>
      <w:r w:rsidRPr="00730B2B">
        <w:rPr>
          <w:rStyle w:val="Emphasis"/>
          <w:rFonts w:ascii="Arial" w:hAnsi="Arial" w:cs="Arial"/>
          <w:color w:val="000000"/>
          <w:sz w:val="24"/>
          <w:szCs w:val="24"/>
          <w:shd w:val="clear" w:color="auto" w:fill="FFFFFF"/>
        </w:rPr>
        <w:t>The collected works of L.S. Vygotsky, Volume 1: Problems of general psychology (pp. 39–285)</w:t>
      </w:r>
      <w:r w:rsidRPr="00730B2B">
        <w:rPr>
          <w:rFonts w:ascii="Arial" w:hAnsi="Arial" w:cs="Arial"/>
          <w:color w:val="000000"/>
          <w:sz w:val="24"/>
          <w:szCs w:val="24"/>
          <w:shd w:val="clear" w:color="auto" w:fill="FFFFFF"/>
        </w:rPr>
        <w:t>. New York: Plenum Press. (Original work published 1934.)</w:t>
      </w:r>
    </w:p>
    <w:p w14:paraId="1DBE7766"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Welsh Government (2008). </w:t>
      </w:r>
      <w:r w:rsidRPr="00730B2B">
        <w:rPr>
          <w:rFonts w:ascii="Arial" w:hAnsi="Arial" w:cs="Arial"/>
          <w:i/>
          <w:iCs/>
          <w:sz w:val="24"/>
        </w:rPr>
        <w:t xml:space="preserve">Digital Competence Framework: Curriculum for Wales 2008 Version. </w:t>
      </w:r>
      <w:r w:rsidRPr="00730B2B">
        <w:rPr>
          <w:rFonts w:ascii="Arial" w:hAnsi="Arial" w:cs="Arial"/>
          <w:sz w:val="24"/>
        </w:rPr>
        <w:t>Cardiff: Welsh Government.</w:t>
      </w:r>
    </w:p>
    <w:p w14:paraId="2EF7556E" w14:textId="77777777" w:rsidR="00C47B45" w:rsidRPr="00730B2B" w:rsidRDefault="00C47B45" w:rsidP="001F189A">
      <w:pPr>
        <w:spacing w:line="360" w:lineRule="auto"/>
        <w:ind w:left="360"/>
        <w:jc w:val="both"/>
        <w:rPr>
          <w:rFonts w:ascii="Arial" w:hAnsi="Arial" w:cs="Arial"/>
          <w:sz w:val="24"/>
        </w:rPr>
      </w:pPr>
      <w:r w:rsidRPr="00730B2B">
        <w:rPr>
          <w:rFonts w:ascii="Arial" w:hAnsi="Arial" w:cs="Arial"/>
          <w:sz w:val="24"/>
        </w:rPr>
        <w:t xml:space="preserve">Welsh Government (2015) </w:t>
      </w:r>
      <w:r w:rsidRPr="00730B2B">
        <w:rPr>
          <w:rFonts w:ascii="Arial" w:hAnsi="Arial" w:cs="Arial"/>
          <w:i/>
          <w:sz w:val="24"/>
        </w:rPr>
        <w:t>Foundation Phase Framework.</w:t>
      </w:r>
      <w:r w:rsidRPr="00730B2B">
        <w:rPr>
          <w:rFonts w:ascii="Arial" w:hAnsi="Arial" w:cs="Arial"/>
          <w:sz w:val="24"/>
        </w:rPr>
        <w:t xml:space="preserve"> Cardiff: Department for Education and Skills.</w:t>
      </w:r>
    </w:p>
    <w:p w14:paraId="61951A7A" w14:textId="77777777" w:rsidR="00C47B45" w:rsidRPr="00730B2B" w:rsidRDefault="00C47B45" w:rsidP="001F189A">
      <w:pPr>
        <w:spacing w:line="360" w:lineRule="auto"/>
        <w:ind w:left="360"/>
        <w:jc w:val="both"/>
        <w:rPr>
          <w:rFonts w:ascii="Arial" w:hAnsi="Arial" w:cs="Arial"/>
          <w:sz w:val="24"/>
          <w:szCs w:val="24"/>
        </w:rPr>
      </w:pPr>
      <w:r w:rsidRPr="00730B2B">
        <w:rPr>
          <w:rFonts w:ascii="Arial" w:hAnsi="Arial" w:cs="Arial"/>
          <w:sz w:val="24"/>
          <w:szCs w:val="24"/>
        </w:rPr>
        <w:t xml:space="preserve">Yelland, N. J. (2018). </w:t>
      </w:r>
      <w:r w:rsidRPr="00730B2B">
        <w:rPr>
          <w:rFonts w:ascii="Arial" w:hAnsi="Arial" w:cs="Arial"/>
          <w:i/>
          <w:iCs/>
          <w:sz w:val="24"/>
          <w:szCs w:val="24"/>
        </w:rPr>
        <w:t>Shift to the future: rethinking learning with new technologies in education</w:t>
      </w:r>
      <w:r w:rsidRPr="00730B2B">
        <w:rPr>
          <w:rFonts w:ascii="Arial" w:hAnsi="Arial" w:cs="Arial"/>
          <w:sz w:val="24"/>
          <w:szCs w:val="24"/>
        </w:rPr>
        <w:t>. New York: Routledge.</w:t>
      </w:r>
    </w:p>
    <w:p w14:paraId="047FA0C4" w14:textId="77777777" w:rsidR="00F36BB4" w:rsidRPr="00F36BB4" w:rsidRDefault="00F36BB4" w:rsidP="00B027E3">
      <w:pPr>
        <w:spacing w:line="360" w:lineRule="auto"/>
        <w:rPr>
          <w:rFonts w:ascii="Arial" w:hAnsi="Arial" w:cs="Arial"/>
          <w:sz w:val="24"/>
          <w:szCs w:val="24"/>
        </w:rPr>
      </w:pPr>
    </w:p>
    <w:sectPr w:rsidR="00F36BB4" w:rsidRPr="00F36BB4" w:rsidSect="00AA23E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21840" w14:textId="77777777" w:rsidR="005C2781" w:rsidRDefault="005C2781" w:rsidP="005C2781">
      <w:pPr>
        <w:spacing w:after="0" w:line="240" w:lineRule="auto"/>
      </w:pPr>
      <w:r>
        <w:separator/>
      </w:r>
    </w:p>
  </w:endnote>
  <w:endnote w:type="continuationSeparator" w:id="0">
    <w:p w14:paraId="21E911FC" w14:textId="77777777" w:rsidR="005C2781" w:rsidRDefault="005C2781" w:rsidP="005C2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0340997"/>
      <w:docPartObj>
        <w:docPartGallery w:val="Page Numbers (Bottom of Page)"/>
        <w:docPartUnique/>
      </w:docPartObj>
    </w:sdtPr>
    <w:sdtEndPr>
      <w:rPr>
        <w:noProof/>
      </w:rPr>
    </w:sdtEndPr>
    <w:sdtContent>
      <w:p w14:paraId="04A97022" w14:textId="66F9B49D" w:rsidR="005C2781" w:rsidRDefault="005C27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6F05B8" w14:textId="77777777" w:rsidR="005C2781" w:rsidRDefault="005C2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E7935" w14:textId="77777777" w:rsidR="005C2781" w:rsidRDefault="005C2781" w:rsidP="005C2781">
      <w:pPr>
        <w:spacing w:after="0" w:line="240" w:lineRule="auto"/>
      </w:pPr>
      <w:r>
        <w:separator/>
      </w:r>
    </w:p>
  </w:footnote>
  <w:footnote w:type="continuationSeparator" w:id="0">
    <w:p w14:paraId="19AF3470" w14:textId="77777777" w:rsidR="005C2781" w:rsidRDefault="005C2781" w:rsidP="005C2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B443D" w14:textId="59222184" w:rsidR="005C2781" w:rsidRDefault="005C2781">
    <w:pPr>
      <w:pStyle w:val="Header"/>
    </w:pPr>
    <w:r>
      <w:t>1700424</w:t>
    </w:r>
    <w:r>
      <w:ptab w:relativeTo="margin" w:alignment="center" w:leader="none"/>
    </w:r>
    <w:r>
      <w:ptab w:relativeTo="margin" w:alignment="right" w:leader="none"/>
    </w:r>
    <w:r>
      <w:t>EAEE6006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DA20F3"/>
    <w:multiLevelType w:val="hybridMultilevel"/>
    <w:tmpl w:val="A58EA3D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781"/>
    <w:rsid w:val="00011267"/>
    <w:rsid w:val="000A24B0"/>
    <w:rsid w:val="001F189A"/>
    <w:rsid w:val="00231118"/>
    <w:rsid w:val="0028651A"/>
    <w:rsid w:val="00417183"/>
    <w:rsid w:val="004E3CEF"/>
    <w:rsid w:val="005A6C76"/>
    <w:rsid w:val="005C2781"/>
    <w:rsid w:val="00615E28"/>
    <w:rsid w:val="00627C58"/>
    <w:rsid w:val="007D0B32"/>
    <w:rsid w:val="007E08E1"/>
    <w:rsid w:val="00863DD1"/>
    <w:rsid w:val="008E1CE7"/>
    <w:rsid w:val="00964C98"/>
    <w:rsid w:val="009B68E0"/>
    <w:rsid w:val="009D1E71"/>
    <w:rsid w:val="00A60A04"/>
    <w:rsid w:val="00A96AD9"/>
    <w:rsid w:val="00AA23E4"/>
    <w:rsid w:val="00B027E3"/>
    <w:rsid w:val="00B11F19"/>
    <w:rsid w:val="00B23867"/>
    <w:rsid w:val="00BA7F98"/>
    <w:rsid w:val="00BB533A"/>
    <w:rsid w:val="00BF33E5"/>
    <w:rsid w:val="00C47B45"/>
    <w:rsid w:val="00C978B6"/>
    <w:rsid w:val="00D07398"/>
    <w:rsid w:val="00E3696F"/>
    <w:rsid w:val="00E85937"/>
    <w:rsid w:val="00E87863"/>
    <w:rsid w:val="00EC515F"/>
    <w:rsid w:val="00F36BB4"/>
    <w:rsid w:val="00FC0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8E36BC"/>
  <w15:chartTrackingRefBased/>
  <w15:docId w15:val="{FFD5EFD6-271A-45CF-93CD-97EC7FD99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2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781"/>
  </w:style>
  <w:style w:type="paragraph" w:styleId="Footer">
    <w:name w:val="footer"/>
    <w:basedOn w:val="Normal"/>
    <w:link w:val="FooterChar"/>
    <w:uiPriority w:val="99"/>
    <w:unhideWhenUsed/>
    <w:rsid w:val="005C2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781"/>
  </w:style>
  <w:style w:type="table" w:styleId="TableGrid">
    <w:name w:val="Table Grid"/>
    <w:basedOn w:val="TableNormal"/>
    <w:uiPriority w:val="39"/>
    <w:rsid w:val="005C27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47B45"/>
    <w:rPr>
      <w:i/>
      <w:iCs/>
    </w:rPr>
  </w:style>
  <w:style w:type="character" w:styleId="Hyperlink">
    <w:name w:val="Hyperlink"/>
    <w:basedOn w:val="DefaultParagraphFont"/>
    <w:uiPriority w:val="99"/>
    <w:unhideWhenUsed/>
    <w:rsid w:val="00C47B45"/>
    <w:rPr>
      <w:color w:val="0563C1" w:themeColor="hyperlink"/>
      <w:u w:val="single"/>
    </w:rPr>
  </w:style>
  <w:style w:type="paragraph" w:styleId="ListParagraph">
    <w:name w:val="List Paragraph"/>
    <w:basedOn w:val="Normal"/>
    <w:uiPriority w:val="34"/>
    <w:qFormat/>
    <w:rsid w:val="00BA7F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businessdictionary.com/definition/media.html" TargetMode="External"/><Relationship Id="rId18" Type="http://schemas.openxmlformats.org/officeDocument/2006/relationships/hyperlink" Target="https://www.nspcc.org.uk/keeping-children-safe/online-safety/talking-child-online-safe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5rightsfoundation.com/static/Digital_Childhood_report_-_EMBARGOED.pdf" TargetMode="External"/><Relationship Id="rId7" Type="http://schemas.openxmlformats.org/officeDocument/2006/relationships/header" Target="header1.xml"/><Relationship Id="rId12" Type="http://schemas.openxmlformats.org/officeDocument/2006/relationships/hyperlink" Target="https://home.bt.com/tech-gadgets/internet/broadband/stay-safe-with-bt-parental-controls-11363887238413" TargetMode="External"/><Relationship Id="rId17" Type="http://schemas.openxmlformats.org/officeDocument/2006/relationships/hyperlink" Target="https://learning.nspcc.org.uk/research-resources/briefings/recommended-adult-child-ratios-working-with-children/?fbclid=IwAR2H31FPc8wMJJUvlb4c42zUmApMNlDZqEkSFKk0IIbs71osMbVEPp8TtVQ" TargetMode="External"/><Relationship Id="rId25" Type="http://schemas.openxmlformats.org/officeDocument/2006/relationships/hyperlink" Target="https://www.keap.org.uk/documents/LearningPlayingInteracting.pdf?fbclid=IwAR2l7O2STP_9os9guSnVuuk9MQHeHVAg5w3ND0wxzaauXHIogkpRjzzhioM" TargetMode="External"/><Relationship Id="rId2" Type="http://schemas.openxmlformats.org/officeDocument/2006/relationships/styles" Target="styles.xml"/><Relationship Id="rId16" Type="http://schemas.openxmlformats.org/officeDocument/2006/relationships/hyperlink" Target="https://www.internetmatters.org/advice/0-5/" TargetMode="External"/><Relationship Id="rId20" Type="http://schemas.openxmlformats.org/officeDocument/2006/relationships/hyperlink" Target="https://www.playfulchildhoods.wales/Handlers/Download.ashx?IDMF=c7eaffe4-f252-4bd9-b0d7-a67cb5d1e0e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unsafetyforkids.org/sunprotection/index.html?fbclid=IwAR0TN3Vh0NPp63nPJV2C7bIAkh9hMPJjdRKCV90VFSMdBuwbxPY4mJqm3p8" TargetMode="External"/><Relationship Id="rId5" Type="http://schemas.openxmlformats.org/officeDocument/2006/relationships/footnotes" Target="footnotes.xml"/><Relationship Id="rId15" Type="http://schemas.openxmlformats.org/officeDocument/2006/relationships/hyperlink" Target="https://www.edweek.org/ew/articles/2016/11/09/what-is-digital-literacy.html" TargetMode="External"/><Relationship Id="rId23" Type="http://schemas.openxmlformats.org/officeDocument/2006/relationships/hyperlink" Target="https://www.stopbullying.gov/cyberbullying/what-is-it" TargetMode="External"/><Relationship Id="rId10" Type="http://schemas.microsoft.com/office/2007/relationships/hdphoto" Target="media/hdphoto1.wdp"/><Relationship Id="rId19" Type="http://schemas.openxmlformats.org/officeDocument/2006/relationships/hyperlink" Target="https://www.carnegieuktrust.org.uk/blog/reducing-harm-social-media-duty-care/?gclid=Cj0KCQjwzN71BRCOARIsAF8pjfiAH72Ia0lv7rhEEhpgozEdiJhaaBNznB8l_WCIYlUTm1eNoSocyTUaAkMUEALw_wcB"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familylives.org.uk/advice/early-years-development/learning-and-play/why-play-matters/?fbclid=IwAR0FEs67us1t8h7Yy8i0e2-2_mbylZrbXjmEM3EdEB1DvEpDOH9CrCcWnjw" TargetMode="External"/><Relationship Id="rId22" Type="http://schemas.openxmlformats.org/officeDocument/2006/relationships/hyperlink" Target="https://www.semanticscholar.org/paper/Creativity%2C-Communication-and-Collaboration%3A-The-of-Siraj-Blatchford/2f3c40127230d383ab65300683c19f470eb871e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19</Pages>
  <Words>5552</Words>
  <Characters>31653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Morris</dc:creator>
  <cp:keywords/>
  <dc:description/>
  <cp:lastModifiedBy>Sophie Morris</cp:lastModifiedBy>
  <cp:revision>34</cp:revision>
  <dcterms:created xsi:type="dcterms:W3CDTF">2020-05-10T16:39:00Z</dcterms:created>
  <dcterms:modified xsi:type="dcterms:W3CDTF">2020-05-12T16:35:00Z</dcterms:modified>
</cp:coreProperties>
</file>