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C221995" w14:textId="1512B006" w:rsidR="006B6E99" w:rsidRDefault="00C0609F">
      <w:pPr>
        <w:rPr>
          <w:rFonts w:ascii="Arial" w:hAnsi="Arial" w:cs="Arial"/>
        </w:rPr>
      </w:pPr>
      <w:r>
        <w:rPr>
          <w:rFonts w:ascii="Arial" w:hAnsi="Arial" w:cs="Arial"/>
        </w:rPr>
        <w:t>Name: Oyinkansola Jacobs</w:t>
      </w:r>
    </w:p>
    <w:p w14:paraId="1DDB6783" w14:textId="20A03C51" w:rsidR="00C0609F" w:rsidRDefault="0061221C">
      <w:pPr>
        <w:rPr>
          <w:rFonts w:ascii="Arial" w:hAnsi="Arial" w:cs="Arial"/>
        </w:rPr>
      </w:pPr>
      <w:r>
        <w:rPr>
          <w:rFonts w:ascii="Arial" w:hAnsi="Arial" w:cs="Arial"/>
        </w:rPr>
        <w:t xml:space="preserve">Module: </w:t>
      </w:r>
      <w:r w:rsidR="00FB3D75" w:rsidRPr="00FB3D75">
        <w:rPr>
          <w:rFonts w:ascii="Arial" w:hAnsi="Arial" w:cs="Arial"/>
        </w:rPr>
        <w:t>Psychology in Health and Social Care</w:t>
      </w:r>
    </w:p>
    <w:p w14:paraId="3316B2C4" w14:textId="609D6BE5" w:rsidR="0061221C" w:rsidRDefault="0061221C">
      <w:pPr>
        <w:rPr>
          <w:rFonts w:ascii="Arial" w:hAnsi="Arial" w:cs="Arial"/>
        </w:rPr>
      </w:pPr>
      <w:r>
        <w:rPr>
          <w:rFonts w:ascii="Arial" w:hAnsi="Arial" w:cs="Arial"/>
        </w:rPr>
        <w:t>Module code:</w:t>
      </w:r>
      <w:r w:rsidR="00FB3D75" w:rsidRPr="00FB3D75">
        <w:rPr>
          <w:rFonts w:ascii="Arial" w:hAnsi="Arial" w:cs="Arial"/>
        </w:rPr>
        <w:t xml:space="preserve"> LCHS4010</w:t>
      </w:r>
    </w:p>
    <w:p w14:paraId="230B13EB" w14:textId="5EB684CC" w:rsidR="0061221C" w:rsidRDefault="0061221C">
      <w:pPr>
        <w:rPr>
          <w:rFonts w:ascii="Arial" w:hAnsi="Arial" w:cs="Arial"/>
        </w:rPr>
      </w:pPr>
      <w:r>
        <w:rPr>
          <w:rFonts w:ascii="Arial" w:hAnsi="Arial" w:cs="Arial"/>
        </w:rPr>
        <w:t>Lecturer</w:t>
      </w:r>
      <w:r w:rsidR="00BA1B3C">
        <w:rPr>
          <w:rFonts w:ascii="Arial" w:hAnsi="Arial" w:cs="Arial"/>
        </w:rPr>
        <w:t>’s Name:</w:t>
      </w:r>
      <w:r w:rsidR="00FB3D75">
        <w:rPr>
          <w:rFonts w:ascii="Arial" w:hAnsi="Arial" w:cs="Arial"/>
        </w:rPr>
        <w:t xml:space="preserve"> Shepherd Ziko</w:t>
      </w:r>
    </w:p>
    <w:p w14:paraId="31C8B963" w14:textId="20F250FC" w:rsidR="00BA1B3C" w:rsidRDefault="00BA1B3C">
      <w:pPr>
        <w:rPr>
          <w:rFonts w:ascii="Arial" w:hAnsi="Arial" w:cs="Arial"/>
        </w:rPr>
      </w:pPr>
      <w:r>
        <w:rPr>
          <w:rFonts w:ascii="Arial" w:hAnsi="Arial" w:cs="Arial"/>
        </w:rPr>
        <w:t>Student ID:</w:t>
      </w:r>
      <w:r w:rsidR="00FB3D75">
        <w:rPr>
          <w:rFonts w:ascii="Arial" w:hAnsi="Arial" w:cs="Arial"/>
        </w:rPr>
        <w:t xml:space="preserve"> 243</w:t>
      </w:r>
      <w:r w:rsidR="00410EB3">
        <w:rPr>
          <w:rFonts w:ascii="Arial" w:hAnsi="Arial" w:cs="Arial"/>
        </w:rPr>
        <w:t>9</w:t>
      </w:r>
      <w:r w:rsidR="00723034">
        <w:rPr>
          <w:rFonts w:ascii="Arial" w:hAnsi="Arial" w:cs="Arial"/>
        </w:rPr>
        <w:t>186</w:t>
      </w:r>
      <w:r w:rsidR="00410EB3">
        <w:rPr>
          <w:rFonts w:ascii="Arial" w:hAnsi="Arial" w:cs="Arial"/>
        </w:rPr>
        <w:t xml:space="preserve"> </w:t>
      </w:r>
    </w:p>
    <w:p w14:paraId="691D330F" w14:textId="7A6C4DFB" w:rsidR="00BA1B3C" w:rsidRDefault="0064078C">
      <w:pPr>
        <w:rPr>
          <w:rFonts w:ascii="Arial" w:hAnsi="Arial" w:cs="Arial"/>
          <w:u w:val="single"/>
        </w:rPr>
      </w:pPr>
      <w:r>
        <w:rPr>
          <w:rFonts w:ascii="Arial" w:hAnsi="Arial" w:cs="Arial"/>
        </w:rPr>
        <w:t xml:space="preserve">                                        </w:t>
      </w:r>
      <w:r w:rsidRPr="00303F33">
        <w:rPr>
          <w:rFonts w:ascii="Arial" w:hAnsi="Arial" w:cs="Arial"/>
          <w:u w:val="single"/>
        </w:rPr>
        <w:t>Ack</w:t>
      </w:r>
      <w:r w:rsidR="00303F33" w:rsidRPr="00303F33">
        <w:rPr>
          <w:rFonts w:ascii="Arial" w:hAnsi="Arial" w:cs="Arial"/>
          <w:u w:val="single"/>
        </w:rPr>
        <w:t>nowledgement of use of AI</w:t>
      </w:r>
    </w:p>
    <w:p w14:paraId="04DD953B" w14:textId="53CB58BF" w:rsidR="00C36C62" w:rsidRPr="00303F33" w:rsidRDefault="00C36C62">
      <w:pPr>
        <w:rPr>
          <w:rFonts w:ascii="Arial" w:hAnsi="Arial" w:cs="Arial"/>
        </w:rPr>
      </w:pPr>
      <w:r>
        <w:rPr>
          <w:rFonts w:ascii="Arial" w:hAnsi="Arial" w:cs="Arial"/>
        </w:rPr>
        <w:t xml:space="preserve">               </w:t>
      </w:r>
      <w:r w:rsidR="00C43662">
        <w:rPr>
          <w:rFonts w:ascii="Arial" w:hAnsi="Arial" w:cs="Arial"/>
        </w:rPr>
        <w:t xml:space="preserve">           </w:t>
      </w:r>
      <w:r>
        <w:rPr>
          <w:rFonts w:ascii="Arial" w:hAnsi="Arial" w:cs="Arial"/>
        </w:rPr>
        <w:t xml:space="preserve">    No Form or AI was used in </w:t>
      </w:r>
      <w:r w:rsidR="00B526E0">
        <w:rPr>
          <w:rFonts w:ascii="Arial" w:hAnsi="Arial" w:cs="Arial"/>
        </w:rPr>
        <w:t xml:space="preserve">this </w:t>
      </w:r>
      <w:r w:rsidR="00C43662">
        <w:rPr>
          <w:rFonts w:ascii="Arial" w:hAnsi="Arial" w:cs="Arial"/>
        </w:rPr>
        <w:t>assessment</w:t>
      </w:r>
    </w:p>
    <w:p w14:paraId="350FC07C" w14:textId="77777777" w:rsidR="00C43662" w:rsidRDefault="00C43662">
      <w:pPr>
        <w:rPr>
          <w:rFonts w:ascii="Arial" w:hAnsi="Arial" w:cs="Arial"/>
        </w:rPr>
      </w:pPr>
    </w:p>
    <w:p w14:paraId="2617B9A9" w14:textId="77777777" w:rsidR="00C43662" w:rsidRDefault="00C43662">
      <w:pPr>
        <w:rPr>
          <w:rFonts w:ascii="Arial" w:hAnsi="Arial" w:cs="Arial"/>
        </w:rPr>
      </w:pPr>
    </w:p>
    <w:p w14:paraId="14B236AA" w14:textId="77777777" w:rsidR="00C43662" w:rsidRDefault="00C43662">
      <w:pPr>
        <w:rPr>
          <w:rFonts w:ascii="Arial" w:hAnsi="Arial" w:cs="Arial"/>
        </w:rPr>
      </w:pPr>
    </w:p>
    <w:p w14:paraId="02B7BD07" w14:textId="773A5A96" w:rsidR="009166D6" w:rsidRDefault="00582E1B">
      <w:pPr>
        <w:rPr>
          <w:rFonts w:ascii="Arial" w:hAnsi="Arial" w:cs="Arial"/>
        </w:rPr>
      </w:pPr>
      <w:r w:rsidRPr="00582E1B">
        <w:rPr>
          <w:rFonts w:ascii="Arial" w:hAnsi="Arial" w:cs="Arial"/>
        </w:rPr>
        <w:t>Part A</w:t>
      </w:r>
    </w:p>
    <w:p w14:paraId="78B3FBC3" w14:textId="3EB35F53" w:rsidR="00FF2EB3" w:rsidRPr="00582E1B" w:rsidRDefault="00FF2EB3">
      <w:pPr>
        <w:rPr>
          <w:rFonts w:ascii="Arial" w:hAnsi="Arial" w:cs="Arial"/>
        </w:rPr>
      </w:pPr>
      <w:r w:rsidRPr="00FF2EB3">
        <w:rPr>
          <w:rFonts w:ascii="Arial" w:hAnsi="Arial" w:cs="Arial"/>
          <w:u w:val="single"/>
        </w:rPr>
        <w:t>Theory used:</w:t>
      </w:r>
      <w:r>
        <w:rPr>
          <w:rFonts w:ascii="Arial" w:hAnsi="Arial" w:cs="Arial"/>
        </w:rPr>
        <w:t xml:space="preserve"> John Bowlby</w:t>
      </w:r>
    </w:p>
    <w:p w14:paraId="5EE4F1D3" w14:textId="77777777" w:rsidR="00582E1B" w:rsidRDefault="00582E1B">
      <w:pPr>
        <w:rPr>
          <w:rFonts w:ascii="Arial" w:hAnsi="Arial" w:cs="Arial"/>
        </w:rPr>
      </w:pPr>
      <w:r w:rsidRPr="00582E1B">
        <w:rPr>
          <w:rFonts w:ascii="Arial" w:hAnsi="Arial" w:cs="Arial"/>
          <w:u w:val="single"/>
        </w:rPr>
        <w:t>Source 1</w:t>
      </w:r>
      <w:r w:rsidRPr="00582E1B">
        <w:rPr>
          <w:rFonts w:ascii="Arial" w:hAnsi="Arial" w:cs="Arial"/>
        </w:rPr>
        <w:t xml:space="preserve"> </w:t>
      </w:r>
    </w:p>
    <w:p w14:paraId="71CA2F07" w14:textId="1C936DB8" w:rsidR="00582E1B" w:rsidRPr="00582E1B" w:rsidRDefault="00582E1B">
      <w:pPr>
        <w:rPr>
          <w:rFonts w:ascii="Arial" w:hAnsi="Arial" w:cs="Arial"/>
        </w:rPr>
      </w:pPr>
      <w:r w:rsidRPr="00582E1B">
        <w:rPr>
          <w:rFonts w:ascii="Arial" w:hAnsi="Arial" w:cs="Arial"/>
        </w:rPr>
        <w:t>Attachment theory and John Bowlby: Some reflections,” Attachment &amp; human development</w:t>
      </w:r>
    </w:p>
    <w:p w14:paraId="13A56279" w14:textId="23FCC5BC" w:rsidR="00582E1B" w:rsidRDefault="00582E1B">
      <w:pPr>
        <w:rPr>
          <w:rFonts w:ascii="Arial" w:hAnsi="Arial" w:cs="Arial"/>
        </w:rPr>
      </w:pPr>
      <w:r w:rsidRPr="00582E1B">
        <w:rPr>
          <w:rFonts w:ascii="Arial" w:hAnsi="Arial" w:cs="Arial"/>
          <w:u w:val="single"/>
        </w:rPr>
        <w:t>Reference</w:t>
      </w:r>
      <w:r w:rsidRPr="00582E1B">
        <w:rPr>
          <w:rFonts w:ascii="Arial" w:hAnsi="Arial" w:cs="Arial"/>
        </w:rPr>
        <w:t xml:space="preserve">:  Stevenson-Hinde, J. (2007) “Attachment theory and John Bowlby: Some reflections,” Attachment &amp; human development, 9(4), pp. 337–342. Available at: </w:t>
      </w:r>
      <w:hyperlink r:id="rId5" w:history="1">
        <w:r w:rsidRPr="007C7508">
          <w:rPr>
            <w:rStyle w:val="Hyperlink"/>
            <w:rFonts w:ascii="Arial" w:hAnsi="Arial" w:cs="Arial"/>
          </w:rPr>
          <w:t>https://doi.org/10.1080/14616730701711540</w:t>
        </w:r>
      </w:hyperlink>
      <w:r w:rsidRPr="00582E1B">
        <w:rPr>
          <w:rFonts w:ascii="Arial" w:hAnsi="Arial" w:cs="Arial"/>
        </w:rPr>
        <w:t>.</w:t>
      </w:r>
      <w:r>
        <w:rPr>
          <w:rFonts w:ascii="Arial" w:hAnsi="Arial" w:cs="Arial"/>
        </w:rPr>
        <w:t xml:space="preserve"> </w:t>
      </w:r>
    </w:p>
    <w:p w14:paraId="69718F23" w14:textId="21A6F1B5" w:rsidR="00582E1B" w:rsidRDefault="00582E1B">
      <w:pPr>
        <w:rPr>
          <w:rFonts w:ascii="Arial" w:hAnsi="Arial" w:cs="Arial"/>
          <w:u w:val="single"/>
        </w:rPr>
      </w:pPr>
      <w:r w:rsidRPr="00582E1B">
        <w:rPr>
          <w:rFonts w:ascii="Arial" w:hAnsi="Arial" w:cs="Arial"/>
          <w:u w:val="single"/>
        </w:rPr>
        <w:t>Summary</w:t>
      </w:r>
    </w:p>
    <w:p w14:paraId="6E85993F" w14:textId="7BA71153" w:rsidR="00582E1B" w:rsidRDefault="00582E1B">
      <w:pPr>
        <w:rPr>
          <w:rFonts w:ascii="Arial" w:hAnsi="Arial" w:cs="Arial"/>
        </w:rPr>
      </w:pPr>
      <w:r w:rsidRPr="00582E1B">
        <w:rPr>
          <w:rFonts w:ascii="Arial" w:hAnsi="Arial" w:cs="Arial"/>
        </w:rPr>
        <w:t>Stevenson-Hinde (2007) offers a favourable assessment of John Bowlby's attachment theory, emphasising its enduring impact on developmental psychology. According to the article, Bowlby's work was groundbreaking in its integration of psychological theory with biology, especially ethology, to enhance comprehension of infant development. It commends him for using actual observations of kids and carers to bolster the theory's empirical applicability. Additionally, Stevenson-Hinde highlights Bowlby's theory of attachment as an evolutionary survival strategy, deepening understanding of early emotional ties. Bowlby is also praised for modifying his theories in light of fresh information. In general, the idea is said to be fundamental and still quite applicable today (Stevenson-Hinde, 2007).</w:t>
      </w:r>
    </w:p>
    <w:p w14:paraId="02DDCAB8" w14:textId="77777777" w:rsidR="00582E1B" w:rsidRPr="00582E1B" w:rsidRDefault="00582E1B" w:rsidP="00582E1B">
      <w:pPr>
        <w:rPr>
          <w:rFonts w:ascii="Arial" w:hAnsi="Arial" w:cs="Arial"/>
          <w:u w:val="single"/>
        </w:rPr>
      </w:pPr>
      <w:r w:rsidRPr="00582E1B">
        <w:rPr>
          <w:rFonts w:ascii="Arial" w:hAnsi="Arial" w:cs="Arial"/>
          <w:u w:val="single"/>
        </w:rPr>
        <w:t xml:space="preserve">Critical comment </w:t>
      </w:r>
    </w:p>
    <w:p w14:paraId="11B6B908" w14:textId="77777777" w:rsidR="00582E1B" w:rsidRPr="00582E1B" w:rsidRDefault="00582E1B" w:rsidP="00582E1B">
      <w:pPr>
        <w:rPr>
          <w:rFonts w:ascii="Arial" w:hAnsi="Arial" w:cs="Arial"/>
        </w:rPr>
      </w:pPr>
      <w:r w:rsidRPr="00582E1B">
        <w:rPr>
          <w:rFonts w:ascii="Arial" w:hAnsi="Arial" w:cs="Arial"/>
        </w:rPr>
        <w:t>By elucidating emotional needs, connections, and coping with problems like illness or loss, attachment theory can assist older persons (Michael Bradley and Cafferty, 2001) However, because John Bowlby initially concentrated on early childhood rather than later life, its applicability is restricted. This implies that it might not adequately take into consideration the complicated experiences of senior citizens, including their numerous relationships and care settings. Additionally, research indicates that its function in elder care is still undeveloped and ambiguous (</w:t>
      </w:r>
      <w:proofErr w:type="spellStart"/>
      <w:r w:rsidRPr="00582E1B">
        <w:rPr>
          <w:rFonts w:ascii="Arial" w:hAnsi="Arial" w:cs="Arial"/>
        </w:rPr>
        <w:t>Karantzas</w:t>
      </w:r>
      <w:proofErr w:type="spellEnd"/>
      <w:r w:rsidRPr="00582E1B">
        <w:rPr>
          <w:rFonts w:ascii="Arial" w:hAnsi="Arial" w:cs="Arial"/>
        </w:rPr>
        <w:t xml:space="preserve"> et al., 2019).</w:t>
      </w:r>
    </w:p>
    <w:p w14:paraId="66CE3126" w14:textId="29E526A0" w:rsidR="00582E1B" w:rsidRDefault="00582E1B" w:rsidP="00582E1B">
      <w:pPr>
        <w:rPr>
          <w:rFonts w:ascii="Arial" w:hAnsi="Arial" w:cs="Arial"/>
        </w:rPr>
      </w:pPr>
      <w:r w:rsidRPr="00582E1B">
        <w:rPr>
          <w:rFonts w:ascii="Arial" w:hAnsi="Arial" w:cs="Arial"/>
        </w:rPr>
        <w:t>In general, attachment theory should be used in conjunction with other strategies to effectively address the many needs of older persons, even though it is useful for encouraging emotional and person-centred care.</w:t>
      </w:r>
    </w:p>
    <w:p w14:paraId="58C0EAB7" w14:textId="77777777" w:rsidR="00582E1B" w:rsidRDefault="00582E1B" w:rsidP="00582E1B">
      <w:pPr>
        <w:rPr>
          <w:rFonts w:ascii="Arial" w:hAnsi="Arial" w:cs="Arial"/>
        </w:rPr>
      </w:pPr>
    </w:p>
    <w:p w14:paraId="2666774E" w14:textId="6B533981" w:rsidR="00582E1B" w:rsidRDefault="00582E1B" w:rsidP="00582E1B">
      <w:pPr>
        <w:rPr>
          <w:rFonts w:ascii="Arial" w:hAnsi="Arial" w:cs="Arial"/>
          <w:u w:val="single"/>
        </w:rPr>
      </w:pPr>
      <w:r w:rsidRPr="00582E1B">
        <w:rPr>
          <w:rFonts w:ascii="Arial" w:hAnsi="Arial" w:cs="Arial"/>
          <w:u w:val="single"/>
        </w:rPr>
        <w:lastRenderedPageBreak/>
        <w:t>Source 2</w:t>
      </w:r>
    </w:p>
    <w:p w14:paraId="60272E92" w14:textId="77777777" w:rsidR="00582E1B" w:rsidRDefault="00582E1B" w:rsidP="00582E1B">
      <w:pPr>
        <w:rPr>
          <w:rFonts w:ascii="Arial" w:hAnsi="Arial" w:cs="Arial"/>
          <w:u w:val="single"/>
        </w:rPr>
      </w:pPr>
    </w:p>
    <w:p w14:paraId="3FC60721" w14:textId="54314FF3" w:rsidR="00582E1B" w:rsidRDefault="00582E1B" w:rsidP="00582E1B">
      <w:pPr>
        <w:rPr>
          <w:rFonts w:ascii="Arial" w:hAnsi="Arial" w:cs="Arial"/>
        </w:rPr>
      </w:pPr>
      <w:r w:rsidRPr="00582E1B">
        <w:rPr>
          <w:rFonts w:ascii="Arial" w:hAnsi="Arial" w:cs="Arial"/>
        </w:rPr>
        <w:t>Bowlby, Attachment and the Potency of a ‘Received Idea</w:t>
      </w:r>
    </w:p>
    <w:p w14:paraId="41C24CEC" w14:textId="1DC3F37A" w:rsidR="00582E1B" w:rsidRPr="00582E1B" w:rsidRDefault="00582E1B" w:rsidP="00582E1B">
      <w:pPr>
        <w:rPr>
          <w:rFonts w:ascii="Arial" w:hAnsi="Arial" w:cs="Arial"/>
        </w:rPr>
      </w:pPr>
      <w:r w:rsidRPr="00582E1B">
        <w:rPr>
          <w:rFonts w:ascii="Arial" w:hAnsi="Arial" w:cs="Arial"/>
          <w:u w:val="single"/>
        </w:rPr>
        <w:t>Reference:</w:t>
      </w:r>
      <w:r>
        <w:rPr>
          <w:rFonts w:ascii="Arial" w:hAnsi="Arial" w:cs="Arial"/>
          <w:u w:val="single"/>
        </w:rPr>
        <w:t xml:space="preserve"> </w:t>
      </w:r>
      <w:r>
        <w:rPr>
          <w:rFonts w:ascii="Arial" w:hAnsi="Arial" w:cs="Arial"/>
        </w:rPr>
        <w:t xml:space="preserve"> </w:t>
      </w:r>
      <w:r w:rsidRPr="00582E1B">
        <w:rPr>
          <w:rFonts w:ascii="Arial" w:hAnsi="Arial" w:cs="Arial"/>
        </w:rPr>
        <w:t xml:space="preserve">Garrett, P.M. (2023) “Bowlby, Attachment and the Potency of a ‘Received Idea,’” The British journal of social work, 53(1), pp. 100–117. Available at: </w:t>
      </w:r>
      <w:hyperlink r:id="rId6" w:history="1">
        <w:r w:rsidRPr="007C7508">
          <w:rPr>
            <w:rStyle w:val="Hyperlink"/>
            <w:rFonts w:ascii="Arial" w:hAnsi="Arial" w:cs="Arial"/>
          </w:rPr>
          <w:t>https://doi.org/10.1093/bjsw/bcac091</w:t>
        </w:r>
      </w:hyperlink>
      <w:r w:rsidRPr="00582E1B">
        <w:rPr>
          <w:rFonts w:ascii="Arial" w:hAnsi="Arial" w:cs="Arial"/>
        </w:rPr>
        <w:t>.</w:t>
      </w:r>
      <w:r>
        <w:rPr>
          <w:rFonts w:ascii="Arial" w:hAnsi="Arial" w:cs="Arial"/>
        </w:rPr>
        <w:t xml:space="preserve"> </w:t>
      </w:r>
    </w:p>
    <w:p w14:paraId="04E0A244" w14:textId="0FE112F6" w:rsidR="00582E1B" w:rsidRDefault="00582E1B" w:rsidP="00582E1B">
      <w:pPr>
        <w:rPr>
          <w:rFonts w:ascii="Arial" w:hAnsi="Arial" w:cs="Arial"/>
          <w:u w:val="single"/>
        </w:rPr>
      </w:pPr>
      <w:r>
        <w:rPr>
          <w:rFonts w:ascii="Arial" w:hAnsi="Arial" w:cs="Arial"/>
          <w:u w:val="single"/>
        </w:rPr>
        <w:t xml:space="preserve">Summary </w:t>
      </w:r>
    </w:p>
    <w:p w14:paraId="6B2498E2" w14:textId="53CE536E" w:rsidR="00582E1B" w:rsidRDefault="00582E1B" w:rsidP="00582E1B">
      <w:pPr>
        <w:rPr>
          <w:rFonts w:ascii="Arial" w:hAnsi="Arial" w:cs="Arial"/>
        </w:rPr>
      </w:pPr>
      <w:r w:rsidRPr="00582E1B">
        <w:rPr>
          <w:rFonts w:ascii="Arial" w:hAnsi="Arial" w:cs="Arial"/>
        </w:rPr>
        <w:t>In his critical assessment of John Bowlby's attachment theory, Garrett (2022) makes the case that, despite significant flaws, its significance has not been questioned. According to the text, Bowlby relied on a limited and selected body of evidence, some of which lacked empirical validity. Garrett also emphasises how contradicting results were often disregarded, casting doubt on the theory's scientific validity. The theory is also critiqued for its cultural and gender bias, especially because it is based on Western family traditions and emphasises mothers as primary carers. Overall, Garrett comes to the conclusion that, despite its influence, Bowlby's work needs to be scrutinised more closely in current research and practice (Garrett, 2022).</w:t>
      </w:r>
    </w:p>
    <w:p w14:paraId="1E6BBEFB" w14:textId="77777777" w:rsidR="00FF2EB3" w:rsidRPr="00FF2EB3" w:rsidRDefault="00FF2EB3" w:rsidP="00FF2EB3">
      <w:pPr>
        <w:rPr>
          <w:rFonts w:ascii="Arial" w:hAnsi="Arial" w:cs="Arial"/>
          <w:u w:val="single"/>
        </w:rPr>
      </w:pPr>
      <w:r w:rsidRPr="00FF2EB3">
        <w:rPr>
          <w:rFonts w:ascii="Arial" w:hAnsi="Arial" w:cs="Arial"/>
          <w:u w:val="single"/>
        </w:rPr>
        <w:t>Critical comment</w:t>
      </w:r>
    </w:p>
    <w:p w14:paraId="268A7741" w14:textId="77777777" w:rsidR="00FF2EB3" w:rsidRPr="00FF2EB3" w:rsidRDefault="00FF2EB3" w:rsidP="00FF2EB3">
      <w:pPr>
        <w:rPr>
          <w:rFonts w:ascii="Arial" w:hAnsi="Arial" w:cs="Arial"/>
        </w:rPr>
      </w:pPr>
      <w:r w:rsidRPr="00FF2EB3">
        <w:rPr>
          <w:rFonts w:ascii="Arial" w:hAnsi="Arial" w:cs="Arial"/>
        </w:rPr>
        <w:t>Although attachment theory has limited application in health and social care, it can assist explain older individuals' emotional needs and welfare. According to Bradley and Cafferty (2001), John Bowlby's theory was primarily created for early life, and research on older individuals is still few and unreliable. According to Platts et al. (2023), it also fails to take into consideration other crucial elements such as care surroundings, social support, and physical health.</w:t>
      </w:r>
    </w:p>
    <w:p w14:paraId="5CCDB1A6" w14:textId="290DCAD0" w:rsidR="00582E1B" w:rsidRDefault="00FF2EB3" w:rsidP="00FF2EB3">
      <w:pPr>
        <w:rPr>
          <w:rFonts w:ascii="Arial" w:hAnsi="Arial" w:cs="Arial"/>
        </w:rPr>
      </w:pPr>
      <w:r w:rsidRPr="00FF2EB3">
        <w:rPr>
          <w:rFonts w:ascii="Arial" w:hAnsi="Arial" w:cs="Arial"/>
        </w:rPr>
        <w:t>In general, it is helpful, but when assisting senior citizens, it shouldn't be employed in isolation.</w:t>
      </w:r>
    </w:p>
    <w:p w14:paraId="1E8C3D1B" w14:textId="77777777" w:rsidR="00FF2EB3" w:rsidRDefault="00FF2EB3" w:rsidP="00FF2EB3">
      <w:pPr>
        <w:rPr>
          <w:rFonts w:ascii="Arial" w:hAnsi="Arial" w:cs="Arial"/>
        </w:rPr>
      </w:pPr>
    </w:p>
    <w:p w14:paraId="3C2889D8" w14:textId="2D204C55" w:rsidR="00FF2EB3" w:rsidRDefault="00FF2EB3" w:rsidP="00FF2EB3">
      <w:pPr>
        <w:rPr>
          <w:rFonts w:ascii="Arial" w:hAnsi="Arial" w:cs="Arial"/>
        </w:rPr>
      </w:pPr>
      <w:r w:rsidRPr="00FF2EB3">
        <w:rPr>
          <w:rFonts w:ascii="Arial" w:hAnsi="Arial" w:cs="Arial"/>
          <w:u w:val="single"/>
        </w:rPr>
        <w:t>Theory used</w:t>
      </w:r>
      <w:r>
        <w:rPr>
          <w:rFonts w:ascii="Arial" w:hAnsi="Arial" w:cs="Arial"/>
        </w:rPr>
        <w:t xml:space="preserve"> Abraham Maslov</w:t>
      </w:r>
    </w:p>
    <w:p w14:paraId="392FBA07" w14:textId="0620B121" w:rsidR="00FF2EB3" w:rsidRPr="00FF2EB3" w:rsidRDefault="00FF2EB3" w:rsidP="00FF2EB3">
      <w:pPr>
        <w:rPr>
          <w:rFonts w:ascii="Arial" w:hAnsi="Arial" w:cs="Arial"/>
        </w:rPr>
      </w:pPr>
      <w:r w:rsidRPr="00FF2EB3">
        <w:rPr>
          <w:rFonts w:ascii="Arial" w:hAnsi="Arial" w:cs="Arial"/>
          <w:u w:val="single"/>
        </w:rPr>
        <w:t>Source 1</w:t>
      </w:r>
      <w:r>
        <w:rPr>
          <w:rFonts w:ascii="Arial" w:hAnsi="Arial" w:cs="Arial"/>
        </w:rPr>
        <w:t>:</w:t>
      </w:r>
      <w:r w:rsidRPr="00FF2EB3">
        <w:t xml:space="preserve"> </w:t>
      </w:r>
      <w:r w:rsidRPr="00FF2EB3">
        <w:rPr>
          <w:rFonts w:ascii="Arial" w:hAnsi="Arial" w:cs="Arial"/>
        </w:rPr>
        <w:t>A Theory of Human Motivation by Abraham H. Maslow (1942)</w:t>
      </w:r>
    </w:p>
    <w:p w14:paraId="1201C51B" w14:textId="77777777" w:rsidR="00FF2EB3" w:rsidRPr="00FF2EB3" w:rsidRDefault="00FF2EB3" w:rsidP="00FF2EB3">
      <w:pPr>
        <w:rPr>
          <w:rFonts w:ascii="Arial" w:hAnsi="Arial" w:cs="Arial"/>
          <w:u w:val="single"/>
        </w:rPr>
      </w:pPr>
      <w:r w:rsidRPr="00FF2EB3">
        <w:rPr>
          <w:rFonts w:ascii="Arial" w:hAnsi="Arial" w:cs="Arial"/>
          <w:u w:val="single"/>
        </w:rPr>
        <w:t>Reference</w:t>
      </w:r>
    </w:p>
    <w:p w14:paraId="484377A1" w14:textId="203AFCD2" w:rsidR="00FF2EB3" w:rsidRDefault="00FF2EB3" w:rsidP="00FF2EB3">
      <w:pPr>
        <w:rPr>
          <w:rFonts w:ascii="Arial" w:hAnsi="Arial" w:cs="Arial"/>
        </w:rPr>
      </w:pPr>
      <w:r w:rsidRPr="00FF2EB3">
        <w:rPr>
          <w:rFonts w:ascii="Arial" w:hAnsi="Arial" w:cs="Arial"/>
        </w:rPr>
        <w:t xml:space="preserve">Healy, K. (2016) “A Theory of Human Motivation by Abraham H. Maslow (1942),” British journal of psychiatry, 208(4), pp. 313–313. Available at: </w:t>
      </w:r>
      <w:hyperlink r:id="rId7" w:history="1">
        <w:r w:rsidRPr="007C7508">
          <w:rPr>
            <w:rStyle w:val="Hyperlink"/>
            <w:rFonts w:ascii="Arial" w:hAnsi="Arial" w:cs="Arial"/>
          </w:rPr>
          <w:t>https://doi.org/10.1192/bjp.bp.115.179622</w:t>
        </w:r>
      </w:hyperlink>
      <w:r w:rsidRPr="00FF2EB3">
        <w:rPr>
          <w:rFonts w:ascii="Arial" w:hAnsi="Arial" w:cs="Arial"/>
        </w:rPr>
        <w:t>.</w:t>
      </w:r>
      <w:r>
        <w:rPr>
          <w:rFonts w:ascii="Arial" w:hAnsi="Arial" w:cs="Arial"/>
        </w:rPr>
        <w:t xml:space="preserve"> </w:t>
      </w:r>
    </w:p>
    <w:p w14:paraId="7F93AFA4" w14:textId="10D62FF1" w:rsidR="00FF2EB3" w:rsidRPr="00FF2EB3" w:rsidRDefault="00FF2EB3" w:rsidP="00FF2EB3">
      <w:pPr>
        <w:rPr>
          <w:rFonts w:ascii="Arial" w:hAnsi="Arial" w:cs="Arial"/>
          <w:u w:val="single"/>
        </w:rPr>
      </w:pPr>
      <w:r w:rsidRPr="00FF2EB3">
        <w:rPr>
          <w:rFonts w:ascii="Arial" w:hAnsi="Arial" w:cs="Arial"/>
          <w:u w:val="single"/>
        </w:rPr>
        <w:t>Summary</w:t>
      </w:r>
    </w:p>
    <w:p w14:paraId="2351E1DE" w14:textId="6022EE80" w:rsidR="00FF2EB3" w:rsidRDefault="00FF2EB3" w:rsidP="00FF2EB3">
      <w:pPr>
        <w:rPr>
          <w:rFonts w:ascii="Arial" w:hAnsi="Arial" w:cs="Arial"/>
        </w:rPr>
      </w:pPr>
      <w:r w:rsidRPr="00FF2EB3">
        <w:rPr>
          <w:rFonts w:ascii="Arial" w:hAnsi="Arial" w:cs="Arial"/>
        </w:rPr>
        <w:t>Th</w:t>
      </w:r>
      <w:r>
        <w:rPr>
          <w:rFonts w:ascii="Arial" w:hAnsi="Arial" w:cs="Arial"/>
        </w:rPr>
        <w:t>is</w:t>
      </w:r>
      <w:r w:rsidRPr="00FF2EB3">
        <w:rPr>
          <w:rFonts w:ascii="Arial" w:hAnsi="Arial" w:cs="Arial"/>
        </w:rPr>
        <w:t xml:space="preserve"> article presents Abraham Maslow's theory of human motivation in a favourable light, characterising his hierarchy of needs as a lucid and significant framework for comprehending human action. From basic physiological and safety needs to higher-level wants like love, esteem, and self-actualization, it commends Maslow for arranging human needs into a systematic model. The article </w:t>
      </w:r>
      <w:r>
        <w:rPr>
          <w:rFonts w:ascii="Arial" w:hAnsi="Arial" w:cs="Arial"/>
        </w:rPr>
        <w:t xml:space="preserve">also </w:t>
      </w:r>
      <w:r w:rsidRPr="00FF2EB3">
        <w:rPr>
          <w:rFonts w:ascii="Arial" w:hAnsi="Arial" w:cs="Arial"/>
        </w:rPr>
        <w:t>emphasises the theory's enduring significance in psychology and clinical practice, pointing out that it offers a comprehensive understanding of human motivation and well-being. It also implies that because Maslow's theories emphasise human development and fulfilment, they are still applicable in contemporary mental health and therapeutic contexts (Healy, n.d.).</w:t>
      </w:r>
    </w:p>
    <w:p w14:paraId="0FDB8C97" w14:textId="7CDE941F" w:rsidR="00FF2EB3" w:rsidRPr="00FF2EB3" w:rsidRDefault="00FF2EB3" w:rsidP="00FF2EB3">
      <w:pPr>
        <w:rPr>
          <w:rFonts w:ascii="Arial" w:hAnsi="Arial" w:cs="Arial"/>
          <w:u w:val="single"/>
        </w:rPr>
      </w:pPr>
      <w:r w:rsidRPr="00FF2EB3">
        <w:rPr>
          <w:rFonts w:ascii="Arial" w:hAnsi="Arial" w:cs="Arial"/>
          <w:u w:val="single"/>
        </w:rPr>
        <w:lastRenderedPageBreak/>
        <w:t>Critical comment</w:t>
      </w:r>
    </w:p>
    <w:p w14:paraId="587EF263" w14:textId="2F8248F2" w:rsidR="00FF2EB3" w:rsidRDefault="00FF2EB3" w:rsidP="00FF2EB3">
      <w:pPr>
        <w:rPr>
          <w:rFonts w:ascii="Arial" w:hAnsi="Arial" w:cs="Arial"/>
        </w:rPr>
      </w:pPr>
      <w:r w:rsidRPr="00FF2EB3">
        <w:rPr>
          <w:rFonts w:ascii="Arial" w:hAnsi="Arial" w:cs="Arial"/>
        </w:rPr>
        <w:t>Maslow's hierarchy of needs can assist health and social care providers in addressing the physical, emotional, and social requirements of senior citizens in a methodical manner. Person-centred care can be enhanced by meeting basic needs like belonging, safety, and nutrition. However, the concept is frequently challenged for lacking solid evidence and being overly simplistic. In reality, rather than having a set order, older persons' requirements often overlap because of personal circumstances, cultural norms, and health issues. Applying higher-level wants, such as self-actualization, in care settings is also challenging. Maslow's theory should therefore be applied flexibly in conjunction with other evidence-based strategies (Zhang et al., 2022).</w:t>
      </w:r>
    </w:p>
    <w:p w14:paraId="7A20D606" w14:textId="451A4BF4" w:rsidR="00FF2EB3" w:rsidRDefault="00FF2EB3" w:rsidP="00FF2EB3">
      <w:pPr>
        <w:rPr>
          <w:rFonts w:ascii="Arial" w:hAnsi="Arial" w:cs="Arial"/>
          <w:u w:val="single"/>
        </w:rPr>
      </w:pPr>
      <w:r w:rsidRPr="00FF2EB3">
        <w:rPr>
          <w:rFonts w:ascii="Arial" w:hAnsi="Arial" w:cs="Arial"/>
          <w:u w:val="single"/>
        </w:rPr>
        <w:t>Source 4</w:t>
      </w:r>
      <w:r>
        <w:rPr>
          <w:rFonts w:ascii="Arial" w:hAnsi="Arial" w:cs="Arial"/>
          <w:u w:val="single"/>
        </w:rPr>
        <w:t xml:space="preserve"> </w:t>
      </w:r>
    </w:p>
    <w:p w14:paraId="4F22401D" w14:textId="24F43B35" w:rsidR="00FF2EB3" w:rsidRDefault="00FF2EB3" w:rsidP="00FF2EB3">
      <w:pPr>
        <w:rPr>
          <w:rFonts w:ascii="Arial" w:hAnsi="Arial" w:cs="Arial"/>
        </w:rPr>
      </w:pPr>
      <w:r w:rsidRPr="00FF2EB3">
        <w:rPr>
          <w:rFonts w:ascii="Arial" w:hAnsi="Arial" w:cs="Arial"/>
        </w:rPr>
        <w:t>Critical analysis of Maslow's hierarchy of need</w:t>
      </w:r>
    </w:p>
    <w:p w14:paraId="5C1ACA0B" w14:textId="1F622B84" w:rsidR="00FF2EB3" w:rsidRDefault="00FF2EB3" w:rsidP="00FF2EB3">
      <w:pPr>
        <w:rPr>
          <w:rFonts w:ascii="Arial" w:hAnsi="Arial" w:cs="Arial"/>
          <w:u w:val="single"/>
        </w:rPr>
      </w:pPr>
      <w:r w:rsidRPr="00FF2EB3">
        <w:rPr>
          <w:rFonts w:ascii="Arial" w:hAnsi="Arial" w:cs="Arial"/>
          <w:u w:val="single"/>
        </w:rPr>
        <w:t>Reference</w:t>
      </w:r>
    </w:p>
    <w:p w14:paraId="0DD03E6D" w14:textId="1C8FEF81" w:rsidR="00FF2EB3" w:rsidRDefault="00FF2EB3" w:rsidP="00FF2EB3">
      <w:pPr>
        <w:rPr>
          <w:rFonts w:ascii="Arial" w:hAnsi="Arial" w:cs="Arial"/>
        </w:rPr>
      </w:pPr>
      <w:r w:rsidRPr="00FF2EB3">
        <w:rPr>
          <w:rFonts w:ascii="Arial" w:hAnsi="Arial" w:cs="Arial"/>
        </w:rPr>
        <w:t xml:space="preserve">King-Hill, S 2015, 'Critical analysis of Maslow's hierarchy of need', The STeP Journal Student Teacher Perspectives, vol. 2, no. 4, pp. 54-57. </w:t>
      </w:r>
      <w:hyperlink r:id="rId8" w:history="1">
        <w:r w:rsidRPr="007C7508">
          <w:rPr>
            <w:rStyle w:val="Hyperlink"/>
            <w:rFonts w:ascii="Arial" w:hAnsi="Arial" w:cs="Arial"/>
          </w:rPr>
          <w:t>http://insight.cumbria.ac.uk/id/eprint/2942/</w:t>
        </w:r>
      </w:hyperlink>
      <w:r>
        <w:rPr>
          <w:rFonts w:ascii="Arial" w:hAnsi="Arial" w:cs="Arial"/>
        </w:rPr>
        <w:t xml:space="preserve"> </w:t>
      </w:r>
    </w:p>
    <w:p w14:paraId="3C19DF79" w14:textId="3757EB8E" w:rsidR="00FF2EB3" w:rsidRPr="00FF2EB3" w:rsidRDefault="00FF2EB3" w:rsidP="00FF2EB3">
      <w:pPr>
        <w:rPr>
          <w:rFonts w:ascii="Arial" w:hAnsi="Arial" w:cs="Arial"/>
          <w:u w:val="single"/>
        </w:rPr>
      </w:pPr>
      <w:r w:rsidRPr="00FF2EB3">
        <w:rPr>
          <w:rFonts w:ascii="Arial" w:hAnsi="Arial" w:cs="Arial"/>
          <w:u w:val="single"/>
        </w:rPr>
        <w:t>Summary</w:t>
      </w:r>
    </w:p>
    <w:p w14:paraId="367743B9" w14:textId="2A37BC3A" w:rsidR="00FF2EB3" w:rsidRDefault="00E471AE" w:rsidP="00FF2EB3">
      <w:pPr>
        <w:rPr>
          <w:rFonts w:ascii="Arial" w:hAnsi="Arial" w:cs="Arial"/>
        </w:rPr>
      </w:pPr>
      <w:r w:rsidRPr="00E471AE">
        <w:rPr>
          <w:rFonts w:ascii="Arial" w:hAnsi="Arial" w:cs="Arial"/>
        </w:rPr>
        <w:t>Th</w:t>
      </w:r>
      <w:r>
        <w:rPr>
          <w:rFonts w:ascii="Arial" w:hAnsi="Arial" w:cs="Arial"/>
        </w:rPr>
        <w:t>is</w:t>
      </w:r>
      <w:r w:rsidRPr="00E471AE">
        <w:rPr>
          <w:rFonts w:ascii="Arial" w:hAnsi="Arial" w:cs="Arial"/>
        </w:rPr>
        <w:t xml:space="preserve"> article critically assesses Abraham Maslow's hierarchy of requirements, contending that despite its widespread acceptance, there is insufficient scientific support for it. It emphasises how Maslow's theory's validity was limited because it was based on a small, non-representative sample. </w:t>
      </w:r>
      <w:r>
        <w:rPr>
          <w:rFonts w:ascii="Arial" w:hAnsi="Arial" w:cs="Arial"/>
        </w:rPr>
        <w:t>It</w:t>
      </w:r>
      <w:r w:rsidRPr="00E471AE">
        <w:rPr>
          <w:rFonts w:ascii="Arial" w:hAnsi="Arial" w:cs="Arial"/>
        </w:rPr>
        <w:t xml:space="preserve"> also questions the notion of a rigid hierarchy, arguing that human needs can change based on personal and societal circumstances and do not always follow a set sequence. It also points out that the notion is frequently applied in practice and education without question. The article's overall conclusion is that, despite its popularity, Maslow's model has serious methodological flaws and should be used with caution (King-Hill, 2015).</w:t>
      </w:r>
    </w:p>
    <w:p w14:paraId="2F5350C4" w14:textId="0AACE891" w:rsidR="00E471AE" w:rsidRPr="00E471AE" w:rsidRDefault="00E471AE" w:rsidP="00FF2EB3">
      <w:pPr>
        <w:rPr>
          <w:rFonts w:ascii="Arial" w:hAnsi="Arial" w:cs="Arial"/>
          <w:u w:val="single"/>
        </w:rPr>
      </w:pPr>
      <w:r w:rsidRPr="00E471AE">
        <w:rPr>
          <w:rFonts w:ascii="Arial" w:hAnsi="Arial" w:cs="Arial"/>
          <w:u w:val="single"/>
        </w:rPr>
        <w:t>Critical Comment</w:t>
      </w:r>
    </w:p>
    <w:p w14:paraId="36C16782" w14:textId="2B429522" w:rsidR="00E471AE" w:rsidRDefault="00E471AE" w:rsidP="00FF2EB3">
      <w:pPr>
        <w:rPr>
          <w:rFonts w:ascii="Arial" w:hAnsi="Arial" w:cs="Arial"/>
        </w:rPr>
      </w:pPr>
      <w:r w:rsidRPr="00E471AE">
        <w:rPr>
          <w:rFonts w:ascii="Arial" w:hAnsi="Arial" w:cs="Arial"/>
        </w:rPr>
        <w:t>Maslow's theory is not very useful for helping older persons since the diverse and overlapping requirements of ageing populations are not reflected in its strict hierarchy. Emotional wellbeing, social support, and health frequently interact rather than occurring in a predetermined order. Additionally, research indicates that there is little evidence to support its usage in care settings, indicating that it should be used cautiously in conjunction with other strategies (King-Hill, 2015).</w:t>
      </w:r>
    </w:p>
    <w:p w14:paraId="64DE4FB2" w14:textId="77777777" w:rsidR="00E471AE" w:rsidRPr="00FF2EB3" w:rsidRDefault="00E471AE" w:rsidP="00FF2EB3">
      <w:pPr>
        <w:rPr>
          <w:rFonts w:ascii="Arial" w:hAnsi="Arial" w:cs="Arial"/>
        </w:rPr>
      </w:pPr>
    </w:p>
    <w:p w14:paraId="7BCDB651" w14:textId="77777777" w:rsidR="00FF2EB3" w:rsidRPr="00FF2EB3" w:rsidRDefault="00FF2EB3" w:rsidP="00FF2EB3">
      <w:pPr>
        <w:rPr>
          <w:rFonts w:ascii="Arial" w:hAnsi="Arial" w:cs="Arial"/>
        </w:rPr>
      </w:pPr>
    </w:p>
    <w:p w14:paraId="0FC2F414" w14:textId="77777777" w:rsidR="00FF2EB3" w:rsidRDefault="00FF2EB3" w:rsidP="00FF2EB3">
      <w:pPr>
        <w:rPr>
          <w:rFonts w:ascii="Arial" w:hAnsi="Arial" w:cs="Arial"/>
        </w:rPr>
      </w:pPr>
    </w:p>
    <w:p w14:paraId="2B20FE3B" w14:textId="5E3FD890" w:rsidR="00DE446E" w:rsidRDefault="00DE446E" w:rsidP="00FF2EB3">
      <w:pPr>
        <w:rPr>
          <w:rFonts w:ascii="Arial" w:hAnsi="Arial" w:cs="Arial"/>
        </w:rPr>
      </w:pPr>
      <w:r>
        <w:rPr>
          <w:rFonts w:ascii="Arial" w:hAnsi="Arial" w:cs="Arial"/>
        </w:rPr>
        <w:t>Part 2</w:t>
      </w:r>
    </w:p>
    <w:p w14:paraId="62805E4A" w14:textId="1CD90FB5" w:rsidR="00DE446E" w:rsidRPr="00DE446E" w:rsidRDefault="00DE446E" w:rsidP="00FF2EB3">
      <w:pPr>
        <w:rPr>
          <w:rFonts w:ascii="Arial" w:hAnsi="Arial" w:cs="Arial"/>
          <w:u w:val="single"/>
        </w:rPr>
      </w:pPr>
      <w:r w:rsidRPr="00DE446E">
        <w:rPr>
          <w:rFonts w:ascii="Arial" w:hAnsi="Arial" w:cs="Arial"/>
          <w:u w:val="single"/>
        </w:rPr>
        <w:t>Short Report aimed at Using Attachment Theory to Enhance Residential Care Residents' Psychological Well-Being</w:t>
      </w:r>
    </w:p>
    <w:p w14:paraId="7C8F7260" w14:textId="4A417FC3" w:rsidR="00DE446E" w:rsidRDefault="00DE446E" w:rsidP="00FF2EB3">
      <w:pPr>
        <w:rPr>
          <w:rFonts w:ascii="Arial" w:hAnsi="Arial" w:cs="Arial"/>
        </w:rPr>
      </w:pPr>
      <w:r w:rsidRPr="00DE446E">
        <w:rPr>
          <w:rFonts w:ascii="Arial" w:hAnsi="Arial" w:cs="Arial"/>
        </w:rPr>
        <w:t xml:space="preserve">This research examines how John Bowlby's attachment theory can be used to enhance the psychological wellness of older individuals and is intended for health and social care professionals working in residential care settings. According to attachment theory, early interactions have a lasting impact on interpersonal behaviour and emotional control. Significantly, studies demonstrate that attachment styles are still important in later life, </w:t>
      </w:r>
      <w:r w:rsidRPr="00DE446E">
        <w:rPr>
          <w:rFonts w:ascii="Arial" w:hAnsi="Arial" w:cs="Arial"/>
        </w:rPr>
        <w:lastRenderedPageBreak/>
        <w:t>especially during vulnerable times like illness, bereavement, and moving into a care facility (Rodway, 2025).</w:t>
      </w:r>
    </w:p>
    <w:p w14:paraId="22D4F42B" w14:textId="1620B670" w:rsidR="00DE446E" w:rsidRDefault="00DE446E" w:rsidP="00FF2EB3">
      <w:pPr>
        <w:rPr>
          <w:rFonts w:ascii="Arial" w:hAnsi="Arial" w:cs="Arial"/>
        </w:rPr>
      </w:pPr>
      <w:r w:rsidRPr="00DE446E">
        <w:rPr>
          <w:rFonts w:ascii="Arial" w:hAnsi="Arial" w:cs="Arial"/>
        </w:rPr>
        <w:t>Significant changes, such as relocation, diminished freedom, and separation from familiar surroundings, are frequently experienced by older persons in residential care settings. These alterations may trigger attachment requirements, resulting in feelings of insecurity, loneliness, or worry. Research shows that whereas insecure attachment can lead to loneliness and depression in elderly populations, secure attachment is linked to greater emotional wellness (</w:t>
      </w:r>
      <w:proofErr w:type="spellStart"/>
      <w:r w:rsidRPr="00DE446E">
        <w:rPr>
          <w:rFonts w:ascii="Arial" w:hAnsi="Arial" w:cs="Arial"/>
        </w:rPr>
        <w:t>Arunrasameesopa</w:t>
      </w:r>
      <w:proofErr w:type="spellEnd"/>
      <w:r w:rsidRPr="00DE446E">
        <w:rPr>
          <w:rFonts w:ascii="Arial" w:hAnsi="Arial" w:cs="Arial"/>
        </w:rPr>
        <w:t xml:space="preserve"> et al., 2021). Professionals can therefore give more person-centred and emotionally responsive care by having a better understanding of attachment theory.</w:t>
      </w:r>
    </w:p>
    <w:p w14:paraId="25F606A8" w14:textId="2EA7D75B" w:rsidR="00DE446E" w:rsidRDefault="00DE446E" w:rsidP="00FF2EB3">
      <w:pPr>
        <w:rPr>
          <w:rFonts w:ascii="Arial" w:hAnsi="Arial" w:cs="Arial"/>
        </w:rPr>
      </w:pPr>
      <w:r w:rsidRPr="00DE446E">
        <w:rPr>
          <w:rFonts w:ascii="Arial" w:hAnsi="Arial" w:cs="Arial"/>
        </w:rPr>
        <w:t>Establishing a "secure base" in the care setting is one method attachment theory can be used. This entails fostering a sense of safety, guaranteeing consistency in care, and developing trustworthy relationships between staff and residents. According to research, attachment figures in later life can be medical professionals as well as family members who can offer emotional stability and comfort (Milberg et al., 2017). Staff members can enhance residents' overall psychological wellbeing by providing them with a consistent and kind approach that makes them feel appreciated and supported.</w:t>
      </w:r>
    </w:p>
    <w:p w14:paraId="083BC2EF" w14:textId="2878A78F" w:rsidR="00A83A6C" w:rsidRDefault="00A83A6C" w:rsidP="00FF2EB3">
      <w:pPr>
        <w:rPr>
          <w:rFonts w:ascii="Arial" w:hAnsi="Arial" w:cs="Arial"/>
        </w:rPr>
      </w:pPr>
      <w:r w:rsidRPr="00A83A6C">
        <w:rPr>
          <w:rFonts w:ascii="Arial" w:hAnsi="Arial" w:cs="Arial"/>
        </w:rPr>
        <w:t>An actual example is Mrs. Jones, an elderly person who recently moved into a residential care facility after losing her spouse. She initially showed symptoms of nervousness, withdrawal, and reluctance to interact with people. By designating a key worker who engaged with her on a daily basis, staff members used attachment theory to concentrate on developing a reliable and trustworthy relationship with her. The key worker maintained regular routines, promoted social connection, and offered emotional support. Mrs. Jones eventually reported feeling less lonely, participating in social activities, and feeling more secure. This illustration shows how emotional wellness in residential settings can be positively impacted by attachment-informed care.</w:t>
      </w:r>
    </w:p>
    <w:p w14:paraId="7C608CE5" w14:textId="3C3AFF83" w:rsidR="00A83A6C" w:rsidRDefault="00A83A6C" w:rsidP="00FF2EB3">
      <w:pPr>
        <w:rPr>
          <w:rFonts w:ascii="Arial" w:hAnsi="Arial" w:cs="Arial"/>
        </w:rPr>
      </w:pPr>
      <w:r w:rsidRPr="00A83A6C">
        <w:rPr>
          <w:rFonts w:ascii="Arial" w:hAnsi="Arial" w:cs="Arial"/>
        </w:rPr>
        <w:t>However, putting attachment theory into reality is not without its difficulties. One major problem is that research results might be inconsistent and the significance of attachment in aged care is still not entirely understood. According to a systematic review</w:t>
      </w:r>
      <w:r>
        <w:rPr>
          <w:rFonts w:ascii="Arial" w:hAnsi="Arial" w:cs="Arial"/>
        </w:rPr>
        <w:t xml:space="preserve"> by</w:t>
      </w:r>
      <w:r w:rsidRPr="00A83A6C">
        <w:rPr>
          <w:rFonts w:ascii="Arial" w:hAnsi="Arial" w:cs="Arial"/>
        </w:rPr>
        <w:t xml:space="preserve"> </w:t>
      </w:r>
      <w:proofErr w:type="spellStart"/>
      <w:r w:rsidRPr="00A83A6C">
        <w:rPr>
          <w:rFonts w:ascii="Arial" w:hAnsi="Arial" w:cs="Arial"/>
        </w:rPr>
        <w:t>Karantzas</w:t>
      </w:r>
      <w:proofErr w:type="spellEnd"/>
      <w:r w:rsidRPr="00A83A6C">
        <w:rPr>
          <w:rFonts w:ascii="Arial" w:hAnsi="Arial" w:cs="Arial"/>
        </w:rPr>
        <w:t xml:space="preserve"> et al., 2019, attachment affects carer relationships and mental health, but its use in elder care is still unclear and needs more investigation. Furthermore, it might be challenging for care facilities to deliver consistent, relationship-based care due to practical issues such personnel shortages, time limits, and frequent staff turnover.</w:t>
      </w:r>
    </w:p>
    <w:p w14:paraId="60E99D55" w14:textId="1D062AAB" w:rsidR="00A83A6C" w:rsidRDefault="00A83A6C" w:rsidP="00FF2EB3">
      <w:pPr>
        <w:rPr>
          <w:rFonts w:ascii="Arial" w:hAnsi="Arial" w:cs="Arial"/>
        </w:rPr>
      </w:pPr>
      <w:r w:rsidRPr="00A83A6C">
        <w:rPr>
          <w:rFonts w:ascii="Arial" w:hAnsi="Arial" w:cs="Arial"/>
        </w:rPr>
        <w:t>Organisations can use training programs to increase staff comprehension of attachment theory and its applicability to older individuals in order to overcome these obstacles. Giving employees an understanding of attachment styles can improve their ability to identify and address residents' emotional needs. To ensure that residents have a constant point of contact, care facilities can also implement a key worker system to support continuity of care. Maintaining relationships with loved ones and promoting family involvement can help support attachment needs and improve emotional wellbeing.</w:t>
      </w:r>
    </w:p>
    <w:p w14:paraId="599BEDD1" w14:textId="545C785C" w:rsidR="00A83A6C" w:rsidRDefault="00A83A6C" w:rsidP="00FF2EB3">
      <w:pPr>
        <w:rPr>
          <w:rFonts w:ascii="Arial" w:hAnsi="Arial" w:cs="Arial"/>
        </w:rPr>
      </w:pPr>
      <w:r w:rsidRPr="00A83A6C">
        <w:rPr>
          <w:rFonts w:ascii="Arial" w:hAnsi="Arial" w:cs="Arial"/>
        </w:rPr>
        <w:t>To sum up, attachment theory provides a useful framework for comprehending the emotional requirements of senior citizens receiving residential care. Health and social care workers can enhance psychological wellbeing by fostering safe, supportive connections and a sense of security. However, because of the evidence's limits and practical difficulties, the hypothesis should be used in conjunction with other methods. Attachment-informed care can significantly improve the quality of life for older individuals in care settings with the right training and organisational support.</w:t>
      </w:r>
    </w:p>
    <w:p w14:paraId="71C77006" w14:textId="77777777" w:rsidR="00410EB3" w:rsidRDefault="00410EB3" w:rsidP="00FF2EB3">
      <w:pPr>
        <w:rPr>
          <w:rFonts w:ascii="Arial" w:hAnsi="Arial" w:cs="Arial"/>
        </w:rPr>
      </w:pPr>
    </w:p>
    <w:p w14:paraId="2142AE8E" w14:textId="77777777" w:rsidR="00410EB3" w:rsidRDefault="00410EB3" w:rsidP="00FF2EB3">
      <w:pPr>
        <w:rPr>
          <w:rFonts w:ascii="Arial" w:hAnsi="Arial" w:cs="Arial"/>
        </w:rPr>
      </w:pPr>
    </w:p>
    <w:p w14:paraId="30C3E793" w14:textId="71AAAEA5" w:rsidR="00410EB3" w:rsidRDefault="00410EB3" w:rsidP="00FF2EB3">
      <w:pPr>
        <w:rPr>
          <w:rFonts w:ascii="Arial" w:hAnsi="Arial" w:cs="Arial"/>
        </w:rPr>
      </w:pPr>
      <w:r>
        <w:rPr>
          <w:rFonts w:ascii="Arial" w:hAnsi="Arial" w:cs="Arial"/>
        </w:rPr>
        <w:t xml:space="preserve">Reference List </w:t>
      </w:r>
    </w:p>
    <w:p w14:paraId="6973C53D" w14:textId="3F3B85F5" w:rsidR="00960563" w:rsidRPr="00960563" w:rsidRDefault="00960563" w:rsidP="00960563">
      <w:pPr>
        <w:pStyle w:val="ListParagraph"/>
        <w:numPr>
          <w:ilvl w:val="0"/>
          <w:numId w:val="1"/>
        </w:numPr>
        <w:rPr>
          <w:rFonts w:ascii="Arial" w:hAnsi="Arial" w:cs="Arial"/>
        </w:rPr>
      </w:pPr>
      <w:proofErr w:type="spellStart"/>
      <w:r w:rsidRPr="00960563">
        <w:rPr>
          <w:rFonts w:ascii="Arial" w:hAnsi="Arial" w:cs="Arial"/>
        </w:rPr>
        <w:t>Arunrasameesopa</w:t>
      </w:r>
      <w:proofErr w:type="spellEnd"/>
      <w:r w:rsidRPr="00960563">
        <w:rPr>
          <w:rFonts w:ascii="Arial" w:hAnsi="Arial" w:cs="Arial"/>
        </w:rPr>
        <w:t xml:space="preserve">, S., </w:t>
      </w:r>
      <w:proofErr w:type="spellStart"/>
      <w:r w:rsidRPr="00960563">
        <w:rPr>
          <w:rFonts w:ascii="Arial" w:hAnsi="Arial" w:cs="Arial"/>
        </w:rPr>
        <w:t>Wongpakaran</w:t>
      </w:r>
      <w:proofErr w:type="spellEnd"/>
      <w:r w:rsidRPr="00960563">
        <w:rPr>
          <w:rFonts w:ascii="Arial" w:hAnsi="Arial" w:cs="Arial"/>
        </w:rPr>
        <w:t xml:space="preserve">, N. and </w:t>
      </w:r>
      <w:proofErr w:type="spellStart"/>
      <w:r w:rsidRPr="00960563">
        <w:rPr>
          <w:rFonts w:ascii="Arial" w:hAnsi="Arial" w:cs="Arial"/>
        </w:rPr>
        <w:t>Wongpakaran</w:t>
      </w:r>
      <w:proofErr w:type="spellEnd"/>
      <w:r w:rsidRPr="00960563">
        <w:rPr>
          <w:rFonts w:ascii="Arial" w:hAnsi="Arial" w:cs="Arial"/>
        </w:rPr>
        <w:t xml:space="preserve">, T. (2021). Influence of Attachment Anxiety on the Relationship between Loneliness and Depression among Long-Term Care Residents. Healthcare, 9(12), p.1675. </w:t>
      </w:r>
      <w:proofErr w:type="spellStart"/>
      <w:r w:rsidRPr="00960563">
        <w:rPr>
          <w:rFonts w:ascii="Arial" w:hAnsi="Arial" w:cs="Arial"/>
        </w:rPr>
        <w:t>doi:https</w:t>
      </w:r>
      <w:proofErr w:type="spellEnd"/>
      <w:r w:rsidRPr="00960563">
        <w:rPr>
          <w:rFonts w:ascii="Arial" w:hAnsi="Arial" w:cs="Arial"/>
        </w:rPr>
        <w:t>://doi.org/10.3390/healthcare9121675.</w:t>
      </w:r>
    </w:p>
    <w:p w14:paraId="19629A05" w14:textId="77777777" w:rsidR="00960563" w:rsidRPr="00960563" w:rsidRDefault="00960563" w:rsidP="00960563">
      <w:pPr>
        <w:pStyle w:val="ListParagraph"/>
        <w:numPr>
          <w:ilvl w:val="0"/>
          <w:numId w:val="1"/>
        </w:numPr>
        <w:rPr>
          <w:rFonts w:ascii="Arial" w:hAnsi="Arial" w:cs="Arial"/>
        </w:rPr>
      </w:pPr>
      <w:r w:rsidRPr="00960563">
        <w:rPr>
          <w:rFonts w:ascii="Arial" w:hAnsi="Arial" w:cs="Arial"/>
        </w:rPr>
        <w:t xml:space="preserve">Karantzas, G.C., Romano, D. and Lee, J. (2019). Attachment and aged care: a systematic review of current research. Current Opinion in Psychology, 25, pp.37–46. </w:t>
      </w:r>
      <w:proofErr w:type="spellStart"/>
      <w:r w:rsidRPr="00960563">
        <w:rPr>
          <w:rFonts w:ascii="Arial" w:hAnsi="Arial" w:cs="Arial"/>
        </w:rPr>
        <w:t>doi:https</w:t>
      </w:r>
      <w:proofErr w:type="spellEnd"/>
      <w:r w:rsidRPr="00960563">
        <w:rPr>
          <w:rFonts w:ascii="Arial" w:hAnsi="Arial" w:cs="Arial"/>
        </w:rPr>
        <w:t>://doi.org/10.1016/j.copsyc.2018.02.016.</w:t>
      </w:r>
    </w:p>
    <w:p w14:paraId="76BB68A9" w14:textId="77777777" w:rsidR="00960563" w:rsidRPr="00960563" w:rsidRDefault="00960563" w:rsidP="00960563">
      <w:pPr>
        <w:pStyle w:val="ListParagraph"/>
        <w:numPr>
          <w:ilvl w:val="0"/>
          <w:numId w:val="1"/>
        </w:numPr>
        <w:rPr>
          <w:rFonts w:ascii="Arial" w:hAnsi="Arial" w:cs="Arial"/>
        </w:rPr>
      </w:pPr>
      <w:r w:rsidRPr="00960563">
        <w:rPr>
          <w:rFonts w:ascii="Arial" w:hAnsi="Arial" w:cs="Arial"/>
        </w:rPr>
        <w:t xml:space="preserve">Michael Bradley, J. and Cafferty, T.P. (2001). Attachment among older adults: Current issues and directions for future research. Attachment &amp; Human Development, 3(2), pp.200–221. </w:t>
      </w:r>
      <w:proofErr w:type="spellStart"/>
      <w:r w:rsidRPr="00960563">
        <w:rPr>
          <w:rFonts w:ascii="Arial" w:hAnsi="Arial" w:cs="Arial"/>
        </w:rPr>
        <w:t>doi:https</w:t>
      </w:r>
      <w:proofErr w:type="spellEnd"/>
      <w:r w:rsidRPr="00960563">
        <w:rPr>
          <w:rFonts w:ascii="Arial" w:hAnsi="Arial" w:cs="Arial"/>
        </w:rPr>
        <w:t>://doi.org/10.1080/14616730126485.</w:t>
      </w:r>
    </w:p>
    <w:p w14:paraId="0EAB1A1A" w14:textId="77777777" w:rsidR="00960563" w:rsidRPr="00960563" w:rsidRDefault="00960563" w:rsidP="00960563">
      <w:pPr>
        <w:pStyle w:val="ListParagraph"/>
        <w:numPr>
          <w:ilvl w:val="0"/>
          <w:numId w:val="1"/>
        </w:numPr>
        <w:rPr>
          <w:rFonts w:ascii="Arial" w:hAnsi="Arial" w:cs="Arial"/>
        </w:rPr>
      </w:pPr>
      <w:r w:rsidRPr="00960563">
        <w:rPr>
          <w:rFonts w:ascii="Arial" w:hAnsi="Arial" w:cs="Arial"/>
        </w:rPr>
        <w:t xml:space="preserve">Milberg, A. and Friedrichsen, M. (2017). Attachment figures when death is approaching: a study applying attachment theory to adult patients’ and family members’ experiences during palliative home care. Supportive Care in Cancer, 25(7), pp.2267–2274. </w:t>
      </w:r>
      <w:proofErr w:type="spellStart"/>
      <w:r w:rsidRPr="00960563">
        <w:rPr>
          <w:rFonts w:ascii="Arial" w:hAnsi="Arial" w:cs="Arial"/>
        </w:rPr>
        <w:t>doi:https</w:t>
      </w:r>
      <w:proofErr w:type="spellEnd"/>
      <w:r w:rsidRPr="00960563">
        <w:rPr>
          <w:rFonts w:ascii="Arial" w:hAnsi="Arial" w:cs="Arial"/>
        </w:rPr>
        <w:t>://doi.org/10.1007/s00520-017-3634-7.</w:t>
      </w:r>
    </w:p>
    <w:p w14:paraId="551510EA" w14:textId="77777777" w:rsidR="00960563" w:rsidRPr="00960563" w:rsidRDefault="00960563" w:rsidP="00960563">
      <w:pPr>
        <w:pStyle w:val="ListParagraph"/>
        <w:numPr>
          <w:ilvl w:val="0"/>
          <w:numId w:val="1"/>
        </w:numPr>
        <w:rPr>
          <w:rFonts w:ascii="Arial" w:hAnsi="Arial" w:cs="Arial"/>
        </w:rPr>
      </w:pPr>
      <w:r w:rsidRPr="00960563">
        <w:rPr>
          <w:rFonts w:ascii="Arial" w:hAnsi="Arial" w:cs="Arial"/>
        </w:rPr>
        <w:t>Neher, A. (1991). Maslow’s Theory of Motivation. Journal of Humanistic Psychology, 31(3), pp.89–112.</w:t>
      </w:r>
    </w:p>
    <w:p w14:paraId="2436C710" w14:textId="77777777" w:rsidR="00960563" w:rsidRPr="00960563" w:rsidRDefault="00960563" w:rsidP="00960563">
      <w:pPr>
        <w:pStyle w:val="ListParagraph"/>
        <w:numPr>
          <w:ilvl w:val="0"/>
          <w:numId w:val="1"/>
        </w:numPr>
        <w:rPr>
          <w:rFonts w:ascii="Arial" w:hAnsi="Arial" w:cs="Arial"/>
        </w:rPr>
      </w:pPr>
      <w:proofErr w:type="spellStart"/>
      <w:r w:rsidRPr="00960563">
        <w:rPr>
          <w:rFonts w:ascii="Arial" w:hAnsi="Arial" w:cs="Arial"/>
        </w:rPr>
        <w:t>Platts</w:t>
      </w:r>
      <w:proofErr w:type="spellEnd"/>
      <w:r w:rsidRPr="00960563">
        <w:rPr>
          <w:rFonts w:ascii="Arial" w:hAnsi="Arial" w:cs="Arial"/>
        </w:rPr>
        <w:t xml:space="preserve">, L.G., </w:t>
      </w:r>
      <w:proofErr w:type="spellStart"/>
      <w:r w:rsidRPr="00960563">
        <w:rPr>
          <w:rFonts w:ascii="Arial" w:hAnsi="Arial" w:cs="Arial"/>
        </w:rPr>
        <w:t>Alm</w:t>
      </w:r>
      <w:proofErr w:type="spellEnd"/>
      <w:r w:rsidRPr="00960563">
        <w:rPr>
          <w:rFonts w:ascii="Arial" w:hAnsi="Arial" w:cs="Arial"/>
        </w:rPr>
        <w:t xml:space="preserve"> </w:t>
      </w:r>
      <w:proofErr w:type="spellStart"/>
      <w:r w:rsidRPr="00960563">
        <w:rPr>
          <w:rFonts w:ascii="Arial" w:hAnsi="Arial" w:cs="Arial"/>
        </w:rPr>
        <w:t>Norbrian</w:t>
      </w:r>
      <w:proofErr w:type="spellEnd"/>
      <w:r w:rsidRPr="00960563">
        <w:rPr>
          <w:rFonts w:ascii="Arial" w:hAnsi="Arial" w:cs="Arial"/>
        </w:rPr>
        <w:t xml:space="preserve">, A. and Frick, M.A. (2022). Attachment in older adults is stably associated with health and quality of life: findings from a 14-year follow-up of the Whitehall II study. Aging &amp; Mental Health, 27(9), pp.1–8. </w:t>
      </w:r>
      <w:proofErr w:type="spellStart"/>
      <w:r w:rsidRPr="00960563">
        <w:rPr>
          <w:rFonts w:ascii="Arial" w:hAnsi="Arial" w:cs="Arial"/>
        </w:rPr>
        <w:t>doi:https</w:t>
      </w:r>
      <w:proofErr w:type="spellEnd"/>
      <w:r w:rsidRPr="00960563">
        <w:rPr>
          <w:rFonts w:ascii="Arial" w:hAnsi="Arial" w:cs="Arial"/>
        </w:rPr>
        <w:t>://doi.org/10.1080/13607863.2022.2148157.</w:t>
      </w:r>
    </w:p>
    <w:p w14:paraId="647F736C" w14:textId="77777777" w:rsidR="00960563" w:rsidRPr="00960563" w:rsidRDefault="00960563" w:rsidP="00960563">
      <w:pPr>
        <w:pStyle w:val="ListParagraph"/>
        <w:numPr>
          <w:ilvl w:val="0"/>
          <w:numId w:val="1"/>
        </w:numPr>
        <w:rPr>
          <w:rFonts w:ascii="Arial" w:hAnsi="Arial" w:cs="Arial"/>
        </w:rPr>
      </w:pPr>
      <w:r w:rsidRPr="00960563">
        <w:rPr>
          <w:rFonts w:ascii="Arial" w:hAnsi="Arial" w:cs="Arial"/>
        </w:rPr>
        <w:t xml:space="preserve">Rodway, C. and Spencer, R. (2025). Attachment in Old Age: A Fundamental Pillar for Public Health and Wellbeing. International Journal of Public Health, 70. </w:t>
      </w:r>
      <w:proofErr w:type="spellStart"/>
      <w:r w:rsidRPr="00960563">
        <w:rPr>
          <w:rFonts w:ascii="Arial" w:hAnsi="Arial" w:cs="Arial"/>
        </w:rPr>
        <w:t>doi:https</w:t>
      </w:r>
      <w:proofErr w:type="spellEnd"/>
      <w:r w:rsidRPr="00960563">
        <w:rPr>
          <w:rFonts w:ascii="Arial" w:hAnsi="Arial" w:cs="Arial"/>
        </w:rPr>
        <w:t>://doi.org/10.3389/ijph.2025.1607770.</w:t>
      </w:r>
    </w:p>
    <w:p w14:paraId="22D90444" w14:textId="087BE26F" w:rsidR="00410EB3" w:rsidRPr="00960563" w:rsidRDefault="00960563" w:rsidP="00960563">
      <w:pPr>
        <w:pStyle w:val="ListParagraph"/>
        <w:numPr>
          <w:ilvl w:val="0"/>
          <w:numId w:val="1"/>
        </w:numPr>
        <w:rPr>
          <w:rFonts w:ascii="Arial" w:hAnsi="Arial" w:cs="Arial"/>
        </w:rPr>
      </w:pPr>
      <w:r w:rsidRPr="00960563">
        <w:rPr>
          <w:rFonts w:ascii="Arial" w:hAnsi="Arial" w:cs="Arial"/>
        </w:rPr>
        <w:t xml:space="preserve">Zhang, T., Liu, Y., Wang, Y., Li, C., Yang, X., Tian, L., Wu, Y., Lin, L. and Li, H. (2022). Quality indicators for the care of older adults with disabilities in long-term care facilities based on Maslow’s hierarchy of needs. International Journal of Nursing Sciences, 9(4). </w:t>
      </w:r>
      <w:proofErr w:type="spellStart"/>
      <w:r w:rsidRPr="00960563">
        <w:rPr>
          <w:rFonts w:ascii="Arial" w:hAnsi="Arial" w:cs="Arial"/>
        </w:rPr>
        <w:t>doi:https</w:t>
      </w:r>
      <w:proofErr w:type="spellEnd"/>
      <w:r w:rsidRPr="00960563">
        <w:rPr>
          <w:rFonts w:ascii="Arial" w:hAnsi="Arial" w:cs="Arial"/>
        </w:rPr>
        <w:t>://doi.org/10.1016/j.ijnss.2022.09.012.</w:t>
      </w:r>
    </w:p>
    <w:sectPr w:rsidR="00410EB3" w:rsidRPr="00960563">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Aptos">
    <w:panose1 w:val="020B0004020202020204"/>
    <w:charset w:val="00"/>
    <w:family w:val="swiss"/>
    <w:pitch w:val="variable"/>
    <w:sig w:usb0="20000287" w:usb1="00000003"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rial">
    <w:panose1 w:val="020B0604020202020204"/>
    <w:charset w:val="00"/>
    <w:family w:val="swiss"/>
    <w:pitch w:val="variable"/>
    <w:sig w:usb0="E0002AFF" w:usb1="C0007843"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0A82CDB"/>
    <w:multiLevelType w:val="hybridMultilevel"/>
    <w:tmpl w:val="0B16AE9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27751661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72"/>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82E1B"/>
    <w:rsid w:val="00303F33"/>
    <w:rsid w:val="00410EB3"/>
    <w:rsid w:val="004E0008"/>
    <w:rsid w:val="00520149"/>
    <w:rsid w:val="00531DC7"/>
    <w:rsid w:val="00582E1B"/>
    <w:rsid w:val="0061221C"/>
    <w:rsid w:val="0064078C"/>
    <w:rsid w:val="006B6E99"/>
    <w:rsid w:val="00723034"/>
    <w:rsid w:val="009166D6"/>
    <w:rsid w:val="00960563"/>
    <w:rsid w:val="00A0218F"/>
    <w:rsid w:val="00A83A6C"/>
    <w:rsid w:val="00B526E0"/>
    <w:rsid w:val="00BA1B3C"/>
    <w:rsid w:val="00C0609F"/>
    <w:rsid w:val="00C36C62"/>
    <w:rsid w:val="00C43662"/>
    <w:rsid w:val="00DE446E"/>
    <w:rsid w:val="00E471AE"/>
    <w:rsid w:val="00FB3D75"/>
    <w:rsid w:val="00FF2EB3"/>
    <w:rsid w:val="00FF4D4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DCD60F0"/>
  <w15:chartTrackingRefBased/>
  <w15:docId w15:val="{25E47177-FAF4-44BE-9EEC-E0BEDFD83E4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582E1B"/>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582E1B"/>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582E1B"/>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582E1B"/>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582E1B"/>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582E1B"/>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582E1B"/>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582E1B"/>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582E1B"/>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82E1B"/>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582E1B"/>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582E1B"/>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582E1B"/>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582E1B"/>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582E1B"/>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582E1B"/>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582E1B"/>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582E1B"/>
    <w:rPr>
      <w:rFonts w:eastAsiaTheme="majorEastAsia" w:cstheme="majorBidi"/>
      <w:color w:val="272727" w:themeColor="text1" w:themeTint="D8"/>
    </w:rPr>
  </w:style>
  <w:style w:type="paragraph" w:styleId="Title">
    <w:name w:val="Title"/>
    <w:basedOn w:val="Normal"/>
    <w:next w:val="Normal"/>
    <w:link w:val="TitleChar"/>
    <w:uiPriority w:val="10"/>
    <w:qFormat/>
    <w:rsid w:val="00582E1B"/>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582E1B"/>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582E1B"/>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582E1B"/>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582E1B"/>
    <w:pPr>
      <w:spacing w:before="160"/>
      <w:jc w:val="center"/>
    </w:pPr>
    <w:rPr>
      <w:i/>
      <w:iCs/>
      <w:color w:val="404040" w:themeColor="text1" w:themeTint="BF"/>
    </w:rPr>
  </w:style>
  <w:style w:type="character" w:customStyle="1" w:styleId="QuoteChar">
    <w:name w:val="Quote Char"/>
    <w:basedOn w:val="DefaultParagraphFont"/>
    <w:link w:val="Quote"/>
    <w:uiPriority w:val="29"/>
    <w:rsid w:val="00582E1B"/>
    <w:rPr>
      <w:i/>
      <w:iCs/>
      <w:color w:val="404040" w:themeColor="text1" w:themeTint="BF"/>
    </w:rPr>
  </w:style>
  <w:style w:type="paragraph" w:styleId="ListParagraph">
    <w:name w:val="List Paragraph"/>
    <w:basedOn w:val="Normal"/>
    <w:uiPriority w:val="34"/>
    <w:qFormat/>
    <w:rsid w:val="00582E1B"/>
    <w:pPr>
      <w:ind w:left="720"/>
      <w:contextualSpacing/>
    </w:pPr>
  </w:style>
  <w:style w:type="character" w:styleId="IntenseEmphasis">
    <w:name w:val="Intense Emphasis"/>
    <w:basedOn w:val="DefaultParagraphFont"/>
    <w:uiPriority w:val="21"/>
    <w:qFormat/>
    <w:rsid w:val="00582E1B"/>
    <w:rPr>
      <w:i/>
      <w:iCs/>
      <w:color w:val="0F4761" w:themeColor="accent1" w:themeShade="BF"/>
    </w:rPr>
  </w:style>
  <w:style w:type="paragraph" w:styleId="IntenseQuote">
    <w:name w:val="Intense Quote"/>
    <w:basedOn w:val="Normal"/>
    <w:next w:val="Normal"/>
    <w:link w:val="IntenseQuoteChar"/>
    <w:uiPriority w:val="30"/>
    <w:qFormat/>
    <w:rsid w:val="00582E1B"/>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582E1B"/>
    <w:rPr>
      <w:i/>
      <w:iCs/>
      <w:color w:val="0F4761" w:themeColor="accent1" w:themeShade="BF"/>
    </w:rPr>
  </w:style>
  <w:style w:type="character" w:styleId="IntenseReference">
    <w:name w:val="Intense Reference"/>
    <w:basedOn w:val="DefaultParagraphFont"/>
    <w:uiPriority w:val="32"/>
    <w:qFormat/>
    <w:rsid w:val="00582E1B"/>
    <w:rPr>
      <w:b/>
      <w:bCs/>
      <w:smallCaps/>
      <w:color w:val="0F4761" w:themeColor="accent1" w:themeShade="BF"/>
      <w:spacing w:val="5"/>
    </w:rPr>
  </w:style>
  <w:style w:type="character" w:styleId="Hyperlink">
    <w:name w:val="Hyperlink"/>
    <w:basedOn w:val="DefaultParagraphFont"/>
    <w:uiPriority w:val="99"/>
    <w:unhideWhenUsed/>
    <w:rsid w:val="00582E1B"/>
    <w:rPr>
      <w:color w:val="467886" w:themeColor="hyperlink"/>
      <w:u w:val="single"/>
    </w:rPr>
  </w:style>
  <w:style w:type="character" w:styleId="UnresolvedMention">
    <w:name w:val="Unresolved Mention"/>
    <w:basedOn w:val="DefaultParagraphFont"/>
    <w:uiPriority w:val="99"/>
    <w:semiHidden/>
    <w:unhideWhenUsed/>
    <w:rsid w:val="00582E1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insight.cumbria.ac.uk/id/eprint/2942/" TargetMode="External"/><Relationship Id="rId3" Type="http://schemas.openxmlformats.org/officeDocument/2006/relationships/settings" Target="settings.xml"/><Relationship Id="rId7" Type="http://schemas.openxmlformats.org/officeDocument/2006/relationships/hyperlink" Target="https://doi.org/10.1192/bjp.bp.115.179622"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doi.org/10.1093/bjsw/bcac091" TargetMode="External"/><Relationship Id="rId5" Type="http://schemas.openxmlformats.org/officeDocument/2006/relationships/hyperlink" Target="https://doi.org/10.1080/14616730701711540" TargetMode="Externa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5</Pages>
  <Words>2057</Words>
  <Characters>11729</Characters>
  <Application>Microsoft Office Word</Application>
  <DocSecurity>0</DocSecurity>
  <Lines>97</Lines>
  <Paragraphs>27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13759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Oyinkansola Jacobs</dc:creator>
  <cp:keywords/>
  <dc:description/>
  <cp:lastModifiedBy>Oyinkansola Jacobs</cp:lastModifiedBy>
  <cp:revision>2</cp:revision>
  <dcterms:created xsi:type="dcterms:W3CDTF">2026-04-20T22:25:00Z</dcterms:created>
  <dcterms:modified xsi:type="dcterms:W3CDTF">2026-04-20T22:25:00Z</dcterms:modified>
</cp:coreProperties>
</file>