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r>
        <w:rPr>
          <w:sz w:val="28"/>
          <w:szCs w:val="28"/>
        </w:rPr>
        <w:drawing>
          <wp:inline distT="0" distB="0" distL="0" distR="0">
            <wp:extent cx="5735955" cy="2843530"/>
            <wp:effectExtent l="0" t="0" r="9525" b="6350"/>
            <wp:docPr id="1"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up of a sign&#10;&#10;Description automatically generated"/>
                    <pic:cNvPicPr preferRelativeResize="0"/>
                  </pic:nvPicPr>
                  <pic:blipFill>
                    <a:blip r:embed="rId4"/>
                    <a:srcRect/>
                    <a:stretch>
                      <a:fillRect/>
                    </a:stretch>
                  </pic:blipFill>
                  <pic:spPr>
                    <a:xfrm>
                      <a:off x="0" y="0"/>
                      <a:ext cx="5736580" cy="2843954"/>
                    </a:xfrm>
                    <a:prstGeom prst="rect">
                      <a:avLst/>
                    </a:prstGeom>
                  </pic:spPr>
                </pic:pic>
              </a:graphicData>
            </a:graphic>
          </wp:inline>
        </w:drawing>
      </w:r>
    </w:p>
    <w:p>
      <w:pPr>
        <w:rPr>
          <w:rFonts w:hint="default"/>
        </w:rPr>
      </w:pPr>
    </w:p>
    <w:p>
      <w:pPr>
        <w:rPr>
          <w:rFonts w:hint="default"/>
          <w:sz w:val="48"/>
          <w:szCs w:val="48"/>
          <w:rtl w:val="0"/>
          <w:lang w:val="en-IN"/>
        </w:rPr>
      </w:pPr>
      <w:r>
        <w:rPr>
          <w:rFonts w:hint="default"/>
          <w:sz w:val="48"/>
          <w:szCs w:val="48"/>
          <w:rtl w:val="0"/>
          <w:lang w:val="en-IN"/>
        </w:rPr>
        <w:t xml:space="preserve"> </w:t>
      </w:r>
    </w:p>
    <w:p>
      <w:pPr>
        <w:rPr>
          <w:rFonts w:hint="default"/>
          <w:sz w:val="48"/>
          <w:szCs w:val="48"/>
          <w:rtl w:val="0"/>
          <w:lang w:val="en-IN"/>
        </w:rPr>
      </w:pPr>
    </w:p>
    <w:p>
      <w:pPr>
        <w:rPr>
          <w:rFonts w:hint="default"/>
          <w:sz w:val="48"/>
          <w:szCs w:val="48"/>
          <w:rtl w:val="0"/>
          <w:lang w:val="en-IN"/>
        </w:rPr>
      </w:pPr>
    </w:p>
    <w:p>
      <w:pPr>
        <w:rPr>
          <w:rFonts w:hint="default"/>
          <w:sz w:val="48"/>
          <w:szCs w:val="48"/>
          <w:rtl w:val="0"/>
          <w:lang w:val="en-IN"/>
        </w:rPr>
      </w:pPr>
      <w:r>
        <w:rPr>
          <w:rFonts w:hint="default"/>
          <w:sz w:val="48"/>
          <w:szCs w:val="48"/>
          <w:rtl w:val="0"/>
          <w:lang w:val="en-IN"/>
        </w:rPr>
        <w:t>Name: Bingi Rajeshwari</w:t>
      </w:r>
    </w:p>
    <w:p>
      <w:pPr>
        <w:rPr>
          <w:rFonts w:hint="default"/>
          <w:sz w:val="48"/>
          <w:szCs w:val="48"/>
          <w:rtl w:val="0"/>
          <w:lang w:val="en-IN"/>
        </w:rPr>
      </w:pPr>
      <w:r>
        <w:rPr>
          <w:rFonts w:hint="default"/>
          <w:sz w:val="48"/>
          <w:szCs w:val="48"/>
          <w:rtl w:val="0"/>
          <w:lang w:val="en-IN"/>
        </w:rPr>
        <w:t>Student Id: 2229271</w:t>
      </w:r>
    </w:p>
    <w:p>
      <w:pPr>
        <w:rPr>
          <w:rFonts w:hint="default"/>
          <w:sz w:val="48"/>
          <w:szCs w:val="48"/>
          <w:rtl w:val="0"/>
          <w:lang w:val="en-IN"/>
        </w:rPr>
      </w:pPr>
      <w:r>
        <w:rPr>
          <w:rFonts w:hint="default"/>
          <w:sz w:val="48"/>
          <w:szCs w:val="48"/>
          <w:rtl w:val="0"/>
          <w:lang w:val="en-IN"/>
        </w:rPr>
        <w:t>Module: Community Engagement</w:t>
      </w:r>
    </w:p>
    <w:p>
      <w:pPr>
        <w:rPr>
          <w:rFonts w:hint="default"/>
          <w:sz w:val="48"/>
          <w:szCs w:val="48"/>
          <w:rtl w:val="0"/>
          <w:lang w:val="en-IN"/>
        </w:rPr>
      </w:pPr>
      <w:r>
        <w:rPr>
          <w:rFonts w:hint="default"/>
          <w:sz w:val="48"/>
          <w:szCs w:val="48"/>
          <w:rtl w:val="0"/>
          <w:lang w:val="en-IN"/>
        </w:rPr>
        <w:t>Module Code: (LCBB4002)</w:t>
      </w:r>
    </w:p>
    <w:p>
      <w:pPr>
        <w:rPr>
          <w:rFonts w:hint="default"/>
          <w:sz w:val="48"/>
          <w:szCs w:val="48"/>
          <w:rtl w:val="0"/>
          <w:lang w:val="en-IN"/>
        </w:rPr>
      </w:pPr>
      <w:r>
        <w:rPr>
          <w:rFonts w:hint="default"/>
          <w:sz w:val="48"/>
          <w:szCs w:val="48"/>
          <w:rtl w:val="0"/>
          <w:lang w:val="en-IN"/>
        </w:rPr>
        <w:t xml:space="preserve">Module Coordinator: Dr Molly Jack </w:t>
      </w:r>
    </w:p>
    <w:p>
      <w:pPr>
        <w:rPr>
          <w:rFonts w:hint="default"/>
          <w:sz w:val="48"/>
          <w:szCs w:val="48"/>
          <w:rtl w:val="0"/>
          <w:lang w:val="en-IN"/>
        </w:rPr>
      </w:pPr>
      <w:r>
        <w:rPr>
          <w:rFonts w:hint="default"/>
          <w:sz w:val="48"/>
          <w:szCs w:val="48"/>
          <w:rtl w:val="0"/>
          <w:lang w:val="en-IN"/>
        </w:rPr>
        <w:t xml:space="preserve">Coursework: Reflective Evaluation (Report) of </w:t>
      </w:r>
      <w:r>
        <w:rPr>
          <w:sz w:val="48"/>
          <w:szCs w:val="48"/>
          <w:rtl w:val="0"/>
        </w:rPr>
        <w:t>Youth Empowerment and Skills Development Program</w:t>
      </w:r>
      <w:r>
        <w:rPr>
          <w:rFonts w:hint="default"/>
          <w:sz w:val="48"/>
          <w:szCs w:val="48"/>
          <w:rtl w:val="0"/>
          <w:lang w:val="en-IN"/>
        </w:rPr>
        <w:t xml:space="preserve"> </w:t>
      </w:r>
    </w:p>
    <w:p>
      <w:pPr>
        <w:rPr>
          <w:rFonts w:hint="default"/>
          <w:sz w:val="48"/>
          <w:szCs w:val="48"/>
          <w:rtl w:val="0"/>
          <w:lang w:val="en-IN"/>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b/>
          <w:bCs/>
          <w:sz w:val="28"/>
          <w:szCs w:val="28"/>
        </w:rPr>
      </w:pPr>
      <w:r>
        <w:rPr>
          <w:rFonts w:hint="default"/>
          <w:b/>
          <w:bCs/>
          <w:sz w:val="28"/>
          <w:szCs w:val="28"/>
        </w:rPr>
        <w:t>Introduction:</w:t>
      </w:r>
    </w:p>
    <w:p>
      <w:pPr>
        <w:rPr>
          <w:rFonts w:hint="default"/>
          <w:sz w:val="24"/>
          <w:szCs w:val="24"/>
        </w:rPr>
      </w:pPr>
      <w:r>
        <w:rPr>
          <w:rFonts w:hint="default"/>
          <w:sz w:val="24"/>
          <w:szCs w:val="24"/>
        </w:rPr>
        <w:t>In the heart of the Borough of Greenwich, a transformative initiative known as the "Youth Empowerment and Skills Development Program" has emerged as a beacon of hope for the young generation. This dynamic social development project stands as a powerful response to the challenges faced by the youth in the community – challenges that include unemployment, skills deficits, and limited access to opportunities. Recognizing the potential socio-economic consequences of disengaged and marginalized youth, the program takes a proactive approach, equipping young individuals aged 16 to 25 with the tools they need to not only survive but thrive in the modern world.</w:t>
      </w:r>
    </w:p>
    <w:p>
      <w:pPr>
        <w:rPr>
          <w:rFonts w:hint="default"/>
          <w:sz w:val="24"/>
          <w:szCs w:val="24"/>
        </w:rPr>
      </w:pPr>
    </w:p>
    <w:p>
      <w:pPr>
        <w:rPr>
          <w:rFonts w:hint="default"/>
          <w:sz w:val="24"/>
          <w:szCs w:val="24"/>
        </w:rPr>
      </w:pPr>
      <w:r>
        <w:rPr>
          <w:rFonts w:hint="default"/>
          <w:sz w:val="24"/>
          <w:szCs w:val="24"/>
        </w:rPr>
        <w:t>At its core, the program is a testament to the determination of the local community in Greenwich to foster personal growth, employability, and community engagement among its youth. The urgency of addressing pressing issues such as youth unemployment and lack of skills training has spurred the creation of this initiative, which stands as a testament to the power of collaboration and inclusivity. By engaging a wide array of stakeholders, including local government, community organizations, educational institutions, businesses, and most importantly, the youth themselves, the program operates on a holistic approach to empowerment.</w:t>
      </w:r>
    </w:p>
    <w:p>
      <w:pPr>
        <w:rPr>
          <w:rFonts w:hint="default"/>
          <w:sz w:val="24"/>
          <w:szCs w:val="24"/>
        </w:rPr>
      </w:pPr>
    </w:p>
    <w:p>
      <w:pPr>
        <w:rPr>
          <w:rFonts w:hint="default"/>
          <w:sz w:val="24"/>
          <w:szCs w:val="24"/>
        </w:rPr>
      </w:pPr>
      <w:r>
        <w:rPr>
          <w:rFonts w:hint="default"/>
          <w:sz w:val="24"/>
          <w:szCs w:val="24"/>
        </w:rPr>
        <w:t>The "Youth Empowerment and Skills Development Program" paints a vivid picture of a community that has taken a proactive stance in crafting its future. The careful planning and design of the initiative are rooted in comprehensive needs assessment and research, ensuring that the interventions are not only well-informed but also tailored to the unique challenges faced by the youth in Greenwich. The result is a program that seeks to reduce youth unemployment, enhance employability, and boost overall well-being, ultimately nurturing a generation of empowered and resilient individuals.</w:t>
      </w:r>
    </w:p>
    <w:p>
      <w:pPr>
        <w:rPr>
          <w:rFonts w:hint="default"/>
          <w:sz w:val="24"/>
          <w:szCs w:val="24"/>
        </w:rPr>
      </w:pPr>
    </w:p>
    <w:p>
      <w:pPr>
        <w:rPr>
          <w:rFonts w:hint="default"/>
          <w:sz w:val="24"/>
          <w:szCs w:val="24"/>
        </w:rPr>
      </w:pPr>
      <w:r>
        <w:rPr>
          <w:rFonts w:hint="default"/>
          <w:sz w:val="24"/>
          <w:szCs w:val="24"/>
        </w:rPr>
        <w:t>This reflection delves into the various aspects that make this program a success story. From community engagement strategies that bring diverse voices to the forefront, to approaches that prioritize collaboration and mentorship, the program encapsulates lessons that extend far beyond its geographical boundaries. As we explore the program's most active areas, adopted approaches, and the post-project plan for sustained impact, we gain insights into how this initiative has not only changed the lives of its participants but also set a precedent for effective and community-centered development projects.</w:t>
      </w:r>
    </w:p>
    <w:p>
      <w:pPr>
        <w:rPr>
          <w:rFonts w:hint="default"/>
          <w:sz w:val="24"/>
          <w:szCs w:val="24"/>
        </w:rPr>
      </w:pPr>
    </w:p>
    <w:p>
      <w:pPr>
        <w:rPr>
          <w:rFonts w:hint="default"/>
          <w:sz w:val="24"/>
          <w:szCs w:val="24"/>
        </w:rPr>
      </w:pPr>
      <w:r>
        <w:rPr>
          <w:rFonts w:hint="default"/>
          <w:sz w:val="24"/>
          <w:szCs w:val="24"/>
        </w:rPr>
        <w:t xml:space="preserve">In the following sections, we will delve into the key components that have shaped the "Youth Empowerment and Skills Development Program," unraveling the strategies that have made it a shining example of youth empowerment and community engagement. Through inclusive approaches, data-driven decision-making, </w:t>
      </w:r>
    </w:p>
    <w:p>
      <w:pPr>
        <w:rPr>
          <w:rFonts w:hint="default"/>
          <w:sz w:val="24"/>
          <w:szCs w:val="24"/>
        </w:rPr>
      </w:pPr>
    </w:p>
    <w:p>
      <w:pPr>
        <w:rPr>
          <w:rFonts w:hint="default"/>
          <w:sz w:val="24"/>
          <w:szCs w:val="24"/>
        </w:rPr>
      </w:pPr>
    </w:p>
    <w:p>
      <w:pPr>
        <w:rPr>
          <w:rFonts w:hint="default"/>
          <w:sz w:val="24"/>
          <w:szCs w:val="24"/>
        </w:rPr>
      </w:pPr>
    </w:p>
    <w:p>
      <w:pPr>
        <w:rPr>
          <w:rFonts w:hint="default"/>
          <w:sz w:val="24"/>
          <w:szCs w:val="24"/>
        </w:rPr>
      </w:pPr>
    </w:p>
    <w:p>
      <w:pPr>
        <w:rPr>
          <w:rFonts w:hint="default"/>
          <w:sz w:val="24"/>
          <w:szCs w:val="24"/>
        </w:rPr>
      </w:pPr>
      <w:r>
        <w:rPr>
          <w:rFonts w:hint="default"/>
          <w:sz w:val="24"/>
          <w:szCs w:val="24"/>
        </w:rPr>
        <w:t>and a commitment to continuous improvement, this program has charted a course for a brighter future in the Borough of Greenwich and beyond.</w:t>
      </w:r>
    </w:p>
    <w:p>
      <w:pPr>
        <w:rPr>
          <w:rFonts w:hint="default"/>
          <w:sz w:val="24"/>
          <w:szCs w:val="24"/>
        </w:rPr>
      </w:pPr>
    </w:p>
    <w:p>
      <w:pPr>
        <w:rPr>
          <w:rFonts w:hint="default"/>
          <w:sz w:val="24"/>
          <w:szCs w:val="24"/>
          <w:lang w:val="en-IN"/>
        </w:rPr>
      </w:pPr>
      <w:r>
        <w:rPr>
          <w:rFonts w:hint="default"/>
          <w:sz w:val="24"/>
          <w:szCs w:val="24"/>
          <w:lang w:val="en-IN"/>
        </w:rPr>
        <w:tab/>
      </w:r>
    </w:p>
    <w:p>
      <w:pPr>
        <w:rPr>
          <w:rFonts w:hint="default"/>
          <w:b/>
          <w:bCs/>
          <w:sz w:val="28"/>
          <w:szCs w:val="28"/>
          <w:lang w:val="en-IN"/>
        </w:rPr>
      </w:pPr>
      <w:r>
        <w:rPr>
          <w:rFonts w:hint="default"/>
          <w:b/>
          <w:bCs/>
          <w:sz w:val="28"/>
          <w:szCs w:val="28"/>
          <w:lang w:val="en-IN"/>
        </w:rPr>
        <w:t>The Body:</w:t>
      </w:r>
    </w:p>
    <w:p>
      <w:pPr>
        <w:rPr>
          <w:rFonts w:hint="default" w:ascii="Calibri" w:hAnsi="Calibri" w:cs="Calibri"/>
          <w:sz w:val="24"/>
          <w:szCs w:val="24"/>
        </w:rPr>
      </w:pPr>
    </w:p>
    <w:p>
      <w:pPr>
        <w:rPr>
          <w:rFonts w:hint="default" w:ascii="Calibri" w:hAnsi="Calibri"/>
          <w:sz w:val="24"/>
          <w:szCs w:val="24"/>
        </w:rPr>
      </w:pPr>
      <w:r>
        <w:rPr>
          <w:rFonts w:hint="default" w:ascii="Calibri" w:hAnsi="Calibri"/>
          <w:sz w:val="24"/>
          <w:szCs w:val="24"/>
        </w:rPr>
        <w:t>The Youth Empowerment and Skills Program in the Borough of Greenwich stands as a beacon of effective community engagement and holistic youth development. Through active consultation, diverse stakeholder participation, and innovative approaches, the program addresses pressing issues such as youth unemployment and skill gaps. The project's emphasis on inclusivity, data-driven decisions, sustained communication, and collaborative partnerships ensures its relevance and impact. By nurturing a sense of ownership, fostering tailored interventions, and promoting ongoing engagement, the program not only empowers the youth but also contributes to a more resilient, prosperous, and inclusive community. Its best practices and lessons learned offer valuable insights for future projects aiming to create meaningful change.</w:t>
      </w:r>
    </w:p>
    <w:p>
      <w:pPr>
        <w:rPr>
          <w:rFonts w:hint="default" w:ascii="Calibri" w:hAnsi="Calibri"/>
          <w:sz w:val="24"/>
          <w:szCs w:val="24"/>
        </w:rPr>
      </w:pPr>
    </w:p>
    <w:p>
      <w:pPr>
        <w:rPr>
          <w:rFonts w:hint="default"/>
          <w:b/>
          <w:bCs/>
          <w:sz w:val="28"/>
          <w:szCs w:val="28"/>
          <w:lang w:val="en-IN"/>
        </w:rPr>
      </w:pPr>
      <w:r>
        <w:rPr>
          <w:rFonts w:hint="default"/>
          <w:b/>
          <w:bCs/>
          <w:sz w:val="28"/>
          <w:szCs w:val="28"/>
          <w:lang w:val="en-IN"/>
        </w:rPr>
        <w:t>Project Justifications and Aims:</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The program's primary objectives are highly justified considering the pressing issues of youth unemployment, lack of skills training, and limited access to opportunities. The Borough of Greenwich, like many other urban areas, has been grappling with disengaged and marginalized youth, leading to potential socio-economic repercussions. The project strives to bridge these gaps through comprehensive support, mentorship, and skills development. The goals are not only beneficial for the youth but also for the entire community, as an empowered youth population contributes to a more inclusive and prosperous society.</w:t>
      </w:r>
    </w:p>
    <w:p>
      <w:pPr>
        <w:rPr>
          <w:rFonts w:hint="default" w:ascii="Calibri" w:hAnsi="Calibri" w:cs="Calibri"/>
          <w:sz w:val="24"/>
          <w:szCs w:val="24"/>
        </w:rPr>
      </w:pPr>
    </w:p>
    <w:p>
      <w:pPr>
        <w:rPr>
          <w:rFonts w:hint="default"/>
          <w:b/>
          <w:bCs/>
          <w:sz w:val="28"/>
          <w:szCs w:val="28"/>
          <w:lang w:val="en-IN"/>
        </w:rPr>
      </w:pPr>
      <w:r>
        <w:rPr>
          <w:rFonts w:hint="default"/>
          <w:b/>
          <w:bCs/>
          <w:sz w:val="28"/>
          <w:szCs w:val="28"/>
          <w:lang w:val="en-IN"/>
        </w:rPr>
        <w:t>Best Practices of Community Engagement:</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The project demonstrates a commendable approach to</w:t>
      </w:r>
      <w:r>
        <w:rPr>
          <w:rFonts w:hint="default" w:ascii="Calibri" w:hAnsi="Calibri" w:cs="Calibri"/>
          <w:sz w:val="24"/>
          <w:szCs w:val="24"/>
          <w:lang w:val="en-IN"/>
        </w:rPr>
        <w:t xml:space="preserve"> the</w:t>
      </w:r>
      <w:bookmarkStart w:id="0" w:name="_GoBack"/>
      <w:bookmarkEnd w:id="0"/>
      <w:r>
        <w:rPr>
          <w:rFonts w:hint="default" w:ascii="Calibri" w:hAnsi="Calibri" w:cs="Calibri"/>
          <w:sz w:val="24"/>
          <w:szCs w:val="24"/>
        </w:rPr>
        <w:t xml:space="preserve"> community engagement, ensuring that various stakeholders are actively involved in shaping the program. Some best practices include:</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Inclusivity and Participation:</w:t>
      </w:r>
      <w:r>
        <w:rPr>
          <w:rFonts w:hint="default" w:ascii="Calibri" w:hAnsi="Calibri" w:cs="Calibri"/>
          <w:sz w:val="24"/>
          <w:szCs w:val="24"/>
        </w:rPr>
        <w:t xml:space="preserve"> The project's emphasis on involving diverse stakeholders ensures that different perspectives are considered. Involving local government, community organizations, educational institutions, businesses, and, most importantly, the youth themselves, creates a comprehensive and holistic approach to youth empowerment.</w:t>
      </w:r>
    </w:p>
    <w:p>
      <w:pPr>
        <w:rPr>
          <w:rFonts w:hint="default"/>
          <w:b/>
          <w:bCs/>
          <w:sz w:val="28"/>
          <w:szCs w:val="28"/>
          <w:lang w:val="en-IN"/>
        </w:rPr>
      </w:pPr>
    </w:p>
    <w:p>
      <w:pPr>
        <w:rPr>
          <w:rFonts w:hint="default" w:ascii="Calibri" w:hAnsi="Calibri" w:cs="Calibri"/>
          <w:sz w:val="24"/>
          <w:szCs w:val="24"/>
        </w:rPr>
      </w:pPr>
      <w:r>
        <w:rPr>
          <w:rFonts w:hint="default"/>
          <w:b/>
          <w:bCs/>
          <w:sz w:val="28"/>
          <w:szCs w:val="28"/>
          <w:lang w:val="en-IN"/>
        </w:rPr>
        <w:t>Data-Driven Decision Making:</w:t>
      </w:r>
      <w:r>
        <w:rPr>
          <w:rFonts w:hint="default" w:ascii="Calibri" w:hAnsi="Calibri" w:cs="Calibri"/>
          <w:sz w:val="24"/>
          <w:szCs w:val="24"/>
        </w:rPr>
        <w:t xml:space="preserve"> The program's commitment to conducting a comprehensive needs assessment and research is a best practice that ensures interventions are based on real needs and challenges faced by the youth in the community. Data-driven decision-making maximizes the program's impact and relevance.</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Continuous Engagement:</w:t>
      </w:r>
      <w:r>
        <w:rPr>
          <w:rFonts w:hint="default" w:ascii="Calibri" w:hAnsi="Calibri" w:cs="Calibri"/>
          <w:sz w:val="24"/>
          <w:szCs w:val="24"/>
        </w:rPr>
        <w:t xml:space="preserve"> The project's use of various engagement methods, such as town hall meetings, focus groups, surveys, and social media platforms, allows for continuous communication with the community. This approach ensures that the program remains responsive to evolving needs and challenges.</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 xml:space="preserve">Youth-Centric Approach: </w:t>
      </w:r>
      <w:r>
        <w:rPr>
          <w:rFonts w:hint="default" w:ascii="Calibri" w:hAnsi="Calibri" w:cs="Calibri"/>
          <w:sz w:val="24"/>
          <w:szCs w:val="24"/>
        </w:rPr>
        <w:t>By involving the youth in decision-making processes through the Youth Advisory Board and other engagement efforts, the project empowers young individuals and fosters a sense of ownership. This approach also helps create relevant interventions that resonate with the target audience.</w:t>
      </w:r>
    </w:p>
    <w:p>
      <w:pPr>
        <w:rPr>
          <w:rFonts w:hint="default"/>
          <w:b/>
          <w:bCs/>
          <w:sz w:val="28"/>
          <w:szCs w:val="28"/>
          <w:lang w:val="en-IN"/>
        </w:rPr>
      </w:pPr>
    </w:p>
    <w:p>
      <w:pPr>
        <w:rPr>
          <w:rFonts w:hint="default" w:ascii="Calibri" w:hAnsi="Calibri" w:cs="Calibri"/>
          <w:sz w:val="24"/>
          <w:szCs w:val="24"/>
        </w:rPr>
      </w:pPr>
      <w:r>
        <w:rPr>
          <w:rFonts w:hint="default"/>
          <w:b/>
          <w:bCs/>
          <w:sz w:val="28"/>
          <w:szCs w:val="28"/>
          <w:lang w:val="en-IN"/>
        </w:rPr>
        <w:t>Collaborative Partnerships:</w:t>
      </w:r>
      <w:r>
        <w:rPr>
          <w:rFonts w:hint="default" w:ascii="Calibri" w:hAnsi="Calibri" w:cs="Calibri"/>
          <w:sz w:val="24"/>
          <w:szCs w:val="24"/>
        </w:rPr>
        <w:t xml:space="preserve"> Forming partnerships with local government, community organizations, educational institutions, and businesses demonstrates a commitment to holistic and sustainable youth empowerment. Collaborative efforts leverage resources, expertise, and networks for a more impactful initiative.</w:t>
      </w:r>
    </w:p>
    <w:p>
      <w:pPr>
        <w:rPr>
          <w:rFonts w:hint="default" w:ascii="Calibri" w:hAnsi="Calibri" w:cs="Calibri"/>
          <w:sz w:val="24"/>
          <w:szCs w:val="24"/>
        </w:rPr>
      </w:pPr>
    </w:p>
    <w:p>
      <w:pPr>
        <w:rPr>
          <w:rFonts w:hint="default"/>
          <w:b/>
          <w:bCs/>
          <w:sz w:val="28"/>
          <w:szCs w:val="28"/>
          <w:lang w:val="en-IN"/>
        </w:rPr>
      </w:pPr>
      <w:r>
        <w:rPr>
          <w:rFonts w:hint="default"/>
          <w:b/>
          <w:bCs/>
          <w:sz w:val="28"/>
          <w:szCs w:val="28"/>
          <w:lang w:val="en-IN"/>
        </w:rPr>
        <w:t>Reflection and Improvements:</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While the project showcases several best practices, there are some areas that could have been approached differently to potentially enhance its impact:</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 xml:space="preserve">Enhanced Diversity and Inclusion: </w:t>
      </w:r>
      <w:r>
        <w:rPr>
          <w:rFonts w:hint="default" w:ascii="Calibri" w:hAnsi="Calibri" w:cs="Calibri"/>
          <w:sz w:val="24"/>
          <w:szCs w:val="24"/>
        </w:rPr>
        <w:t>While the project engages a wide range of stakeholders, additional efforts could be made to ensure representation from all segments of the community, including marginalized groups, to ensure a truly inclusive approach.</w:t>
      </w:r>
    </w:p>
    <w:p>
      <w:pPr>
        <w:rPr>
          <w:rFonts w:hint="default" w:ascii="Calibri" w:hAnsi="Calibri" w:cs="Calibri"/>
          <w:b/>
          <w:bCs/>
          <w:sz w:val="24"/>
          <w:szCs w:val="24"/>
        </w:rPr>
      </w:pPr>
    </w:p>
    <w:p>
      <w:pPr>
        <w:rPr>
          <w:rFonts w:hint="default" w:ascii="Calibri" w:hAnsi="Calibri" w:cs="Calibri"/>
          <w:sz w:val="24"/>
          <w:szCs w:val="24"/>
        </w:rPr>
      </w:pPr>
      <w:r>
        <w:rPr>
          <w:rFonts w:hint="default"/>
          <w:b/>
          <w:bCs/>
          <w:sz w:val="28"/>
          <w:szCs w:val="28"/>
          <w:lang w:val="en-IN"/>
        </w:rPr>
        <w:t xml:space="preserve">Long-Term Sustainability: </w:t>
      </w:r>
      <w:r>
        <w:rPr>
          <w:rFonts w:hint="default" w:ascii="Calibri" w:hAnsi="Calibri" w:cs="Calibri"/>
          <w:sz w:val="24"/>
          <w:szCs w:val="24"/>
        </w:rPr>
        <w:t>The post-project plan mentions establishing a mentoring network. To further enhance sustainability, the program could also focus on building partnerships with local businesses to provide internship and employment opportunities for program participants.</w:t>
      </w:r>
    </w:p>
    <w:p>
      <w:pPr>
        <w:rPr>
          <w:rFonts w:hint="default"/>
          <w:b/>
          <w:bCs/>
          <w:sz w:val="28"/>
          <w:szCs w:val="28"/>
          <w:lang w:val="en-IN"/>
        </w:rPr>
      </w:pPr>
    </w:p>
    <w:p>
      <w:pPr>
        <w:rPr>
          <w:rFonts w:hint="default" w:ascii="Calibri" w:hAnsi="Calibri" w:cs="Calibri"/>
          <w:sz w:val="24"/>
          <w:szCs w:val="24"/>
        </w:rPr>
      </w:pPr>
      <w:r>
        <w:rPr>
          <w:rFonts w:hint="default"/>
          <w:b/>
          <w:bCs/>
          <w:sz w:val="28"/>
          <w:szCs w:val="28"/>
          <w:lang w:val="en-IN"/>
        </w:rPr>
        <w:t xml:space="preserve">Measurable Impact Indicators: </w:t>
      </w:r>
      <w:r>
        <w:rPr>
          <w:rFonts w:hint="default" w:ascii="Calibri" w:hAnsi="Calibri" w:cs="Calibri"/>
          <w:sz w:val="24"/>
          <w:szCs w:val="24"/>
        </w:rPr>
        <w:t>The project could benefit from establishing clear and measurable impact indicators to assess the effectiveness of the program's interventions. This data-driven approach would provide valuable insights into the program's success and areas for improvement.</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 xml:space="preserve">Evaluation of Social Media Engagement: </w:t>
      </w:r>
      <w:r>
        <w:rPr>
          <w:rFonts w:hint="default" w:ascii="Calibri" w:hAnsi="Calibri" w:cs="Calibri"/>
          <w:sz w:val="24"/>
          <w:szCs w:val="24"/>
        </w:rPr>
        <w:t>While the project leveraged social media platforms for engagement, a detailed evaluation of the impact of these efforts could provide insights into the effectiveness of this approach. Measuring metrics such as reach, engagement rates, and the quality of discussions could inform future strategies.</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Impact of Active Consultation, Communication, Participation, and Collaboration:</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Active consultation, communication, participation, and collaboration have a profound impact on the success of projects like the Youth Empowerment and Skills Program:</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 xml:space="preserve">Engagement Enhances Ownership: </w:t>
      </w:r>
      <w:r>
        <w:rPr>
          <w:rFonts w:hint="default" w:ascii="Calibri" w:hAnsi="Calibri" w:cs="Calibri"/>
          <w:sz w:val="24"/>
          <w:szCs w:val="24"/>
        </w:rPr>
        <w:t>When community members are actively engaged in the decision-making process, they feel a sense of ownership over the program's success. This ownership drives their commitment to the initiative, increasing the chances of its sustained impact.</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 xml:space="preserve">Tailored Interventions: </w:t>
      </w:r>
      <w:r>
        <w:rPr>
          <w:rFonts w:hint="default" w:ascii="Calibri" w:hAnsi="Calibri" w:cs="Calibri"/>
          <w:sz w:val="24"/>
          <w:szCs w:val="24"/>
        </w:rPr>
        <w:t>Involving the community helps identify nuanced needs and challenges. This understanding leads to the development of tailored interventions that directly address the issues faced by the target population, resulting in more meaningful outcomes.</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Diverse Perspectives Lead to Innovation:</w:t>
      </w:r>
      <w:r>
        <w:rPr>
          <w:rFonts w:hint="default" w:ascii="Calibri" w:hAnsi="Calibri" w:cs="Calibri"/>
          <w:sz w:val="24"/>
          <w:szCs w:val="24"/>
        </w:rPr>
        <w:t xml:space="preserve"> Collaborating with a variety of stakeholders brings together diverse perspectives and expertise. This diversity fosters innovative solutions and approaches that might not have been considered otherwise.</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Trust and Credibility:</w:t>
      </w:r>
      <w:r>
        <w:rPr>
          <w:rFonts w:hint="default" w:ascii="Calibri" w:hAnsi="Calibri" w:cs="Calibri"/>
          <w:b/>
          <w:bCs/>
          <w:sz w:val="24"/>
          <w:szCs w:val="24"/>
        </w:rPr>
        <w:t xml:space="preserve"> </w:t>
      </w:r>
      <w:r>
        <w:rPr>
          <w:rFonts w:hint="default" w:ascii="Calibri" w:hAnsi="Calibri" w:cs="Calibri"/>
          <w:sz w:val="24"/>
          <w:szCs w:val="24"/>
        </w:rPr>
        <w:t>Active consultation and transparent communication build trust and credibility within the community. When community members see their input being valued and implemented, they are more likely to engage positively with the program.</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Sustainable Partnerships:</w:t>
      </w:r>
      <w:r>
        <w:rPr>
          <w:rFonts w:hint="default" w:ascii="Calibri" w:hAnsi="Calibri" w:cs="Calibri"/>
          <w:sz w:val="24"/>
          <w:szCs w:val="24"/>
        </w:rPr>
        <w:t xml:space="preserve"> Collaborative partnerships, especially with local businesses and educational institutions, create a network of support that extends beyond the program's duration. These partnerships can lead to further opportunities for skill development, employment, and community engagement.</w:t>
      </w:r>
    </w:p>
    <w:p>
      <w:pPr>
        <w:rPr>
          <w:rFonts w:hint="default" w:ascii="Calibri" w:hAnsi="Calibri" w:cs="Calibri"/>
          <w:sz w:val="24"/>
          <w:szCs w:val="24"/>
        </w:rPr>
      </w:pPr>
    </w:p>
    <w:p>
      <w:pPr>
        <w:rPr>
          <w:rFonts w:hint="default" w:ascii="Calibri" w:hAnsi="Calibri" w:cs="Calibri"/>
          <w:sz w:val="24"/>
          <w:szCs w:val="24"/>
        </w:rPr>
      </w:pPr>
      <w:r>
        <w:rPr>
          <w:rFonts w:hint="default"/>
          <w:b/>
          <w:bCs/>
          <w:sz w:val="28"/>
          <w:szCs w:val="28"/>
          <w:lang w:val="en-IN"/>
        </w:rPr>
        <w:t>Responsive and Relevant Interventions:</w:t>
      </w:r>
      <w:r>
        <w:rPr>
          <w:rFonts w:hint="default" w:ascii="Calibri" w:hAnsi="Calibri" w:cs="Calibri"/>
          <w:sz w:val="24"/>
          <w:szCs w:val="24"/>
        </w:rPr>
        <w:t xml:space="preserve"> Ongoing engagement and communication ensure that the program remains responsive to changing needs and challenges. This adaptability enhances the program's relevance and effectiveness over time.</w:t>
      </w:r>
    </w:p>
    <w:p>
      <w:pPr>
        <w:rPr>
          <w:rFonts w:hint="default" w:ascii="Calibri" w:hAnsi="Calibri" w:cs="Calibri"/>
          <w:sz w:val="24"/>
          <w:szCs w:val="24"/>
        </w:rPr>
      </w:pPr>
    </w:p>
    <w:p>
      <w:pPr>
        <w:rPr>
          <w:rFonts w:hint="default" w:ascii="Calibri" w:hAnsi="Calibri" w:cs="Calibri"/>
          <w:sz w:val="24"/>
          <w:szCs w:val="24"/>
        </w:rPr>
      </w:pPr>
      <w:r>
        <w:rPr>
          <w:rFonts w:hint="default" w:ascii="Calibri" w:hAnsi="Calibri" w:cs="Calibri"/>
          <w:sz w:val="24"/>
          <w:szCs w:val="24"/>
        </w:rPr>
        <w:t>I</w:t>
      </w:r>
      <w:r>
        <w:rPr>
          <w:rFonts w:hint="default" w:ascii="Calibri" w:hAnsi="Calibri" w:cs="Calibri"/>
          <w:sz w:val="24"/>
          <w:szCs w:val="24"/>
          <w:lang w:val="en-IN"/>
        </w:rPr>
        <w:t xml:space="preserve">n </w:t>
      </w:r>
      <w:r>
        <w:rPr>
          <w:rFonts w:hint="default" w:ascii="Calibri" w:hAnsi="Calibri" w:cs="Calibri"/>
          <w:sz w:val="24"/>
          <w:szCs w:val="24"/>
        </w:rPr>
        <w:t xml:space="preserve"> the </w:t>
      </w:r>
      <w:r>
        <w:rPr>
          <w:rFonts w:hint="default" w:ascii="Calibri" w:hAnsi="Calibri" w:cs="Calibri"/>
          <w:sz w:val="24"/>
          <w:szCs w:val="24"/>
          <w:lang w:val="en-IN"/>
        </w:rPr>
        <w:t>end ,</w:t>
      </w:r>
      <w:r>
        <w:rPr>
          <w:rFonts w:hint="default" w:ascii="Calibri" w:hAnsi="Calibri" w:cs="Calibri"/>
          <w:sz w:val="24"/>
          <w:szCs w:val="24"/>
        </w:rPr>
        <w:t>Youth Empowerment and Skills Program in the Borough of Greenwich serves as an inspiring example of effective community engagement, collaboration, and youth empowerment. By adopting inclusive and participatory approaches, the program successfully addresses the challenges faced by young individuals and creates a positive impact on both their personal growth and the community's overall development. Reflecting on lessons learned and potential improvements ensures that future initiatives can build on these successes and make an even more significant difference in the lives of the youth and the community at large.</w:t>
      </w:r>
    </w:p>
    <w:p>
      <w:pPr>
        <w:rPr>
          <w:rFonts w:hint="default" w:ascii="Calibri" w:hAnsi="Calibri" w:cs="Calibri"/>
          <w:sz w:val="24"/>
          <w:szCs w:val="24"/>
        </w:rPr>
      </w:pPr>
    </w:p>
    <w:p>
      <w:pPr>
        <w:rPr>
          <w:rFonts w:hint="default"/>
          <w:lang w:val="en-IN"/>
        </w:rPr>
      </w:pPr>
    </w:p>
    <w:p>
      <w:pPr>
        <w:rPr>
          <w:rFonts w:hint="default"/>
          <w:b/>
          <w:bCs/>
          <w:sz w:val="28"/>
          <w:szCs w:val="28"/>
          <w:lang w:val="en-IN"/>
        </w:rPr>
      </w:pPr>
    </w:p>
    <w:p>
      <w:pPr>
        <w:rPr>
          <w:rFonts w:hint="default"/>
          <w:b/>
          <w:bCs/>
          <w:sz w:val="28"/>
          <w:szCs w:val="28"/>
          <w:lang w:val="en-IN"/>
        </w:rPr>
      </w:pPr>
    </w:p>
    <w:p>
      <w:pPr>
        <w:rPr>
          <w:rFonts w:hint="default"/>
          <w:b/>
          <w:bCs/>
          <w:sz w:val="28"/>
          <w:szCs w:val="28"/>
          <w:lang w:val="en-IN"/>
        </w:rPr>
      </w:pPr>
      <w:r>
        <w:rPr>
          <w:rFonts w:hint="default"/>
          <w:b/>
          <w:bCs/>
          <w:sz w:val="28"/>
          <w:szCs w:val="28"/>
          <w:lang w:val="en-IN"/>
        </w:rPr>
        <w:t>Conclusion:</w:t>
      </w:r>
    </w:p>
    <w:p>
      <w:pPr>
        <w:rPr>
          <w:rFonts w:hint="default"/>
          <w:lang w:val="en-IN"/>
        </w:rPr>
      </w:pPr>
    </w:p>
    <w:p>
      <w:pPr>
        <w:rPr>
          <w:rFonts w:hint="default"/>
          <w:sz w:val="24"/>
          <w:szCs w:val="24"/>
          <w:lang w:val="en-IN"/>
        </w:rPr>
      </w:pPr>
      <w:r>
        <w:rPr>
          <w:rFonts w:hint="default"/>
          <w:sz w:val="24"/>
          <w:szCs w:val="24"/>
          <w:lang w:val="en-IN"/>
        </w:rPr>
        <w:t>The community engagement process undertaken by the "Youth Empowerment and Skills Development Program" in the Borough of Greenwich encapsulates a dynamic and holistic approach to fostering positive change. This endeavor, driven by the collaboration of diverse stakeholders and the active participation of the youth, exemplifies the power of effective community engagement in addressing pressing challenges and nurturing a brighter future.</w:t>
      </w:r>
    </w:p>
    <w:p>
      <w:pPr>
        <w:rPr>
          <w:rFonts w:hint="default"/>
          <w:sz w:val="24"/>
          <w:szCs w:val="24"/>
          <w:lang w:val="en-IN"/>
        </w:rPr>
      </w:pPr>
    </w:p>
    <w:p>
      <w:pPr>
        <w:rPr>
          <w:rFonts w:hint="default"/>
          <w:sz w:val="24"/>
          <w:szCs w:val="24"/>
          <w:lang w:val="en-IN"/>
        </w:rPr>
      </w:pPr>
      <w:r>
        <w:rPr>
          <w:rFonts w:hint="default"/>
          <w:sz w:val="24"/>
          <w:szCs w:val="24"/>
          <w:lang w:val="en-IN"/>
        </w:rPr>
        <w:t>Throughout this journey, the program has underscored the significance of inclusivity and collaboration. By involving local government, community organizations, educational institutions, businesses, and most importantly, the youth themselves, the program has ensured a comprehensive and well-rounded response to the challenges faced by the community. The multifaceted nature of the program's approach, spanning from vocational training to mentorship and beyond, reflects the depth of its engagement and commitment.</w:t>
      </w:r>
    </w:p>
    <w:p>
      <w:pPr>
        <w:rPr>
          <w:rFonts w:hint="default"/>
          <w:sz w:val="24"/>
          <w:szCs w:val="24"/>
          <w:lang w:val="en-IN"/>
        </w:rPr>
      </w:pPr>
    </w:p>
    <w:p>
      <w:pPr>
        <w:rPr>
          <w:rFonts w:hint="default"/>
          <w:sz w:val="24"/>
          <w:szCs w:val="24"/>
          <w:lang w:val="en-IN"/>
        </w:rPr>
      </w:pPr>
      <w:r>
        <w:rPr>
          <w:rFonts w:hint="default"/>
          <w:sz w:val="24"/>
          <w:szCs w:val="24"/>
          <w:lang w:val="en-IN"/>
        </w:rPr>
        <w:t>The program's success rests on its consultative nature, which has been consistently applied in multiple forms. From town hall meetings that provided open forums for candid conversations, to focus groups that delved into specific segments of the community, and surveys that quantified aspirations, every approach has contributed to a holistic understanding of the community's needs. This data-driven decision-making process has fortified the program's interventions and laid the foundation for targeted solutions.</w:t>
      </w:r>
    </w:p>
    <w:p>
      <w:pPr>
        <w:rPr>
          <w:rFonts w:hint="default"/>
          <w:sz w:val="24"/>
          <w:szCs w:val="24"/>
          <w:lang w:val="en-IN"/>
        </w:rPr>
      </w:pPr>
    </w:p>
    <w:p>
      <w:pPr>
        <w:rPr>
          <w:rFonts w:hint="default"/>
          <w:sz w:val="24"/>
          <w:szCs w:val="24"/>
          <w:lang w:val="en-IN"/>
        </w:rPr>
      </w:pPr>
      <w:r>
        <w:rPr>
          <w:rFonts w:hint="default"/>
          <w:sz w:val="24"/>
          <w:szCs w:val="24"/>
          <w:lang w:val="en-IN"/>
        </w:rPr>
        <w:t>The establishment of a Youth Advisory Board emerged as a pinnacle of the program's commitment to youth-centric engagement. By giving young individuals a platform to share their perspectives, co-design interventions, and lead discussions, the program has empowered them to take ownership of their own development journey. This approach not only empowers the youth but also nurtures future leaders who are invested in their community's growth.</w:t>
      </w:r>
    </w:p>
    <w:p>
      <w:pPr>
        <w:rPr>
          <w:rFonts w:hint="default"/>
          <w:sz w:val="24"/>
          <w:szCs w:val="24"/>
          <w:lang w:val="en-IN"/>
        </w:rPr>
      </w:pPr>
    </w:p>
    <w:p>
      <w:pPr>
        <w:rPr>
          <w:rFonts w:hint="default"/>
          <w:sz w:val="24"/>
          <w:szCs w:val="24"/>
          <w:lang w:val="en-IN"/>
        </w:rPr>
      </w:pPr>
      <w:r>
        <w:rPr>
          <w:rFonts w:hint="default"/>
          <w:sz w:val="24"/>
          <w:szCs w:val="24"/>
          <w:lang w:val="en-IN"/>
        </w:rPr>
        <w:t xml:space="preserve">The program's approach to mapping the community and harnessing the potential of social media platforms has further amplified its impact. The methodical research ensured that interventions were tailored to specific challenges faced by different segments of the community. The use of social media platforms facilitated </w:t>
      </w:r>
    </w:p>
    <w:p>
      <w:pPr>
        <w:rPr>
          <w:rFonts w:hint="default"/>
          <w:sz w:val="24"/>
          <w:szCs w:val="24"/>
          <w:lang w:val="en-IN"/>
        </w:rPr>
      </w:pPr>
    </w:p>
    <w:p>
      <w:pPr>
        <w:rPr>
          <w:rFonts w:hint="default"/>
          <w:sz w:val="24"/>
          <w:szCs w:val="24"/>
          <w:lang w:val="en-IN"/>
        </w:rPr>
      </w:pPr>
      <w:r>
        <w:rPr>
          <w:rFonts w:hint="default"/>
          <w:sz w:val="24"/>
          <w:szCs w:val="24"/>
          <w:lang w:val="en-IN"/>
        </w:rPr>
        <w:t>communication, dissemination of information, and broader participation, enabling the program to engage a wider audience and share its progress in real time.</w:t>
      </w:r>
    </w:p>
    <w:p>
      <w:pPr>
        <w:rPr>
          <w:rFonts w:hint="default"/>
          <w:sz w:val="24"/>
          <w:szCs w:val="24"/>
          <w:lang w:val="en-IN"/>
        </w:rPr>
      </w:pPr>
    </w:p>
    <w:p>
      <w:pPr>
        <w:rPr>
          <w:rFonts w:hint="default"/>
          <w:sz w:val="24"/>
          <w:szCs w:val="24"/>
          <w:lang w:val="en-IN"/>
        </w:rPr>
      </w:pPr>
      <w:r>
        <w:rPr>
          <w:rFonts w:hint="default"/>
          <w:sz w:val="24"/>
          <w:szCs w:val="24"/>
          <w:lang w:val="en-IN"/>
        </w:rPr>
        <w:t>In summary, the "Youth Empowerment and Skills Development Program" in the Borough of Greenwich has masterfully demonstrated the transformative potential of community engagement. By involving stakeholders across various sectors, embracing diversity, nurturing collaboration, and actively involving the youth, the program has created a comprehensive ecosystem of empowerment. The strategies employed, from consultation and communication to multi-agency collaboration, have fostered an environment of inclusion, shared responsibility, and positive change.</w:t>
      </w:r>
    </w:p>
    <w:p>
      <w:pPr>
        <w:rPr>
          <w:rFonts w:hint="default"/>
          <w:sz w:val="24"/>
          <w:szCs w:val="24"/>
          <w:lang w:val="en-IN"/>
        </w:rPr>
      </w:pPr>
    </w:p>
    <w:p>
      <w:pPr>
        <w:rPr>
          <w:rFonts w:hint="default"/>
          <w:sz w:val="24"/>
          <w:szCs w:val="24"/>
          <w:lang w:val="en-IN"/>
        </w:rPr>
      </w:pPr>
      <w:r>
        <w:rPr>
          <w:rFonts w:hint="default"/>
          <w:sz w:val="24"/>
          <w:szCs w:val="24"/>
          <w:lang w:val="en-IN"/>
        </w:rPr>
        <w:t>As the program's impact resonates within the community, it serves as an inspiration for other initiatives seeking to create lasting change. The lessons learned from this endeavor emphasize that the true power of community engagement lies in the unity of purpose, the exchange of diverse perspectives, and the commitment to nurturing the potential of the youth. The journey of the "Youth Empowerment and Skills Development Program" is a testament to the fact that when communities unite for a common cause, the result is a transformative force that paves the way for a brighter, more empowered future.</w:t>
      </w:r>
    </w:p>
    <w:p>
      <w:pPr>
        <w:rPr>
          <w:rFonts w:hint="default"/>
          <w:sz w:val="24"/>
          <w:szCs w:val="24"/>
          <w:lang w:val="en-IN"/>
        </w:rPr>
      </w:pPr>
    </w:p>
    <w:p>
      <w:pPr>
        <w:rPr>
          <w:sz w:val="24"/>
          <w:szCs w:val="24"/>
        </w:rPr>
      </w:pPr>
      <w:r>
        <w:rPr>
          <w:b/>
          <w:bCs/>
          <w:sz w:val="28"/>
          <w:szCs w:val="28"/>
          <w:rtl w:val="0"/>
        </w:rPr>
        <w:t>Reference:</w:t>
      </w:r>
      <w:r>
        <w:rPr>
          <w:sz w:val="28"/>
          <w:szCs w:val="28"/>
          <w:rtl w:val="0"/>
        </w:rPr>
        <w:t xml:space="preserve"> </w:t>
      </w:r>
      <w:r>
        <w:rPr>
          <w:sz w:val="24"/>
          <w:szCs w:val="24"/>
        </w:rPr>
        <w:fldChar w:fldCharType="begin"/>
      </w:r>
      <w:r>
        <w:rPr>
          <w:sz w:val="24"/>
          <w:szCs w:val="24"/>
        </w:rPr>
        <w:instrText xml:space="preserve"> HYPERLINK "https://www.royalgreenwich.gov.uk/" \h </w:instrText>
      </w:r>
      <w:r>
        <w:rPr>
          <w:sz w:val="24"/>
          <w:szCs w:val="24"/>
        </w:rPr>
        <w:fldChar w:fldCharType="separate"/>
      </w:r>
      <w:r>
        <w:rPr>
          <w:color w:val="0563C1"/>
          <w:sz w:val="24"/>
          <w:szCs w:val="24"/>
          <w:u w:val="single"/>
          <w:rtl w:val="0"/>
        </w:rPr>
        <w:t>Homepage | Royal Borough of Greenwich (royalgreenwich.gov.uk)</w:t>
      </w:r>
      <w:r>
        <w:rPr>
          <w:color w:val="0563C1"/>
          <w:sz w:val="24"/>
          <w:szCs w:val="24"/>
          <w:u w:val="single"/>
          <w:rtl w:val="0"/>
        </w:rPr>
        <w:fldChar w:fldCharType="end"/>
      </w:r>
    </w:p>
    <w:p>
      <w:pPr>
        <w:rPr>
          <w:rFonts w:hint="default"/>
          <w:sz w:val="24"/>
          <w:szCs w:val="24"/>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lang w:val="en-IN"/>
        </w:rPr>
      </w:pPr>
    </w:p>
    <w:p>
      <w:pPr>
        <w:rPr>
          <w:rFonts w:hint="default"/>
        </w:rPr>
      </w:pPr>
    </w:p>
    <w:p>
      <w:pPr>
        <w:rPr>
          <w:rFonts w:hint="default"/>
        </w:rPr>
      </w:pPr>
    </w:p>
    <w:p>
      <w:pPr>
        <w:rPr>
          <w:rFonts w:hint="default"/>
        </w:rPr>
      </w:pPr>
    </w:p>
    <w:p>
      <w:pPr>
        <w:rPr>
          <w:rFonts w:hint="default"/>
        </w:rPr>
      </w:pPr>
    </w:p>
    <w:p>
      <w:pPr>
        <w:rPr>
          <w:rFonts w:hint="default"/>
        </w:rPr>
      </w:pPr>
    </w:p>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D1251A4"/>
    <w:rsid w:val="004133FA"/>
    <w:rsid w:val="017B1E7D"/>
    <w:rsid w:val="0D1251A4"/>
    <w:rsid w:val="17B133ED"/>
    <w:rsid w:val="1AD43F9C"/>
    <w:rsid w:val="1B112320"/>
    <w:rsid w:val="1BB42683"/>
    <w:rsid w:val="1E1B62F5"/>
    <w:rsid w:val="21243CEE"/>
    <w:rsid w:val="229A12D1"/>
    <w:rsid w:val="26AA1A7C"/>
    <w:rsid w:val="29144474"/>
    <w:rsid w:val="299A7E41"/>
    <w:rsid w:val="2B15743C"/>
    <w:rsid w:val="2D611200"/>
    <w:rsid w:val="2E274737"/>
    <w:rsid w:val="30837B23"/>
    <w:rsid w:val="3E3D3154"/>
    <w:rsid w:val="442A1B9F"/>
    <w:rsid w:val="45C92336"/>
    <w:rsid w:val="4A7C4FC1"/>
    <w:rsid w:val="4CFA6659"/>
    <w:rsid w:val="57183B71"/>
    <w:rsid w:val="59292657"/>
    <w:rsid w:val="63577E08"/>
    <w:rsid w:val="6EA0700B"/>
    <w:rsid w:val="71032079"/>
    <w:rsid w:val="72966C0C"/>
    <w:rsid w:val="761C5254"/>
    <w:rsid w:val="7B242713"/>
    <w:rsid w:val="7D313D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5">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6">
    <w:name w:val="Strong"/>
    <w:basedOn w:val="3"/>
    <w:qFormat/>
    <w:uiPriority w:val="0"/>
    <w:rPr>
      <w:b/>
      <w:bCs/>
    </w:rPr>
  </w:style>
  <w:style w:type="paragraph" w:customStyle="1" w:styleId="7">
    <w:name w:val="_Style 6"/>
    <w:basedOn w:val="1"/>
    <w:next w:val="1"/>
    <w:uiPriority w:val="0"/>
    <w:pPr>
      <w:pBdr>
        <w:bottom w:val="single" w:color="auto" w:sz="6" w:space="1"/>
      </w:pBdr>
      <w:jc w:val="center"/>
    </w:pPr>
    <w:rPr>
      <w:rFonts w:ascii="Arial" w:eastAsia="SimSun"/>
      <w:vanish/>
      <w:sz w:val="16"/>
    </w:rPr>
  </w:style>
  <w:style w:type="paragraph" w:customStyle="1" w:styleId="8">
    <w:name w:val="_Style 7"/>
    <w:basedOn w:val="1"/>
    <w:next w:val="1"/>
    <w:uiPriority w:val="0"/>
    <w:pPr>
      <w:pBdr>
        <w:top w:val="single" w:color="auto" w:sz="6" w:space="1"/>
      </w:pBdr>
      <w:jc w:val="center"/>
    </w:pPr>
    <w:rPr>
      <w:rFonts w:ascii="Arial" w:eastAsia="SimSun"/>
      <w:vanish/>
      <w:sz w:val="16"/>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12</TotalTime>
  <ScaleCrop>false</ScaleCrop>
  <LinksUpToDate>false</LinksUpToDate>
  <CharactersWithSpaces>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2023-08-31T20:04:00Z</dcterms:created>
  <dc:creator>Avinash goud</dc:creator>
  <cp:lastModifiedBy>Avinash goud</cp:lastModifiedBy>
  <dcterms:modified xsi:type="dcterms:W3CDTF">2023-08-31T22:11:22Z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C2835A36A4A346EFB1A2D1BA02DF068E</vt:lpwstr>
  </property>
</Properties>
</file>