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7CE2D" w14:textId="77777777" w:rsidR="00753C82" w:rsidRDefault="00753C82" w:rsidP="00753C82">
      <w:pPr>
        <w:spacing w:after="0" w:line="240" w:lineRule="auto"/>
        <w:jc w:val="center"/>
        <w:rPr>
          <w:rFonts w:ascii="Times New Roman" w:eastAsia="Times New Roman" w:hAnsi="Times New Roman" w:cs="Times New Roman"/>
          <w:b/>
          <w:bCs/>
          <w:color w:val="0E101A"/>
          <w:sz w:val="24"/>
          <w:szCs w:val="24"/>
        </w:rPr>
      </w:pPr>
    </w:p>
    <w:p w14:paraId="294078C8" w14:textId="77777777" w:rsidR="00753C82" w:rsidRDefault="00753C82" w:rsidP="00753C82">
      <w:pPr>
        <w:spacing w:after="0" w:line="240" w:lineRule="auto"/>
        <w:jc w:val="center"/>
        <w:rPr>
          <w:rFonts w:ascii="Times New Roman" w:eastAsia="Times New Roman" w:hAnsi="Times New Roman" w:cs="Times New Roman"/>
          <w:b/>
          <w:bCs/>
          <w:color w:val="0E101A"/>
          <w:sz w:val="24"/>
          <w:szCs w:val="24"/>
        </w:rPr>
      </w:pPr>
    </w:p>
    <w:p w14:paraId="57305168" w14:textId="77777777" w:rsidR="00753C82" w:rsidRDefault="00753C82" w:rsidP="00753C82">
      <w:pPr>
        <w:spacing w:after="0" w:line="240" w:lineRule="auto"/>
        <w:jc w:val="center"/>
        <w:rPr>
          <w:rFonts w:ascii="Times New Roman" w:eastAsia="Times New Roman" w:hAnsi="Times New Roman" w:cs="Times New Roman"/>
          <w:b/>
          <w:bCs/>
          <w:color w:val="0E101A"/>
          <w:sz w:val="24"/>
          <w:szCs w:val="24"/>
        </w:rPr>
      </w:pPr>
    </w:p>
    <w:p w14:paraId="3C453638" w14:textId="77777777" w:rsidR="00753C82" w:rsidRDefault="00753C82" w:rsidP="00753C82">
      <w:pPr>
        <w:spacing w:after="0" w:line="240" w:lineRule="auto"/>
        <w:jc w:val="center"/>
        <w:rPr>
          <w:rFonts w:ascii="Times New Roman" w:eastAsia="Times New Roman" w:hAnsi="Times New Roman" w:cs="Times New Roman"/>
          <w:b/>
          <w:bCs/>
          <w:color w:val="0E101A"/>
          <w:sz w:val="24"/>
          <w:szCs w:val="24"/>
        </w:rPr>
      </w:pPr>
    </w:p>
    <w:p w14:paraId="4E010B13" w14:textId="77777777" w:rsidR="00753C82" w:rsidRDefault="00753C82" w:rsidP="00753C82">
      <w:pPr>
        <w:spacing w:after="0" w:line="240" w:lineRule="auto"/>
        <w:jc w:val="center"/>
        <w:rPr>
          <w:rFonts w:ascii="Times New Roman" w:eastAsia="Times New Roman" w:hAnsi="Times New Roman" w:cs="Times New Roman"/>
          <w:b/>
          <w:bCs/>
          <w:color w:val="0E101A"/>
          <w:sz w:val="24"/>
          <w:szCs w:val="24"/>
        </w:rPr>
      </w:pPr>
    </w:p>
    <w:p w14:paraId="7CC69CDD" w14:textId="77777777" w:rsidR="00753C82" w:rsidRDefault="00753C82" w:rsidP="00753C82">
      <w:pPr>
        <w:spacing w:after="0" w:line="240" w:lineRule="auto"/>
        <w:jc w:val="center"/>
        <w:rPr>
          <w:rFonts w:ascii="Times New Roman" w:eastAsia="Times New Roman" w:hAnsi="Times New Roman" w:cs="Times New Roman"/>
          <w:b/>
          <w:bCs/>
          <w:color w:val="0E101A"/>
          <w:sz w:val="24"/>
          <w:szCs w:val="24"/>
        </w:rPr>
      </w:pPr>
    </w:p>
    <w:p w14:paraId="52149C46" w14:textId="77777777" w:rsidR="00753C82" w:rsidRDefault="00753C82" w:rsidP="00753C82">
      <w:pPr>
        <w:spacing w:after="0" w:line="240" w:lineRule="auto"/>
        <w:jc w:val="center"/>
        <w:rPr>
          <w:rFonts w:ascii="Times New Roman" w:eastAsia="Times New Roman" w:hAnsi="Times New Roman" w:cs="Times New Roman"/>
          <w:b/>
          <w:bCs/>
          <w:color w:val="0E101A"/>
          <w:sz w:val="24"/>
          <w:szCs w:val="24"/>
        </w:rPr>
      </w:pPr>
    </w:p>
    <w:p w14:paraId="79A1FF88" w14:textId="77777777" w:rsidR="00753C82" w:rsidRDefault="00753C82" w:rsidP="00753C82">
      <w:pPr>
        <w:spacing w:after="0" w:line="240" w:lineRule="auto"/>
        <w:jc w:val="center"/>
        <w:rPr>
          <w:rFonts w:ascii="Times New Roman" w:eastAsia="Times New Roman" w:hAnsi="Times New Roman" w:cs="Times New Roman"/>
          <w:b/>
          <w:bCs/>
          <w:color w:val="0E101A"/>
          <w:sz w:val="24"/>
          <w:szCs w:val="24"/>
        </w:rPr>
      </w:pPr>
    </w:p>
    <w:p w14:paraId="156ADE5C" w14:textId="7BBC15EC" w:rsidR="00753C82" w:rsidRPr="00222387" w:rsidRDefault="00753C82" w:rsidP="00753C82">
      <w:pPr>
        <w:spacing w:after="0" w:line="240" w:lineRule="auto"/>
        <w:jc w:val="center"/>
        <w:rPr>
          <w:rFonts w:ascii="Times New Roman" w:eastAsia="Times New Roman" w:hAnsi="Times New Roman" w:cs="Times New Roman"/>
          <w:b/>
          <w:bCs/>
          <w:color w:val="0E101A"/>
          <w:sz w:val="24"/>
          <w:szCs w:val="24"/>
        </w:rPr>
      </w:pPr>
      <w:r w:rsidRPr="00222387">
        <w:rPr>
          <w:rFonts w:ascii="Times New Roman" w:eastAsia="Times New Roman" w:hAnsi="Times New Roman" w:cs="Times New Roman"/>
          <w:b/>
          <w:bCs/>
          <w:color w:val="0E101A"/>
          <w:sz w:val="24"/>
          <w:szCs w:val="24"/>
        </w:rPr>
        <w:t>Parliamentary Sovereignty</w:t>
      </w:r>
    </w:p>
    <w:p w14:paraId="3AD6A54C" w14:textId="77777777" w:rsidR="00753C82" w:rsidRDefault="00753C82" w:rsidP="00753C82">
      <w:pPr>
        <w:spacing w:after="0" w:line="240" w:lineRule="auto"/>
        <w:jc w:val="center"/>
        <w:rPr>
          <w:rFonts w:ascii="Times New Roman" w:eastAsia="Times New Roman" w:hAnsi="Times New Roman" w:cs="Times New Roman"/>
          <w:bCs/>
          <w:color w:val="0E101A"/>
          <w:sz w:val="24"/>
          <w:szCs w:val="24"/>
        </w:rPr>
      </w:pPr>
    </w:p>
    <w:p w14:paraId="7C7519FC" w14:textId="77777777" w:rsidR="00753C82" w:rsidRDefault="00753C82" w:rsidP="00753C82">
      <w:pPr>
        <w:spacing w:after="0" w:line="240" w:lineRule="auto"/>
        <w:jc w:val="center"/>
        <w:rPr>
          <w:rFonts w:ascii="Times New Roman" w:eastAsia="Times New Roman" w:hAnsi="Times New Roman" w:cs="Times New Roman"/>
          <w:bCs/>
          <w:color w:val="0E101A"/>
          <w:sz w:val="24"/>
          <w:szCs w:val="24"/>
        </w:rPr>
      </w:pPr>
      <w:r>
        <w:rPr>
          <w:rFonts w:ascii="Times New Roman" w:eastAsia="Times New Roman" w:hAnsi="Times New Roman" w:cs="Times New Roman"/>
          <w:bCs/>
          <w:color w:val="0E101A"/>
          <w:sz w:val="24"/>
          <w:szCs w:val="24"/>
        </w:rPr>
        <w:t>Legal process</w:t>
      </w:r>
    </w:p>
    <w:p w14:paraId="4DCCF672" w14:textId="619A6DD9" w:rsidR="00753C82" w:rsidRDefault="00753C82" w:rsidP="00753C82">
      <w:pPr>
        <w:spacing w:after="0" w:line="240" w:lineRule="auto"/>
        <w:jc w:val="center"/>
        <w:rPr>
          <w:rFonts w:ascii="Times New Roman" w:eastAsia="Times New Roman" w:hAnsi="Times New Roman" w:cs="Times New Roman"/>
          <w:bCs/>
          <w:color w:val="0E101A"/>
          <w:sz w:val="24"/>
          <w:szCs w:val="24"/>
        </w:rPr>
      </w:pPr>
      <w:r>
        <w:rPr>
          <w:rFonts w:ascii="Times New Roman" w:eastAsia="Times New Roman" w:hAnsi="Times New Roman" w:cs="Times New Roman"/>
          <w:bCs/>
          <w:color w:val="0E101A"/>
          <w:sz w:val="24"/>
          <w:szCs w:val="24"/>
        </w:rPr>
        <w:t xml:space="preserve"> BMLW4006/BMLW4011</w:t>
      </w:r>
    </w:p>
    <w:p w14:paraId="1ADE9B89" w14:textId="77777777" w:rsidR="00753C82" w:rsidRDefault="00753C82" w:rsidP="00753C82">
      <w:pPr>
        <w:spacing w:after="0" w:line="240" w:lineRule="auto"/>
        <w:jc w:val="center"/>
        <w:rPr>
          <w:rFonts w:ascii="Times New Roman" w:eastAsia="Times New Roman" w:hAnsi="Times New Roman" w:cs="Times New Roman"/>
          <w:bCs/>
          <w:color w:val="0E101A"/>
          <w:sz w:val="24"/>
          <w:szCs w:val="24"/>
        </w:rPr>
      </w:pPr>
    </w:p>
    <w:p w14:paraId="7B5DC1D7" w14:textId="41643DD3" w:rsidR="00753C82" w:rsidRDefault="00753C82" w:rsidP="00753C82">
      <w:pPr>
        <w:spacing w:after="0" w:line="240" w:lineRule="auto"/>
        <w:jc w:val="center"/>
        <w:rPr>
          <w:rFonts w:ascii="Times New Roman" w:eastAsia="Times New Roman" w:hAnsi="Times New Roman" w:cs="Times New Roman"/>
          <w:bCs/>
          <w:color w:val="0E101A"/>
          <w:sz w:val="24"/>
          <w:szCs w:val="24"/>
        </w:rPr>
      </w:pPr>
      <w:r>
        <w:rPr>
          <w:rFonts w:ascii="Times New Roman" w:eastAsia="Times New Roman" w:hAnsi="Times New Roman" w:cs="Times New Roman"/>
          <w:bCs/>
          <w:color w:val="0E101A"/>
          <w:sz w:val="24"/>
          <w:szCs w:val="24"/>
        </w:rPr>
        <w:t xml:space="preserve">Tasleem kara </w:t>
      </w:r>
    </w:p>
    <w:p w14:paraId="4265BB17" w14:textId="77777777" w:rsidR="00753C82" w:rsidRDefault="00753C82" w:rsidP="00753C82">
      <w:pPr>
        <w:spacing w:after="0" w:line="240" w:lineRule="auto"/>
        <w:jc w:val="center"/>
        <w:rPr>
          <w:rFonts w:ascii="Times New Roman" w:eastAsia="Times New Roman" w:hAnsi="Times New Roman" w:cs="Times New Roman"/>
          <w:bCs/>
          <w:color w:val="0E101A"/>
          <w:sz w:val="24"/>
          <w:szCs w:val="24"/>
        </w:rPr>
      </w:pPr>
    </w:p>
    <w:p w14:paraId="4FC96B66" w14:textId="77777777" w:rsidR="00753C82" w:rsidRDefault="00753C82" w:rsidP="00753C82">
      <w:pPr>
        <w:spacing w:after="0" w:line="240" w:lineRule="auto"/>
        <w:jc w:val="center"/>
        <w:rPr>
          <w:rFonts w:ascii="Times New Roman" w:eastAsia="Times New Roman" w:hAnsi="Times New Roman" w:cs="Times New Roman"/>
          <w:bCs/>
          <w:color w:val="0E101A"/>
          <w:sz w:val="24"/>
          <w:szCs w:val="24"/>
        </w:rPr>
      </w:pPr>
      <w:r>
        <w:rPr>
          <w:rFonts w:ascii="Times New Roman" w:eastAsia="Times New Roman" w:hAnsi="Times New Roman" w:cs="Times New Roman"/>
          <w:bCs/>
          <w:color w:val="0E101A"/>
          <w:sz w:val="24"/>
          <w:szCs w:val="24"/>
        </w:rPr>
        <w:t>Zita draper</w:t>
      </w:r>
    </w:p>
    <w:p w14:paraId="1B84B25E" w14:textId="77777777" w:rsidR="00753C82" w:rsidRDefault="00753C82" w:rsidP="00753C82">
      <w:pPr>
        <w:spacing w:after="0" w:line="240" w:lineRule="auto"/>
        <w:jc w:val="center"/>
        <w:rPr>
          <w:rFonts w:ascii="Times New Roman" w:eastAsia="Times New Roman" w:hAnsi="Times New Roman" w:cs="Times New Roman"/>
          <w:bCs/>
          <w:color w:val="0E101A"/>
          <w:sz w:val="24"/>
          <w:szCs w:val="24"/>
        </w:rPr>
      </w:pPr>
    </w:p>
    <w:p w14:paraId="4F8324F5" w14:textId="77777777" w:rsidR="00753C82" w:rsidRDefault="00753C82" w:rsidP="00753C82">
      <w:pPr>
        <w:spacing w:after="0" w:line="240" w:lineRule="auto"/>
        <w:jc w:val="center"/>
        <w:rPr>
          <w:rFonts w:ascii="Times New Roman" w:eastAsia="Times New Roman" w:hAnsi="Times New Roman" w:cs="Times New Roman"/>
          <w:bCs/>
          <w:color w:val="0E101A"/>
          <w:sz w:val="24"/>
          <w:szCs w:val="24"/>
        </w:rPr>
      </w:pPr>
    </w:p>
    <w:p w14:paraId="75F1036B" w14:textId="77777777" w:rsidR="00753C82" w:rsidRDefault="00753C82" w:rsidP="00753C82">
      <w:pPr>
        <w:spacing w:after="0" w:line="240" w:lineRule="auto"/>
        <w:jc w:val="center"/>
        <w:rPr>
          <w:rFonts w:ascii="Times New Roman" w:eastAsia="Times New Roman" w:hAnsi="Times New Roman" w:cs="Times New Roman"/>
          <w:bCs/>
          <w:color w:val="0E101A"/>
          <w:sz w:val="24"/>
          <w:szCs w:val="24"/>
        </w:rPr>
      </w:pPr>
    </w:p>
    <w:p w14:paraId="09505711" w14:textId="77777777" w:rsidR="00753C82" w:rsidRDefault="00753C82" w:rsidP="00753C82">
      <w:pPr>
        <w:spacing w:after="0" w:line="240" w:lineRule="auto"/>
        <w:jc w:val="center"/>
        <w:rPr>
          <w:rFonts w:ascii="Times New Roman" w:eastAsia="Times New Roman" w:hAnsi="Times New Roman" w:cs="Times New Roman"/>
          <w:bCs/>
          <w:color w:val="0E101A"/>
          <w:sz w:val="24"/>
          <w:szCs w:val="24"/>
        </w:rPr>
      </w:pPr>
    </w:p>
    <w:p w14:paraId="4E38CFA4" w14:textId="40C50EB1" w:rsidR="00753C82" w:rsidRDefault="00753C82" w:rsidP="00753C82">
      <w:pPr>
        <w:spacing w:after="0" w:line="240" w:lineRule="auto"/>
        <w:jc w:val="center"/>
        <w:rPr>
          <w:rFonts w:ascii="Times New Roman" w:eastAsia="Times New Roman" w:hAnsi="Times New Roman" w:cs="Times New Roman"/>
          <w:bCs/>
          <w:color w:val="0E101A"/>
          <w:sz w:val="24"/>
          <w:szCs w:val="24"/>
        </w:rPr>
      </w:pPr>
      <w:r>
        <w:rPr>
          <w:rFonts w:ascii="Times New Roman" w:eastAsia="Times New Roman" w:hAnsi="Times New Roman" w:cs="Times New Roman"/>
          <w:bCs/>
          <w:color w:val="0E101A"/>
          <w:sz w:val="24"/>
          <w:szCs w:val="24"/>
        </w:rPr>
        <w:t>University of Wales Saint David</w:t>
      </w:r>
    </w:p>
    <w:p w14:paraId="10F316B2" w14:textId="77777777" w:rsidR="00753C82" w:rsidRDefault="00753C82" w:rsidP="00753C82">
      <w:pPr>
        <w:spacing w:after="0" w:line="240" w:lineRule="auto"/>
        <w:jc w:val="center"/>
        <w:rPr>
          <w:rFonts w:ascii="Times New Roman" w:eastAsia="Times New Roman" w:hAnsi="Times New Roman" w:cs="Times New Roman"/>
          <w:bCs/>
          <w:color w:val="0E101A"/>
          <w:sz w:val="24"/>
          <w:szCs w:val="24"/>
        </w:rPr>
      </w:pPr>
    </w:p>
    <w:p w14:paraId="7F2152E2" w14:textId="77777777" w:rsidR="00753C82" w:rsidRPr="00222387" w:rsidRDefault="00753C82" w:rsidP="00753C82">
      <w:pPr>
        <w:spacing w:after="0" w:line="240" w:lineRule="auto"/>
        <w:ind w:firstLine="720"/>
        <w:rPr>
          <w:rFonts w:ascii="Times New Roman" w:eastAsia="Times New Roman" w:hAnsi="Times New Roman" w:cs="Times New Roman"/>
          <w:b/>
          <w:bCs/>
          <w:color w:val="0E101A"/>
          <w:sz w:val="24"/>
          <w:szCs w:val="24"/>
        </w:rPr>
      </w:pPr>
    </w:p>
    <w:p w14:paraId="3C759D11" w14:textId="77777777" w:rsidR="00753C82" w:rsidRPr="00222387" w:rsidRDefault="00753C82" w:rsidP="00753C82">
      <w:pPr>
        <w:spacing w:after="0" w:line="240" w:lineRule="auto"/>
        <w:ind w:firstLine="720"/>
        <w:rPr>
          <w:rFonts w:ascii="Times New Roman" w:eastAsia="Times New Roman" w:hAnsi="Times New Roman" w:cs="Times New Roman"/>
          <w:b/>
          <w:bCs/>
          <w:color w:val="0E101A"/>
          <w:sz w:val="24"/>
          <w:szCs w:val="24"/>
        </w:rPr>
      </w:pPr>
    </w:p>
    <w:p w14:paraId="07175D7C" w14:textId="77777777" w:rsidR="00753C82" w:rsidRPr="00222387" w:rsidRDefault="00753C82" w:rsidP="00753C82">
      <w:pPr>
        <w:spacing w:after="0" w:line="240" w:lineRule="auto"/>
        <w:ind w:firstLine="720"/>
        <w:rPr>
          <w:rFonts w:ascii="Times New Roman" w:eastAsia="Times New Roman" w:hAnsi="Times New Roman" w:cs="Times New Roman"/>
          <w:b/>
          <w:bCs/>
          <w:color w:val="0E101A"/>
          <w:sz w:val="24"/>
          <w:szCs w:val="24"/>
        </w:rPr>
      </w:pPr>
    </w:p>
    <w:p w14:paraId="266A1C64" w14:textId="77777777" w:rsidR="00753C82" w:rsidRPr="00222387" w:rsidRDefault="00753C82" w:rsidP="00753C82">
      <w:pPr>
        <w:spacing w:after="0" w:line="240" w:lineRule="auto"/>
        <w:ind w:firstLine="720"/>
        <w:rPr>
          <w:rFonts w:ascii="Times New Roman" w:eastAsia="Times New Roman" w:hAnsi="Times New Roman" w:cs="Times New Roman"/>
          <w:b/>
          <w:bCs/>
          <w:color w:val="0E101A"/>
          <w:sz w:val="24"/>
          <w:szCs w:val="24"/>
        </w:rPr>
      </w:pPr>
    </w:p>
    <w:p w14:paraId="4FCFE099" w14:textId="77777777" w:rsidR="00753C82" w:rsidRPr="00222387" w:rsidRDefault="00753C82" w:rsidP="00753C82">
      <w:pPr>
        <w:spacing w:after="0" w:line="240" w:lineRule="auto"/>
        <w:ind w:firstLine="720"/>
        <w:rPr>
          <w:rFonts w:ascii="Times New Roman" w:eastAsia="Times New Roman" w:hAnsi="Times New Roman" w:cs="Times New Roman"/>
          <w:b/>
          <w:bCs/>
          <w:color w:val="0E101A"/>
          <w:sz w:val="24"/>
          <w:szCs w:val="24"/>
        </w:rPr>
      </w:pPr>
    </w:p>
    <w:p w14:paraId="74E8373A" w14:textId="77777777" w:rsidR="00753C82" w:rsidRPr="00222387" w:rsidRDefault="00753C82" w:rsidP="00753C82">
      <w:pPr>
        <w:spacing w:after="0" w:line="240" w:lineRule="auto"/>
        <w:rPr>
          <w:rFonts w:ascii="Times New Roman" w:eastAsia="Times New Roman" w:hAnsi="Times New Roman" w:cs="Times New Roman"/>
          <w:b/>
          <w:bCs/>
          <w:color w:val="0E101A"/>
          <w:sz w:val="24"/>
          <w:szCs w:val="24"/>
        </w:rPr>
      </w:pPr>
    </w:p>
    <w:p w14:paraId="0B9BB09F" w14:textId="77777777" w:rsidR="00753C82" w:rsidRPr="00222387" w:rsidRDefault="00753C82" w:rsidP="00753C82">
      <w:pPr>
        <w:spacing w:after="0" w:line="240" w:lineRule="auto"/>
        <w:ind w:firstLine="720"/>
        <w:rPr>
          <w:rFonts w:ascii="Times New Roman" w:eastAsia="Times New Roman" w:hAnsi="Times New Roman" w:cs="Times New Roman"/>
          <w:b/>
          <w:bCs/>
          <w:color w:val="0E101A"/>
          <w:sz w:val="24"/>
          <w:szCs w:val="24"/>
        </w:rPr>
      </w:pPr>
    </w:p>
    <w:p w14:paraId="6ED383AC" w14:textId="77777777" w:rsidR="00753C82" w:rsidRDefault="00753C82" w:rsidP="00753C82">
      <w:pPr>
        <w:rPr>
          <w:rFonts w:ascii="Times New Roman" w:eastAsia="Times New Roman" w:hAnsi="Times New Roman" w:cs="Times New Roman"/>
          <w:b/>
          <w:bCs/>
          <w:color w:val="0E101A"/>
          <w:sz w:val="24"/>
          <w:szCs w:val="24"/>
        </w:rPr>
      </w:pPr>
      <w:r>
        <w:rPr>
          <w:rFonts w:ascii="Times New Roman" w:eastAsia="Times New Roman" w:hAnsi="Times New Roman" w:cs="Times New Roman"/>
          <w:b/>
          <w:bCs/>
          <w:color w:val="0E101A"/>
          <w:sz w:val="24"/>
          <w:szCs w:val="24"/>
        </w:rPr>
        <w:br w:type="page"/>
      </w:r>
    </w:p>
    <w:p w14:paraId="436F5B5D" w14:textId="77777777" w:rsidR="00753C82" w:rsidRPr="00753C82" w:rsidRDefault="00753C82" w:rsidP="00753C82">
      <w:pPr>
        <w:spacing w:after="0" w:line="240" w:lineRule="auto"/>
        <w:ind w:firstLine="720"/>
        <w:jc w:val="center"/>
        <w:rPr>
          <w:rFonts w:eastAsia="Times New Roman" w:cstheme="minorHAnsi"/>
          <w:color w:val="0E101A"/>
          <w:sz w:val="24"/>
          <w:szCs w:val="24"/>
        </w:rPr>
      </w:pPr>
      <w:r w:rsidRPr="00753C82">
        <w:rPr>
          <w:rFonts w:eastAsia="Times New Roman" w:cstheme="minorHAnsi"/>
          <w:b/>
          <w:bCs/>
          <w:color w:val="0E101A"/>
          <w:sz w:val="24"/>
          <w:szCs w:val="24"/>
        </w:rPr>
        <w:lastRenderedPageBreak/>
        <w:t>What is a constitution?</w:t>
      </w:r>
    </w:p>
    <w:p w14:paraId="2210DE9F" w14:textId="77777777"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The Constitution is the foundation of all governments. It guides government and country management. A constitution is a set of laws, rules, fundamental ideas, and court decisions that govern a nation. Remarkably, the UK's Constitution is not written in a single book. It is based on common law ideas like government power and lawfulness, unlike the other. Bills of rights and the Magna Carta, among other things, improve the constitutional structure </w:t>
      </w:r>
      <w:r w:rsidRPr="00753C82">
        <w:rPr>
          <w:rFonts w:cstheme="minorHAnsi"/>
          <w:sz w:val="24"/>
          <w:szCs w:val="24"/>
        </w:rPr>
        <w:t>(UCL, 2018)</w:t>
      </w:r>
      <w:r w:rsidRPr="00753C82">
        <w:rPr>
          <w:rFonts w:eastAsia="Times New Roman" w:cstheme="minorHAnsi"/>
          <w:color w:val="0E101A"/>
          <w:sz w:val="24"/>
          <w:szCs w:val="24"/>
        </w:rPr>
        <w:t>. Even though the U.K does not have a codified constitution, the constitutional structure is essential. In fact, the lack of a constitution shows how flexible the structure is in adapting to changing social dynamics and interpretations of political and legal ideals. By laying out the concept of separation of powers, the Constitution sets up a way for the executive, legislative, and judicial branches to check and balance each other. The purpose of this step is to keep power from being concentrated in one entity.</w:t>
      </w:r>
    </w:p>
    <w:p w14:paraId="4455C69C" w14:textId="77777777" w:rsidR="00753C82" w:rsidRPr="00753C82" w:rsidRDefault="00753C82" w:rsidP="00753C82">
      <w:pPr>
        <w:spacing w:after="0" w:line="240" w:lineRule="auto"/>
        <w:ind w:firstLine="720"/>
        <w:rPr>
          <w:rFonts w:eastAsia="Times New Roman" w:cstheme="minorHAnsi"/>
          <w:color w:val="0E101A"/>
          <w:sz w:val="24"/>
          <w:szCs w:val="24"/>
        </w:rPr>
      </w:pPr>
    </w:p>
    <w:p w14:paraId="7C393973" w14:textId="77777777"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One more thing that a constitution does is protect people's liberties and freedoms. Some parts of the law are meant to protect people's fundamental rights, often written down in human rights acts or bills of rights. Through the Human Rights Act 1998, the UK has made parts of the European Convention on Human Rights part of its laws </w:t>
      </w:r>
      <w:r w:rsidRPr="00753C82">
        <w:rPr>
          <w:rFonts w:cstheme="minorHAnsi"/>
          <w:sz w:val="24"/>
          <w:szCs w:val="24"/>
        </w:rPr>
        <w:t>(EHRC, 2018)</w:t>
      </w:r>
      <w:r w:rsidRPr="00753C82">
        <w:rPr>
          <w:rFonts w:eastAsia="Times New Roman" w:cstheme="minorHAnsi"/>
          <w:color w:val="0E101A"/>
          <w:sz w:val="24"/>
          <w:szCs w:val="24"/>
        </w:rPr>
        <w:t>. People now have the legal right to file cases with domestic courts when they think their rights have been violated because of this incorporation. By protecting the people from possible abuses of government power, this part of the Constitution shows that the country is committed to democratic ideals. Forms set up the legal structure that runs a country by laying down the powers and duties of the governing authority, protecting citizen's rights, and ensuring that the rule of law is upheld.</w:t>
      </w:r>
    </w:p>
    <w:p w14:paraId="33FB6A8B" w14:textId="77777777" w:rsidR="00753C82" w:rsidRPr="00753C82" w:rsidRDefault="00753C82" w:rsidP="00753C82">
      <w:pPr>
        <w:spacing w:after="0" w:line="240" w:lineRule="auto"/>
        <w:ind w:firstLine="720"/>
        <w:rPr>
          <w:rFonts w:eastAsia="Times New Roman" w:cstheme="minorHAnsi"/>
          <w:color w:val="0E101A"/>
          <w:sz w:val="24"/>
          <w:szCs w:val="24"/>
        </w:rPr>
      </w:pPr>
    </w:p>
    <w:p w14:paraId="3A5DD9C1" w14:textId="77777777" w:rsidR="00753C82" w:rsidRPr="00753C82" w:rsidRDefault="00753C82" w:rsidP="00753C82">
      <w:pPr>
        <w:spacing w:after="0" w:line="240" w:lineRule="auto"/>
        <w:jc w:val="center"/>
        <w:rPr>
          <w:rFonts w:eastAsia="Times New Roman" w:cstheme="minorHAnsi"/>
          <w:color w:val="0E101A"/>
          <w:sz w:val="24"/>
          <w:szCs w:val="24"/>
        </w:rPr>
      </w:pPr>
      <w:r w:rsidRPr="00753C82">
        <w:rPr>
          <w:rFonts w:eastAsia="Times New Roman" w:cstheme="minorHAnsi"/>
          <w:b/>
          <w:bCs/>
          <w:color w:val="0E101A"/>
          <w:sz w:val="24"/>
          <w:szCs w:val="24"/>
        </w:rPr>
        <w:t>Principles of the UK’s Constitution.</w:t>
      </w:r>
    </w:p>
    <w:p w14:paraId="3D778706" w14:textId="77777777"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The UK's government is based on its constitutional values, which are not written down in a single document but are what the government is built on </w:t>
      </w:r>
      <w:r w:rsidRPr="00753C82">
        <w:rPr>
          <w:rFonts w:cstheme="minorHAnsi"/>
          <w:sz w:val="24"/>
          <w:szCs w:val="24"/>
        </w:rPr>
        <w:t>(House of Commons, 2015)</w:t>
      </w:r>
      <w:r w:rsidRPr="00753C82">
        <w:rPr>
          <w:rFonts w:eastAsia="Times New Roman" w:cstheme="minorHAnsi"/>
          <w:color w:val="0E101A"/>
          <w:sz w:val="24"/>
          <w:szCs w:val="24"/>
        </w:rPr>
        <w:t>. The sources of these ideas were laws, customs, and legal rules. One of the most important ideas is the rule of law, which says that everyone, even the authorities, shall follow the law and be responsible for their actions. This concept establishes and upholds the social order of justice, accountability, and fairness. Personal freedoms are protected by it, and it serves as the basis for how government facilities work.</w:t>
      </w:r>
    </w:p>
    <w:p w14:paraId="76CA07D4" w14:textId="77777777" w:rsidR="00753C82" w:rsidRPr="00753C82" w:rsidRDefault="00753C82" w:rsidP="00753C82">
      <w:pPr>
        <w:spacing w:after="0" w:line="240" w:lineRule="auto"/>
        <w:ind w:firstLine="720"/>
        <w:rPr>
          <w:rFonts w:eastAsia="Times New Roman" w:cstheme="minorHAnsi"/>
          <w:color w:val="0E101A"/>
          <w:sz w:val="24"/>
          <w:szCs w:val="24"/>
        </w:rPr>
      </w:pPr>
    </w:p>
    <w:p w14:paraId="2D83B6B7" w14:textId="68A66AC7"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Furthermore, parliamentary sovereignty, an essential tenet, denotes the paramount jurisdiction of Parliament to enact, repeal, or modify legislation without any limitations. This implies the indispensability of a paramount legal authority in the </w:t>
      </w:r>
      <w:r w:rsidR="00665761">
        <w:rPr>
          <w:rFonts w:eastAsia="Times New Roman" w:cstheme="minorHAnsi"/>
          <w:color w:val="0E101A"/>
          <w:sz w:val="24"/>
          <w:szCs w:val="24"/>
        </w:rPr>
        <w:t>UK’s</w:t>
      </w:r>
      <w:r w:rsidRPr="00753C82">
        <w:rPr>
          <w:rFonts w:eastAsia="Times New Roman" w:cstheme="minorHAnsi"/>
          <w:color w:val="0E101A"/>
          <w:sz w:val="24"/>
          <w:szCs w:val="24"/>
        </w:rPr>
        <w:t xml:space="preserve"> legal structure, which confers unrestricted legislative authority upon Parliament. However, it is subject to political and public scrutiny. Moreover, the governance structure of the UK is defined by the constitutional monarchy, which distinguishes the ceremonial function of the monarch from the practical implementation of political authority </w:t>
      </w:r>
      <w:r w:rsidRPr="00753C82">
        <w:rPr>
          <w:rFonts w:cstheme="minorHAnsi"/>
          <w:sz w:val="24"/>
          <w:szCs w:val="24"/>
        </w:rPr>
        <w:t>(</w:t>
      </w:r>
      <w:proofErr w:type="spellStart"/>
      <w:r w:rsidRPr="00753C82">
        <w:rPr>
          <w:rFonts w:cstheme="minorHAnsi"/>
          <w:sz w:val="24"/>
          <w:szCs w:val="24"/>
        </w:rPr>
        <w:t>Oram</w:t>
      </w:r>
      <w:proofErr w:type="spellEnd"/>
      <w:r w:rsidRPr="00753C82">
        <w:rPr>
          <w:rFonts w:cstheme="minorHAnsi"/>
          <w:sz w:val="24"/>
          <w:szCs w:val="24"/>
        </w:rPr>
        <w:t>, 2016)</w:t>
      </w:r>
      <w:r w:rsidRPr="00753C82">
        <w:rPr>
          <w:rFonts w:eastAsia="Times New Roman" w:cstheme="minorHAnsi"/>
          <w:color w:val="0E101A"/>
          <w:sz w:val="24"/>
          <w:szCs w:val="24"/>
        </w:rPr>
        <w:t xml:space="preserve">. Although the monarch continues to perform symbolic and ceremonial duties, elected representatives and institutions hold the actual exercise of governmental power. This symbolic representation reinforces the monarchy's historical continuity while operating within a democratic structure. While more precisely delineated than in specific alternative constitutional structures, the principle of the separation of powers functions to allocate power among the various branches of government. The </w:t>
      </w:r>
      <w:r w:rsidRPr="00753C82">
        <w:rPr>
          <w:rFonts w:eastAsia="Times New Roman" w:cstheme="minorHAnsi"/>
          <w:color w:val="0E101A"/>
          <w:sz w:val="24"/>
          <w:szCs w:val="24"/>
        </w:rPr>
        <w:lastRenderedPageBreak/>
        <w:t xml:space="preserve">objective of this diffusion of management is to prevent the consolidation of authority in the helm of a single entity, thereby promoting a system of accountability and oversight in the execution of governmental duties and nurturing checks and balances among the branches. </w:t>
      </w:r>
      <w:r w:rsidR="009706F1" w:rsidRPr="00753C82">
        <w:rPr>
          <w:rFonts w:eastAsia="Times New Roman" w:cstheme="minorHAnsi"/>
          <w:color w:val="0E101A"/>
          <w:sz w:val="24"/>
          <w:szCs w:val="24"/>
        </w:rPr>
        <w:t>Boundary Ing</w:t>
      </w:r>
      <w:r w:rsidRPr="00753C82">
        <w:rPr>
          <w:rFonts w:eastAsia="Times New Roman" w:cstheme="minorHAnsi"/>
          <w:color w:val="0E101A"/>
          <w:sz w:val="24"/>
          <w:szCs w:val="24"/>
        </w:rPr>
        <w:t xml:space="preserve"> the constitutional structure of the UK are these interrelated principles, which exemplify the democratic, governance, and legal order values.</w:t>
      </w:r>
    </w:p>
    <w:p w14:paraId="505DDDB5" w14:textId="77777777" w:rsidR="00753C82" w:rsidRPr="00753C82" w:rsidRDefault="00753C82" w:rsidP="00753C82">
      <w:pPr>
        <w:spacing w:after="0" w:line="240" w:lineRule="auto"/>
        <w:ind w:firstLine="720"/>
        <w:rPr>
          <w:rFonts w:eastAsia="Times New Roman" w:cstheme="minorHAnsi"/>
          <w:color w:val="0E101A"/>
          <w:sz w:val="24"/>
          <w:szCs w:val="24"/>
        </w:rPr>
      </w:pPr>
    </w:p>
    <w:p w14:paraId="31055389" w14:textId="77777777" w:rsidR="00753C82" w:rsidRPr="00753C82" w:rsidRDefault="00753C82" w:rsidP="00753C82">
      <w:pPr>
        <w:spacing w:after="0" w:line="240" w:lineRule="auto"/>
        <w:jc w:val="center"/>
        <w:rPr>
          <w:rFonts w:eastAsia="Times New Roman" w:cstheme="minorHAnsi"/>
          <w:color w:val="0E101A"/>
          <w:sz w:val="24"/>
          <w:szCs w:val="24"/>
        </w:rPr>
      </w:pPr>
      <w:r w:rsidRPr="00753C82">
        <w:rPr>
          <w:rFonts w:eastAsia="Times New Roman" w:cstheme="minorHAnsi"/>
          <w:b/>
          <w:bCs/>
          <w:color w:val="0E101A"/>
          <w:sz w:val="24"/>
          <w:szCs w:val="24"/>
        </w:rPr>
        <w:t>What is parliamentary sovereignty?</w:t>
      </w:r>
    </w:p>
    <w:p w14:paraId="34628C6E" w14:textId="77777777"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Parliamentary sovereignty, an essential principle enshrined in the constitutional structure of the UK, denotes the supreme legislative authority bestowed upon Parliament </w:t>
      </w:r>
      <w:r w:rsidRPr="00753C82">
        <w:rPr>
          <w:rFonts w:cstheme="minorHAnsi"/>
          <w:sz w:val="24"/>
          <w:szCs w:val="24"/>
        </w:rPr>
        <w:t>(BIHR, 2018)</w:t>
      </w:r>
      <w:r w:rsidRPr="00753C82">
        <w:rPr>
          <w:rFonts w:eastAsia="Times New Roman" w:cstheme="minorHAnsi"/>
          <w:color w:val="0E101A"/>
          <w:sz w:val="24"/>
          <w:szCs w:val="24"/>
        </w:rPr>
        <w:t xml:space="preserve">. The code above, notably expounded upon in the 2017 case </w:t>
      </w:r>
      <w:r w:rsidRPr="00753C82">
        <w:rPr>
          <w:rFonts w:eastAsia="Times New Roman" w:cstheme="minorHAnsi"/>
          <w:i/>
          <w:color w:val="0E101A"/>
          <w:sz w:val="24"/>
          <w:szCs w:val="24"/>
        </w:rPr>
        <w:t>R (Miller) v Secretary of State</w:t>
      </w:r>
      <w:r w:rsidRPr="00753C82">
        <w:rPr>
          <w:rFonts w:eastAsia="Times New Roman" w:cstheme="minorHAnsi"/>
          <w:color w:val="0E101A"/>
          <w:sz w:val="24"/>
          <w:szCs w:val="24"/>
        </w:rPr>
        <w:t xml:space="preserve">, </w:t>
      </w:r>
      <w:r w:rsidRPr="00753C82">
        <w:rPr>
          <w:rFonts w:cstheme="minorHAnsi"/>
          <w:color w:val="202124"/>
          <w:sz w:val="24"/>
          <w:szCs w:val="24"/>
          <w:shd w:val="clear" w:color="auto" w:fill="FFFFFF"/>
        </w:rPr>
        <w:t>UKSC 5,</w:t>
      </w:r>
      <w:r w:rsidRPr="00753C82">
        <w:rPr>
          <w:rFonts w:eastAsia="Times New Roman" w:cstheme="minorHAnsi"/>
          <w:color w:val="0E101A"/>
          <w:sz w:val="24"/>
          <w:szCs w:val="24"/>
        </w:rPr>
        <w:t xml:space="preserve"> for denouncing the European Union, emphasizes that the supreme power to enact, modify, or repeal legislation resides with the Parliament. The ruling, in this instance, reaffirmed that the withdrawal from the European Union could only be initiated by an Act of Parliament. This underscores the crucial role that Parliament plays in determining substantial constitutional modifications. Illustrative of parliamentary sovereignty in action are statutes such as the European Communities Act of 1972, which assimilated EU law into domestic law while remaining subject to the supremacy of Parliament and permitting its modification or revocation at any moment </w:t>
      </w:r>
      <w:r w:rsidRPr="00753C82">
        <w:rPr>
          <w:rFonts w:cstheme="minorHAnsi"/>
          <w:sz w:val="24"/>
          <w:szCs w:val="24"/>
        </w:rPr>
        <w:t>(The Institute for Government, 2019)</w:t>
      </w:r>
      <w:r w:rsidRPr="00753C82">
        <w:rPr>
          <w:rFonts w:eastAsia="Times New Roman" w:cstheme="minorHAnsi"/>
          <w:color w:val="0E101A"/>
          <w:sz w:val="24"/>
          <w:szCs w:val="24"/>
        </w:rPr>
        <w:t>.</w:t>
      </w:r>
    </w:p>
    <w:p w14:paraId="4D8B272E" w14:textId="77777777" w:rsidR="00753C82" w:rsidRDefault="00753C82" w:rsidP="00753C82">
      <w:pPr>
        <w:spacing w:after="0" w:line="240" w:lineRule="auto"/>
        <w:rPr>
          <w:rFonts w:eastAsia="Times New Roman" w:cstheme="minorHAnsi"/>
          <w:color w:val="0E101A"/>
          <w:sz w:val="24"/>
          <w:szCs w:val="24"/>
        </w:rPr>
      </w:pPr>
    </w:p>
    <w:p w14:paraId="43B233C0" w14:textId="10CAC242"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Additionally, numerous constitutional conventions and legal precedents have served to uphold the principle of parliamentary sovereignty. The House of Lords, in </w:t>
      </w:r>
      <w:proofErr w:type="spellStart"/>
      <w:r w:rsidRPr="00753C82">
        <w:rPr>
          <w:rFonts w:eastAsia="Times New Roman" w:cstheme="minorHAnsi"/>
          <w:i/>
          <w:color w:val="0E101A"/>
          <w:sz w:val="24"/>
          <w:szCs w:val="24"/>
        </w:rPr>
        <w:t>Pickin</w:t>
      </w:r>
      <w:proofErr w:type="spellEnd"/>
      <w:r w:rsidRPr="00753C82">
        <w:rPr>
          <w:rFonts w:eastAsia="Times New Roman" w:cstheme="minorHAnsi"/>
          <w:i/>
          <w:color w:val="0E101A"/>
          <w:sz w:val="24"/>
          <w:szCs w:val="24"/>
        </w:rPr>
        <w:t xml:space="preserve"> v British Railways Board</w:t>
      </w:r>
      <w:r w:rsidRPr="00753C82">
        <w:rPr>
          <w:rFonts w:eastAsia="Times New Roman" w:cstheme="minorHAnsi"/>
          <w:color w:val="0E101A"/>
          <w:sz w:val="24"/>
          <w:szCs w:val="24"/>
        </w:rPr>
        <w:t xml:space="preserve"> (1974),</w:t>
      </w:r>
      <w:r w:rsidRPr="00753C82">
        <w:rPr>
          <w:rFonts w:cstheme="minorHAnsi"/>
          <w:color w:val="4D5156"/>
          <w:sz w:val="24"/>
          <w:szCs w:val="24"/>
          <w:shd w:val="clear" w:color="auto" w:fill="FFFFFF"/>
        </w:rPr>
        <w:t xml:space="preserve"> UKHL</w:t>
      </w:r>
      <w:r w:rsidRPr="00753C82">
        <w:rPr>
          <w:rFonts w:eastAsia="Times New Roman" w:cstheme="minorHAnsi"/>
          <w:color w:val="0E101A"/>
          <w:sz w:val="24"/>
          <w:szCs w:val="24"/>
        </w:rPr>
        <w:t>, established that the legislative powers of Parliament were unrestricted and not limited by prior legislation. This ruling ensured that future Parliaments would continue to have the power to amend or revoke previous laws. By reiterating this principle in subsequent cases and affirming the preeminence of Parliament's legislative authority, parliamentary autonomy has been solidified as a vital principle within the constitutional structure of the UK.</w:t>
      </w:r>
    </w:p>
    <w:p w14:paraId="47A89F5D" w14:textId="77777777" w:rsidR="00753C82" w:rsidRPr="00753C82" w:rsidRDefault="00753C82" w:rsidP="00753C82">
      <w:pPr>
        <w:spacing w:after="0" w:line="240" w:lineRule="auto"/>
        <w:ind w:firstLine="720"/>
        <w:rPr>
          <w:rFonts w:eastAsia="Times New Roman" w:cstheme="minorHAnsi"/>
          <w:color w:val="0E101A"/>
          <w:sz w:val="24"/>
          <w:szCs w:val="24"/>
        </w:rPr>
      </w:pPr>
    </w:p>
    <w:p w14:paraId="267813C9" w14:textId="77777777" w:rsidR="00753C82" w:rsidRPr="00753C82" w:rsidRDefault="00753C82" w:rsidP="00753C82">
      <w:pPr>
        <w:spacing w:after="0" w:line="240" w:lineRule="auto"/>
        <w:jc w:val="center"/>
        <w:rPr>
          <w:rFonts w:eastAsia="Times New Roman" w:cstheme="minorHAnsi"/>
          <w:color w:val="0E101A"/>
          <w:sz w:val="24"/>
          <w:szCs w:val="24"/>
        </w:rPr>
      </w:pPr>
      <w:r w:rsidRPr="00753C82">
        <w:rPr>
          <w:rFonts w:eastAsia="Times New Roman" w:cstheme="minorHAnsi"/>
          <w:b/>
          <w:bCs/>
          <w:color w:val="0E101A"/>
          <w:sz w:val="24"/>
          <w:szCs w:val="24"/>
        </w:rPr>
        <w:t>Is Parliament the supreme law-making body?</w:t>
      </w:r>
    </w:p>
    <w:p w14:paraId="679BC0FC" w14:textId="77777777" w:rsidR="00753C82" w:rsidRP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Parliament retains ultimate legislative power following the UK's Constitution. </w:t>
      </w:r>
      <w:r w:rsidRPr="00753C82">
        <w:rPr>
          <w:rFonts w:eastAsia="Times New Roman" w:cstheme="minorHAnsi"/>
          <w:i/>
          <w:color w:val="0E101A"/>
          <w:sz w:val="24"/>
          <w:szCs w:val="24"/>
        </w:rPr>
        <w:t>Jackson v. Attorney General</w:t>
      </w:r>
      <w:r w:rsidRPr="00753C82">
        <w:rPr>
          <w:rFonts w:eastAsia="Times New Roman" w:cstheme="minorHAnsi"/>
          <w:color w:val="0E101A"/>
          <w:sz w:val="24"/>
          <w:szCs w:val="24"/>
        </w:rPr>
        <w:t xml:space="preserve"> (2005), </w:t>
      </w:r>
      <w:r w:rsidRPr="00753C82">
        <w:rPr>
          <w:rFonts w:cstheme="minorHAnsi"/>
          <w:color w:val="202124"/>
          <w:sz w:val="24"/>
          <w:szCs w:val="24"/>
          <w:shd w:val="clear" w:color="auto" w:fill="FFFFFF"/>
        </w:rPr>
        <w:t>UKHL 56, 1 AC 262,</w:t>
      </w:r>
      <w:r w:rsidRPr="00753C82">
        <w:rPr>
          <w:rFonts w:eastAsia="Times New Roman" w:cstheme="minorHAnsi"/>
          <w:color w:val="0E101A"/>
          <w:sz w:val="24"/>
          <w:szCs w:val="24"/>
        </w:rPr>
        <w:t xml:space="preserve"> involved the House of Lords reaffirming Parliament's supreme legislative authority. It was declared that Parliament has the sole power to make, change, or get rid of laws without the courts getting involved, which is an example of this principle. This essential legal case established that the Parliament has more power than any other agency, even the courts. The lack of an entire written constitution that serves as a standard for judicial review stressed that the courts </w:t>
      </w:r>
      <w:proofErr w:type="gramStart"/>
      <w:r w:rsidRPr="00753C82">
        <w:rPr>
          <w:rFonts w:eastAsia="Times New Roman" w:cstheme="minorHAnsi"/>
          <w:color w:val="0E101A"/>
          <w:sz w:val="24"/>
          <w:szCs w:val="24"/>
        </w:rPr>
        <w:t>can</w:t>
      </w:r>
      <w:proofErr w:type="gramEnd"/>
      <w:r w:rsidRPr="00753C82">
        <w:rPr>
          <w:rFonts w:eastAsia="Times New Roman" w:cstheme="minorHAnsi"/>
          <w:color w:val="0E101A"/>
          <w:sz w:val="24"/>
          <w:szCs w:val="24"/>
        </w:rPr>
        <w:t xml:space="preserve"> declare laws unconstitutional.</w:t>
      </w:r>
    </w:p>
    <w:p w14:paraId="5D4781E0" w14:textId="77777777"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Also, parts of the Constitutional Reform Act of 2005 set up a clear split of powers between the judiciary and Parliament. This makes Parliament's legislative power stronger. The Act clarifies that it is the judiciary's job to read the law, but it doesn't give them the power to question </w:t>
      </w:r>
      <w:proofErr w:type="gramStart"/>
      <w:r w:rsidRPr="00753C82">
        <w:rPr>
          <w:rFonts w:eastAsia="Times New Roman" w:cstheme="minorHAnsi"/>
          <w:color w:val="0E101A"/>
          <w:sz w:val="24"/>
          <w:szCs w:val="24"/>
        </w:rPr>
        <w:t>whether or not</w:t>
      </w:r>
      <w:proofErr w:type="gramEnd"/>
      <w:r w:rsidRPr="00753C82">
        <w:rPr>
          <w:rFonts w:eastAsia="Times New Roman" w:cstheme="minorHAnsi"/>
          <w:color w:val="0E101A"/>
          <w:sz w:val="24"/>
          <w:szCs w:val="24"/>
        </w:rPr>
        <w:t xml:space="preserve"> laws are constitutional </w:t>
      </w:r>
      <w:r w:rsidRPr="00753C82">
        <w:rPr>
          <w:rFonts w:cstheme="minorHAnsi"/>
          <w:sz w:val="24"/>
          <w:szCs w:val="24"/>
        </w:rPr>
        <w:t>(for, 2022)</w:t>
      </w:r>
      <w:r w:rsidRPr="00753C82">
        <w:rPr>
          <w:rFonts w:eastAsia="Times New Roman" w:cstheme="minorHAnsi"/>
          <w:color w:val="0E101A"/>
          <w:sz w:val="24"/>
          <w:szCs w:val="24"/>
        </w:rPr>
        <w:t>. By laying out its powers, Parliament keeps its position as the highest legislative body, giving it even more unmatched legislative power within the UK's political structure.</w:t>
      </w:r>
    </w:p>
    <w:p w14:paraId="0C95B9B3" w14:textId="77777777" w:rsidR="00753C82" w:rsidRDefault="00753C82" w:rsidP="00753C82">
      <w:pPr>
        <w:spacing w:after="0" w:line="240" w:lineRule="auto"/>
        <w:ind w:firstLine="720"/>
        <w:rPr>
          <w:rFonts w:eastAsia="Times New Roman" w:cstheme="minorHAnsi"/>
          <w:color w:val="0E101A"/>
          <w:sz w:val="24"/>
          <w:szCs w:val="24"/>
        </w:rPr>
      </w:pPr>
    </w:p>
    <w:p w14:paraId="2D9A1348" w14:textId="77777777" w:rsidR="00753C82" w:rsidRDefault="00753C82" w:rsidP="00753C82">
      <w:pPr>
        <w:spacing w:after="0" w:line="240" w:lineRule="auto"/>
        <w:ind w:firstLine="720"/>
        <w:rPr>
          <w:rFonts w:eastAsia="Times New Roman" w:cstheme="minorHAnsi"/>
          <w:color w:val="0E101A"/>
          <w:sz w:val="24"/>
          <w:szCs w:val="24"/>
        </w:rPr>
      </w:pPr>
    </w:p>
    <w:p w14:paraId="2EA7F992" w14:textId="77777777" w:rsidR="00753C82" w:rsidRPr="00753C82" w:rsidRDefault="00753C82" w:rsidP="00753C82">
      <w:pPr>
        <w:spacing w:after="0" w:line="240" w:lineRule="auto"/>
        <w:ind w:firstLine="720"/>
        <w:rPr>
          <w:rFonts w:eastAsia="Times New Roman" w:cstheme="minorHAnsi"/>
          <w:color w:val="0E101A"/>
          <w:sz w:val="24"/>
          <w:szCs w:val="24"/>
        </w:rPr>
      </w:pPr>
    </w:p>
    <w:p w14:paraId="1B4E51A8" w14:textId="77777777" w:rsidR="00753C82" w:rsidRPr="00753C82" w:rsidRDefault="00753C82" w:rsidP="00753C82">
      <w:pPr>
        <w:spacing w:after="0" w:line="240" w:lineRule="auto"/>
        <w:jc w:val="center"/>
        <w:rPr>
          <w:rFonts w:eastAsia="Times New Roman" w:cstheme="minorHAnsi"/>
          <w:color w:val="0E101A"/>
          <w:sz w:val="24"/>
          <w:szCs w:val="24"/>
        </w:rPr>
      </w:pPr>
      <w:r w:rsidRPr="00753C82">
        <w:rPr>
          <w:rFonts w:eastAsia="Times New Roman" w:cstheme="minorHAnsi"/>
          <w:b/>
          <w:bCs/>
          <w:color w:val="0E101A"/>
          <w:sz w:val="24"/>
          <w:szCs w:val="24"/>
        </w:rPr>
        <w:lastRenderedPageBreak/>
        <w:t>Binding future or past parliaments.</w:t>
      </w:r>
    </w:p>
    <w:p w14:paraId="269F675C" w14:textId="77777777"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As an essential part of the Constitution, this concept sets the stage for parliamentary sovereignty. In the UK, each Parliament is independent and cannot make its successors follow specific rules. Legal cases from the past, like </w:t>
      </w:r>
      <w:proofErr w:type="spellStart"/>
      <w:r w:rsidRPr="00753C82">
        <w:rPr>
          <w:rFonts w:eastAsia="Times New Roman" w:cstheme="minorHAnsi"/>
          <w:i/>
          <w:color w:val="0E101A"/>
          <w:sz w:val="24"/>
          <w:szCs w:val="24"/>
        </w:rPr>
        <w:t>Madzimbamuto</w:t>
      </w:r>
      <w:proofErr w:type="spellEnd"/>
      <w:r w:rsidRPr="00753C82">
        <w:rPr>
          <w:rFonts w:eastAsia="Times New Roman" w:cstheme="minorHAnsi"/>
          <w:i/>
          <w:color w:val="0E101A"/>
          <w:sz w:val="24"/>
          <w:szCs w:val="24"/>
        </w:rPr>
        <w:t xml:space="preserve"> v. Lardner-Burke</w:t>
      </w:r>
      <w:r w:rsidRPr="00753C82">
        <w:rPr>
          <w:rFonts w:eastAsia="Times New Roman" w:cstheme="minorHAnsi"/>
          <w:color w:val="0E101A"/>
          <w:sz w:val="24"/>
          <w:szCs w:val="24"/>
        </w:rPr>
        <w:t xml:space="preserve"> (1969), </w:t>
      </w:r>
      <w:r w:rsidRPr="00753C82">
        <w:rPr>
          <w:rFonts w:cstheme="minorHAnsi"/>
          <w:color w:val="202124"/>
          <w:sz w:val="24"/>
          <w:szCs w:val="24"/>
          <w:shd w:val="clear" w:color="auto" w:fill="FFFFFF"/>
        </w:rPr>
        <w:t>UKPC 18, 3 WLR 1229</w:t>
      </w:r>
      <w:r w:rsidRPr="00753C82">
        <w:rPr>
          <w:rFonts w:eastAsia="Times New Roman" w:cstheme="minorHAnsi"/>
          <w:color w:val="0E101A"/>
          <w:sz w:val="24"/>
          <w:szCs w:val="24"/>
        </w:rPr>
        <w:t xml:space="preserve">, support this. That case said that one Parliament cannot limit the voting power of later Parliaments by passing laws. The case raised whether Southern Rhodesia's declaration of independence was legal. This brought attention to the idea that a Parliament cannot make laws that can't be changed. This principle ensures that Parliaments that come after this one will still be able to change or eliminate laws made by earlier Parliaments. The Supreme Court backed up the idea in the case of </w:t>
      </w:r>
      <w:r w:rsidRPr="00753C82">
        <w:rPr>
          <w:rFonts w:eastAsia="Times New Roman" w:cstheme="minorHAnsi"/>
          <w:i/>
          <w:color w:val="0E101A"/>
          <w:sz w:val="24"/>
          <w:szCs w:val="24"/>
        </w:rPr>
        <w:t>Thoburn v. Sunderland City Council</w:t>
      </w:r>
      <w:r w:rsidRPr="00753C82">
        <w:rPr>
          <w:rFonts w:eastAsia="Times New Roman" w:cstheme="minorHAnsi"/>
          <w:color w:val="0E101A"/>
          <w:sz w:val="24"/>
          <w:szCs w:val="24"/>
        </w:rPr>
        <w:t xml:space="preserve"> (2002), </w:t>
      </w:r>
      <w:r w:rsidRPr="00753C82">
        <w:rPr>
          <w:rFonts w:cstheme="minorHAnsi"/>
          <w:color w:val="202124"/>
          <w:sz w:val="24"/>
          <w:szCs w:val="24"/>
          <w:shd w:val="clear" w:color="auto" w:fill="FFFFFF"/>
        </w:rPr>
        <w:t>EWHC 195 (Admin)</w:t>
      </w:r>
      <w:r w:rsidRPr="00753C82">
        <w:rPr>
          <w:rFonts w:eastAsia="Times New Roman" w:cstheme="minorHAnsi"/>
          <w:color w:val="0E101A"/>
          <w:sz w:val="24"/>
          <w:szCs w:val="24"/>
        </w:rPr>
        <w:t xml:space="preserve">. The Supreme Court said that some constitutional laws, like the European Communities Act 1972, can be overridden by later laws </w:t>
      </w:r>
      <w:proofErr w:type="gramStart"/>
      <w:r w:rsidRPr="00753C82">
        <w:rPr>
          <w:rFonts w:eastAsia="Times New Roman" w:cstheme="minorHAnsi"/>
          <w:color w:val="0E101A"/>
          <w:sz w:val="24"/>
          <w:szCs w:val="24"/>
        </w:rPr>
        <w:t>as long as</w:t>
      </w:r>
      <w:proofErr w:type="gramEnd"/>
      <w:r w:rsidRPr="00753C82">
        <w:rPr>
          <w:rFonts w:eastAsia="Times New Roman" w:cstheme="minorHAnsi"/>
          <w:color w:val="0E101A"/>
          <w:sz w:val="24"/>
          <w:szCs w:val="24"/>
        </w:rPr>
        <w:t xml:space="preserve"> Parliament clarifies its purpose </w:t>
      </w:r>
      <w:r w:rsidRPr="00753C82">
        <w:rPr>
          <w:rFonts w:cstheme="minorHAnsi"/>
          <w:sz w:val="24"/>
          <w:szCs w:val="24"/>
        </w:rPr>
        <w:t>(Gov.uk, 2022)</w:t>
      </w:r>
      <w:r w:rsidRPr="00753C82">
        <w:rPr>
          <w:rFonts w:eastAsia="Times New Roman" w:cstheme="minorHAnsi"/>
          <w:color w:val="0E101A"/>
          <w:sz w:val="24"/>
          <w:szCs w:val="24"/>
        </w:rPr>
        <w:t>. </w:t>
      </w:r>
    </w:p>
    <w:p w14:paraId="083132A8" w14:textId="77777777" w:rsidR="00753C82" w:rsidRPr="00753C82" w:rsidRDefault="00753C82" w:rsidP="00753C82">
      <w:pPr>
        <w:spacing w:after="0" w:line="240" w:lineRule="auto"/>
        <w:rPr>
          <w:rFonts w:eastAsia="Times New Roman" w:cstheme="minorHAnsi"/>
          <w:color w:val="0E101A"/>
          <w:sz w:val="24"/>
          <w:szCs w:val="24"/>
        </w:rPr>
      </w:pPr>
    </w:p>
    <w:p w14:paraId="4C4CF948" w14:textId="77777777"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Additionally, the idea that decisions made by earlier Parliaments do not bind the current Parliament strengthens the idea of legislative autonomy. Statutes such as the Parliament Acts of 1911 and 1949, which grant the present Parliament the authority to modify or circumvent </w:t>
      </w:r>
      <w:proofErr w:type="gramStart"/>
      <w:r w:rsidRPr="00753C82">
        <w:rPr>
          <w:rFonts w:eastAsia="Times New Roman" w:cstheme="minorHAnsi"/>
          <w:color w:val="0E101A"/>
          <w:sz w:val="24"/>
          <w:szCs w:val="24"/>
        </w:rPr>
        <w:t>particular legislative</w:t>
      </w:r>
      <w:proofErr w:type="gramEnd"/>
      <w:r w:rsidRPr="00753C82">
        <w:rPr>
          <w:rFonts w:eastAsia="Times New Roman" w:cstheme="minorHAnsi"/>
          <w:color w:val="0E101A"/>
          <w:sz w:val="24"/>
          <w:szCs w:val="24"/>
        </w:rPr>
        <w:t xml:space="preserve"> processes instituted by preceding Parliaments, illustrate this notion </w:t>
      </w:r>
      <w:r w:rsidRPr="00753C82">
        <w:rPr>
          <w:rFonts w:cstheme="minorHAnsi"/>
          <w:sz w:val="24"/>
          <w:szCs w:val="24"/>
        </w:rPr>
        <w:t>(Forsyth, 2011)</w:t>
      </w:r>
      <w:r w:rsidRPr="00753C82">
        <w:rPr>
          <w:rFonts w:eastAsia="Times New Roman" w:cstheme="minorHAnsi"/>
          <w:color w:val="0E101A"/>
          <w:sz w:val="24"/>
          <w:szCs w:val="24"/>
        </w:rPr>
        <w:t xml:space="preserve">. In </w:t>
      </w:r>
      <w:proofErr w:type="spellStart"/>
      <w:r w:rsidRPr="00753C82">
        <w:rPr>
          <w:rFonts w:eastAsia="Times New Roman" w:cstheme="minorHAnsi"/>
          <w:i/>
          <w:color w:val="0E101A"/>
          <w:sz w:val="24"/>
          <w:szCs w:val="24"/>
        </w:rPr>
        <w:t>Pickin</w:t>
      </w:r>
      <w:proofErr w:type="spellEnd"/>
      <w:r w:rsidRPr="00753C82">
        <w:rPr>
          <w:rFonts w:eastAsia="Times New Roman" w:cstheme="minorHAnsi"/>
          <w:i/>
          <w:color w:val="0E101A"/>
          <w:sz w:val="24"/>
          <w:szCs w:val="24"/>
        </w:rPr>
        <w:t xml:space="preserve"> v. British Railways Board</w:t>
      </w:r>
      <w:r w:rsidRPr="00753C82">
        <w:rPr>
          <w:rFonts w:eastAsia="Times New Roman" w:cstheme="minorHAnsi"/>
          <w:color w:val="0E101A"/>
          <w:sz w:val="24"/>
          <w:szCs w:val="24"/>
        </w:rPr>
        <w:t xml:space="preserve"> (1974), for instance, the judiciary affirmed the principle, which demonstrated that a single Parliament cannot limit the legislative authority of its successors. Consistent reaffirmation of parliamentary sovereignty ensures that succeeding Parliaments retain unrestricted authority to enact, amend, or repeal legislation without being bound by the decisions or actions of preceding Parliaments. This measure guarantees the preservation of legislative autonomy within the UK's constitutional structure.</w:t>
      </w:r>
    </w:p>
    <w:p w14:paraId="48AC6EBE" w14:textId="77777777" w:rsidR="00753C82" w:rsidRPr="00753C82" w:rsidRDefault="00753C82" w:rsidP="00753C82">
      <w:pPr>
        <w:spacing w:after="0" w:line="240" w:lineRule="auto"/>
        <w:ind w:firstLine="720"/>
        <w:rPr>
          <w:rFonts w:eastAsia="Times New Roman" w:cstheme="minorHAnsi"/>
          <w:color w:val="0E101A"/>
          <w:sz w:val="24"/>
          <w:szCs w:val="24"/>
        </w:rPr>
      </w:pPr>
    </w:p>
    <w:p w14:paraId="40041639" w14:textId="77777777" w:rsidR="00753C82" w:rsidRPr="00753C82" w:rsidRDefault="00753C82" w:rsidP="00753C82">
      <w:pPr>
        <w:spacing w:after="0" w:line="240" w:lineRule="auto"/>
        <w:jc w:val="center"/>
        <w:rPr>
          <w:rFonts w:eastAsia="Times New Roman" w:cstheme="minorHAnsi"/>
          <w:color w:val="0E101A"/>
          <w:sz w:val="24"/>
          <w:szCs w:val="24"/>
        </w:rPr>
      </w:pPr>
      <w:r w:rsidRPr="00753C82">
        <w:rPr>
          <w:rFonts w:eastAsia="Times New Roman" w:cstheme="minorHAnsi"/>
          <w:b/>
          <w:bCs/>
          <w:color w:val="0E101A"/>
          <w:sz w:val="24"/>
          <w:szCs w:val="24"/>
        </w:rPr>
        <w:t>Reform suggestions</w:t>
      </w:r>
    </w:p>
    <w:p w14:paraId="77D56517" w14:textId="77777777"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The topic of reforms concerning parliamentary sovereignty within the constitutional structure of the UK has generated extensive and complex discussions. Supporters of a written constitution contend that its inception is necessary to briefly embody fundamental principles, clearly delineate the allocation of powers, and impose explicit limitations on parliamentary authority </w:t>
      </w:r>
      <w:r w:rsidRPr="00753C82">
        <w:rPr>
          <w:rFonts w:cstheme="minorHAnsi"/>
          <w:sz w:val="24"/>
          <w:szCs w:val="24"/>
        </w:rPr>
        <w:t>(</w:t>
      </w:r>
      <w:proofErr w:type="spellStart"/>
      <w:r w:rsidRPr="00753C82">
        <w:rPr>
          <w:rFonts w:cstheme="minorHAnsi"/>
          <w:sz w:val="24"/>
          <w:szCs w:val="24"/>
        </w:rPr>
        <w:t>Olwor</w:t>
      </w:r>
      <w:proofErr w:type="spellEnd"/>
      <w:r w:rsidRPr="00753C82">
        <w:rPr>
          <w:rFonts w:cstheme="minorHAnsi"/>
          <w:sz w:val="24"/>
          <w:szCs w:val="24"/>
        </w:rPr>
        <w:t>, 2021)</w:t>
      </w:r>
      <w:r w:rsidRPr="00753C82">
        <w:rPr>
          <w:rFonts w:eastAsia="Times New Roman" w:cstheme="minorHAnsi"/>
          <w:color w:val="0E101A"/>
          <w:sz w:val="24"/>
          <w:szCs w:val="24"/>
        </w:rPr>
        <w:t>. The process of codification, which is frequently observed in other democratic countries, seeks to provide transparency and clarity in the realm of governance by establishing more distinct boundaries between governmental powers, rights, and responsibilities. Proposals that bear a resemblance to a constitutional codification underscore the critical nature of a comprehensive legal instrument that serves to protect fundamental rights and prevent possible misuse of parliamentary power; thus, they promote a governance structure that is more equitable and answerable.</w:t>
      </w:r>
    </w:p>
    <w:p w14:paraId="5E145E97" w14:textId="77777777" w:rsidR="00753C82" w:rsidRPr="00753C82" w:rsidRDefault="00753C82" w:rsidP="00753C82">
      <w:pPr>
        <w:spacing w:after="0" w:line="240" w:lineRule="auto"/>
        <w:ind w:firstLine="720"/>
        <w:rPr>
          <w:rFonts w:eastAsia="Times New Roman" w:cstheme="minorHAnsi"/>
          <w:color w:val="0E101A"/>
          <w:sz w:val="24"/>
          <w:szCs w:val="24"/>
        </w:rPr>
      </w:pPr>
    </w:p>
    <w:p w14:paraId="50942222" w14:textId="77777777" w:rsid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 xml:space="preserve">Additionally, recommendations exist to realign the equilibrium between democratic principles and parliamentary sovereignty by investigating methods to strengthen systemic checks and balances. This may entail supporting the function of judicial review to examine laws for their conformity with constitutional principles or fundamental rights. Although some contend that this could potentially infringe upon the sovereignty of Parliament, advocates argue that an enhanced judicial review system could function as a protective measure, guaranteeing that legislation enacted by Parliament is consistent with constitutional tenets and does not infringe </w:t>
      </w:r>
      <w:r w:rsidRPr="00753C82">
        <w:rPr>
          <w:rFonts w:eastAsia="Times New Roman" w:cstheme="minorHAnsi"/>
          <w:color w:val="0E101A"/>
          <w:sz w:val="24"/>
          <w:szCs w:val="24"/>
        </w:rPr>
        <w:lastRenderedPageBreak/>
        <w:t>upon the rights of individuals. The proposed reform aims to achieve a harmonious equilibrium between the unbridled power of Parliament and safeguarding citizens' rights. In doing so, it has the potential to cultivate a constitutional structure that is more sophisticated and robust, mirroring the changing values of society.</w:t>
      </w:r>
    </w:p>
    <w:p w14:paraId="12BA051F" w14:textId="77777777" w:rsidR="00753C82" w:rsidRDefault="00753C82" w:rsidP="00753C82">
      <w:pPr>
        <w:spacing w:after="0" w:line="240" w:lineRule="auto"/>
        <w:ind w:firstLine="720"/>
        <w:rPr>
          <w:rFonts w:eastAsia="Times New Roman" w:cstheme="minorHAnsi"/>
          <w:color w:val="0E101A"/>
          <w:sz w:val="24"/>
          <w:szCs w:val="24"/>
        </w:rPr>
      </w:pPr>
    </w:p>
    <w:p w14:paraId="4BF6BEC9" w14:textId="77777777" w:rsidR="00753C82" w:rsidRDefault="00753C82" w:rsidP="00753C82">
      <w:pPr>
        <w:spacing w:after="0" w:line="240" w:lineRule="auto"/>
        <w:ind w:firstLine="720"/>
        <w:rPr>
          <w:rFonts w:eastAsia="Times New Roman" w:cstheme="minorHAnsi"/>
          <w:color w:val="0E101A"/>
          <w:sz w:val="24"/>
          <w:szCs w:val="24"/>
        </w:rPr>
      </w:pPr>
    </w:p>
    <w:p w14:paraId="5DEE5914" w14:textId="77777777" w:rsidR="00753C82" w:rsidRPr="00753C82" w:rsidRDefault="00753C82" w:rsidP="00753C82">
      <w:pPr>
        <w:spacing w:after="0" w:line="240" w:lineRule="auto"/>
        <w:ind w:left="2880" w:firstLine="720"/>
        <w:rPr>
          <w:rFonts w:eastAsia="Times New Roman" w:cstheme="minorHAnsi"/>
          <w:color w:val="0E101A"/>
          <w:sz w:val="24"/>
          <w:szCs w:val="24"/>
        </w:rPr>
      </w:pPr>
      <w:r w:rsidRPr="00753C82">
        <w:rPr>
          <w:rFonts w:eastAsia="Times New Roman" w:cstheme="minorHAnsi"/>
          <w:b/>
          <w:bCs/>
          <w:color w:val="0E101A"/>
          <w:sz w:val="24"/>
          <w:szCs w:val="24"/>
        </w:rPr>
        <w:t>Summary/ conclusion.</w:t>
      </w:r>
    </w:p>
    <w:p w14:paraId="1BDC2F3B" w14:textId="77777777" w:rsidR="00753C82" w:rsidRPr="00753C82" w:rsidRDefault="00753C82" w:rsidP="00753C82">
      <w:pPr>
        <w:spacing w:after="0" w:line="240" w:lineRule="auto"/>
        <w:rPr>
          <w:rFonts w:eastAsia="Times New Roman" w:cstheme="minorHAnsi"/>
          <w:color w:val="0E101A"/>
          <w:sz w:val="24"/>
          <w:szCs w:val="24"/>
        </w:rPr>
      </w:pPr>
      <w:r w:rsidRPr="00753C82">
        <w:rPr>
          <w:rFonts w:eastAsia="Times New Roman" w:cstheme="minorHAnsi"/>
          <w:color w:val="0E101A"/>
          <w:sz w:val="24"/>
          <w:szCs w:val="24"/>
        </w:rPr>
        <w:t>Parliamentary sovereignty remains a cornerstone of the UK's constitutional structure, bestowing unmatched legislative supremacy. However, persistent disputes continue to revolve around the limits and consequences of this authority, which has sparked deliberations on possible reforms aimed at harmonizing it with democratic principles. The proposed reforms to enhance the doctrine of parliamentary sovereignty seek to strike a nuanced equilibrium between unbridled legislative authority and safeguarding democratic values and individual liberties. These factors highlight the continuous development of the constitutional structure of the UK, which aims to maintain the fundamental principles of democratic rule while confronting the complexities presented by the broad scope of parliamentary sovereignty.</w:t>
      </w:r>
    </w:p>
    <w:p w14:paraId="2B75A549" w14:textId="77777777" w:rsidR="00753C82" w:rsidRDefault="00753C82" w:rsidP="00753C82">
      <w:pPr>
        <w:rPr>
          <w:rFonts w:cstheme="minorHAnsi"/>
          <w:sz w:val="24"/>
          <w:szCs w:val="24"/>
        </w:rPr>
      </w:pPr>
    </w:p>
    <w:p w14:paraId="0CD9CD67" w14:textId="77777777" w:rsidR="00753C82" w:rsidRDefault="00753C82" w:rsidP="00753C82">
      <w:pPr>
        <w:rPr>
          <w:rFonts w:cstheme="minorHAnsi"/>
          <w:sz w:val="24"/>
          <w:szCs w:val="24"/>
        </w:rPr>
      </w:pPr>
    </w:p>
    <w:p w14:paraId="799D3D0A" w14:textId="77777777" w:rsidR="00753C82" w:rsidRDefault="00753C82" w:rsidP="00753C82">
      <w:pPr>
        <w:rPr>
          <w:rFonts w:cstheme="minorHAnsi"/>
          <w:sz w:val="24"/>
          <w:szCs w:val="24"/>
        </w:rPr>
      </w:pPr>
    </w:p>
    <w:p w14:paraId="2A059FB8" w14:textId="77777777" w:rsidR="00753C82" w:rsidRDefault="00753C82" w:rsidP="00753C82">
      <w:pPr>
        <w:rPr>
          <w:rFonts w:cstheme="minorHAnsi"/>
          <w:sz w:val="24"/>
          <w:szCs w:val="24"/>
        </w:rPr>
      </w:pPr>
    </w:p>
    <w:p w14:paraId="3DD387F2" w14:textId="77777777" w:rsidR="00753C82" w:rsidRDefault="00753C82" w:rsidP="00753C82">
      <w:pPr>
        <w:rPr>
          <w:rFonts w:cstheme="minorHAnsi"/>
          <w:sz w:val="24"/>
          <w:szCs w:val="24"/>
        </w:rPr>
      </w:pPr>
    </w:p>
    <w:p w14:paraId="355162D0" w14:textId="77777777" w:rsidR="00753C82" w:rsidRDefault="00753C82" w:rsidP="00753C82">
      <w:pPr>
        <w:rPr>
          <w:rFonts w:cstheme="minorHAnsi"/>
          <w:sz w:val="24"/>
          <w:szCs w:val="24"/>
        </w:rPr>
      </w:pPr>
    </w:p>
    <w:p w14:paraId="1054E3E8" w14:textId="77777777" w:rsidR="00753C82" w:rsidRDefault="00753C82" w:rsidP="00753C82">
      <w:pPr>
        <w:rPr>
          <w:rFonts w:cstheme="minorHAnsi"/>
          <w:sz w:val="24"/>
          <w:szCs w:val="24"/>
        </w:rPr>
      </w:pPr>
    </w:p>
    <w:p w14:paraId="64B0BEBB" w14:textId="77777777" w:rsidR="00753C82" w:rsidRDefault="00753C82" w:rsidP="00753C82">
      <w:pPr>
        <w:rPr>
          <w:rFonts w:cstheme="minorHAnsi"/>
          <w:sz w:val="24"/>
          <w:szCs w:val="24"/>
        </w:rPr>
      </w:pPr>
    </w:p>
    <w:p w14:paraId="5864E060" w14:textId="77777777" w:rsidR="00753C82" w:rsidRDefault="00753C82" w:rsidP="00753C82">
      <w:pPr>
        <w:rPr>
          <w:rFonts w:cstheme="minorHAnsi"/>
          <w:sz w:val="24"/>
          <w:szCs w:val="24"/>
        </w:rPr>
      </w:pPr>
    </w:p>
    <w:p w14:paraId="0085DEC7" w14:textId="77777777" w:rsidR="00753C82" w:rsidRDefault="00753C82" w:rsidP="00753C82">
      <w:pPr>
        <w:rPr>
          <w:rFonts w:cstheme="minorHAnsi"/>
          <w:sz w:val="24"/>
          <w:szCs w:val="24"/>
        </w:rPr>
      </w:pPr>
    </w:p>
    <w:p w14:paraId="26AFD505" w14:textId="77777777" w:rsidR="00753C82" w:rsidRDefault="00753C82" w:rsidP="00753C82">
      <w:pPr>
        <w:rPr>
          <w:rFonts w:cstheme="minorHAnsi"/>
          <w:sz w:val="24"/>
          <w:szCs w:val="24"/>
        </w:rPr>
      </w:pPr>
    </w:p>
    <w:p w14:paraId="0E45AA57" w14:textId="77777777" w:rsidR="00753C82" w:rsidRDefault="00753C82" w:rsidP="00753C82">
      <w:pPr>
        <w:rPr>
          <w:rFonts w:cstheme="minorHAnsi"/>
          <w:sz w:val="24"/>
          <w:szCs w:val="24"/>
        </w:rPr>
      </w:pPr>
    </w:p>
    <w:p w14:paraId="418079B6" w14:textId="77777777" w:rsidR="00753C82" w:rsidRDefault="00753C82" w:rsidP="00753C82">
      <w:pPr>
        <w:rPr>
          <w:rFonts w:cstheme="minorHAnsi"/>
          <w:sz w:val="24"/>
          <w:szCs w:val="24"/>
        </w:rPr>
      </w:pPr>
    </w:p>
    <w:p w14:paraId="7B1A121B" w14:textId="77777777" w:rsidR="00753C82" w:rsidRDefault="00753C82" w:rsidP="00753C82">
      <w:pPr>
        <w:rPr>
          <w:rFonts w:cstheme="minorHAnsi"/>
          <w:sz w:val="24"/>
          <w:szCs w:val="24"/>
        </w:rPr>
      </w:pPr>
    </w:p>
    <w:p w14:paraId="49E8E3F2" w14:textId="77777777" w:rsidR="00753C82" w:rsidRDefault="00753C82" w:rsidP="00753C82">
      <w:pPr>
        <w:rPr>
          <w:rFonts w:cstheme="minorHAnsi"/>
          <w:sz w:val="24"/>
          <w:szCs w:val="24"/>
        </w:rPr>
      </w:pPr>
    </w:p>
    <w:p w14:paraId="18DAB7A5" w14:textId="77777777" w:rsidR="00753C82" w:rsidRDefault="00753C82" w:rsidP="00753C82">
      <w:pPr>
        <w:rPr>
          <w:rFonts w:cstheme="minorHAnsi"/>
          <w:sz w:val="24"/>
          <w:szCs w:val="24"/>
        </w:rPr>
      </w:pPr>
    </w:p>
    <w:p w14:paraId="0C89F91B" w14:textId="77777777" w:rsidR="00753C82" w:rsidRDefault="00753C82" w:rsidP="00753C82">
      <w:pPr>
        <w:rPr>
          <w:rFonts w:cstheme="minorHAnsi"/>
          <w:sz w:val="24"/>
          <w:szCs w:val="24"/>
        </w:rPr>
      </w:pPr>
    </w:p>
    <w:p w14:paraId="2703E36F" w14:textId="19C3EDE4" w:rsidR="00753C82" w:rsidRPr="00753C82" w:rsidRDefault="00753C82" w:rsidP="00753C82">
      <w:pPr>
        <w:rPr>
          <w:rFonts w:cstheme="minorHAnsi"/>
          <w:sz w:val="24"/>
          <w:szCs w:val="24"/>
        </w:rPr>
      </w:pPr>
      <w:r w:rsidRPr="00753C82">
        <w:rPr>
          <w:rFonts w:cstheme="minorHAnsi"/>
          <w:sz w:val="24"/>
          <w:szCs w:val="24"/>
        </w:rPr>
        <w:lastRenderedPageBreak/>
        <w:t xml:space="preserve">References </w:t>
      </w:r>
    </w:p>
    <w:p w14:paraId="5B38ED2B" w14:textId="77777777" w:rsidR="00753C82" w:rsidRPr="00753C82" w:rsidRDefault="00753C82" w:rsidP="00753C82">
      <w:pPr>
        <w:spacing w:after="240" w:line="240" w:lineRule="auto"/>
        <w:ind w:left="720" w:hanging="720"/>
        <w:rPr>
          <w:rFonts w:eastAsia="Times New Roman" w:cstheme="minorHAnsi"/>
          <w:sz w:val="24"/>
          <w:szCs w:val="24"/>
        </w:rPr>
      </w:pPr>
      <w:r w:rsidRPr="00753C82">
        <w:rPr>
          <w:rFonts w:eastAsia="Times New Roman" w:cstheme="minorHAnsi"/>
          <w:sz w:val="24"/>
          <w:szCs w:val="24"/>
        </w:rPr>
        <w:t xml:space="preserve">BIHR (2018). </w:t>
      </w:r>
      <w:r w:rsidRPr="00753C82">
        <w:rPr>
          <w:rFonts w:eastAsia="Times New Roman" w:cstheme="minorHAnsi"/>
          <w:i/>
          <w:iCs/>
          <w:sz w:val="24"/>
          <w:szCs w:val="24"/>
        </w:rPr>
        <w:t>Separation of Powers, Parliamentary Sovereignty &amp; the Rule of Law | BIHR</w:t>
      </w:r>
      <w:r w:rsidRPr="00753C82">
        <w:rPr>
          <w:rFonts w:eastAsia="Times New Roman" w:cstheme="minorHAnsi"/>
          <w:sz w:val="24"/>
          <w:szCs w:val="24"/>
        </w:rPr>
        <w:t xml:space="preserve">. [online] British Institute of Human Rights. Available at: </w:t>
      </w:r>
      <w:hyperlink r:id="rId6" w:history="1">
        <w:r w:rsidRPr="00753C82">
          <w:rPr>
            <w:rStyle w:val="Hyperlink"/>
            <w:rFonts w:eastAsia="Times New Roman" w:cstheme="minorHAnsi"/>
            <w:sz w:val="24"/>
            <w:szCs w:val="24"/>
          </w:rPr>
          <w:t>https://www.bihr.org.uk/get-informed/legislation/separation-of-powers-parliamentary-sovereignty-the-rule-of-law</w:t>
        </w:r>
      </w:hyperlink>
      <w:r w:rsidRPr="00753C82">
        <w:rPr>
          <w:rFonts w:eastAsia="Times New Roman" w:cstheme="minorHAnsi"/>
          <w:sz w:val="24"/>
          <w:szCs w:val="24"/>
        </w:rPr>
        <w:t xml:space="preserve">  [Accessed 16 Oct. 2023].</w:t>
      </w:r>
    </w:p>
    <w:p w14:paraId="31EF6E47" w14:textId="77777777" w:rsidR="00753C82" w:rsidRPr="00753C82" w:rsidRDefault="00753C82" w:rsidP="00753C82">
      <w:pPr>
        <w:spacing w:after="240" w:line="240" w:lineRule="auto"/>
        <w:ind w:left="720" w:hanging="720"/>
        <w:rPr>
          <w:rFonts w:eastAsia="Times New Roman" w:cstheme="minorHAnsi"/>
          <w:sz w:val="24"/>
          <w:szCs w:val="24"/>
        </w:rPr>
      </w:pPr>
      <w:r w:rsidRPr="00753C82">
        <w:rPr>
          <w:rFonts w:eastAsia="Times New Roman" w:cstheme="minorHAnsi"/>
          <w:sz w:val="24"/>
          <w:szCs w:val="24"/>
        </w:rPr>
        <w:t xml:space="preserve">EHRC (2018). </w:t>
      </w:r>
      <w:r w:rsidRPr="00753C82">
        <w:rPr>
          <w:rFonts w:eastAsia="Times New Roman" w:cstheme="minorHAnsi"/>
          <w:i/>
          <w:iCs/>
          <w:sz w:val="24"/>
          <w:szCs w:val="24"/>
        </w:rPr>
        <w:t>The Human Rights Act | EHRC</w:t>
      </w:r>
      <w:r w:rsidRPr="00753C82">
        <w:rPr>
          <w:rFonts w:eastAsia="Times New Roman" w:cstheme="minorHAnsi"/>
          <w:sz w:val="24"/>
          <w:szCs w:val="24"/>
        </w:rPr>
        <w:t xml:space="preserve">. [online] www.equalityhumanrights.com. Available at: </w:t>
      </w:r>
      <w:hyperlink r:id="rId7" w:anchor=":~:text=The%20Human%20Rights%20Act%201998" w:history="1">
        <w:r w:rsidRPr="00753C82">
          <w:rPr>
            <w:rStyle w:val="Hyperlink"/>
            <w:rFonts w:eastAsia="Times New Roman" w:cstheme="minorHAnsi"/>
            <w:sz w:val="24"/>
            <w:szCs w:val="24"/>
          </w:rPr>
          <w:t>https://www.equalityhumanrights.com/human-rights/human-rights-act#:~:text=The%20Human%20Rights%20Act%201998</w:t>
        </w:r>
      </w:hyperlink>
      <w:r w:rsidRPr="00753C82">
        <w:rPr>
          <w:rFonts w:eastAsia="Times New Roman" w:cstheme="minorHAnsi"/>
          <w:sz w:val="24"/>
          <w:szCs w:val="24"/>
        </w:rPr>
        <w:t xml:space="preserve">. </w:t>
      </w:r>
    </w:p>
    <w:p w14:paraId="49666399" w14:textId="77777777" w:rsidR="00753C82" w:rsidRPr="00753C82" w:rsidRDefault="00753C82" w:rsidP="00753C82">
      <w:pPr>
        <w:spacing w:after="240" w:line="240" w:lineRule="auto"/>
        <w:ind w:left="720" w:hanging="720"/>
        <w:rPr>
          <w:rFonts w:eastAsia="Times New Roman" w:cstheme="minorHAnsi"/>
          <w:sz w:val="24"/>
          <w:szCs w:val="24"/>
        </w:rPr>
      </w:pPr>
      <w:r w:rsidRPr="00753C82">
        <w:rPr>
          <w:rFonts w:eastAsia="Times New Roman" w:cstheme="minorHAnsi"/>
          <w:sz w:val="24"/>
          <w:szCs w:val="24"/>
        </w:rPr>
        <w:t xml:space="preserve">for, D. (2022). </w:t>
      </w:r>
      <w:r w:rsidRPr="00753C82">
        <w:rPr>
          <w:rFonts w:eastAsia="Times New Roman" w:cstheme="minorHAnsi"/>
          <w:i/>
          <w:iCs/>
          <w:sz w:val="24"/>
          <w:szCs w:val="24"/>
        </w:rPr>
        <w:t>Constitutional Reform Act 2005 - Explanatory Notes</w:t>
      </w:r>
      <w:r w:rsidRPr="00753C82">
        <w:rPr>
          <w:rFonts w:eastAsia="Times New Roman" w:cstheme="minorHAnsi"/>
          <w:sz w:val="24"/>
          <w:szCs w:val="24"/>
        </w:rPr>
        <w:t xml:space="preserve">. [online] Legislation.gov.uk. Available at: </w:t>
      </w:r>
      <w:hyperlink r:id="rId8" w:anchor=":~:text=The%20Constitutional%20Reform%20Act%20modifies" w:history="1">
        <w:r w:rsidRPr="00753C82">
          <w:rPr>
            <w:rStyle w:val="Hyperlink"/>
            <w:rFonts w:eastAsia="Times New Roman" w:cstheme="minorHAnsi"/>
            <w:sz w:val="24"/>
            <w:szCs w:val="24"/>
          </w:rPr>
          <w:t>https://www.legislation.gov.uk/ukpga/2005/4/notes/division/2#:~:text=The%20Constitutional%20Reform%20Act%20modifies</w:t>
        </w:r>
      </w:hyperlink>
      <w:r w:rsidRPr="00753C82">
        <w:rPr>
          <w:rFonts w:eastAsia="Times New Roman" w:cstheme="minorHAnsi"/>
          <w:sz w:val="24"/>
          <w:szCs w:val="24"/>
        </w:rPr>
        <w:t xml:space="preserve">  [Accessed 8 Jan. 2022].</w:t>
      </w:r>
    </w:p>
    <w:p w14:paraId="7807BB32" w14:textId="77777777" w:rsidR="00753C82" w:rsidRPr="00753C82" w:rsidRDefault="00753C82" w:rsidP="00753C82">
      <w:pPr>
        <w:spacing w:after="240" w:line="240" w:lineRule="auto"/>
        <w:ind w:left="720" w:hanging="720"/>
        <w:rPr>
          <w:rFonts w:eastAsia="Times New Roman" w:cstheme="minorHAnsi"/>
          <w:sz w:val="24"/>
          <w:szCs w:val="24"/>
        </w:rPr>
      </w:pPr>
      <w:r w:rsidRPr="00753C82">
        <w:rPr>
          <w:rFonts w:eastAsia="Times New Roman" w:cstheme="minorHAnsi"/>
          <w:sz w:val="24"/>
          <w:szCs w:val="24"/>
        </w:rPr>
        <w:t xml:space="preserve">Forsyth, C. (2011). The definition of Parliament after Jackson: Can the life of Parliament be extended under the Parliament Acts 1911 and 1949? </w:t>
      </w:r>
      <w:r w:rsidRPr="00753C82">
        <w:rPr>
          <w:rFonts w:eastAsia="Times New Roman" w:cstheme="minorHAnsi"/>
          <w:i/>
          <w:iCs/>
          <w:sz w:val="24"/>
          <w:szCs w:val="24"/>
        </w:rPr>
        <w:t>International Journal of Constitutional Law</w:t>
      </w:r>
      <w:r w:rsidRPr="00753C82">
        <w:rPr>
          <w:rFonts w:eastAsia="Times New Roman" w:cstheme="minorHAnsi"/>
          <w:sz w:val="24"/>
          <w:szCs w:val="24"/>
        </w:rPr>
        <w:t xml:space="preserve">, 9(1), pp.132–143. </w:t>
      </w:r>
      <w:proofErr w:type="spellStart"/>
      <w:proofErr w:type="gramStart"/>
      <w:r w:rsidRPr="00753C82">
        <w:rPr>
          <w:rFonts w:eastAsia="Times New Roman" w:cstheme="minorHAnsi"/>
          <w:sz w:val="24"/>
          <w:szCs w:val="24"/>
        </w:rPr>
        <w:t>doi:https</w:t>
      </w:r>
      <w:proofErr w:type="spellEnd"/>
      <w:r w:rsidRPr="00753C82">
        <w:rPr>
          <w:rFonts w:eastAsia="Times New Roman" w:cstheme="minorHAnsi"/>
          <w:sz w:val="24"/>
          <w:szCs w:val="24"/>
        </w:rPr>
        <w:t>://doi.org/10.1093/icon/mor019</w:t>
      </w:r>
      <w:proofErr w:type="gramEnd"/>
      <w:r w:rsidRPr="00753C82">
        <w:rPr>
          <w:rFonts w:eastAsia="Times New Roman" w:cstheme="minorHAnsi"/>
          <w:sz w:val="24"/>
          <w:szCs w:val="24"/>
        </w:rPr>
        <w:t xml:space="preserve">. </w:t>
      </w:r>
    </w:p>
    <w:p w14:paraId="5BA56C77" w14:textId="77777777" w:rsidR="00753C82" w:rsidRPr="00753C82" w:rsidRDefault="00753C82" w:rsidP="00753C82">
      <w:pPr>
        <w:spacing w:after="240" w:line="240" w:lineRule="auto"/>
        <w:ind w:left="720" w:hanging="720"/>
        <w:rPr>
          <w:rFonts w:eastAsia="Times New Roman" w:cstheme="minorHAnsi"/>
          <w:sz w:val="24"/>
          <w:szCs w:val="24"/>
        </w:rPr>
      </w:pPr>
      <w:r w:rsidRPr="00753C82">
        <w:rPr>
          <w:rFonts w:eastAsia="Times New Roman" w:cstheme="minorHAnsi"/>
          <w:sz w:val="24"/>
          <w:szCs w:val="24"/>
        </w:rPr>
        <w:t xml:space="preserve">Gov.uk (2022). </w:t>
      </w:r>
      <w:r w:rsidRPr="00753C82">
        <w:rPr>
          <w:rFonts w:eastAsia="Times New Roman" w:cstheme="minorHAnsi"/>
          <w:i/>
          <w:iCs/>
          <w:sz w:val="24"/>
          <w:szCs w:val="24"/>
        </w:rPr>
        <w:t>European Communities Act 1972</w:t>
      </w:r>
      <w:r w:rsidRPr="00753C82">
        <w:rPr>
          <w:rFonts w:eastAsia="Times New Roman" w:cstheme="minorHAnsi"/>
          <w:sz w:val="24"/>
          <w:szCs w:val="24"/>
        </w:rPr>
        <w:t xml:space="preserve">. [online] Legislation.gov.uk. Available at: </w:t>
      </w:r>
      <w:hyperlink r:id="rId9" w:history="1">
        <w:r w:rsidRPr="00753C82">
          <w:rPr>
            <w:rStyle w:val="Hyperlink"/>
            <w:rFonts w:eastAsia="Times New Roman" w:cstheme="minorHAnsi"/>
            <w:sz w:val="24"/>
            <w:szCs w:val="24"/>
          </w:rPr>
          <w:t>https://www.legislation.gov.uk/ukpga/1972/68/enacted</w:t>
        </w:r>
      </w:hyperlink>
      <w:r w:rsidRPr="00753C82">
        <w:rPr>
          <w:rFonts w:eastAsia="Times New Roman" w:cstheme="minorHAnsi"/>
          <w:sz w:val="24"/>
          <w:szCs w:val="24"/>
        </w:rPr>
        <w:t xml:space="preserve">  [Accessed 20 Apr. 2022].</w:t>
      </w:r>
    </w:p>
    <w:p w14:paraId="743F0272" w14:textId="77777777" w:rsidR="00753C82" w:rsidRPr="00753C82" w:rsidRDefault="00753C82" w:rsidP="00753C82">
      <w:pPr>
        <w:spacing w:after="240" w:line="240" w:lineRule="auto"/>
        <w:ind w:left="720" w:hanging="720"/>
        <w:rPr>
          <w:rFonts w:eastAsia="Times New Roman" w:cstheme="minorHAnsi"/>
          <w:sz w:val="24"/>
          <w:szCs w:val="24"/>
        </w:rPr>
      </w:pPr>
      <w:r w:rsidRPr="00753C82">
        <w:rPr>
          <w:rFonts w:eastAsia="Times New Roman" w:cstheme="minorHAnsi"/>
          <w:sz w:val="24"/>
          <w:szCs w:val="24"/>
        </w:rPr>
        <w:t xml:space="preserve">House of Commons (2015). </w:t>
      </w:r>
      <w:r w:rsidRPr="00753C82">
        <w:rPr>
          <w:rFonts w:eastAsia="Times New Roman" w:cstheme="minorHAnsi"/>
          <w:i/>
          <w:iCs/>
          <w:sz w:val="24"/>
          <w:szCs w:val="24"/>
        </w:rPr>
        <w:t>POLITICAL AND CONSTITUTIONAL REFORM COMMITTEE THE UK CONSTITUTION A summary, with options for reform</w:t>
      </w:r>
      <w:r w:rsidRPr="00753C82">
        <w:rPr>
          <w:rFonts w:eastAsia="Times New Roman" w:cstheme="minorHAnsi"/>
          <w:sz w:val="24"/>
          <w:szCs w:val="24"/>
        </w:rPr>
        <w:t xml:space="preserve">. [online] Available at: </w:t>
      </w:r>
      <w:hyperlink r:id="rId10" w:history="1">
        <w:r w:rsidRPr="00753C82">
          <w:rPr>
            <w:rStyle w:val="Hyperlink"/>
            <w:rFonts w:eastAsia="Times New Roman" w:cstheme="minorHAnsi"/>
            <w:sz w:val="24"/>
            <w:szCs w:val="24"/>
          </w:rPr>
          <w:t>https://www.parliament.uk/globalassets/documents/commons-committees/political-and-constitutional-reform/The-UK-Constitution.pdf</w:t>
        </w:r>
      </w:hyperlink>
      <w:r w:rsidRPr="00753C82">
        <w:rPr>
          <w:rFonts w:eastAsia="Times New Roman" w:cstheme="minorHAnsi"/>
          <w:sz w:val="24"/>
          <w:szCs w:val="24"/>
        </w:rPr>
        <w:t xml:space="preserve">. </w:t>
      </w:r>
    </w:p>
    <w:p w14:paraId="304DBADD" w14:textId="77777777" w:rsidR="00753C82" w:rsidRPr="00753C82" w:rsidRDefault="00753C82" w:rsidP="00753C82">
      <w:pPr>
        <w:spacing w:line="240" w:lineRule="auto"/>
        <w:rPr>
          <w:rFonts w:eastAsia="Times New Roman" w:cstheme="minorHAnsi"/>
          <w:color w:val="0E101A"/>
          <w:sz w:val="24"/>
          <w:szCs w:val="24"/>
        </w:rPr>
      </w:pPr>
      <w:r w:rsidRPr="00753C82">
        <w:rPr>
          <w:rFonts w:eastAsia="Times New Roman" w:cstheme="minorHAnsi"/>
          <w:color w:val="0E101A"/>
          <w:sz w:val="24"/>
          <w:szCs w:val="24"/>
        </w:rPr>
        <w:t xml:space="preserve">Jackson v. Attorney General (2005), </w:t>
      </w:r>
      <w:r w:rsidRPr="00753C82">
        <w:rPr>
          <w:rFonts w:cstheme="minorHAnsi"/>
          <w:color w:val="202124"/>
          <w:sz w:val="24"/>
          <w:szCs w:val="24"/>
          <w:shd w:val="clear" w:color="auto" w:fill="FFFFFF"/>
        </w:rPr>
        <w:t>UKHL 56, 1 AC 262</w:t>
      </w:r>
    </w:p>
    <w:p w14:paraId="310675E5" w14:textId="77777777" w:rsidR="00753C82" w:rsidRPr="00753C82" w:rsidRDefault="00753C82" w:rsidP="00753C82">
      <w:pPr>
        <w:spacing w:after="240" w:line="240" w:lineRule="auto"/>
        <w:ind w:left="720" w:hanging="720"/>
        <w:rPr>
          <w:rFonts w:eastAsia="Times New Roman" w:cstheme="minorHAnsi"/>
          <w:sz w:val="24"/>
          <w:szCs w:val="24"/>
        </w:rPr>
      </w:pPr>
      <w:proofErr w:type="spellStart"/>
      <w:r w:rsidRPr="00753C82">
        <w:rPr>
          <w:rFonts w:eastAsia="Times New Roman" w:cstheme="minorHAnsi"/>
          <w:sz w:val="24"/>
          <w:szCs w:val="24"/>
        </w:rPr>
        <w:t>Olwor</w:t>
      </w:r>
      <w:proofErr w:type="spellEnd"/>
      <w:r w:rsidRPr="00753C82">
        <w:rPr>
          <w:rFonts w:eastAsia="Times New Roman" w:cstheme="minorHAnsi"/>
          <w:sz w:val="24"/>
          <w:szCs w:val="24"/>
        </w:rPr>
        <w:t xml:space="preserve">, N. (2021). Constitutional Law: Principles and Practices. </w:t>
      </w:r>
      <w:r w:rsidRPr="00753C82">
        <w:rPr>
          <w:rFonts w:eastAsia="Times New Roman" w:cstheme="minorHAnsi"/>
          <w:i/>
          <w:iCs/>
          <w:sz w:val="24"/>
          <w:szCs w:val="24"/>
        </w:rPr>
        <w:t>SSRN Electronic Journal</w:t>
      </w:r>
      <w:r w:rsidRPr="00753C82">
        <w:rPr>
          <w:rFonts w:eastAsia="Times New Roman" w:cstheme="minorHAnsi"/>
          <w:sz w:val="24"/>
          <w:szCs w:val="24"/>
        </w:rPr>
        <w:t xml:space="preserve">. </w:t>
      </w:r>
      <w:proofErr w:type="spellStart"/>
      <w:proofErr w:type="gramStart"/>
      <w:r w:rsidRPr="00753C82">
        <w:rPr>
          <w:rFonts w:eastAsia="Times New Roman" w:cstheme="minorHAnsi"/>
          <w:sz w:val="24"/>
          <w:szCs w:val="24"/>
        </w:rPr>
        <w:t>doi:https</w:t>
      </w:r>
      <w:proofErr w:type="spellEnd"/>
      <w:r w:rsidRPr="00753C82">
        <w:rPr>
          <w:rFonts w:eastAsia="Times New Roman" w:cstheme="minorHAnsi"/>
          <w:sz w:val="24"/>
          <w:szCs w:val="24"/>
        </w:rPr>
        <w:t>://doi.org/10.2139/ssrn.3789181</w:t>
      </w:r>
      <w:proofErr w:type="gramEnd"/>
      <w:r w:rsidRPr="00753C82">
        <w:rPr>
          <w:rFonts w:eastAsia="Times New Roman" w:cstheme="minorHAnsi"/>
          <w:sz w:val="24"/>
          <w:szCs w:val="24"/>
        </w:rPr>
        <w:t xml:space="preserve"> .  </w:t>
      </w:r>
    </w:p>
    <w:p w14:paraId="5FE5A237" w14:textId="77777777" w:rsidR="00753C82" w:rsidRPr="00753C82" w:rsidRDefault="00753C82" w:rsidP="00753C82">
      <w:pPr>
        <w:spacing w:after="240" w:line="240" w:lineRule="auto"/>
        <w:ind w:left="720" w:hanging="720"/>
        <w:rPr>
          <w:rFonts w:eastAsia="Times New Roman" w:cstheme="minorHAnsi"/>
          <w:sz w:val="24"/>
          <w:szCs w:val="24"/>
        </w:rPr>
      </w:pPr>
      <w:proofErr w:type="spellStart"/>
      <w:r w:rsidRPr="00753C82">
        <w:rPr>
          <w:rFonts w:eastAsia="Times New Roman" w:cstheme="minorHAnsi"/>
          <w:sz w:val="24"/>
          <w:szCs w:val="24"/>
        </w:rPr>
        <w:t>Oram</w:t>
      </w:r>
      <w:proofErr w:type="spellEnd"/>
      <w:r w:rsidRPr="00753C82">
        <w:rPr>
          <w:rFonts w:eastAsia="Times New Roman" w:cstheme="minorHAnsi"/>
          <w:sz w:val="24"/>
          <w:szCs w:val="24"/>
        </w:rPr>
        <w:t xml:space="preserve">, K. (2016). </w:t>
      </w:r>
      <w:r w:rsidRPr="00753C82">
        <w:rPr>
          <w:rFonts w:eastAsia="Times New Roman" w:cstheme="minorHAnsi"/>
          <w:i/>
          <w:iCs/>
          <w:sz w:val="24"/>
          <w:szCs w:val="24"/>
        </w:rPr>
        <w:t>The Role of the Monarchy</w:t>
      </w:r>
      <w:r w:rsidRPr="00753C82">
        <w:rPr>
          <w:rFonts w:eastAsia="Times New Roman" w:cstheme="minorHAnsi"/>
          <w:sz w:val="24"/>
          <w:szCs w:val="24"/>
        </w:rPr>
        <w:t xml:space="preserve">. [online] The Royal Family. Available at: </w:t>
      </w:r>
      <w:hyperlink r:id="rId11" w:history="1">
        <w:r w:rsidRPr="00753C82">
          <w:rPr>
            <w:rStyle w:val="Hyperlink"/>
            <w:rFonts w:eastAsia="Times New Roman" w:cstheme="minorHAnsi"/>
            <w:sz w:val="24"/>
            <w:szCs w:val="24"/>
          </w:rPr>
          <w:t>https://www.royal.uk/role-monarchy</w:t>
        </w:r>
      </w:hyperlink>
      <w:r w:rsidRPr="00753C82">
        <w:rPr>
          <w:rFonts w:eastAsia="Times New Roman" w:cstheme="minorHAnsi"/>
          <w:sz w:val="24"/>
          <w:szCs w:val="24"/>
        </w:rPr>
        <w:t xml:space="preserve">. </w:t>
      </w:r>
    </w:p>
    <w:p w14:paraId="078CF186" w14:textId="77777777" w:rsidR="00753C82" w:rsidRPr="00753C82" w:rsidRDefault="00753C82" w:rsidP="00753C82">
      <w:pPr>
        <w:spacing w:line="240" w:lineRule="auto"/>
        <w:rPr>
          <w:rFonts w:cstheme="minorHAnsi"/>
          <w:color w:val="4D5156"/>
          <w:sz w:val="24"/>
          <w:szCs w:val="24"/>
          <w:shd w:val="clear" w:color="auto" w:fill="FFFFFF"/>
        </w:rPr>
      </w:pPr>
      <w:proofErr w:type="spellStart"/>
      <w:r w:rsidRPr="00753C82">
        <w:rPr>
          <w:rFonts w:eastAsia="Times New Roman" w:cstheme="minorHAnsi"/>
          <w:color w:val="0E101A"/>
          <w:sz w:val="24"/>
          <w:szCs w:val="24"/>
        </w:rPr>
        <w:t>Pickin</w:t>
      </w:r>
      <w:proofErr w:type="spellEnd"/>
      <w:r w:rsidRPr="00753C82">
        <w:rPr>
          <w:rFonts w:eastAsia="Times New Roman" w:cstheme="minorHAnsi"/>
          <w:color w:val="0E101A"/>
          <w:sz w:val="24"/>
          <w:szCs w:val="24"/>
        </w:rPr>
        <w:t xml:space="preserve"> v British Railways Board (1974),</w:t>
      </w:r>
      <w:r w:rsidRPr="00753C82">
        <w:rPr>
          <w:rFonts w:cstheme="minorHAnsi"/>
          <w:color w:val="4D5156"/>
          <w:sz w:val="24"/>
          <w:szCs w:val="24"/>
          <w:shd w:val="clear" w:color="auto" w:fill="FFFFFF"/>
        </w:rPr>
        <w:t xml:space="preserve"> UKHL</w:t>
      </w:r>
    </w:p>
    <w:p w14:paraId="451A577A" w14:textId="77777777" w:rsidR="00753C82" w:rsidRPr="00753C82" w:rsidRDefault="00753C82" w:rsidP="00753C82">
      <w:pPr>
        <w:spacing w:line="240" w:lineRule="auto"/>
        <w:rPr>
          <w:rFonts w:cstheme="minorHAnsi"/>
          <w:color w:val="202124"/>
          <w:sz w:val="24"/>
          <w:szCs w:val="24"/>
          <w:shd w:val="clear" w:color="auto" w:fill="FFFFFF"/>
        </w:rPr>
      </w:pPr>
      <w:r w:rsidRPr="00753C82">
        <w:rPr>
          <w:rFonts w:eastAsia="Times New Roman" w:cstheme="minorHAnsi"/>
          <w:i/>
          <w:color w:val="0E101A"/>
          <w:sz w:val="24"/>
          <w:szCs w:val="24"/>
        </w:rPr>
        <w:t xml:space="preserve">R </w:t>
      </w:r>
      <w:r w:rsidRPr="00753C82">
        <w:rPr>
          <w:rFonts w:eastAsia="Times New Roman" w:cstheme="minorHAnsi"/>
          <w:color w:val="0E101A"/>
          <w:sz w:val="24"/>
          <w:szCs w:val="24"/>
        </w:rPr>
        <w:t xml:space="preserve">(Miller) v Secretary of State, </w:t>
      </w:r>
      <w:r w:rsidRPr="00753C82">
        <w:rPr>
          <w:rFonts w:cstheme="minorHAnsi"/>
          <w:color w:val="202124"/>
          <w:sz w:val="24"/>
          <w:szCs w:val="24"/>
          <w:shd w:val="clear" w:color="auto" w:fill="FFFFFF"/>
        </w:rPr>
        <w:t>UKSC 5.</w:t>
      </w:r>
    </w:p>
    <w:p w14:paraId="1E9ACD32" w14:textId="77777777" w:rsidR="00753C82" w:rsidRPr="00753C82" w:rsidRDefault="00753C82" w:rsidP="00753C82">
      <w:pPr>
        <w:spacing w:after="240" w:line="240" w:lineRule="auto"/>
        <w:ind w:left="720" w:hanging="720"/>
        <w:rPr>
          <w:rFonts w:eastAsia="Times New Roman" w:cstheme="minorHAnsi"/>
          <w:sz w:val="24"/>
          <w:szCs w:val="24"/>
        </w:rPr>
      </w:pPr>
      <w:r w:rsidRPr="00753C82">
        <w:rPr>
          <w:rFonts w:eastAsia="Times New Roman" w:cstheme="minorHAnsi"/>
          <w:sz w:val="24"/>
          <w:szCs w:val="24"/>
        </w:rPr>
        <w:t xml:space="preserve">The Institute for Government (2019). </w:t>
      </w:r>
      <w:r w:rsidRPr="00753C82">
        <w:rPr>
          <w:rFonts w:eastAsia="Times New Roman" w:cstheme="minorHAnsi"/>
          <w:i/>
          <w:iCs/>
          <w:sz w:val="24"/>
          <w:szCs w:val="24"/>
        </w:rPr>
        <w:t>European Communities Act 1972</w:t>
      </w:r>
      <w:r w:rsidRPr="00753C82">
        <w:rPr>
          <w:rFonts w:eastAsia="Times New Roman" w:cstheme="minorHAnsi"/>
          <w:sz w:val="24"/>
          <w:szCs w:val="24"/>
        </w:rPr>
        <w:t xml:space="preserve">. [online] Institute for Government. Available at: </w:t>
      </w:r>
      <w:hyperlink r:id="rId12" w:history="1">
        <w:r w:rsidRPr="00753C82">
          <w:rPr>
            <w:rStyle w:val="Hyperlink"/>
            <w:rFonts w:eastAsia="Times New Roman" w:cstheme="minorHAnsi"/>
            <w:sz w:val="24"/>
            <w:szCs w:val="24"/>
          </w:rPr>
          <w:t>https://www.instituteforgovernment.org.uk/article/explainer/european-communities-act-1972</w:t>
        </w:r>
      </w:hyperlink>
      <w:r w:rsidRPr="00753C82">
        <w:rPr>
          <w:rFonts w:eastAsia="Times New Roman" w:cstheme="minorHAnsi"/>
          <w:sz w:val="24"/>
          <w:szCs w:val="24"/>
        </w:rPr>
        <w:t xml:space="preserve">  [Accessed 18 Jan. 2023].</w:t>
      </w:r>
    </w:p>
    <w:p w14:paraId="33BEC3E4" w14:textId="77777777" w:rsidR="00753C82" w:rsidRPr="00753C82" w:rsidRDefault="00753C82" w:rsidP="00753C82">
      <w:pPr>
        <w:spacing w:line="240" w:lineRule="auto"/>
        <w:rPr>
          <w:rFonts w:cstheme="minorHAnsi"/>
          <w:sz w:val="24"/>
          <w:szCs w:val="24"/>
        </w:rPr>
      </w:pPr>
      <w:r w:rsidRPr="00753C82">
        <w:rPr>
          <w:rFonts w:eastAsia="Times New Roman" w:cstheme="minorHAnsi"/>
          <w:color w:val="0E101A"/>
          <w:sz w:val="24"/>
          <w:szCs w:val="24"/>
        </w:rPr>
        <w:t xml:space="preserve">Thoburn v. Sunderland City Council (2002), </w:t>
      </w:r>
      <w:r w:rsidRPr="00753C82">
        <w:rPr>
          <w:rFonts w:cstheme="minorHAnsi"/>
          <w:color w:val="202124"/>
          <w:sz w:val="24"/>
          <w:szCs w:val="24"/>
          <w:shd w:val="clear" w:color="auto" w:fill="FFFFFF"/>
        </w:rPr>
        <w:t>EWHC 195 (Admin)</w:t>
      </w:r>
      <w:r w:rsidRPr="00753C82">
        <w:rPr>
          <w:rFonts w:eastAsia="Times New Roman" w:cstheme="minorHAnsi"/>
          <w:color w:val="0E101A"/>
          <w:sz w:val="24"/>
          <w:szCs w:val="24"/>
        </w:rPr>
        <w:t>.</w:t>
      </w:r>
    </w:p>
    <w:p w14:paraId="74D53FC8" w14:textId="5BD2FE3E" w:rsidR="00436229" w:rsidRPr="00753C82" w:rsidRDefault="00753C82" w:rsidP="00753C82">
      <w:pPr>
        <w:spacing w:after="240" w:line="240" w:lineRule="auto"/>
        <w:ind w:left="720" w:hanging="720"/>
        <w:rPr>
          <w:rFonts w:ascii="Times New Roman" w:eastAsia="Times New Roman" w:hAnsi="Times New Roman" w:cs="Times New Roman"/>
          <w:sz w:val="24"/>
          <w:szCs w:val="24"/>
        </w:rPr>
      </w:pPr>
      <w:r w:rsidRPr="00753C82">
        <w:rPr>
          <w:rFonts w:eastAsia="Times New Roman" w:cstheme="minorHAnsi"/>
          <w:sz w:val="24"/>
          <w:szCs w:val="24"/>
        </w:rPr>
        <w:lastRenderedPageBreak/>
        <w:t xml:space="preserve">UCL (2018). </w:t>
      </w:r>
      <w:r w:rsidRPr="00753C82">
        <w:rPr>
          <w:rFonts w:eastAsia="Times New Roman" w:cstheme="minorHAnsi"/>
          <w:i/>
          <w:iCs/>
          <w:sz w:val="24"/>
          <w:szCs w:val="24"/>
        </w:rPr>
        <w:t>What is the UK Constitution?</w:t>
      </w:r>
      <w:r w:rsidRPr="00753C82">
        <w:rPr>
          <w:rFonts w:eastAsia="Times New Roman" w:cstheme="minorHAnsi"/>
          <w:sz w:val="24"/>
          <w:szCs w:val="24"/>
        </w:rPr>
        <w:t xml:space="preserve"> [online] The Constitution Unit. Available at: </w:t>
      </w:r>
      <w:hyperlink r:id="rId13" w:anchor=":~:text=This%20is%20not%20strictly%20correct" w:history="1">
        <w:r w:rsidRPr="00753C82">
          <w:rPr>
            <w:rStyle w:val="Hyperlink"/>
            <w:rFonts w:eastAsia="Times New Roman" w:cstheme="minorHAnsi"/>
            <w:sz w:val="24"/>
            <w:szCs w:val="24"/>
          </w:rPr>
          <w:t>https://www.ucl.ac.uk/constitution-unit/explainers/what-uk-constitution#:~:text=This%20is%20not%20strictly%20correct</w:t>
        </w:r>
      </w:hyperlink>
      <w:r w:rsidRPr="00753C82">
        <w:rPr>
          <w:rFonts w:eastAsia="Times New Roman" w:cstheme="minorHAnsi"/>
          <w:sz w:val="24"/>
          <w:szCs w:val="24"/>
        </w:rPr>
        <w:t xml:space="preserve">  [A</w:t>
      </w:r>
      <w:r w:rsidRPr="00222387">
        <w:rPr>
          <w:rFonts w:ascii="Times New Roman" w:eastAsia="Times New Roman" w:hAnsi="Times New Roman" w:cs="Times New Roman"/>
          <w:sz w:val="24"/>
          <w:szCs w:val="24"/>
        </w:rPr>
        <w:t>ccessed 16 Nov. 2023].</w:t>
      </w:r>
    </w:p>
    <w:sectPr w:rsidR="00436229" w:rsidRPr="00753C8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507A4" w14:textId="77777777" w:rsidR="00214843" w:rsidRDefault="00214843" w:rsidP="00753C82">
      <w:pPr>
        <w:spacing w:after="0" w:line="240" w:lineRule="auto"/>
      </w:pPr>
      <w:r>
        <w:separator/>
      </w:r>
    </w:p>
  </w:endnote>
  <w:endnote w:type="continuationSeparator" w:id="0">
    <w:p w14:paraId="526B5C7C" w14:textId="77777777" w:rsidR="00214843" w:rsidRDefault="00214843" w:rsidP="00753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9AA93" w14:textId="77777777" w:rsidR="00214843" w:rsidRDefault="00214843" w:rsidP="00753C82">
      <w:pPr>
        <w:spacing w:after="0" w:line="240" w:lineRule="auto"/>
      </w:pPr>
      <w:r>
        <w:separator/>
      </w:r>
    </w:p>
  </w:footnote>
  <w:footnote w:type="continuationSeparator" w:id="0">
    <w:p w14:paraId="4C3362D4" w14:textId="77777777" w:rsidR="00214843" w:rsidRDefault="00214843" w:rsidP="00753C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C82"/>
    <w:rsid w:val="000278B9"/>
    <w:rsid w:val="000324B0"/>
    <w:rsid w:val="00214843"/>
    <w:rsid w:val="00436229"/>
    <w:rsid w:val="00626B11"/>
    <w:rsid w:val="00665761"/>
    <w:rsid w:val="00753C82"/>
    <w:rsid w:val="009706F1"/>
    <w:rsid w:val="00EB725E"/>
    <w:rsid w:val="00F02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7D7BD9"/>
  <w15:chartTrackingRefBased/>
  <w15:docId w15:val="{A524CC6B-2368-E641-ACBA-4BF6C6A53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C82"/>
    <w:pPr>
      <w:spacing w:after="160" w:line="259" w:lineRule="auto"/>
    </w:pPr>
    <w:rPr>
      <w:kern w:val="0"/>
      <w:sz w:val="22"/>
      <w:szCs w:val="2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Style1">
    <w:name w:val="Style1"/>
    <w:basedOn w:val="TableNormal"/>
    <w:uiPriority w:val="99"/>
    <w:rsid w:val="000278B9"/>
    <w:pPr>
      <w:jc w:val="center"/>
    </w:pPr>
    <w:rPr>
      <w:b/>
    </w:rPr>
    <w:tblPr/>
    <w:tcPr>
      <w:shd w:val="clear" w:color="auto" w:fill="EAC7F1"/>
    </w:tcPr>
  </w:style>
  <w:style w:type="paragraph" w:styleId="Header">
    <w:name w:val="header"/>
    <w:basedOn w:val="Normal"/>
    <w:link w:val="HeaderChar"/>
    <w:uiPriority w:val="99"/>
    <w:unhideWhenUsed/>
    <w:rsid w:val="00753C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C82"/>
    <w:rPr>
      <w:kern w:val="0"/>
      <w:sz w:val="22"/>
      <w:szCs w:val="22"/>
      <w:lang w:val="en-US"/>
      <w14:ligatures w14:val="none"/>
    </w:rPr>
  </w:style>
  <w:style w:type="character" w:styleId="Hyperlink">
    <w:name w:val="Hyperlink"/>
    <w:basedOn w:val="DefaultParagraphFont"/>
    <w:uiPriority w:val="99"/>
    <w:unhideWhenUsed/>
    <w:rsid w:val="00753C82"/>
    <w:rPr>
      <w:color w:val="0563C1" w:themeColor="hyperlink"/>
      <w:u w:val="single"/>
    </w:rPr>
  </w:style>
  <w:style w:type="paragraph" w:styleId="Footer">
    <w:name w:val="footer"/>
    <w:basedOn w:val="Normal"/>
    <w:link w:val="FooterChar"/>
    <w:uiPriority w:val="99"/>
    <w:unhideWhenUsed/>
    <w:rsid w:val="00753C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C82"/>
    <w:rPr>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5/4/notes/division/2" TargetMode="External"/><Relationship Id="rId13" Type="http://schemas.openxmlformats.org/officeDocument/2006/relationships/hyperlink" Target="https://www.ucl.ac.uk/constitution-unit/explainers/what-uk-constitution" TargetMode="External"/><Relationship Id="rId3" Type="http://schemas.openxmlformats.org/officeDocument/2006/relationships/webSettings" Target="webSettings.xml"/><Relationship Id="rId7" Type="http://schemas.openxmlformats.org/officeDocument/2006/relationships/hyperlink" Target="https://www.equalityhumanrights.com/human-rights/human-rights-act" TargetMode="External"/><Relationship Id="rId12" Type="http://schemas.openxmlformats.org/officeDocument/2006/relationships/hyperlink" Target="https://www.instituteforgovernment.org.uk/article/explainer/european-communities-act-197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hr.org.uk/get-informed/legislation/separation-of-powers-parliamentary-sovereignty-the-rule-of-law" TargetMode="External"/><Relationship Id="rId11" Type="http://schemas.openxmlformats.org/officeDocument/2006/relationships/hyperlink" Target="https://www.royal.uk/role-monarchy"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parliament.uk/globalassets/documents/commons-committees/political-and-constitutional-reform/The-UK-Constitution.pdf" TargetMode="External"/><Relationship Id="rId4" Type="http://schemas.openxmlformats.org/officeDocument/2006/relationships/footnotes" Target="footnotes.xml"/><Relationship Id="rId9" Type="http://schemas.openxmlformats.org/officeDocument/2006/relationships/hyperlink" Target="https://www.legislation.gov.uk/ukpga/1972/68/enact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2246</Words>
  <Characters>12808</Characters>
  <Application>Microsoft Office Word</Application>
  <DocSecurity>0</DocSecurity>
  <Lines>106</Lines>
  <Paragraphs>30</Paragraphs>
  <ScaleCrop>false</ScaleCrop>
  <Company/>
  <LinksUpToDate>false</LinksUpToDate>
  <CharactersWithSpaces>15024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Tasleem kara</dc:creator>
  <cp:keywords/>
  <dc:description/>
  <cp:lastModifiedBy>Tasleem kara</cp:lastModifiedBy>
  <cp:revision>2</cp:revision>
  <dcterms:created xsi:type="dcterms:W3CDTF">2023-11-17T22:32:00Z</dcterms:created>
  <dcterms:modified xsi:type="dcterms:W3CDTF">2023-11-17T22:32:00Z</dcterms:modified>
</cp:coreProperties>
</file>