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DC9B0" w14:textId="77777777" w:rsidR="00C73AF5" w:rsidRDefault="00C73AF5" w:rsidP="00C73AF5">
      <w:pPr>
        <w:jc w:val="center"/>
        <w:rPr>
          <w:rFonts w:ascii="Arial" w:hAnsi="Arial" w:cs="Arial"/>
          <w:b/>
          <w:bCs/>
          <w:sz w:val="22"/>
          <w:szCs w:val="22"/>
        </w:rPr>
      </w:pPr>
    </w:p>
    <w:p w14:paraId="659E0AD0" w14:textId="77777777" w:rsidR="00C73AF5" w:rsidRDefault="00C73AF5" w:rsidP="00C73AF5">
      <w:pPr>
        <w:jc w:val="center"/>
        <w:rPr>
          <w:rFonts w:ascii="Arial" w:hAnsi="Arial" w:cs="Arial"/>
          <w:b/>
          <w:bCs/>
          <w:sz w:val="22"/>
          <w:szCs w:val="22"/>
        </w:rPr>
      </w:pPr>
    </w:p>
    <w:p w14:paraId="70E259FB" w14:textId="77777777" w:rsidR="00C73AF5" w:rsidRDefault="00C73AF5" w:rsidP="00C73AF5">
      <w:pPr>
        <w:jc w:val="center"/>
        <w:rPr>
          <w:rFonts w:ascii="Arial" w:hAnsi="Arial" w:cs="Arial"/>
          <w:b/>
          <w:bCs/>
          <w:sz w:val="22"/>
          <w:szCs w:val="22"/>
        </w:rPr>
      </w:pPr>
    </w:p>
    <w:p w14:paraId="19C4A63E" w14:textId="1726B712" w:rsidR="00C73AF5" w:rsidRPr="00C73AF5" w:rsidRDefault="00C73AF5" w:rsidP="00C73AF5">
      <w:pPr>
        <w:jc w:val="center"/>
        <w:rPr>
          <w:rFonts w:ascii="Arial" w:hAnsi="Arial" w:cs="Arial"/>
          <w:b/>
          <w:bCs/>
          <w:sz w:val="22"/>
          <w:szCs w:val="22"/>
        </w:rPr>
      </w:pPr>
      <w:r w:rsidRPr="00C73AF5">
        <w:rPr>
          <w:rFonts w:ascii="Arial" w:hAnsi="Arial" w:cs="Arial"/>
          <w:b/>
          <w:bCs/>
          <w:sz w:val="22"/>
          <w:szCs w:val="22"/>
        </w:rPr>
        <w:t>Person-</w:t>
      </w:r>
      <w:r w:rsidR="00875040">
        <w:rPr>
          <w:rFonts w:ascii="Arial" w:hAnsi="Arial" w:cs="Arial"/>
          <w:b/>
          <w:bCs/>
          <w:sz w:val="22"/>
          <w:szCs w:val="22"/>
        </w:rPr>
        <w:t>Centered</w:t>
      </w:r>
      <w:r w:rsidRPr="00C73AF5">
        <w:rPr>
          <w:rFonts w:ascii="Arial" w:hAnsi="Arial" w:cs="Arial"/>
          <w:b/>
          <w:bCs/>
          <w:sz w:val="22"/>
          <w:szCs w:val="22"/>
        </w:rPr>
        <w:t xml:space="preserve"> Care and Partnership Working in Adult Community Mental Health Services</w:t>
      </w:r>
    </w:p>
    <w:p w14:paraId="282A5524" w14:textId="77777777" w:rsidR="00C73AF5" w:rsidRPr="00C73AF5" w:rsidRDefault="00C73AF5" w:rsidP="00C73AF5">
      <w:pPr>
        <w:jc w:val="center"/>
        <w:rPr>
          <w:rFonts w:ascii="Arial" w:hAnsi="Arial" w:cs="Arial"/>
          <w:b/>
          <w:bCs/>
          <w:sz w:val="22"/>
          <w:szCs w:val="22"/>
        </w:rPr>
      </w:pPr>
      <w:r w:rsidRPr="00C73AF5">
        <w:rPr>
          <w:rFonts w:ascii="Arial" w:hAnsi="Arial" w:cs="Arial"/>
          <w:b/>
          <w:bCs/>
          <w:sz w:val="22"/>
          <w:szCs w:val="22"/>
        </w:rPr>
        <w:t>BMHP5016 – Principles of Health &amp; Social Care</w:t>
      </w:r>
    </w:p>
    <w:p w14:paraId="7B111DE4" w14:textId="4914F45D" w:rsidR="00471FE3" w:rsidRDefault="00C73AF5" w:rsidP="00C73AF5">
      <w:pPr>
        <w:jc w:val="center"/>
        <w:rPr>
          <w:rFonts w:ascii="Arial" w:hAnsi="Arial" w:cs="Arial"/>
          <w:sz w:val="22"/>
          <w:szCs w:val="22"/>
        </w:rPr>
      </w:pPr>
      <w:r w:rsidRPr="00C73AF5">
        <w:rPr>
          <w:rFonts w:ascii="Arial" w:hAnsi="Arial" w:cs="Arial"/>
          <w:b/>
          <w:bCs/>
          <w:sz w:val="22"/>
          <w:szCs w:val="22"/>
        </w:rPr>
        <w:t>Student Name:</w:t>
      </w:r>
      <w:r w:rsidRPr="00C73AF5">
        <w:rPr>
          <w:rFonts w:ascii="Arial" w:hAnsi="Arial" w:cs="Arial"/>
          <w:sz w:val="22"/>
          <w:szCs w:val="22"/>
        </w:rPr>
        <w:t xml:space="preserve"> </w:t>
      </w:r>
      <w:proofErr w:type="spellStart"/>
      <w:r w:rsidR="00C65D96">
        <w:rPr>
          <w:rFonts w:ascii="Arial" w:hAnsi="Arial" w:cs="Arial"/>
          <w:sz w:val="22"/>
          <w:szCs w:val="22"/>
        </w:rPr>
        <w:t>Zubeda</w:t>
      </w:r>
      <w:proofErr w:type="spellEnd"/>
      <w:r w:rsidR="00C65D96">
        <w:rPr>
          <w:rFonts w:ascii="Arial" w:hAnsi="Arial" w:cs="Arial"/>
          <w:sz w:val="22"/>
          <w:szCs w:val="22"/>
        </w:rPr>
        <w:t xml:space="preserve"> – </w:t>
      </w:r>
      <w:proofErr w:type="spellStart"/>
      <w:proofErr w:type="gramStart"/>
      <w:r w:rsidR="00C65D96">
        <w:rPr>
          <w:rFonts w:ascii="Arial" w:hAnsi="Arial" w:cs="Arial"/>
          <w:sz w:val="22"/>
          <w:szCs w:val="22"/>
        </w:rPr>
        <w:t>sembagare</w:t>
      </w:r>
      <w:proofErr w:type="spellEnd"/>
      <w:r w:rsidR="00C65D96">
        <w:rPr>
          <w:rFonts w:ascii="Arial" w:hAnsi="Arial" w:cs="Arial"/>
          <w:sz w:val="22"/>
          <w:szCs w:val="22"/>
        </w:rPr>
        <w:t xml:space="preserve">  -</w:t>
      </w:r>
      <w:proofErr w:type="gramEnd"/>
      <w:r w:rsidR="00C65D96">
        <w:rPr>
          <w:rFonts w:ascii="Arial" w:hAnsi="Arial" w:cs="Arial"/>
          <w:sz w:val="22"/>
          <w:szCs w:val="22"/>
        </w:rPr>
        <w:t xml:space="preserve">  </w:t>
      </w:r>
      <w:proofErr w:type="spellStart"/>
      <w:r w:rsidR="00C65D96">
        <w:rPr>
          <w:rFonts w:ascii="Arial" w:hAnsi="Arial" w:cs="Arial"/>
          <w:sz w:val="22"/>
          <w:szCs w:val="22"/>
        </w:rPr>
        <w:t>umurerwa</w:t>
      </w:r>
      <w:proofErr w:type="spellEnd"/>
      <w:r w:rsidRPr="00C73AF5">
        <w:rPr>
          <w:rFonts w:ascii="Arial" w:hAnsi="Arial" w:cs="Arial"/>
          <w:sz w:val="22"/>
          <w:szCs w:val="22"/>
        </w:rPr>
        <w:br/>
      </w:r>
      <w:r w:rsidRPr="00C73AF5">
        <w:rPr>
          <w:rFonts w:ascii="Arial" w:hAnsi="Arial" w:cs="Arial"/>
          <w:b/>
          <w:bCs/>
          <w:sz w:val="22"/>
          <w:szCs w:val="22"/>
        </w:rPr>
        <w:t>Student Number:</w:t>
      </w:r>
      <w:r w:rsidRPr="00C73AF5">
        <w:rPr>
          <w:rFonts w:ascii="Arial" w:hAnsi="Arial" w:cs="Arial"/>
          <w:sz w:val="22"/>
          <w:szCs w:val="22"/>
        </w:rPr>
        <w:t xml:space="preserve"> </w:t>
      </w:r>
      <w:r w:rsidR="00C65D96">
        <w:rPr>
          <w:rFonts w:ascii="Arial" w:hAnsi="Arial" w:cs="Arial"/>
          <w:sz w:val="22"/>
          <w:szCs w:val="22"/>
        </w:rPr>
        <w:t>2423193</w:t>
      </w:r>
      <w:r w:rsidRPr="00C73AF5">
        <w:rPr>
          <w:rFonts w:ascii="Arial" w:hAnsi="Arial" w:cs="Arial"/>
          <w:sz w:val="22"/>
          <w:szCs w:val="22"/>
        </w:rPr>
        <w:br/>
      </w:r>
      <w:r w:rsidRPr="00C73AF5">
        <w:rPr>
          <w:rFonts w:ascii="Arial" w:hAnsi="Arial" w:cs="Arial"/>
          <w:b/>
          <w:bCs/>
          <w:sz w:val="22"/>
          <w:szCs w:val="22"/>
        </w:rPr>
        <w:t>Module Code:</w:t>
      </w:r>
      <w:r w:rsidRPr="00C73AF5">
        <w:rPr>
          <w:rFonts w:ascii="Arial" w:hAnsi="Arial" w:cs="Arial"/>
          <w:sz w:val="22"/>
          <w:szCs w:val="22"/>
        </w:rPr>
        <w:t xml:space="preserve"> BMHP5016</w:t>
      </w:r>
      <w:r w:rsidRPr="00C73AF5">
        <w:rPr>
          <w:rFonts w:ascii="Arial" w:hAnsi="Arial" w:cs="Arial"/>
          <w:sz w:val="22"/>
          <w:szCs w:val="22"/>
        </w:rPr>
        <w:br/>
      </w:r>
      <w:r w:rsidRPr="00C73AF5">
        <w:rPr>
          <w:rFonts w:ascii="Arial" w:hAnsi="Arial" w:cs="Arial"/>
          <w:b/>
          <w:bCs/>
          <w:sz w:val="22"/>
          <w:szCs w:val="22"/>
        </w:rPr>
        <w:t>Module Title:</w:t>
      </w:r>
      <w:r w:rsidRPr="00C73AF5">
        <w:rPr>
          <w:rFonts w:ascii="Arial" w:hAnsi="Arial" w:cs="Arial"/>
          <w:sz w:val="22"/>
          <w:szCs w:val="22"/>
        </w:rPr>
        <w:t xml:space="preserve"> Principles of Health &amp; Social Care</w:t>
      </w:r>
      <w:r w:rsidRPr="00C73AF5">
        <w:rPr>
          <w:rFonts w:ascii="Arial" w:hAnsi="Arial" w:cs="Arial"/>
          <w:sz w:val="22"/>
          <w:szCs w:val="22"/>
        </w:rPr>
        <w:br/>
      </w:r>
      <w:r w:rsidRPr="00C73AF5">
        <w:rPr>
          <w:rFonts w:ascii="Arial" w:hAnsi="Arial" w:cs="Arial"/>
          <w:b/>
          <w:bCs/>
          <w:sz w:val="22"/>
          <w:szCs w:val="22"/>
        </w:rPr>
        <w:t>Lecturer’s Name:</w:t>
      </w:r>
      <w:r w:rsidRPr="00C73AF5">
        <w:rPr>
          <w:rFonts w:ascii="Arial" w:hAnsi="Arial" w:cs="Arial"/>
          <w:sz w:val="22"/>
          <w:szCs w:val="22"/>
        </w:rPr>
        <w:t xml:space="preserve"> </w:t>
      </w:r>
      <w:proofErr w:type="spellStart"/>
      <w:r w:rsidR="00C65D96">
        <w:rPr>
          <w:rFonts w:ascii="Arial" w:hAnsi="Arial" w:cs="Arial"/>
          <w:sz w:val="22"/>
          <w:szCs w:val="22"/>
        </w:rPr>
        <w:t>Aishat</w:t>
      </w:r>
      <w:proofErr w:type="spellEnd"/>
      <w:r w:rsidR="00C65D96">
        <w:rPr>
          <w:rFonts w:ascii="Arial" w:hAnsi="Arial" w:cs="Arial"/>
          <w:sz w:val="22"/>
          <w:szCs w:val="22"/>
        </w:rPr>
        <w:t xml:space="preserve"> </w:t>
      </w:r>
      <w:proofErr w:type="spellStart"/>
      <w:r w:rsidR="00C65D96">
        <w:rPr>
          <w:rFonts w:ascii="Arial" w:hAnsi="Arial" w:cs="Arial"/>
          <w:sz w:val="22"/>
          <w:szCs w:val="22"/>
        </w:rPr>
        <w:t>Bakre</w:t>
      </w:r>
      <w:proofErr w:type="spellEnd"/>
      <w:r w:rsidRPr="00C73AF5">
        <w:rPr>
          <w:rFonts w:ascii="Arial" w:hAnsi="Arial" w:cs="Arial"/>
          <w:sz w:val="22"/>
          <w:szCs w:val="22"/>
        </w:rPr>
        <w:br/>
      </w:r>
      <w:r w:rsidRPr="00C73AF5">
        <w:rPr>
          <w:rFonts w:ascii="Arial" w:hAnsi="Arial" w:cs="Arial"/>
          <w:b/>
          <w:bCs/>
          <w:sz w:val="22"/>
          <w:szCs w:val="22"/>
        </w:rPr>
        <w:t>Assignment Title:</w:t>
      </w:r>
      <w:r w:rsidRPr="00C73AF5">
        <w:rPr>
          <w:rFonts w:ascii="Arial" w:hAnsi="Arial" w:cs="Arial"/>
          <w:sz w:val="22"/>
          <w:szCs w:val="22"/>
        </w:rPr>
        <w:t xml:space="preserve"> Evaluation of Person-</w:t>
      </w:r>
      <w:r w:rsidR="00875040">
        <w:rPr>
          <w:rFonts w:ascii="Arial" w:hAnsi="Arial" w:cs="Arial"/>
          <w:sz w:val="22"/>
          <w:szCs w:val="22"/>
        </w:rPr>
        <w:t>Centered</w:t>
      </w:r>
      <w:r w:rsidRPr="00C73AF5">
        <w:rPr>
          <w:rFonts w:ascii="Arial" w:hAnsi="Arial" w:cs="Arial"/>
          <w:sz w:val="22"/>
          <w:szCs w:val="22"/>
        </w:rPr>
        <w:t xml:space="preserve"> Care and Partnership Working in Health and Social Care</w:t>
      </w:r>
      <w:r w:rsidRPr="00C73AF5">
        <w:rPr>
          <w:rFonts w:ascii="Arial" w:hAnsi="Arial" w:cs="Arial"/>
          <w:sz w:val="22"/>
          <w:szCs w:val="22"/>
        </w:rPr>
        <w:br/>
      </w:r>
      <w:r w:rsidRPr="00C73AF5">
        <w:rPr>
          <w:rFonts w:ascii="Arial" w:hAnsi="Arial" w:cs="Arial"/>
          <w:b/>
          <w:bCs/>
          <w:sz w:val="22"/>
          <w:szCs w:val="22"/>
        </w:rPr>
        <w:t>Submission Date:</w:t>
      </w:r>
      <w:r w:rsidRPr="00C73AF5">
        <w:rPr>
          <w:rFonts w:ascii="Arial" w:hAnsi="Arial" w:cs="Arial"/>
          <w:sz w:val="22"/>
          <w:szCs w:val="22"/>
        </w:rPr>
        <w:t xml:space="preserve"> </w:t>
      </w:r>
      <w:r w:rsidR="00C65D96">
        <w:rPr>
          <w:rFonts w:ascii="Arial" w:hAnsi="Arial" w:cs="Arial"/>
          <w:sz w:val="22"/>
          <w:szCs w:val="22"/>
        </w:rPr>
        <w:t>21/03/2026</w:t>
      </w:r>
    </w:p>
    <w:p w14:paraId="79B2D398" w14:textId="77777777" w:rsidR="00471FE3" w:rsidRDefault="00471FE3">
      <w:pPr>
        <w:spacing w:line="278" w:lineRule="auto"/>
        <w:jc w:val="left"/>
        <w:rPr>
          <w:rFonts w:ascii="Arial" w:hAnsi="Arial" w:cs="Arial"/>
          <w:sz w:val="22"/>
          <w:szCs w:val="22"/>
        </w:rPr>
      </w:pPr>
      <w:r>
        <w:rPr>
          <w:rFonts w:ascii="Arial" w:hAnsi="Arial" w:cs="Arial"/>
          <w:sz w:val="22"/>
          <w:szCs w:val="22"/>
        </w:rPr>
        <w:br w:type="page"/>
      </w:r>
    </w:p>
    <w:p w14:paraId="5C6C7713" w14:textId="77777777" w:rsidR="00471FE3" w:rsidRPr="00875040" w:rsidRDefault="00471FE3" w:rsidP="00944E3F">
      <w:pPr>
        <w:pStyle w:val="Heading1"/>
      </w:pPr>
      <w:bookmarkStart w:id="0" w:name="_Toc224294021"/>
      <w:r w:rsidRPr="00875040">
        <w:lastRenderedPageBreak/>
        <w:t>Abstract</w:t>
      </w:r>
      <w:bookmarkEnd w:id="0"/>
    </w:p>
    <w:p w14:paraId="4820F815" w14:textId="77777777" w:rsidR="00471FE3" w:rsidRPr="00875040" w:rsidRDefault="00471FE3" w:rsidP="00471FE3">
      <w:pPr>
        <w:rPr>
          <w:rFonts w:ascii="Arial" w:hAnsi="Arial" w:cs="Arial"/>
          <w:sz w:val="22"/>
          <w:szCs w:val="22"/>
        </w:rPr>
      </w:pPr>
      <w:r>
        <w:rPr>
          <w:rFonts w:ascii="Arial" w:hAnsi="Arial" w:cs="Arial"/>
          <w:sz w:val="22"/>
          <w:szCs w:val="22"/>
        </w:rPr>
        <w:t>T</w:t>
      </w:r>
      <w:r w:rsidRPr="00875040">
        <w:rPr>
          <w:rFonts w:ascii="Arial" w:hAnsi="Arial" w:cs="Arial"/>
          <w:sz w:val="22"/>
          <w:szCs w:val="22"/>
        </w:rPr>
        <w:t>his report</w:t>
      </w:r>
      <w:r>
        <w:rPr>
          <w:rFonts w:ascii="Arial" w:hAnsi="Arial" w:cs="Arial"/>
          <w:sz w:val="22"/>
          <w:szCs w:val="22"/>
        </w:rPr>
        <w:t xml:space="preserve"> consists of </w:t>
      </w:r>
      <w:r w:rsidRPr="00875040">
        <w:rPr>
          <w:rFonts w:ascii="Arial" w:hAnsi="Arial" w:cs="Arial"/>
          <w:sz w:val="22"/>
          <w:szCs w:val="22"/>
        </w:rPr>
        <w:t>the two models of person-</w:t>
      </w:r>
      <w:r>
        <w:rPr>
          <w:rFonts w:ascii="Arial" w:hAnsi="Arial" w:cs="Arial"/>
          <w:sz w:val="22"/>
          <w:szCs w:val="22"/>
        </w:rPr>
        <w:t>centered</w:t>
      </w:r>
      <w:r w:rsidRPr="00875040">
        <w:rPr>
          <w:rFonts w:ascii="Arial" w:hAnsi="Arial" w:cs="Arial"/>
          <w:sz w:val="22"/>
          <w:szCs w:val="22"/>
        </w:rPr>
        <w:t xml:space="preserve"> care (PCC) and partnership working (PW) in adult community mental health services in the United Kingdom have been critically assessed. It is a well-known fact that person-</w:t>
      </w:r>
      <w:r>
        <w:rPr>
          <w:rFonts w:ascii="Arial" w:hAnsi="Arial" w:cs="Arial"/>
          <w:sz w:val="22"/>
          <w:szCs w:val="22"/>
        </w:rPr>
        <w:t>centered</w:t>
      </w:r>
      <w:r w:rsidRPr="00875040">
        <w:rPr>
          <w:rFonts w:ascii="Arial" w:hAnsi="Arial" w:cs="Arial"/>
          <w:sz w:val="22"/>
          <w:szCs w:val="22"/>
        </w:rPr>
        <w:t xml:space="preserve"> care is one of the fundamental principles of health and social care practice, which facilitates dignity, autonomy</w:t>
      </w:r>
      <w:r>
        <w:rPr>
          <w:rFonts w:ascii="Arial" w:hAnsi="Arial" w:cs="Arial"/>
          <w:sz w:val="22"/>
          <w:szCs w:val="22"/>
        </w:rPr>
        <w:t>,</w:t>
      </w:r>
      <w:r w:rsidRPr="00875040">
        <w:rPr>
          <w:rFonts w:ascii="Arial" w:hAnsi="Arial" w:cs="Arial"/>
          <w:sz w:val="22"/>
          <w:szCs w:val="22"/>
        </w:rPr>
        <w:t xml:space="preserve"> and individualised support. The report outlines the definition of PCC, the main advantages and disadvantages, and critically evaluates the person-</w:t>
      </w:r>
      <w:r>
        <w:rPr>
          <w:rFonts w:ascii="Arial" w:hAnsi="Arial" w:cs="Arial"/>
          <w:sz w:val="22"/>
          <w:szCs w:val="22"/>
        </w:rPr>
        <w:t>centered</w:t>
      </w:r>
      <w:r w:rsidRPr="00875040">
        <w:rPr>
          <w:rFonts w:ascii="Arial" w:hAnsi="Arial" w:cs="Arial"/>
          <w:sz w:val="22"/>
          <w:szCs w:val="22"/>
        </w:rPr>
        <w:t xml:space="preserve"> theory created by Carl Rogers as the basis of modern practice. Several ethical principles</w:t>
      </w:r>
      <w:r>
        <w:rPr>
          <w:rFonts w:ascii="Arial" w:hAnsi="Arial" w:cs="Arial"/>
          <w:sz w:val="22"/>
          <w:szCs w:val="22"/>
        </w:rPr>
        <w:t>,</w:t>
      </w:r>
      <w:r w:rsidRPr="00875040">
        <w:rPr>
          <w:rFonts w:ascii="Arial" w:hAnsi="Arial" w:cs="Arial"/>
          <w:sz w:val="22"/>
          <w:szCs w:val="22"/>
        </w:rPr>
        <w:t xml:space="preserve"> such as autonomy, beneficence, non-maleficence</w:t>
      </w:r>
      <w:r>
        <w:rPr>
          <w:rFonts w:ascii="Arial" w:hAnsi="Arial" w:cs="Arial"/>
          <w:sz w:val="22"/>
          <w:szCs w:val="22"/>
        </w:rPr>
        <w:t>,</w:t>
      </w:r>
      <w:r w:rsidRPr="00875040">
        <w:rPr>
          <w:rFonts w:ascii="Arial" w:hAnsi="Arial" w:cs="Arial"/>
          <w:sz w:val="22"/>
          <w:szCs w:val="22"/>
        </w:rPr>
        <w:t xml:space="preserve"> and justice</w:t>
      </w:r>
      <w:r>
        <w:rPr>
          <w:rFonts w:ascii="Arial" w:hAnsi="Arial" w:cs="Arial"/>
          <w:sz w:val="22"/>
          <w:szCs w:val="22"/>
        </w:rPr>
        <w:t>,</w:t>
      </w:r>
      <w:r w:rsidRPr="00875040">
        <w:rPr>
          <w:rFonts w:ascii="Arial" w:hAnsi="Arial" w:cs="Arial"/>
          <w:sz w:val="22"/>
          <w:szCs w:val="22"/>
        </w:rPr>
        <w:t xml:space="preserve"> are examined in terms of both PCC and partnership working.</w:t>
      </w:r>
    </w:p>
    <w:p w14:paraId="33DA11D9" w14:textId="77777777" w:rsidR="00471FE3" w:rsidRPr="00875040" w:rsidRDefault="00471FE3" w:rsidP="00471FE3">
      <w:pPr>
        <w:rPr>
          <w:rFonts w:ascii="Arial" w:hAnsi="Arial" w:cs="Arial"/>
          <w:sz w:val="22"/>
          <w:szCs w:val="22"/>
        </w:rPr>
      </w:pPr>
      <w:r w:rsidRPr="00875040">
        <w:rPr>
          <w:rFonts w:ascii="Arial" w:hAnsi="Arial" w:cs="Arial"/>
          <w:sz w:val="22"/>
          <w:szCs w:val="22"/>
        </w:rPr>
        <w:t>The report also assesses partnership working within health and social care</w:t>
      </w:r>
      <w:r>
        <w:rPr>
          <w:rFonts w:ascii="Arial" w:hAnsi="Arial" w:cs="Arial"/>
          <w:sz w:val="22"/>
          <w:szCs w:val="22"/>
        </w:rPr>
        <w:t>,</w:t>
      </w:r>
      <w:r w:rsidRPr="00875040">
        <w:rPr>
          <w:rFonts w:ascii="Arial" w:hAnsi="Arial" w:cs="Arial"/>
          <w:sz w:val="22"/>
          <w:szCs w:val="22"/>
        </w:rPr>
        <w:t xml:space="preserve"> especially in the integrated community mental health services</w:t>
      </w:r>
      <w:r>
        <w:rPr>
          <w:rFonts w:ascii="Arial" w:hAnsi="Arial" w:cs="Arial"/>
          <w:sz w:val="22"/>
          <w:szCs w:val="22"/>
        </w:rPr>
        <w:t>;</w:t>
      </w:r>
      <w:r w:rsidRPr="00875040">
        <w:rPr>
          <w:rFonts w:ascii="Arial" w:hAnsi="Arial" w:cs="Arial"/>
          <w:sz w:val="22"/>
          <w:szCs w:val="22"/>
        </w:rPr>
        <w:t xml:space="preserve"> however, it also indicates the partnership </w:t>
      </w:r>
      <w:r>
        <w:rPr>
          <w:rFonts w:ascii="Arial" w:hAnsi="Arial" w:cs="Arial"/>
          <w:sz w:val="22"/>
          <w:szCs w:val="22"/>
        </w:rPr>
        <w:t>services'</w:t>
      </w:r>
      <w:r w:rsidRPr="00875040">
        <w:rPr>
          <w:rFonts w:ascii="Arial" w:hAnsi="Arial" w:cs="Arial"/>
          <w:sz w:val="22"/>
          <w:szCs w:val="22"/>
        </w:rPr>
        <w:t xml:space="preserve"> contribution towards better service provision and the current challenges of fragmentation, communication</w:t>
      </w:r>
      <w:r>
        <w:rPr>
          <w:rFonts w:ascii="Arial" w:hAnsi="Arial" w:cs="Arial"/>
          <w:sz w:val="22"/>
          <w:szCs w:val="22"/>
        </w:rPr>
        <w:t>,</w:t>
      </w:r>
      <w:r w:rsidRPr="00875040">
        <w:rPr>
          <w:rFonts w:ascii="Arial" w:hAnsi="Arial" w:cs="Arial"/>
          <w:sz w:val="22"/>
          <w:szCs w:val="22"/>
        </w:rPr>
        <w:t xml:space="preserve"> and resource strains. The UK policies and legislation on this matter, such as the Care Act 2014, Health and Social Care Act 2012, the Health and Care Act 2022, and the Equality Act 2010</w:t>
      </w:r>
      <w:r>
        <w:rPr>
          <w:rFonts w:ascii="Arial" w:hAnsi="Arial" w:cs="Arial"/>
          <w:sz w:val="22"/>
          <w:szCs w:val="22"/>
        </w:rPr>
        <w:t>,</w:t>
      </w:r>
      <w:r w:rsidRPr="00875040">
        <w:rPr>
          <w:rFonts w:ascii="Arial" w:hAnsi="Arial" w:cs="Arial"/>
          <w:sz w:val="22"/>
          <w:szCs w:val="22"/>
        </w:rPr>
        <w:t xml:space="preserve"> are analyzed to show how PCC and PW are incorporated into professional practice.</w:t>
      </w:r>
    </w:p>
    <w:p w14:paraId="4FEB91F7" w14:textId="77777777" w:rsidR="00471FE3" w:rsidRPr="00875040" w:rsidRDefault="00471FE3" w:rsidP="00471FE3">
      <w:pPr>
        <w:rPr>
          <w:rFonts w:ascii="Arial" w:hAnsi="Arial" w:cs="Arial"/>
          <w:sz w:val="22"/>
          <w:szCs w:val="22"/>
        </w:rPr>
      </w:pPr>
      <w:r w:rsidRPr="00875040">
        <w:rPr>
          <w:rFonts w:ascii="Arial" w:hAnsi="Arial" w:cs="Arial"/>
          <w:sz w:val="22"/>
          <w:szCs w:val="22"/>
        </w:rPr>
        <w:t>Evidence-based recommendations are provided in the report to enhance person-</w:t>
      </w:r>
      <w:r>
        <w:rPr>
          <w:rFonts w:ascii="Arial" w:hAnsi="Arial" w:cs="Arial"/>
          <w:sz w:val="22"/>
          <w:szCs w:val="22"/>
        </w:rPr>
        <w:t>centered</w:t>
      </w:r>
      <w:r w:rsidRPr="00875040">
        <w:rPr>
          <w:rFonts w:ascii="Arial" w:hAnsi="Arial" w:cs="Arial"/>
          <w:sz w:val="22"/>
          <w:szCs w:val="22"/>
        </w:rPr>
        <w:t xml:space="preserve"> and collaborative practices in the UK services.</w:t>
      </w:r>
    </w:p>
    <w:p w14:paraId="008BA07C" w14:textId="77777777" w:rsidR="00C73AF5" w:rsidRPr="00C73AF5" w:rsidRDefault="00C73AF5" w:rsidP="00C73AF5">
      <w:pPr>
        <w:jc w:val="center"/>
        <w:rPr>
          <w:rFonts w:ascii="Arial" w:hAnsi="Arial" w:cs="Arial"/>
          <w:sz w:val="22"/>
          <w:szCs w:val="22"/>
        </w:rPr>
      </w:pPr>
    </w:p>
    <w:p w14:paraId="45E6A9A7" w14:textId="77777777" w:rsidR="00044254" w:rsidRDefault="00044254">
      <w:pPr>
        <w:rPr>
          <w:rFonts w:ascii="Arial" w:hAnsi="Arial" w:cs="Arial"/>
          <w:sz w:val="22"/>
          <w:szCs w:val="22"/>
        </w:rPr>
      </w:pPr>
    </w:p>
    <w:p w14:paraId="3B8E8025" w14:textId="77777777" w:rsidR="00C73AF5" w:rsidRDefault="00C73AF5">
      <w:pPr>
        <w:rPr>
          <w:rFonts w:ascii="Arial" w:hAnsi="Arial" w:cs="Arial"/>
          <w:sz w:val="22"/>
          <w:szCs w:val="22"/>
        </w:rPr>
      </w:pPr>
    </w:p>
    <w:p w14:paraId="052E623B" w14:textId="77777777" w:rsidR="00875040" w:rsidRDefault="00875040">
      <w:pPr>
        <w:rPr>
          <w:rFonts w:ascii="Arial" w:hAnsi="Arial" w:cs="Arial"/>
          <w:sz w:val="22"/>
          <w:szCs w:val="22"/>
        </w:rPr>
      </w:pPr>
    </w:p>
    <w:p w14:paraId="0F8F0F7D" w14:textId="77777777" w:rsidR="00875040" w:rsidRDefault="00875040">
      <w:pPr>
        <w:rPr>
          <w:rFonts w:ascii="Arial" w:hAnsi="Arial" w:cs="Arial"/>
          <w:sz w:val="22"/>
          <w:szCs w:val="22"/>
        </w:rPr>
      </w:pPr>
    </w:p>
    <w:p w14:paraId="259E7B49" w14:textId="77777777" w:rsidR="00875040" w:rsidRDefault="00875040">
      <w:pPr>
        <w:rPr>
          <w:rFonts w:ascii="Arial" w:hAnsi="Arial" w:cs="Arial"/>
          <w:sz w:val="22"/>
          <w:szCs w:val="22"/>
        </w:rPr>
      </w:pPr>
    </w:p>
    <w:p w14:paraId="48942021" w14:textId="77777777" w:rsidR="00875040" w:rsidRDefault="00875040">
      <w:pPr>
        <w:rPr>
          <w:rFonts w:ascii="Arial" w:hAnsi="Arial" w:cs="Arial"/>
          <w:sz w:val="22"/>
          <w:szCs w:val="22"/>
        </w:rPr>
      </w:pPr>
    </w:p>
    <w:p w14:paraId="4E78A141" w14:textId="77777777" w:rsidR="00875040" w:rsidRDefault="00875040">
      <w:pPr>
        <w:rPr>
          <w:rFonts w:ascii="Arial" w:hAnsi="Arial" w:cs="Arial"/>
          <w:sz w:val="22"/>
          <w:szCs w:val="22"/>
        </w:rPr>
      </w:pPr>
    </w:p>
    <w:p w14:paraId="176776C8" w14:textId="77777777" w:rsidR="00875040" w:rsidRDefault="00875040">
      <w:pPr>
        <w:rPr>
          <w:rFonts w:ascii="Arial" w:hAnsi="Arial" w:cs="Arial"/>
          <w:sz w:val="22"/>
          <w:szCs w:val="22"/>
        </w:rPr>
      </w:pPr>
    </w:p>
    <w:p w14:paraId="1C31C37E" w14:textId="77777777" w:rsidR="00875040" w:rsidRDefault="00875040">
      <w:pPr>
        <w:rPr>
          <w:rFonts w:ascii="Arial" w:hAnsi="Arial" w:cs="Arial"/>
          <w:sz w:val="22"/>
          <w:szCs w:val="22"/>
        </w:rPr>
      </w:pPr>
    </w:p>
    <w:p w14:paraId="4CBA0E4F" w14:textId="77777777" w:rsidR="00875040" w:rsidRDefault="00875040">
      <w:pPr>
        <w:rPr>
          <w:rFonts w:ascii="Arial" w:hAnsi="Arial" w:cs="Arial"/>
          <w:sz w:val="22"/>
          <w:szCs w:val="22"/>
        </w:rPr>
      </w:pPr>
    </w:p>
    <w:p w14:paraId="29AD0D6B" w14:textId="77777777" w:rsidR="00875040" w:rsidRDefault="00875040">
      <w:pPr>
        <w:rPr>
          <w:rFonts w:ascii="Arial" w:hAnsi="Arial" w:cs="Arial"/>
          <w:sz w:val="22"/>
          <w:szCs w:val="22"/>
        </w:rPr>
      </w:pPr>
    </w:p>
    <w:sdt>
      <w:sdtPr>
        <w:rPr>
          <w:rFonts w:ascii="Times New Roman" w:eastAsiaTheme="minorHAnsi" w:hAnsi="Times New Roman" w:cstheme="minorBidi"/>
          <w:color w:val="auto"/>
          <w:kern w:val="2"/>
          <w:sz w:val="24"/>
          <w:szCs w:val="24"/>
          <w14:ligatures w14:val="standardContextual"/>
        </w:rPr>
        <w:id w:val="1043717331"/>
        <w:docPartObj>
          <w:docPartGallery w:val="Table of Contents"/>
          <w:docPartUnique/>
        </w:docPartObj>
      </w:sdtPr>
      <w:sdtEndPr>
        <w:rPr>
          <w:b/>
          <w:bCs/>
          <w:noProof/>
        </w:rPr>
      </w:sdtEndPr>
      <w:sdtContent>
        <w:p w14:paraId="5E0190E4" w14:textId="4477F663" w:rsidR="00875040" w:rsidRPr="002D1303" w:rsidRDefault="00875040" w:rsidP="00944E3F">
          <w:pPr>
            <w:pStyle w:val="TOCHeading"/>
          </w:pPr>
          <w:r w:rsidRPr="002D1303">
            <w:t>Table of Contents</w:t>
          </w:r>
        </w:p>
        <w:p w14:paraId="49248D02" w14:textId="7A12FF57" w:rsidR="00773D33" w:rsidRDefault="00875040">
          <w:pPr>
            <w:pStyle w:val="TOC1"/>
            <w:tabs>
              <w:tab w:val="right" w:leader="dot" w:pos="9350"/>
            </w:tabs>
            <w:rPr>
              <w:rFonts w:asciiTheme="minorHAnsi" w:eastAsiaTheme="minorEastAsia" w:hAnsiTheme="minorHAnsi"/>
              <w:noProof/>
            </w:rPr>
          </w:pPr>
          <w:r w:rsidRPr="00875040">
            <w:rPr>
              <w:rFonts w:ascii="Arial" w:hAnsi="Arial" w:cs="Arial"/>
              <w:sz w:val="22"/>
              <w:szCs w:val="22"/>
            </w:rPr>
            <w:fldChar w:fldCharType="begin"/>
          </w:r>
          <w:r w:rsidRPr="00875040">
            <w:rPr>
              <w:rFonts w:ascii="Arial" w:hAnsi="Arial" w:cs="Arial"/>
              <w:sz w:val="22"/>
              <w:szCs w:val="22"/>
            </w:rPr>
            <w:instrText xml:space="preserve"> TOC \o "1-3" \h \z \u </w:instrText>
          </w:r>
          <w:r w:rsidRPr="00875040">
            <w:rPr>
              <w:rFonts w:ascii="Arial" w:hAnsi="Arial" w:cs="Arial"/>
              <w:sz w:val="22"/>
              <w:szCs w:val="22"/>
            </w:rPr>
            <w:fldChar w:fldCharType="separate"/>
          </w:r>
          <w:hyperlink w:anchor="_Toc224294021" w:history="1">
            <w:r w:rsidR="00773D33" w:rsidRPr="00A24FFD">
              <w:rPr>
                <w:rStyle w:val="Hyperlink"/>
                <w:noProof/>
              </w:rPr>
              <w:t>Abstract</w:t>
            </w:r>
            <w:r w:rsidR="00773D33">
              <w:rPr>
                <w:noProof/>
                <w:webHidden/>
              </w:rPr>
              <w:tab/>
            </w:r>
            <w:r w:rsidR="00773D33">
              <w:rPr>
                <w:noProof/>
                <w:webHidden/>
              </w:rPr>
              <w:fldChar w:fldCharType="begin"/>
            </w:r>
            <w:r w:rsidR="00773D33">
              <w:rPr>
                <w:noProof/>
                <w:webHidden/>
              </w:rPr>
              <w:instrText xml:space="preserve"> PAGEREF _Toc224294021 \h </w:instrText>
            </w:r>
            <w:r w:rsidR="00773D33">
              <w:rPr>
                <w:noProof/>
                <w:webHidden/>
              </w:rPr>
            </w:r>
            <w:r w:rsidR="00773D33">
              <w:rPr>
                <w:noProof/>
                <w:webHidden/>
              </w:rPr>
              <w:fldChar w:fldCharType="separate"/>
            </w:r>
            <w:r w:rsidR="00773D33">
              <w:rPr>
                <w:noProof/>
                <w:webHidden/>
              </w:rPr>
              <w:t>2</w:t>
            </w:r>
            <w:r w:rsidR="00773D33">
              <w:rPr>
                <w:noProof/>
                <w:webHidden/>
              </w:rPr>
              <w:fldChar w:fldCharType="end"/>
            </w:r>
          </w:hyperlink>
        </w:p>
        <w:p w14:paraId="1A425CA5" w14:textId="6E3EB44F" w:rsidR="00773D33" w:rsidRDefault="00000000">
          <w:pPr>
            <w:pStyle w:val="TOC1"/>
            <w:tabs>
              <w:tab w:val="right" w:leader="dot" w:pos="9350"/>
            </w:tabs>
            <w:rPr>
              <w:rFonts w:asciiTheme="minorHAnsi" w:eastAsiaTheme="minorEastAsia" w:hAnsiTheme="minorHAnsi"/>
              <w:noProof/>
            </w:rPr>
          </w:pPr>
          <w:hyperlink w:anchor="_Toc224294022" w:history="1">
            <w:r w:rsidR="00773D33" w:rsidRPr="00A24FFD">
              <w:rPr>
                <w:rStyle w:val="Hyperlink"/>
                <w:noProof/>
              </w:rPr>
              <w:t>1. Introduction</w:t>
            </w:r>
            <w:r w:rsidR="00773D33">
              <w:rPr>
                <w:noProof/>
                <w:webHidden/>
              </w:rPr>
              <w:tab/>
            </w:r>
            <w:r w:rsidR="00773D33">
              <w:rPr>
                <w:noProof/>
                <w:webHidden/>
              </w:rPr>
              <w:fldChar w:fldCharType="begin"/>
            </w:r>
            <w:r w:rsidR="00773D33">
              <w:rPr>
                <w:noProof/>
                <w:webHidden/>
              </w:rPr>
              <w:instrText xml:space="preserve"> PAGEREF _Toc224294022 \h </w:instrText>
            </w:r>
            <w:r w:rsidR="00773D33">
              <w:rPr>
                <w:noProof/>
                <w:webHidden/>
              </w:rPr>
            </w:r>
            <w:r w:rsidR="00773D33">
              <w:rPr>
                <w:noProof/>
                <w:webHidden/>
              </w:rPr>
              <w:fldChar w:fldCharType="separate"/>
            </w:r>
            <w:r w:rsidR="00773D33">
              <w:rPr>
                <w:noProof/>
                <w:webHidden/>
              </w:rPr>
              <w:t>5</w:t>
            </w:r>
            <w:r w:rsidR="00773D33">
              <w:rPr>
                <w:noProof/>
                <w:webHidden/>
              </w:rPr>
              <w:fldChar w:fldCharType="end"/>
            </w:r>
          </w:hyperlink>
        </w:p>
        <w:p w14:paraId="7EE8F463" w14:textId="486EE938" w:rsidR="00773D33" w:rsidRDefault="00000000">
          <w:pPr>
            <w:pStyle w:val="TOC1"/>
            <w:tabs>
              <w:tab w:val="right" w:leader="dot" w:pos="9350"/>
            </w:tabs>
            <w:rPr>
              <w:rFonts w:asciiTheme="minorHAnsi" w:eastAsiaTheme="minorEastAsia" w:hAnsiTheme="minorHAnsi"/>
              <w:noProof/>
            </w:rPr>
          </w:pPr>
          <w:hyperlink w:anchor="_Toc224294023" w:history="1">
            <w:r w:rsidR="00773D33" w:rsidRPr="00A24FFD">
              <w:rPr>
                <w:rStyle w:val="Hyperlink"/>
                <w:noProof/>
              </w:rPr>
              <w:t>2. Person-Centered Care (PCC) Definition.</w:t>
            </w:r>
            <w:r w:rsidR="00773D33">
              <w:rPr>
                <w:noProof/>
                <w:webHidden/>
              </w:rPr>
              <w:tab/>
            </w:r>
            <w:r w:rsidR="00773D33">
              <w:rPr>
                <w:noProof/>
                <w:webHidden/>
              </w:rPr>
              <w:fldChar w:fldCharType="begin"/>
            </w:r>
            <w:r w:rsidR="00773D33">
              <w:rPr>
                <w:noProof/>
                <w:webHidden/>
              </w:rPr>
              <w:instrText xml:space="preserve"> PAGEREF _Toc224294023 \h </w:instrText>
            </w:r>
            <w:r w:rsidR="00773D33">
              <w:rPr>
                <w:noProof/>
                <w:webHidden/>
              </w:rPr>
            </w:r>
            <w:r w:rsidR="00773D33">
              <w:rPr>
                <w:noProof/>
                <w:webHidden/>
              </w:rPr>
              <w:fldChar w:fldCharType="separate"/>
            </w:r>
            <w:r w:rsidR="00773D33">
              <w:rPr>
                <w:noProof/>
                <w:webHidden/>
              </w:rPr>
              <w:t>5</w:t>
            </w:r>
            <w:r w:rsidR="00773D33">
              <w:rPr>
                <w:noProof/>
                <w:webHidden/>
              </w:rPr>
              <w:fldChar w:fldCharType="end"/>
            </w:r>
          </w:hyperlink>
        </w:p>
        <w:p w14:paraId="49F480FC" w14:textId="32FC3E05" w:rsidR="00773D33" w:rsidRDefault="00000000">
          <w:pPr>
            <w:pStyle w:val="TOC2"/>
            <w:tabs>
              <w:tab w:val="right" w:leader="dot" w:pos="9350"/>
            </w:tabs>
            <w:rPr>
              <w:rFonts w:asciiTheme="minorHAnsi" w:eastAsiaTheme="minorEastAsia" w:hAnsiTheme="minorHAnsi"/>
              <w:noProof/>
            </w:rPr>
          </w:pPr>
          <w:hyperlink w:anchor="_Toc224294024" w:history="1">
            <w:r w:rsidR="00773D33" w:rsidRPr="00A24FFD">
              <w:rPr>
                <w:rStyle w:val="Hyperlink"/>
                <w:rFonts w:ascii="Arial" w:hAnsi="Arial" w:cs="Arial"/>
                <w:noProof/>
              </w:rPr>
              <w:t>2.1 Person-Centered Care Advantages:</w:t>
            </w:r>
            <w:r w:rsidR="00773D33">
              <w:rPr>
                <w:noProof/>
                <w:webHidden/>
              </w:rPr>
              <w:tab/>
            </w:r>
            <w:r w:rsidR="00773D33">
              <w:rPr>
                <w:noProof/>
                <w:webHidden/>
              </w:rPr>
              <w:fldChar w:fldCharType="begin"/>
            </w:r>
            <w:r w:rsidR="00773D33">
              <w:rPr>
                <w:noProof/>
                <w:webHidden/>
              </w:rPr>
              <w:instrText xml:space="preserve"> PAGEREF _Toc224294024 \h </w:instrText>
            </w:r>
            <w:r w:rsidR="00773D33">
              <w:rPr>
                <w:noProof/>
                <w:webHidden/>
              </w:rPr>
            </w:r>
            <w:r w:rsidR="00773D33">
              <w:rPr>
                <w:noProof/>
                <w:webHidden/>
              </w:rPr>
              <w:fldChar w:fldCharType="separate"/>
            </w:r>
            <w:r w:rsidR="00773D33">
              <w:rPr>
                <w:noProof/>
                <w:webHidden/>
              </w:rPr>
              <w:t>6</w:t>
            </w:r>
            <w:r w:rsidR="00773D33">
              <w:rPr>
                <w:noProof/>
                <w:webHidden/>
              </w:rPr>
              <w:fldChar w:fldCharType="end"/>
            </w:r>
          </w:hyperlink>
        </w:p>
        <w:p w14:paraId="440529AD" w14:textId="77490594" w:rsidR="00773D33" w:rsidRDefault="00000000">
          <w:pPr>
            <w:pStyle w:val="TOC2"/>
            <w:tabs>
              <w:tab w:val="right" w:leader="dot" w:pos="9350"/>
            </w:tabs>
            <w:rPr>
              <w:rFonts w:asciiTheme="minorHAnsi" w:eastAsiaTheme="minorEastAsia" w:hAnsiTheme="minorHAnsi"/>
              <w:noProof/>
            </w:rPr>
          </w:pPr>
          <w:hyperlink w:anchor="_Toc224294025" w:history="1">
            <w:r w:rsidR="00773D33" w:rsidRPr="00A24FFD">
              <w:rPr>
                <w:rStyle w:val="Hyperlink"/>
                <w:rFonts w:ascii="Arial" w:hAnsi="Arial" w:cs="Arial"/>
                <w:noProof/>
              </w:rPr>
              <w:t>2.2 Limitations of Person-centered care.</w:t>
            </w:r>
            <w:r w:rsidR="00773D33">
              <w:rPr>
                <w:noProof/>
                <w:webHidden/>
              </w:rPr>
              <w:tab/>
            </w:r>
            <w:r w:rsidR="00773D33">
              <w:rPr>
                <w:noProof/>
                <w:webHidden/>
              </w:rPr>
              <w:fldChar w:fldCharType="begin"/>
            </w:r>
            <w:r w:rsidR="00773D33">
              <w:rPr>
                <w:noProof/>
                <w:webHidden/>
              </w:rPr>
              <w:instrText xml:space="preserve"> PAGEREF _Toc224294025 \h </w:instrText>
            </w:r>
            <w:r w:rsidR="00773D33">
              <w:rPr>
                <w:noProof/>
                <w:webHidden/>
              </w:rPr>
            </w:r>
            <w:r w:rsidR="00773D33">
              <w:rPr>
                <w:noProof/>
                <w:webHidden/>
              </w:rPr>
              <w:fldChar w:fldCharType="separate"/>
            </w:r>
            <w:r w:rsidR="00773D33">
              <w:rPr>
                <w:noProof/>
                <w:webHidden/>
              </w:rPr>
              <w:t>6</w:t>
            </w:r>
            <w:r w:rsidR="00773D33">
              <w:rPr>
                <w:noProof/>
                <w:webHidden/>
              </w:rPr>
              <w:fldChar w:fldCharType="end"/>
            </w:r>
          </w:hyperlink>
        </w:p>
        <w:p w14:paraId="151C9B6E" w14:textId="7CE3B3DF" w:rsidR="00773D33" w:rsidRDefault="00000000">
          <w:pPr>
            <w:pStyle w:val="TOC1"/>
            <w:tabs>
              <w:tab w:val="right" w:leader="dot" w:pos="9350"/>
            </w:tabs>
            <w:rPr>
              <w:rFonts w:asciiTheme="minorHAnsi" w:eastAsiaTheme="minorEastAsia" w:hAnsiTheme="minorHAnsi"/>
              <w:noProof/>
            </w:rPr>
          </w:pPr>
          <w:hyperlink w:anchor="_Toc224294026" w:history="1">
            <w:r w:rsidR="00773D33" w:rsidRPr="00A24FFD">
              <w:rPr>
                <w:rStyle w:val="Hyperlink"/>
                <w:noProof/>
              </w:rPr>
              <w:t>3. Person-Centered Care has a theoretical basis.</w:t>
            </w:r>
            <w:r w:rsidR="00773D33">
              <w:rPr>
                <w:noProof/>
                <w:webHidden/>
              </w:rPr>
              <w:tab/>
            </w:r>
            <w:r w:rsidR="00773D33">
              <w:rPr>
                <w:noProof/>
                <w:webHidden/>
              </w:rPr>
              <w:fldChar w:fldCharType="begin"/>
            </w:r>
            <w:r w:rsidR="00773D33">
              <w:rPr>
                <w:noProof/>
                <w:webHidden/>
              </w:rPr>
              <w:instrText xml:space="preserve"> PAGEREF _Toc224294026 \h </w:instrText>
            </w:r>
            <w:r w:rsidR="00773D33">
              <w:rPr>
                <w:noProof/>
                <w:webHidden/>
              </w:rPr>
            </w:r>
            <w:r w:rsidR="00773D33">
              <w:rPr>
                <w:noProof/>
                <w:webHidden/>
              </w:rPr>
              <w:fldChar w:fldCharType="separate"/>
            </w:r>
            <w:r w:rsidR="00773D33">
              <w:rPr>
                <w:noProof/>
                <w:webHidden/>
              </w:rPr>
              <w:t>6</w:t>
            </w:r>
            <w:r w:rsidR="00773D33">
              <w:rPr>
                <w:noProof/>
                <w:webHidden/>
              </w:rPr>
              <w:fldChar w:fldCharType="end"/>
            </w:r>
          </w:hyperlink>
        </w:p>
        <w:p w14:paraId="05838CAD" w14:textId="13473663" w:rsidR="00773D33" w:rsidRDefault="00000000">
          <w:pPr>
            <w:pStyle w:val="TOC2"/>
            <w:tabs>
              <w:tab w:val="right" w:leader="dot" w:pos="9350"/>
            </w:tabs>
            <w:rPr>
              <w:rFonts w:asciiTheme="minorHAnsi" w:eastAsiaTheme="minorEastAsia" w:hAnsiTheme="minorHAnsi"/>
              <w:noProof/>
            </w:rPr>
          </w:pPr>
          <w:hyperlink w:anchor="_Toc224294027" w:history="1">
            <w:r w:rsidR="00773D33" w:rsidRPr="00A24FFD">
              <w:rPr>
                <w:rStyle w:val="Hyperlink"/>
                <w:rFonts w:ascii="Arial" w:hAnsi="Arial" w:cs="Arial"/>
                <w:noProof/>
              </w:rPr>
              <w:t>Infrastructure: 3.1 Critical Analysis of the Theory proposed by Rogers.</w:t>
            </w:r>
            <w:r w:rsidR="00773D33">
              <w:rPr>
                <w:noProof/>
                <w:webHidden/>
              </w:rPr>
              <w:tab/>
            </w:r>
            <w:r w:rsidR="00773D33">
              <w:rPr>
                <w:noProof/>
                <w:webHidden/>
              </w:rPr>
              <w:fldChar w:fldCharType="begin"/>
            </w:r>
            <w:r w:rsidR="00773D33">
              <w:rPr>
                <w:noProof/>
                <w:webHidden/>
              </w:rPr>
              <w:instrText xml:space="preserve"> PAGEREF _Toc224294027 \h </w:instrText>
            </w:r>
            <w:r w:rsidR="00773D33">
              <w:rPr>
                <w:noProof/>
                <w:webHidden/>
              </w:rPr>
            </w:r>
            <w:r w:rsidR="00773D33">
              <w:rPr>
                <w:noProof/>
                <w:webHidden/>
              </w:rPr>
              <w:fldChar w:fldCharType="separate"/>
            </w:r>
            <w:r w:rsidR="00773D33">
              <w:rPr>
                <w:noProof/>
                <w:webHidden/>
              </w:rPr>
              <w:t>7</w:t>
            </w:r>
            <w:r w:rsidR="00773D33">
              <w:rPr>
                <w:noProof/>
                <w:webHidden/>
              </w:rPr>
              <w:fldChar w:fldCharType="end"/>
            </w:r>
          </w:hyperlink>
        </w:p>
        <w:p w14:paraId="22B887CA" w14:textId="0AC305A6" w:rsidR="00773D33" w:rsidRDefault="00000000">
          <w:pPr>
            <w:pStyle w:val="TOC1"/>
            <w:tabs>
              <w:tab w:val="right" w:leader="dot" w:pos="9350"/>
            </w:tabs>
            <w:rPr>
              <w:rFonts w:asciiTheme="minorHAnsi" w:eastAsiaTheme="minorEastAsia" w:hAnsiTheme="minorHAnsi"/>
              <w:noProof/>
            </w:rPr>
          </w:pPr>
          <w:hyperlink w:anchor="_Toc224294028" w:history="1">
            <w:r w:rsidR="00773D33" w:rsidRPr="00A24FFD">
              <w:rPr>
                <w:rStyle w:val="Hyperlink"/>
                <w:noProof/>
              </w:rPr>
              <w:t>4. Health and Social Care Ethical Foundations.</w:t>
            </w:r>
            <w:r w:rsidR="00773D33">
              <w:rPr>
                <w:noProof/>
                <w:webHidden/>
              </w:rPr>
              <w:tab/>
            </w:r>
            <w:r w:rsidR="00773D33">
              <w:rPr>
                <w:noProof/>
                <w:webHidden/>
              </w:rPr>
              <w:fldChar w:fldCharType="begin"/>
            </w:r>
            <w:r w:rsidR="00773D33">
              <w:rPr>
                <w:noProof/>
                <w:webHidden/>
              </w:rPr>
              <w:instrText xml:space="preserve"> PAGEREF _Toc224294028 \h </w:instrText>
            </w:r>
            <w:r w:rsidR="00773D33">
              <w:rPr>
                <w:noProof/>
                <w:webHidden/>
              </w:rPr>
            </w:r>
            <w:r w:rsidR="00773D33">
              <w:rPr>
                <w:noProof/>
                <w:webHidden/>
              </w:rPr>
              <w:fldChar w:fldCharType="separate"/>
            </w:r>
            <w:r w:rsidR="00773D33">
              <w:rPr>
                <w:noProof/>
                <w:webHidden/>
              </w:rPr>
              <w:t>8</w:t>
            </w:r>
            <w:r w:rsidR="00773D33">
              <w:rPr>
                <w:noProof/>
                <w:webHidden/>
              </w:rPr>
              <w:fldChar w:fldCharType="end"/>
            </w:r>
          </w:hyperlink>
        </w:p>
        <w:p w14:paraId="1C3E1A0A" w14:textId="341A0257" w:rsidR="00773D33" w:rsidRDefault="00000000">
          <w:pPr>
            <w:pStyle w:val="TOC2"/>
            <w:tabs>
              <w:tab w:val="right" w:leader="dot" w:pos="9350"/>
            </w:tabs>
            <w:rPr>
              <w:rFonts w:asciiTheme="minorHAnsi" w:eastAsiaTheme="minorEastAsia" w:hAnsiTheme="minorHAnsi"/>
              <w:noProof/>
            </w:rPr>
          </w:pPr>
          <w:hyperlink w:anchor="_Toc224294029" w:history="1">
            <w:r w:rsidR="00773D33" w:rsidRPr="00A24FFD">
              <w:rPr>
                <w:rStyle w:val="Hyperlink"/>
                <w:rFonts w:ascii="Arial" w:hAnsi="Arial" w:cs="Arial"/>
                <w:noProof/>
              </w:rPr>
              <w:t>4.1 Autonomy</w:t>
            </w:r>
            <w:r w:rsidR="00773D33">
              <w:rPr>
                <w:noProof/>
                <w:webHidden/>
              </w:rPr>
              <w:tab/>
            </w:r>
            <w:r w:rsidR="00773D33">
              <w:rPr>
                <w:noProof/>
                <w:webHidden/>
              </w:rPr>
              <w:fldChar w:fldCharType="begin"/>
            </w:r>
            <w:r w:rsidR="00773D33">
              <w:rPr>
                <w:noProof/>
                <w:webHidden/>
              </w:rPr>
              <w:instrText xml:space="preserve"> PAGEREF _Toc224294029 \h </w:instrText>
            </w:r>
            <w:r w:rsidR="00773D33">
              <w:rPr>
                <w:noProof/>
                <w:webHidden/>
              </w:rPr>
            </w:r>
            <w:r w:rsidR="00773D33">
              <w:rPr>
                <w:noProof/>
                <w:webHidden/>
              </w:rPr>
              <w:fldChar w:fldCharType="separate"/>
            </w:r>
            <w:r w:rsidR="00773D33">
              <w:rPr>
                <w:noProof/>
                <w:webHidden/>
              </w:rPr>
              <w:t>8</w:t>
            </w:r>
            <w:r w:rsidR="00773D33">
              <w:rPr>
                <w:noProof/>
                <w:webHidden/>
              </w:rPr>
              <w:fldChar w:fldCharType="end"/>
            </w:r>
          </w:hyperlink>
        </w:p>
        <w:p w14:paraId="1579BA51" w14:textId="61349D17" w:rsidR="00773D33" w:rsidRDefault="00000000">
          <w:pPr>
            <w:pStyle w:val="TOC2"/>
            <w:tabs>
              <w:tab w:val="right" w:leader="dot" w:pos="9350"/>
            </w:tabs>
            <w:rPr>
              <w:rFonts w:asciiTheme="minorHAnsi" w:eastAsiaTheme="minorEastAsia" w:hAnsiTheme="minorHAnsi"/>
              <w:noProof/>
            </w:rPr>
          </w:pPr>
          <w:hyperlink w:anchor="_Toc224294030" w:history="1">
            <w:r w:rsidR="00773D33" w:rsidRPr="00A24FFD">
              <w:rPr>
                <w:rStyle w:val="Hyperlink"/>
                <w:rFonts w:ascii="Arial" w:hAnsi="Arial" w:cs="Arial"/>
                <w:noProof/>
              </w:rPr>
              <w:t>4.2 Beneficence and Non-Maleficence</w:t>
            </w:r>
            <w:r w:rsidR="00773D33">
              <w:rPr>
                <w:noProof/>
                <w:webHidden/>
              </w:rPr>
              <w:tab/>
            </w:r>
            <w:r w:rsidR="00773D33">
              <w:rPr>
                <w:noProof/>
                <w:webHidden/>
              </w:rPr>
              <w:fldChar w:fldCharType="begin"/>
            </w:r>
            <w:r w:rsidR="00773D33">
              <w:rPr>
                <w:noProof/>
                <w:webHidden/>
              </w:rPr>
              <w:instrText xml:space="preserve"> PAGEREF _Toc224294030 \h </w:instrText>
            </w:r>
            <w:r w:rsidR="00773D33">
              <w:rPr>
                <w:noProof/>
                <w:webHidden/>
              </w:rPr>
            </w:r>
            <w:r w:rsidR="00773D33">
              <w:rPr>
                <w:noProof/>
                <w:webHidden/>
              </w:rPr>
              <w:fldChar w:fldCharType="separate"/>
            </w:r>
            <w:r w:rsidR="00773D33">
              <w:rPr>
                <w:noProof/>
                <w:webHidden/>
              </w:rPr>
              <w:t>8</w:t>
            </w:r>
            <w:r w:rsidR="00773D33">
              <w:rPr>
                <w:noProof/>
                <w:webHidden/>
              </w:rPr>
              <w:fldChar w:fldCharType="end"/>
            </w:r>
          </w:hyperlink>
        </w:p>
        <w:p w14:paraId="79ED703E" w14:textId="2AA25844" w:rsidR="00773D33" w:rsidRDefault="00000000">
          <w:pPr>
            <w:pStyle w:val="TOC2"/>
            <w:tabs>
              <w:tab w:val="right" w:leader="dot" w:pos="9350"/>
            </w:tabs>
            <w:rPr>
              <w:rFonts w:asciiTheme="minorHAnsi" w:eastAsiaTheme="minorEastAsia" w:hAnsiTheme="minorHAnsi"/>
              <w:noProof/>
            </w:rPr>
          </w:pPr>
          <w:hyperlink w:anchor="_Toc224294031" w:history="1">
            <w:r w:rsidR="00773D33" w:rsidRPr="00A24FFD">
              <w:rPr>
                <w:rStyle w:val="Hyperlink"/>
                <w:rFonts w:ascii="Arial" w:hAnsi="Arial" w:cs="Arial"/>
                <w:noProof/>
              </w:rPr>
              <w:t>4.3 Justice</w:t>
            </w:r>
            <w:r w:rsidR="00773D33">
              <w:rPr>
                <w:noProof/>
                <w:webHidden/>
              </w:rPr>
              <w:tab/>
            </w:r>
            <w:r w:rsidR="00773D33">
              <w:rPr>
                <w:noProof/>
                <w:webHidden/>
              </w:rPr>
              <w:fldChar w:fldCharType="begin"/>
            </w:r>
            <w:r w:rsidR="00773D33">
              <w:rPr>
                <w:noProof/>
                <w:webHidden/>
              </w:rPr>
              <w:instrText xml:space="preserve"> PAGEREF _Toc224294031 \h </w:instrText>
            </w:r>
            <w:r w:rsidR="00773D33">
              <w:rPr>
                <w:noProof/>
                <w:webHidden/>
              </w:rPr>
            </w:r>
            <w:r w:rsidR="00773D33">
              <w:rPr>
                <w:noProof/>
                <w:webHidden/>
              </w:rPr>
              <w:fldChar w:fldCharType="separate"/>
            </w:r>
            <w:r w:rsidR="00773D33">
              <w:rPr>
                <w:noProof/>
                <w:webHidden/>
              </w:rPr>
              <w:t>9</w:t>
            </w:r>
            <w:r w:rsidR="00773D33">
              <w:rPr>
                <w:noProof/>
                <w:webHidden/>
              </w:rPr>
              <w:fldChar w:fldCharType="end"/>
            </w:r>
          </w:hyperlink>
        </w:p>
        <w:p w14:paraId="24F7EAEB" w14:textId="57FE7C1A" w:rsidR="00773D33" w:rsidRDefault="00000000">
          <w:pPr>
            <w:pStyle w:val="TOC1"/>
            <w:tabs>
              <w:tab w:val="right" w:leader="dot" w:pos="9350"/>
            </w:tabs>
            <w:rPr>
              <w:rFonts w:asciiTheme="minorHAnsi" w:eastAsiaTheme="minorEastAsia" w:hAnsiTheme="minorHAnsi"/>
              <w:noProof/>
            </w:rPr>
          </w:pPr>
          <w:hyperlink w:anchor="_Toc224294032" w:history="1">
            <w:r w:rsidR="00773D33" w:rsidRPr="00A24FFD">
              <w:rPr>
                <w:rStyle w:val="Hyperlink"/>
                <w:noProof/>
              </w:rPr>
              <w:t>5. Partnership Working in Health and Social Care assessment.</w:t>
            </w:r>
            <w:r w:rsidR="00773D33">
              <w:rPr>
                <w:noProof/>
                <w:webHidden/>
              </w:rPr>
              <w:tab/>
            </w:r>
            <w:r w:rsidR="00773D33">
              <w:rPr>
                <w:noProof/>
                <w:webHidden/>
              </w:rPr>
              <w:fldChar w:fldCharType="begin"/>
            </w:r>
            <w:r w:rsidR="00773D33">
              <w:rPr>
                <w:noProof/>
                <w:webHidden/>
              </w:rPr>
              <w:instrText xml:space="preserve"> PAGEREF _Toc224294032 \h </w:instrText>
            </w:r>
            <w:r w:rsidR="00773D33">
              <w:rPr>
                <w:noProof/>
                <w:webHidden/>
              </w:rPr>
            </w:r>
            <w:r w:rsidR="00773D33">
              <w:rPr>
                <w:noProof/>
                <w:webHidden/>
              </w:rPr>
              <w:fldChar w:fldCharType="separate"/>
            </w:r>
            <w:r w:rsidR="00773D33">
              <w:rPr>
                <w:noProof/>
                <w:webHidden/>
              </w:rPr>
              <w:t>9</w:t>
            </w:r>
            <w:r w:rsidR="00773D33">
              <w:rPr>
                <w:noProof/>
                <w:webHidden/>
              </w:rPr>
              <w:fldChar w:fldCharType="end"/>
            </w:r>
          </w:hyperlink>
        </w:p>
        <w:p w14:paraId="55FBFE87" w14:textId="69FC3484" w:rsidR="00773D33" w:rsidRDefault="00000000">
          <w:pPr>
            <w:pStyle w:val="TOC2"/>
            <w:tabs>
              <w:tab w:val="right" w:leader="dot" w:pos="9350"/>
            </w:tabs>
            <w:rPr>
              <w:rFonts w:asciiTheme="minorHAnsi" w:eastAsiaTheme="minorEastAsia" w:hAnsiTheme="minorHAnsi"/>
              <w:noProof/>
            </w:rPr>
          </w:pPr>
          <w:hyperlink w:anchor="_Toc224294033" w:history="1">
            <w:r w:rsidR="00773D33" w:rsidRPr="00A24FFD">
              <w:rPr>
                <w:rStyle w:val="Hyperlink"/>
                <w:rFonts w:ascii="Arial" w:hAnsi="Arial" w:cs="Arial"/>
                <w:noProof/>
              </w:rPr>
              <w:t>5.1 Partnership Working advantages</w:t>
            </w:r>
            <w:r w:rsidR="00773D33">
              <w:rPr>
                <w:noProof/>
                <w:webHidden/>
              </w:rPr>
              <w:tab/>
            </w:r>
            <w:r w:rsidR="00773D33">
              <w:rPr>
                <w:noProof/>
                <w:webHidden/>
              </w:rPr>
              <w:fldChar w:fldCharType="begin"/>
            </w:r>
            <w:r w:rsidR="00773D33">
              <w:rPr>
                <w:noProof/>
                <w:webHidden/>
              </w:rPr>
              <w:instrText xml:space="preserve"> PAGEREF _Toc224294033 \h </w:instrText>
            </w:r>
            <w:r w:rsidR="00773D33">
              <w:rPr>
                <w:noProof/>
                <w:webHidden/>
              </w:rPr>
            </w:r>
            <w:r w:rsidR="00773D33">
              <w:rPr>
                <w:noProof/>
                <w:webHidden/>
              </w:rPr>
              <w:fldChar w:fldCharType="separate"/>
            </w:r>
            <w:r w:rsidR="00773D33">
              <w:rPr>
                <w:noProof/>
                <w:webHidden/>
              </w:rPr>
              <w:t>9</w:t>
            </w:r>
            <w:r w:rsidR="00773D33">
              <w:rPr>
                <w:noProof/>
                <w:webHidden/>
              </w:rPr>
              <w:fldChar w:fldCharType="end"/>
            </w:r>
          </w:hyperlink>
        </w:p>
        <w:p w14:paraId="3F6073FC" w14:textId="05FAEFE7" w:rsidR="00773D33" w:rsidRDefault="00000000">
          <w:pPr>
            <w:pStyle w:val="TOC2"/>
            <w:tabs>
              <w:tab w:val="right" w:leader="dot" w:pos="9350"/>
            </w:tabs>
            <w:rPr>
              <w:rFonts w:asciiTheme="minorHAnsi" w:eastAsiaTheme="minorEastAsia" w:hAnsiTheme="minorHAnsi"/>
              <w:noProof/>
            </w:rPr>
          </w:pPr>
          <w:hyperlink w:anchor="_Toc224294034" w:history="1">
            <w:r w:rsidR="00773D33" w:rsidRPr="00A24FFD">
              <w:rPr>
                <w:rStyle w:val="Hyperlink"/>
                <w:rFonts w:ascii="Arial" w:hAnsi="Arial" w:cs="Arial"/>
                <w:noProof/>
              </w:rPr>
              <w:t>5.2 Limitations and Challenges</w:t>
            </w:r>
            <w:r w:rsidR="00773D33">
              <w:rPr>
                <w:noProof/>
                <w:webHidden/>
              </w:rPr>
              <w:tab/>
            </w:r>
            <w:r w:rsidR="00773D33">
              <w:rPr>
                <w:noProof/>
                <w:webHidden/>
              </w:rPr>
              <w:fldChar w:fldCharType="begin"/>
            </w:r>
            <w:r w:rsidR="00773D33">
              <w:rPr>
                <w:noProof/>
                <w:webHidden/>
              </w:rPr>
              <w:instrText xml:space="preserve"> PAGEREF _Toc224294034 \h </w:instrText>
            </w:r>
            <w:r w:rsidR="00773D33">
              <w:rPr>
                <w:noProof/>
                <w:webHidden/>
              </w:rPr>
            </w:r>
            <w:r w:rsidR="00773D33">
              <w:rPr>
                <w:noProof/>
                <w:webHidden/>
              </w:rPr>
              <w:fldChar w:fldCharType="separate"/>
            </w:r>
            <w:r w:rsidR="00773D33">
              <w:rPr>
                <w:noProof/>
                <w:webHidden/>
              </w:rPr>
              <w:t>9</w:t>
            </w:r>
            <w:r w:rsidR="00773D33">
              <w:rPr>
                <w:noProof/>
                <w:webHidden/>
              </w:rPr>
              <w:fldChar w:fldCharType="end"/>
            </w:r>
          </w:hyperlink>
        </w:p>
        <w:p w14:paraId="724E5672" w14:textId="44B4606B" w:rsidR="00773D33" w:rsidRDefault="00000000">
          <w:pPr>
            <w:pStyle w:val="TOC1"/>
            <w:tabs>
              <w:tab w:val="right" w:leader="dot" w:pos="9350"/>
            </w:tabs>
            <w:rPr>
              <w:rFonts w:asciiTheme="minorHAnsi" w:eastAsiaTheme="minorEastAsia" w:hAnsiTheme="minorHAnsi"/>
              <w:noProof/>
            </w:rPr>
          </w:pPr>
          <w:hyperlink w:anchor="_Toc224294035" w:history="1">
            <w:r w:rsidR="00773D33" w:rsidRPr="00A24FFD">
              <w:rPr>
                <w:rStyle w:val="Hyperlink"/>
                <w:noProof/>
              </w:rPr>
              <w:t>6. Adult Community Mental Health Services.</w:t>
            </w:r>
            <w:r w:rsidR="00773D33">
              <w:rPr>
                <w:noProof/>
                <w:webHidden/>
              </w:rPr>
              <w:tab/>
            </w:r>
            <w:r w:rsidR="00773D33">
              <w:rPr>
                <w:noProof/>
                <w:webHidden/>
              </w:rPr>
              <w:fldChar w:fldCharType="begin"/>
            </w:r>
            <w:r w:rsidR="00773D33">
              <w:rPr>
                <w:noProof/>
                <w:webHidden/>
              </w:rPr>
              <w:instrText xml:space="preserve"> PAGEREF _Toc224294035 \h </w:instrText>
            </w:r>
            <w:r w:rsidR="00773D33">
              <w:rPr>
                <w:noProof/>
                <w:webHidden/>
              </w:rPr>
            </w:r>
            <w:r w:rsidR="00773D33">
              <w:rPr>
                <w:noProof/>
                <w:webHidden/>
              </w:rPr>
              <w:fldChar w:fldCharType="separate"/>
            </w:r>
            <w:r w:rsidR="00773D33">
              <w:rPr>
                <w:noProof/>
                <w:webHidden/>
              </w:rPr>
              <w:t>10</w:t>
            </w:r>
            <w:r w:rsidR="00773D33">
              <w:rPr>
                <w:noProof/>
                <w:webHidden/>
              </w:rPr>
              <w:fldChar w:fldCharType="end"/>
            </w:r>
          </w:hyperlink>
        </w:p>
        <w:p w14:paraId="425753B1" w14:textId="7A8393DB" w:rsidR="00773D33" w:rsidRDefault="00000000">
          <w:pPr>
            <w:pStyle w:val="TOC2"/>
            <w:tabs>
              <w:tab w:val="right" w:leader="dot" w:pos="9350"/>
            </w:tabs>
            <w:rPr>
              <w:rFonts w:asciiTheme="minorHAnsi" w:eastAsiaTheme="minorEastAsia" w:hAnsiTheme="minorHAnsi"/>
              <w:noProof/>
            </w:rPr>
          </w:pPr>
          <w:hyperlink w:anchor="_Toc224294036" w:history="1">
            <w:r w:rsidR="00773D33" w:rsidRPr="00A24FFD">
              <w:rPr>
                <w:rStyle w:val="Hyperlink"/>
                <w:rFonts w:ascii="Arial" w:hAnsi="Arial" w:cs="Arial"/>
                <w:noProof/>
              </w:rPr>
              <w:t>6.1 team-based multidisciplinary practice.</w:t>
            </w:r>
            <w:r w:rsidR="00773D33">
              <w:rPr>
                <w:noProof/>
                <w:webHidden/>
              </w:rPr>
              <w:tab/>
            </w:r>
            <w:r w:rsidR="00773D33">
              <w:rPr>
                <w:noProof/>
                <w:webHidden/>
              </w:rPr>
              <w:fldChar w:fldCharType="begin"/>
            </w:r>
            <w:r w:rsidR="00773D33">
              <w:rPr>
                <w:noProof/>
                <w:webHidden/>
              </w:rPr>
              <w:instrText xml:space="preserve"> PAGEREF _Toc224294036 \h </w:instrText>
            </w:r>
            <w:r w:rsidR="00773D33">
              <w:rPr>
                <w:noProof/>
                <w:webHidden/>
              </w:rPr>
            </w:r>
            <w:r w:rsidR="00773D33">
              <w:rPr>
                <w:noProof/>
                <w:webHidden/>
              </w:rPr>
              <w:fldChar w:fldCharType="separate"/>
            </w:r>
            <w:r w:rsidR="00773D33">
              <w:rPr>
                <w:noProof/>
                <w:webHidden/>
              </w:rPr>
              <w:t>10</w:t>
            </w:r>
            <w:r w:rsidR="00773D33">
              <w:rPr>
                <w:noProof/>
                <w:webHidden/>
              </w:rPr>
              <w:fldChar w:fldCharType="end"/>
            </w:r>
          </w:hyperlink>
        </w:p>
        <w:p w14:paraId="2B3285F1" w14:textId="47FB35FC" w:rsidR="00773D33" w:rsidRDefault="00000000">
          <w:pPr>
            <w:pStyle w:val="TOC2"/>
            <w:tabs>
              <w:tab w:val="right" w:leader="dot" w:pos="9350"/>
            </w:tabs>
            <w:rPr>
              <w:rFonts w:asciiTheme="minorHAnsi" w:eastAsiaTheme="minorEastAsia" w:hAnsiTheme="minorHAnsi"/>
              <w:noProof/>
            </w:rPr>
          </w:pPr>
          <w:hyperlink w:anchor="_Toc224294037" w:history="1">
            <w:r w:rsidR="00773D33" w:rsidRPr="00A24FFD">
              <w:rPr>
                <w:rStyle w:val="Hyperlink"/>
                <w:rFonts w:ascii="Arial" w:hAnsi="Arial" w:cs="Arial"/>
                <w:noProof/>
              </w:rPr>
              <w:t>6.2 Data Protection and Risk Management.</w:t>
            </w:r>
            <w:r w:rsidR="00773D33">
              <w:rPr>
                <w:noProof/>
                <w:webHidden/>
              </w:rPr>
              <w:tab/>
            </w:r>
            <w:r w:rsidR="00773D33">
              <w:rPr>
                <w:noProof/>
                <w:webHidden/>
              </w:rPr>
              <w:fldChar w:fldCharType="begin"/>
            </w:r>
            <w:r w:rsidR="00773D33">
              <w:rPr>
                <w:noProof/>
                <w:webHidden/>
              </w:rPr>
              <w:instrText xml:space="preserve"> PAGEREF _Toc224294037 \h </w:instrText>
            </w:r>
            <w:r w:rsidR="00773D33">
              <w:rPr>
                <w:noProof/>
                <w:webHidden/>
              </w:rPr>
            </w:r>
            <w:r w:rsidR="00773D33">
              <w:rPr>
                <w:noProof/>
                <w:webHidden/>
              </w:rPr>
              <w:fldChar w:fldCharType="separate"/>
            </w:r>
            <w:r w:rsidR="00773D33">
              <w:rPr>
                <w:noProof/>
                <w:webHidden/>
              </w:rPr>
              <w:t>10</w:t>
            </w:r>
            <w:r w:rsidR="00773D33">
              <w:rPr>
                <w:noProof/>
                <w:webHidden/>
              </w:rPr>
              <w:fldChar w:fldCharType="end"/>
            </w:r>
          </w:hyperlink>
        </w:p>
        <w:p w14:paraId="4C4943D2" w14:textId="06CB1AE3" w:rsidR="00773D33" w:rsidRDefault="00000000">
          <w:pPr>
            <w:pStyle w:val="TOC2"/>
            <w:tabs>
              <w:tab w:val="right" w:leader="dot" w:pos="9350"/>
            </w:tabs>
            <w:rPr>
              <w:rFonts w:asciiTheme="minorHAnsi" w:eastAsiaTheme="minorEastAsia" w:hAnsiTheme="minorHAnsi"/>
              <w:noProof/>
            </w:rPr>
          </w:pPr>
          <w:hyperlink w:anchor="_Toc224294038" w:history="1">
            <w:r w:rsidR="00773D33" w:rsidRPr="00A24FFD">
              <w:rPr>
                <w:rStyle w:val="Hyperlink"/>
                <w:rFonts w:ascii="Arial" w:hAnsi="Arial" w:cs="Arial"/>
                <w:noProof/>
              </w:rPr>
              <w:t>6.3 Practical Challenges</w:t>
            </w:r>
            <w:r w:rsidR="00773D33">
              <w:rPr>
                <w:noProof/>
                <w:webHidden/>
              </w:rPr>
              <w:tab/>
            </w:r>
            <w:r w:rsidR="00773D33">
              <w:rPr>
                <w:noProof/>
                <w:webHidden/>
              </w:rPr>
              <w:fldChar w:fldCharType="begin"/>
            </w:r>
            <w:r w:rsidR="00773D33">
              <w:rPr>
                <w:noProof/>
                <w:webHidden/>
              </w:rPr>
              <w:instrText xml:space="preserve"> PAGEREF _Toc224294038 \h </w:instrText>
            </w:r>
            <w:r w:rsidR="00773D33">
              <w:rPr>
                <w:noProof/>
                <w:webHidden/>
              </w:rPr>
            </w:r>
            <w:r w:rsidR="00773D33">
              <w:rPr>
                <w:noProof/>
                <w:webHidden/>
              </w:rPr>
              <w:fldChar w:fldCharType="separate"/>
            </w:r>
            <w:r w:rsidR="00773D33">
              <w:rPr>
                <w:noProof/>
                <w:webHidden/>
              </w:rPr>
              <w:t>10</w:t>
            </w:r>
            <w:r w:rsidR="00773D33">
              <w:rPr>
                <w:noProof/>
                <w:webHidden/>
              </w:rPr>
              <w:fldChar w:fldCharType="end"/>
            </w:r>
          </w:hyperlink>
        </w:p>
        <w:p w14:paraId="31BB9DE4" w14:textId="1A5B58F0" w:rsidR="00773D33" w:rsidRDefault="00000000">
          <w:pPr>
            <w:pStyle w:val="TOC1"/>
            <w:tabs>
              <w:tab w:val="right" w:leader="dot" w:pos="9350"/>
            </w:tabs>
            <w:rPr>
              <w:rFonts w:asciiTheme="minorHAnsi" w:eastAsiaTheme="minorEastAsia" w:hAnsiTheme="minorHAnsi"/>
              <w:noProof/>
            </w:rPr>
          </w:pPr>
          <w:hyperlink w:anchor="_Toc224294039" w:history="1">
            <w:r w:rsidR="00773D33" w:rsidRPr="00A24FFD">
              <w:rPr>
                <w:rStyle w:val="Hyperlink"/>
                <w:noProof/>
              </w:rPr>
              <w:t>7. Applicable Policy and Legislation.</w:t>
            </w:r>
            <w:r w:rsidR="00773D33">
              <w:rPr>
                <w:noProof/>
                <w:webHidden/>
              </w:rPr>
              <w:tab/>
            </w:r>
            <w:r w:rsidR="00773D33">
              <w:rPr>
                <w:noProof/>
                <w:webHidden/>
              </w:rPr>
              <w:fldChar w:fldCharType="begin"/>
            </w:r>
            <w:r w:rsidR="00773D33">
              <w:rPr>
                <w:noProof/>
                <w:webHidden/>
              </w:rPr>
              <w:instrText xml:space="preserve"> PAGEREF _Toc224294039 \h </w:instrText>
            </w:r>
            <w:r w:rsidR="00773D33">
              <w:rPr>
                <w:noProof/>
                <w:webHidden/>
              </w:rPr>
            </w:r>
            <w:r w:rsidR="00773D33">
              <w:rPr>
                <w:noProof/>
                <w:webHidden/>
              </w:rPr>
              <w:fldChar w:fldCharType="separate"/>
            </w:r>
            <w:r w:rsidR="00773D33">
              <w:rPr>
                <w:noProof/>
                <w:webHidden/>
              </w:rPr>
              <w:t>10</w:t>
            </w:r>
            <w:r w:rsidR="00773D33">
              <w:rPr>
                <w:noProof/>
                <w:webHidden/>
              </w:rPr>
              <w:fldChar w:fldCharType="end"/>
            </w:r>
          </w:hyperlink>
        </w:p>
        <w:p w14:paraId="05A4FC10" w14:textId="009A7018" w:rsidR="00773D33" w:rsidRDefault="00000000">
          <w:pPr>
            <w:pStyle w:val="TOC2"/>
            <w:tabs>
              <w:tab w:val="right" w:leader="dot" w:pos="9350"/>
            </w:tabs>
            <w:rPr>
              <w:rFonts w:asciiTheme="minorHAnsi" w:eastAsiaTheme="minorEastAsia" w:hAnsiTheme="minorHAnsi"/>
              <w:noProof/>
            </w:rPr>
          </w:pPr>
          <w:hyperlink w:anchor="_Toc224294040" w:history="1">
            <w:r w:rsidR="00773D33" w:rsidRPr="00A24FFD">
              <w:rPr>
                <w:rStyle w:val="Hyperlink"/>
                <w:rFonts w:ascii="Arial" w:hAnsi="Arial" w:cs="Arial"/>
                <w:noProof/>
              </w:rPr>
              <w:t>7.1 Care Act 2014</w:t>
            </w:r>
            <w:r w:rsidR="00773D33">
              <w:rPr>
                <w:noProof/>
                <w:webHidden/>
              </w:rPr>
              <w:tab/>
            </w:r>
            <w:r w:rsidR="00773D33">
              <w:rPr>
                <w:noProof/>
                <w:webHidden/>
              </w:rPr>
              <w:fldChar w:fldCharType="begin"/>
            </w:r>
            <w:r w:rsidR="00773D33">
              <w:rPr>
                <w:noProof/>
                <w:webHidden/>
              </w:rPr>
              <w:instrText xml:space="preserve"> PAGEREF _Toc224294040 \h </w:instrText>
            </w:r>
            <w:r w:rsidR="00773D33">
              <w:rPr>
                <w:noProof/>
                <w:webHidden/>
              </w:rPr>
            </w:r>
            <w:r w:rsidR="00773D33">
              <w:rPr>
                <w:noProof/>
                <w:webHidden/>
              </w:rPr>
              <w:fldChar w:fldCharType="separate"/>
            </w:r>
            <w:r w:rsidR="00773D33">
              <w:rPr>
                <w:noProof/>
                <w:webHidden/>
              </w:rPr>
              <w:t>11</w:t>
            </w:r>
            <w:r w:rsidR="00773D33">
              <w:rPr>
                <w:noProof/>
                <w:webHidden/>
              </w:rPr>
              <w:fldChar w:fldCharType="end"/>
            </w:r>
          </w:hyperlink>
        </w:p>
        <w:p w14:paraId="2566A930" w14:textId="6ABDEA60" w:rsidR="00773D33" w:rsidRPr="00773D33" w:rsidRDefault="00000000">
          <w:pPr>
            <w:pStyle w:val="TOC2"/>
            <w:tabs>
              <w:tab w:val="right" w:leader="dot" w:pos="9350"/>
            </w:tabs>
            <w:rPr>
              <w:rFonts w:asciiTheme="minorHAnsi" w:eastAsiaTheme="minorEastAsia" w:hAnsiTheme="minorHAnsi"/>
              <w:noProof/>
            </w:rPr>
          </w:pPr>
          <w:hyperlink w:anchor="_Toc224294041" w:history="1">
            <w:r w:rsidR="00773D33" w:rsidRPr="00773D33">
              <w:rPr>
                <w:rStyle w:val="Hyperlink"/>
                <w:rFonts w:ascii="Arial" w:hAnsi="Arial" w:cs="Arial"/>
                <w:noProof/>
              </w:rPr>
              <w:t>7.2 Mental Capacity Act 2005, and Mental Health Act 1983.</w:t>
            </w:r>
            <w:r w:rsidR="00773D33" w:rsidRPr="00773D33">
              <w:rPr>
                <w:noProof/>
                <w:webHidden/>
              </w:rPr>
              <w:tab/>
            </w:r>
            <w:r w:rsidR="00773D33" w:rsidRPr="00773D33">
              <w:rPr>
                <w:noProof/>
                <w:webHidden/>
              </w:rPr>
              <w:fldChar w:fldCharType="begin"/>
            </w:r>
            <w:r w:rsidR="00773D33" w:rsidRPr="00773D33">
              <w:rPr>
                <w:noProof/>
                <w:webHidden/>
              </w:rPr>
              <w:instrText xml:space="preserve"> PAGEREF _Toc224294041 \h </w:instrText>
            </w:r>
            <w:r w:rsidR="00773D33" w:rsidRPr="00773D33">
              <w:rPr>
                <w:noProof/>
                <w:webHidden/>
              </w:rPr>
            </w:r>
            <w:r w:rsidR="00773D33" w:rsidRPr="00773D33">
              <w:rPr>
                <w:noProof/>
                <w:webHidden/>
              </w:rPr>
              <w:fldChar w:fldCharType="separate"/>
            </w:r>
            <w:r w:rsidR="00773D33" w:rsidRPr="00773D33">
              <w:rPr>
                <w:noProof/>
                <w:webHidden/>
              </w:rPr>
              <w:t>11</w:t>
            </w:r>
            <w:r w:rsidR="00773D33" w:rsidRPr="00773D33">
              <w:rPr>
                <w:noProof/>
                <w:webHidden/>
              </w:rPr>
              <w:fldChar w:fldCharType="end"/>
            </w:r>
          </w:hyperlink>
        </w:p>
        <w:p w14:paraId="6E7552D4" w14:textId="1E57502A" w:rsidR="00773D33" w:rsidRPr="00773D33" w:rsidRDefault="00000000">
          <w:pPr>
            <w:pStyle w:val="TOC2"/>
            <w:tabs>
              <w:tab w:val="right" w:leader="dot" w:pos="9350"/>
            </w:tabs>
            <w:rPr>
              <w:rFonts w:asciiTheme="minorHAnsi" w:eastAsiaTheme="minorEastAsia" w:hAnsiTheme="minorHAnsi"/>
              <w:noProof/>
            </w:rPr>
          </w:pPr>
          <w:hyperlink w:anchor="_Toc224294042" w:history="1">
            <w:r w:rsidR="00773D33" w:rsidRPr="00773D33">
              <w:rPr>
                <w:rStyle w:val="Hyperlink"/>
                <w:rFonts w:ascii="Arial" w:hAnsi="Arial" w:cs="Arial"/>
                <w:noProof/>
              </w:rPr>
              <w:t>7.3 Health and Social Care Act 2012 and Health and Care Act 2022</w:t>
            </w:r>
            <w:r w:rsidR="00773D33" w:rsidRPr="00773D33">
              <w:rPr>
                <w:noProof/>
                <w:webHidden/>
              </w:rPr>
              <w:tab/>
            </w:r>
            <w:r w:rsidR="00773D33" w:rsidRPr="00773D33">
              <w:rPr>
                <w:noProof/>
                <w:webHidden/>
              </w:rPr>
              <w:fldChar w:fldCharType="begin"/>
            </w:r>
            <w:r w:rsidR="00773D33" w:rsidRPr="00773D33">
              <w:rPr>
                <w:noProof/>
                <w:webHidden/>
              </w:rPr>
              <w:instrText xml:space="preserve"> PAGEREF _Toc224294042 \h </w:instrText>
            </w:r>
            <w:r w:rsidR="00773D33" w:rsidRPr="00773D33">
              <w:rPr>
                <w:noProof/>
                <w:webHidden/>
              </w:rPr>
            </w:r>
            <w:r w:rsidR="00773D33" w:rsidRPr="00773D33">
              <w:rPr>
                <w:noProof/>
                <w:webHidden/>
              </w:rPr>
              <w:fldChar w:fldCharType="separate"/>
            </w:r>
            <w:r w:rsidR="00773D33" w:rsidRPr="00773D33">
              <w:rPr>
                <w:noProof/>
                <w:webHidden/>
              </w:rPr>
              <w:t>11</w:t>
            </w:r>
            <w:r w:rsidR="00773D33" w:rsidRPr="00773D33">
              <w:rPr>
                <w:noProof/>
                <w:webHidden/>
              </w:rPr>
              <w:fldChar w:fldCharType="end"/>
            </w:r>
          </w:hyperlink>
        </w:p>
        <w:p w14:paraId="25F7784B" w14:textId="40015EB0" w:rsidR="00773D33" w:rsidRDefault="00000000">
          <w:pPr>
            <w:pStyle w:val="TOC2"/>
            <w:tabs>
              <w:tab w:val="right" w:leader="dot" w:pos="9350"/>
            </w:tabs>
            <w:rPr>
              <w:rFonts w:asciiTheme="minorHAnsi" w:eastAsiaTheme="minorEastAsia" w:hAnsiTheme="minorHAnsi"/>
              <w:noProof/>
            </w:rPr>
          </w:pPr>
          <w:hyperlink w:anchor="_Toc224294043" w:history="1">
            <w:r w:rsidR="00773D33" w:rsidRPr="00773D33">
              <w:rPr>
                <w:rStyle w:val="Hyperlink"/>
                <w:rFonts w:ascii="Arial" w:hAnsi="Arial" w:cs="Arial"/>
                <w:noProof/>
              </w:rPr>
              <w:t>7.4 Equality Act 2010</w:t>
            </w:r>
            <w:r w:rsidR="00773D33" w:rsidRPr="00773D33">
              <w:rPr>
                <w:noProof/>
                <w:webHidden/>
              </w:rPr>
              <w:tab/>
            </w:r>
            <w:r w:rsidR="00773D33" w:rsidRPr="00773D33">
              <w:rPr>
                <w:noProof/>
                <w:webHidden/>
              </w:rPr>
              <w:fldChar w:fldCharType="begin"/>
            </w:r>
            <w:r w:rsidR="00773D33" w:rsidRPr="00773D33">
              <w:rPr>
                <w:noProof/>
                <w:webHidden/>
              </w:rPr>
              <w:instrText xml:space="preserve"> PAGEREF _Toc224294043 \h </w:instrText>
            </w:r>
            <w:r w:rsidR="00773D33" w:rsidRPr="00773D33">
              <w:rPr>
                <w:noProof/>
                <w:webHidden/>
              </w:rPr>
            </w:r>
            <w:r w:rsidR="00773D33" w:rsidRPr="00773D33">
              <w:rPr>
                <w:noProof/>
                <w:webHidden/>
              </w:rPr>
              <w:fldChar w:fldCharType="separate"/>
            </w:r>
            <w:r w:rsidR="00773D33" w:rsidRPr="00773D33">
              <w:rPr>
                <w:noProof/>
                <w:webHidden/>
              </w:rPr>
              <w:t>12</w:t>
            </w:r>
            <w:r w:rsidR="00773D33" w:rsidRPr="00773D33">
              <w:rPr>
                <w:noProof/>
                <w:webHidden/>
              </w:rPr>
              <w:fldChar w:fldCharType="end"/>
            </w:r>
          </w:hyperlink>
        </w:p>
        <w:p w14:paraId="21CE90AB" w14:textId="2ECC78D0" w:rsidR="00773D33" w:rsidRDefault="00000000">
          <w:pPr>
            <w:pStyle w:val="TOC1"/>
            <w:tabs>
              <w:tab w:val="right" w:leader="dot" w:pos="9350"/>
            </w:tabs>
            <w:rPr>
              <w:rFonts w:asciiTheme="minorHAnsi" w:eastAsiaTheme="minorEastAsia" w:hAnsiTheme="minorHAnsi"/>
              <w:noProof/>
            </w:rPr>
          </w:pPr>
          <w:hyperlink w:anchor="_Toc224294044" w:history="1">
            <w:r w:rsidR="00773D33" w:rsidRPr="00A24FFD">
              <w:rPr>
                <w:rStyle w:val="Hyperlink"/>
                <w:noProof/>
              </w:rPr>
              <w:t>8. Future Development Recommendations.</w:t>
            </w:r>
            <w:r w:rsidR="00773D33">
              <w:rPr>
                <w:noProof/>
                <w:webHidden/>
              </w:rPr>
              <w:tab/>
            </w:r>
            <w:r w:rsidR="00773D33">
              <w:rPr>
                <w:noProof/>
                <w:webHidden/>
              </w:rPr>
              <w:fldChar w:fldCharType="begin"/>
            </w:r>
            <w:r w:rsidR="00773D33">
              <w:rPr>
                <w:noProof/>
                <w:webHidden/>
              </w:rPr>
              <w:instrText xml:space="preserve"> PAGEREF _Toc224294044 \h </w:instrText>
            </w:r>
            <w:r w:rsidR="00773D33">
              <w:rPr>
                <w:noProof/>
                <w:webHidden/>
              </w:rPr>
            </w:r>
            <w:r w:rsidR="00773D33">
              <w:rPr>
                <w:noProof/>
                <w:webHidden/>
              </w:rPr>
              <w:fldChar w:fldCharType="separate"/>
            </w:r>
            <w:r w:rsidR="00773D33">
              <w:rPr>
                <w:noProof/>
                <w:webHidden/>
              </w:rPr>
              <w:t>12</w:t>
            </w:r>
            <w:r w:rsidR="00773D33">
              <w:rPr>
                <w:noProof/>
                <w:webHidden/>
              </w:rPr>
              <w:fldChar w:fldCharType="end"/>
            </w:r>
          </w:hyperlink>
        </w:p>
        <w:p w14:paraId="0C90A52C" w14:textId="3CE65681" w:rsidR="00773D33" w:rsidRDefault="00000000">
          <w:pPr>
            <w:pStyle w:val="TOC2"/>
            <w:tabs>
              <w:tab w:val="right" w:leader="dot" w:pos="9350"/>
            </w:tabs>
            <w:rPr>
              <w:rFonts w:asciiTheme="minorHAnsi" w:eastAsiaTheme="minorEastAsia" w:hAnsiTheme="minorHAnsi"/>
              <w:noProof/>
            </w:rPr>
          </w:pPr>
          <w:hyperlink w:anchor="_Toc224294045" w:history="1">
            <w:r w:rsidR="00773D33" w:rsidRPr="00A24FFD">
              <w:rPr>
                <w:rStyle w:val="Hyperlink"/>
                <w:rFonts w:ascii="Arial" w:hAnsi="Arial" w:cs="Arial"/>
                <w:noProof/>
              </w:rPr>
              <w:t>8.1 Workforce Development</w:t>
            </w:r>
            <w:r w:rsidR="00773D33">
              <w:rPr>
                <w:noProof/>
                <w:webHidden/>
              </w:rPr>
              <w:tab/>
            </w:r>
            <w:r w:rsidR="00773D33">
              <w:rPr>
                <w:noProof/>
                <w:webHidden/>
              </w:rPr>
              <w:fldChar w:fldCharType="begin"/>
            </w:r>
            <w:r w:rsidR="00773D33">
              <w:rPr>
                <w:noProof/>
                <w:webHidden/>
              </w:rPr>
              <w:instrText xml:space="preserve"> PAGEREF _Toc224294045 \h </w:instrText>
            </w:r>
            <w:r w:rsidR="00773D33">
              <w:rPr>
                <w:noProof/>
                <w:webHidden/>
              </w:rPr>
            </w:r>
            <w:r w:rsidR="00773D33">
              <w:rPr>
                <w:noProof/>
                <w:webHidden/>
              </w:rPr>
              <w:fldChar w:fldCharType="separate"/>
            </w:r>
            <w:r w:rsidR="00773D33">
              <w:rPr>
                <w:noProof/>
                <w:webHidden/>
              </w:rPr>
              <w:t>12</w:t>
            </w:r>
            <w:r w:rsidR="00773D33">
              <w:rPr>
                <w:noProof/>
                <w:webHidden/>
              </w:rPr>
              <w:fldChar w:fldCharType="end"/>
            </w:r>
          </w:hyperlink>
        </w:p>
        <w:p w14:paraId="241D538A" w14:textId="46C472E3" w:rsidR="00773D33" w:rsidRDefault="00000000">
          <w:pPr>
            <w:pStyle w:val="TOC2"/>
            <w:tabs>
              <w:tab w:val="right" w:leader="dot" w:pos="9350"/>
            </w:tabs>
            <w:rPr>
              <w:rFonts w:asciiTheme="minorHAnsi" w:eastAsiaTheme="minorEastAsia" w:hAnsiTheme="minorHAnsi"/>
              <w:noProof/>
            </w:rPr>
          </w:pPr>
          <w:hyperlink w:anchor="_Toc224294046" w:history="1">
            <w:r w:rsidR="00773D33" w:rsidRPr="00A24FFD">
              <w:rPr>
                <w:rStyle w:val="Hyperlink"/>
                <w:rFonts w:ascii="Arial" w:hAnsi="Arial" w:cs="Arial"/>
                <w:noProof/>
              </w:rPr>
              <w:t>8.2 Digital Integration</w:t>
            </w:r>
            <w:r w:rsidR="00773D33">
              <w:rPr>
                <w:noProof/>
                <w:webHidden/>
              </w:rPr>
              <w:tab/>
            </w:r>
            <w:r w:rsidR="00773D33">
              <w:rPr>
                <w:noProof/>
                <w:webHidden/>
              </w:rPr>
              <w:fldChar w:fldCharType="begin"/>
            </w:r>
            <w:r w:rsidR="00773D33">
              <w:rPr>
                <w:noProof/>
                <w:webHidden/>
              </w:rPr>
              <w:instrText xml:space="preserve"> PAGEREF _Toc224294046 \h </w:instrText>
            </w:r>
            <w:r w:rsidR="00773D33">
              <w:rPr>
                <w:noProof/>
                <w:webHidden/>
              </w:rPr>
            </w:r>
            <w:r w:rsidR="00773D33">
              <w:rPr>
                <w:noProof/>
                <w:webHidden/>
              </w:rPr>
              <w:fldChar w:fldCharType="separate"/>
            </w:r>
            <w:r w:rsidR="00773D33">
              <w:rPr>
                <w:noProof/>
                <w:webHidden/>
              </w:rPr>
              <w:t>12</w:t>
            </w:r>
            <w:r w:rsidR="00773D33">
              <w:rPr>
                <w:noProof/>
                <w:webHidden/>
              </w:rPr>
              <w:fldChar w:fldCharType="end"/>
            </w:r>
          </w:hyperlink>
        </w:p>
        <w:p w14:paraId="141AA4B6" w14:textId="17D39A7E" w:rsidR="00773D33" w:rsidRDefault="00000000">
          <w:pPr>
            <w:pStyle w:val="TOC2"/>
            <w:tabs>
              <w:tab w:val="right" w:leader="dot" w:pos="9350"/>
            </w:tabs>
            <w:rPr>
              <w:rFonts w:asciiTheme="minorHAnsi" w:eastAsiaTheme="minorEastAsia" w:hAnsiTheme="minorHAnsi"/>
              <w:noProof/>
            </w:rPr>
          </w:pPr>
          <w:hyperlink w:anchor="_Toc224294047" w:history="1">
            <w:r w:rsidR="00773D33" w:rsidRPr="00A24FFD">
              <w:rPr>
                <w:rStyle w:val="Hyperlink"/>
                <w:rFonts w:ascii="Arial" w:hAnsi="Arial" w:cs="Arial"/>
                <w:noProof/>
              </w:rPr>
              <w:t>8.3 Co-Production</w:t>
            </w:r>
            <w:r w:rsidR="00773D33">
              <w:rPr>
                <w:noProof/>
                <w:webHidden/>
              </w:rPr>
              <w:tab/>
            </w:r>
            <w:r w:rsidR="00773D33">
              <w:rPr>
                <w:noProof/>
                <w:webHidden/>
              </w:rPr>
              <w:fldChar w:fldCharType="begin"/>
            </w:r>
            <w:r w:rsidR="00773D33">
              <w:rPr>
                <w:noProof/>
                <w:webHidden/>
              </w:rPr>
              <w:instrText xml:space="preserve"> PAGEREF _Toc224294047 \h </w:instrText>
            </w:r>
            <w:r w:rsidR="00773D33">
              <w:rPr>
                <w:noProof/>
                <w:webHidden/>
              </w:rPr>
            </w:r>
            <w:r w:rsidR="00773D33">
              <w:rPr>
                <w:noProof/>
                <w:webHidden/>
              </w:rPr>
              <w:fldChar w:fldCharType="separate"/>
            </w:r>
            <w:r w:rsidR="00773D33">
              <w:rPr>
                <w:noProof/>
                <w:webHidden/>
              </w:rPr>
              <w:t>12</w:t>
            </w:r>
            <w:r w:rsidR="00773D33">
              <w:rPr>
                <w:noProof/>
                <w:webHidden/>
              </w:rPr>
              <w:fldChar w:fldCharType="end"/>
            </w:r>
          </w:hyperlink>
        </w:p>
        <w:p w14:paraId="5D2D89D8" w14:textId="7A18ED32" w:rsidR="00773D33" w:rsidRDefault="00000000">
          <w:pPr>
            <w:pStyle w:val="TOC2"/>
            <w:tabs>
              <w:tab w:val="right" w:leader="dot" w:pos="9350"/>
            </w:tabs>
            <w:rPr>
              <w:rFonts w:asciiTheme="minorHAnsi" w:eastAsiaTheme="minorEastAsia" w:hAnsiTheme="minorHAnsi"/>
              <w:noProof/>
            </w:rPr>
          </w:pPr>
          <w:hyperlink w:anchor="_Toc224294048" w:history="1">
            <w:r w:rsidR="00773D33" w:rsidRPr="00A24FFD">
              <w:rPr>
                <w:rStyle w:val="Hyperlink"/>
                <w:rFonts w:ascii="Arial" w:hAnsi="Arial" w:cs="Arial"/>
                <w:noProof/>
              </w:rPr>
              <w:t>8.4 Reducing Fragmentation</w:t>
            </w:r>
            <w:r w:rsidR="00773D33">
              <w:rPr>
                <w:noProof/>
                <w:webHidden/>
              </w:rPr>
              <w:tab/>
            </w:r>
            <w:r w:rsidR="00773D33">
              <w:rPr>
                <w:noProof/>
                <w:webHidden/>
              </w:rPr>
              <w:fldChar w:fldCharType="begin"/>
            </w:r>
            <w:r w:rsidR="00773D33">
              <w:rPr>
                <w:noProof/>
                <w:webHidden/>
              </w:rPr>
              <w:instrText xml:space="preserve"> PAGEREF _Toc224294048 \h </w:instrText>
            </w:r>
            <w:r w:rsidR="00773D33">
              <w:rPr>
                <w:noProof/>
                <w:webHidden/>
              </w:rPr>
            </w:r>
            <w:r w:rsidR="00773D33">
              <w:rPr>
                <w:noProof/>
                <w:webHidden/>
              </w:rPr>
              <w:fldChar w:fldCharType="separate"/>
            </w:r>
            <w:r w:rsidR="00773D33">
              <w:rPr>
                <w:noProof/>
                <w:webHidden/>
              </w:rPr>
              <w:t>12</w:t>
            </w:r>
            <w:r w:rsidR="00773D33">
              <w:rPr>
                <w:noProof/>
                <w:webHidden/>
              </w:rPr>
              <w:fldChar w:fldCharType="end"/>
            </w:r>
          </w:hyperlink>
        </w:p>
        <w:p w14:paraId="370E185C" w14:textId="105C2A79" w:rsidR="00773D33" w:rsidRDefault="00000000">
          <w:pPr>
            <w:pStyle w:val="TOC1"/>
            <w:tabs>
              <w:tab w:val="right" w:leader="dot" w:pos="9350"/>
            </w:tabs>
            <w:rPr>
              <w:rFonts w:asciiTheme="minorHAnsi" w:eastAsiaTheme="minorEastAsia" w:hAnsiTheme="minorHAnsi"/>
              <w:noProof/>
            </w:rPr>
          </w:pPr>
          <w:hyperlink w:anchor="_Toc224294049" w:history="1">
            <w:r w:rsidR="00773D33" w:rsidRPr="00A24FFD">
              <w:rPr>
                <w:rStyle w:val="Hyperlink"/>
                <w:noProof/>
              </w:rPr>
              <w:t>9. Conclusion</w:t>
            </w:r>
            <w:r w:rsidR="00773D33">
              <w:rPr>
                <w:noProof/>
                <w:webHidden/>
              </w:rPr>
              <w:tab/>
            </w:r>
            <w:r w:rsidR="00773D33">
              <w:rPr>
                <w:noProof/>
                <w:webHidden/>
              </w:rPr>
              <w:fldChar w:fldCharType="begin"/>
            </w:r>
            <w:r w:rsidR="00773D33">
              <w:rPr>
                <w:noProof/>
                <w:webHidden/>
              </w:rPr>
              <w:instrText xml:space="preserve"> PAGEREF _Toc224294049 \h </w:instrText>
            </w:r>
            <w:r w:rsidR="00773D33">
              <w:rPr>
                <w:noProof/>
                <w:webHidden/>
              </w:rPr>
            </w:r>
            <w:r w:rsidR="00773D33">
              <w:rPr>
                <w:noProof/>
                <w:webHidden/>
              </w:rPr>
              <w:fldChar w:fldCharType="separate"/>
            </w:r>
            <w:r w:rsidR="00773D33">
              <w:rPr>
                <w:noProof/>
                <w:webHidden/>
              </w:rPr>
              <w:t>13</w:t>
            </w:r>
            <w:r w:rsidR="00773D33">
              <w:rPr>
                <w:noProof/>
                <w:webHidden/>
              </w:rPr>
              <w:fldChar w:fldCharType="end"/>
            </w:r>
          </w:hyperlink>
        </w:p>
        <w:p w14:paraId="7D207016" w14:textId="32C942B0" w:rsidR="00875040" w:rsidRDefault="00875040" w:rsidP="00875040">
          <w:r w:rsidRPr="00875040">
            <w:rPr>
              <w:rFonts w:ascii="Arial" w:hAnsi="Arial" w:cs="Arial"/>
              <w:b/>
              <w:bCs/>
              <w:noProof/>
              <w:sz w:val="22"/>
              <w:szCs w:val="22"/>
            </w:rPr>
            <w:fldChar w:fldCharType="end"/>
          </w:r>
        </w:p>
      </w:sdtContent>
    </w:sdt>
    <w:p w14:paraId="6ABEDCE7" w14:textId="77777777" w:rsidR="00875040" w:rsidRDefault="00875040">
      <w:pPr>
        <w:rPr>
          <w:rFonts w:ascii="Arial" w:hAnsi="Arial" w:cs="Arial"/>
          <w:sz w:val="22"/>
          <w:szCs w:val="22"/>
        </w:rPr>
      </w:pPr>
    </w:p>
    <w:p w14:paraId="6569C35A" w14:textId="77777777" w:rsidR="00875040" w:rsidRDefault="00875040">
      <w:pPr>
        <w:rPr>
          <w:rFonts w:ascii="Arial" w:hAnsi="Arial" w:cs="Arial"/>
          <w:sz w:val="22"/>
          <w:szCs w:val="22"/>
        </w:rPr>
      </w:pPr>
    </w:p>
    <w:p w14:paraId="0FBF63B4" w14:textId="77777777" w:rsidR="00875040" w:rsidRDefault="00875040">
      <w:pPr>
        <w:rPr>
          <w:rFonts w:ascii="Arial" w:hAnsi="Arial" w:cs="Arial"/>
          <w:sz w:val="22"/>
          <w:szCs w:val="22"/>
        </w:rPr>
      </w:pPr>
    </w:p>
    <w:p w14:paraId="60FFDE64" w14:textId="77777777" w:rsidR="00875040" w:rsidRDefault="00875040">
      <w:pPr>
        <w:rPr>
          <w:rFonts w:ascii="Arial" w:hAnsi="Arial" w:cs="Arial"/>
          <w:sz w:val="22"/>
          <w:szCs w:val="22"/>
        </w:rPr>
      </w:pPr>
    </w:p>
    <w:p w14:paraId="48B6842C" w14:textId="77777777" w:rsidR="00875040" w:rsidRDefault="00875040">
      <w:pPr>
        <w:rPr>
          <w:rFonts w:ascii="Arial" w:hAnsi="Arial" w:cs="Arial"/>
          <w:sz w:val="22"/>
          <w:szCs w:val="22"/>
        </w:rPr>
      </w:pPr>
    </w:p>
    <w:p w14:paraId="255431E1" w14:textId="77777777" w:rsidR="00875040" w:rsidRDefault="00875040">
      <w:pPr>
        <w:rPr>
          <w:rFonts w:ascii="Arial" w:hAnsi="Arial" w:cs="Arial"/>
          <w:sz w:val="22"/>
          <w:szCs w:val="22"/>
        </w:rPr>
      </w:pPr>
    </w:p>
    <w:p w14:paraId="6959F6C4" w14:textId="77777777" w:rsidR="00875040" w:rsidRDefault="00875040">
      <w:pPr>
        <w:rPr>
          <w:rFonts w:ascii="Arial" w:hAnsi="Arial" w:cs="Arial"/>
          <w:sz w:val="22"/>
          <w:szCs w:val="22"/>
        </w:rPr>
      </w:pPr>
    </w:p>
    <w:p w14:paraId="1F8376BB" w14:textId="77777777" w:rsidR="00C73AF5" w:rsidRDefault="00C73AF5">
      <w:pPr>
        <w:rPr>
          <w:rFonts w:ascii="Arial" w:hAnsi="Arial" w:cs="Arial"/>
          <w:sz w:val="22"/>
          <w:szCs w:val="22"/>
        </w:rPr>
      </w:pPr>
    </w:p>
    <w:p w14:paraId="5F42744F" w14:textId="77777777" w:rsidR="00C73AF5" w:rsidRDefault="00C73AF5">
      <w:pPr>
        <w:rPr>
          <w:rFonts w:ascii="Arial" w:hAnsi="Arial" w:cs="Arial"/>
          <w:sz w:val="22"/>
          <w:szCs w:val="22"/>
        </w:rPr>
      </w:pPr>
    </w:p>
    <w:p w14:paraId="06326AFA" w14:textId="77777777" w:rsidR="00C73AF5" w:rsidRDefault="00C73AF5">
      <w:pPr>
        <w:rPr>
          <w:rFonts w:ascii="Arial" w:hAnsi="Arial" w:cs="Arial"/>
          <w:sz w:val="22"/>
          <w:szCs w:val="22"/>
        </w:rPr>
      </w:pPr>
    </w:p>
    <w:p w14:paraId="1C7B593B" w14:textId="77777777" w:rsidR="00C73AF5" w:rsidRDefault="00C73AF5">
      <w:pPr>
        <w:rPr>
          <w:rFonts w:ascii="Arial" w:hAnsi="Arial" w:cs="Arial"/>
          <w:sz w:val="22"/>
          <w:szCs w:val="22"/>
        </w:rPr>
      </w:pPr>
    </w:p>
    <w:p w14:paraId="79183ECC" w14:textId="77777777" w:rsidR="00C73AF5" w:rsidRDefault="00C73AF5">
      <w:pPr>
        <w:rPr>
          <w:rFonts w:ascii="Arial" w:hAnsi="Arial" w:cs="Arial"/>
          <w:sz w:val="22"/>
          <w:szCs w:val="22"/>
        </w:rPr>
      </w:pPr>
    </w:p>
    <w:p w14:paraId="2ADDE40A" w14:textId="77777777" w:rsidR="00C73AF5" w:rsidRDefault="00C73AF5">
      <w:pPr>
        <w:rPr>
          <w:rFonts w:ascii="Arial" w:hAnsi="Arial" w:cs="Arial"/>
          <w:sz w:val="22"/>
          <w:szCs w:val="22"/>
        </w:rPr>
      </w:pPr>
    </w:p>
    <w:p w14:paraId="22E9D13B" w14:textId="77777777" w:rsidR="00C73AF5" w:rsidRDefault="00C73AF5">
      <w:pPr>
        <w:rPr>
          <w:rFonts w:ascii="Arial" w:hAnsi="Arial" w:cs="Arial"/>
          <w:sz w:val="22"/>
          <w:szCs w:val="22"/>
        </w:rPr>
      </w:pPr>
    </w:p>
    <w:p w14:paraId="1E9CFD95" w14:textId="77777777" w:rsidR="00C73AF5" w:rsidRDefault="00C73AF5">
      <w:pPr>
        <w:rPr>
          <w:rFonts w:ascii="Arial" w:hAnsi="Arial" w:cs="Arial"/>
          <w:sz w:val="22"/>
          <w:szCs w:val="22"/>
        </w:rPr>
      </w:pPr>
    </w:p>
    <w:p w14:paraId="6079D35F" w14:textId="77777777" w:rsidR="00C73AF5" w:rsidRDefault="00C73AF5">
      <w:pPr>
        <w:rPr>
          <w:rFonts w:ascii="Arial" w:hAnsi="Arial" w:cs="Arial"/>
          <w:sz w:val="22"/>
          <w:szCs w:val="22"/>
        </w:rPr>
      </w:pPr>
    </w:p>
    <w:p w14:paraId="13455580" w14:textId="77777777" w:rsidR="00875040" w:rsidRPr="00875040" w:rsidRDefault="00875040" w:rsidP="00F308F4"/>
    <w:p w14:paraId="65EDBDE1" w14:textId="77777777" w:rsidR="00875040" w:rsidRPr="00E568DF" w:rsidRDefault="00875040" w:rsidP="00944E3F">
      <w:pPr>
        <w:pStyle w:val="Heading1"/>
      </w:pPr>
      <w:bookmarkStart w:id="1" w:name="_Toc224294022"/>
      <w:r w:rsidRPr="00875040">
        <w:lastRenderedPageBreak/>
        <w:t xml:space="preserve">1. </w:t>
      </w:r>
      <w:r w:rsidRPr="00E568DF">
        <w:t>Introduction</w:t>
      </w:r>
      <w:bookmarkEnd w:id="1"/>
    </w:p>
    <w:p w14:paraId="1FEE0CC6" w14:textId="1790153D" w:rsidR="00875040" w:rsidRPr="00E568DF" w:rsidRDefault="001E2F35" w:rsidP="00E568DF">
      <w:pPr>
        <w:rPr>
          <w:rFonts w:ascii="Arial" w:hAnsi="Arial" w:cs="Arial"/>
          <w:sz w:val="22"/>
          <w:szCs w:val="22"/>
        </w:rPr>
      </w:pPr>
      <w:r w:rsidRPr="00E568DF">
        <w:rPr>
          <w:rFonts w:ascii="Arial" w:hAnsi="Arial" w:cs="Arial"/>
          <w:sz w:val="22"/>
          <w:szCs w:val="22"/>
        </w:rPr>
        <w:t>The concepts of person-centred care (PCC) and partnership working (PW) have become more dominant in the UK healthcare and social care practice. Legal and professional standards have over the past decades</w:t>
      </w:r>
      <w:r w:rsidR="00447760">
        <w:rPr>
          <w:rFonts w:ascii="Arial" w:hAnsi="Arial" w:cs="Arial"/>
          <w:sz w:val="22"/>
          <w:szCs w:val="22"/>
        </w:rPr>
        <w:t>,</w:t>
      </w:r>
      <w:r w:rsidRPr="00E568DF">
        <w:rPr>
          <w:rFonts w:ascii="Arial" w:hAnsi="Arial" w:cs="Arial"/>
          <w:sz w:val="22"/>
          <w:szCs w:val="22"/>
        </w:rPr>
        <w:t xml:space="preserve"> placed particular focus on care that respects individual preferences, autonomy and service delivery through collaboration. Health and social care system failures like Winterbourne View have strengthened the need of a coordinated, ethical and person-centric practice. In this report, the critical assessment of PCC and PW is done in the context of adult community mental health services that help with depression, anxiety, bipolar disorder, and schizophrenia. The provision of these services implies cooperation between NHS professionals, social workers, voluntary organisations, families, and thus, it serves as a handy background to the analysis of the interaction between PCC and PW. The report presents the definition of PCC, an analysis of its advantages and disadvantages, theoretical background, study of the ethical principles, discussion of the practice of partnership, consideration of policy and legislative provisions in the UK, and recommendations regarding the further development of PCC.</w:t>
      </w:r>
      <w:r w:rsidR="00875040" w:rsidRPr="00E568DF">
        <w:rPr>
          <w:rFonts w:ascii="Arial" w:hAnsi="Arial" w:cs="Arial"/>
          <w:sz w:val="22"/>
          <w:szCs w:val="22"/>
        </w:rPr>
        <w:t xml:space="preserve"> </w:t>
      </w:r>
    </w:p>
    <w:p w14:paraId="08B49294" w14:textId="19D9F879" w:rsidR="00875040" w:rsidRPr="00E568DF" w:rsidRDefault="00875040" w:rsidP="00944E3F">
      <w:pPr>
        <w:pStyle w:val="Heading1"/>
      </w:pPr>
      <w:bookmarkStart w:id="2" w:name="_Toc224294023"/>
      <w:r w:rsidRPr="00E568DF">
        <w:t xml:space="preserve">2. Person-Centered Care (PCC) </w:t>
      </w:r>
      <w:bookmarkEnd w:id="2"/>
    </w:p>
    <w:p w14:paraId="365F8AB7" w14:textId="20C2696C" w:rsidR="00875040" w:rsidRPr="00E568DF" w:rsidRDefault="001E2F35" w:rsidP="00E568DF">
      <w:pPr>
        <w:rPr>
          <w:rFonts w:ascii="Arial" w:hAnsi="Arial" w:cs="Arial"/>
          <w:sz w:val="22"/>
          <w:szCs w:val="22"/>
        </w:rPr>
      </w:pPr>
      <w:r w:rsidRPr="00E568DF">
        <w:rPr>
          <w:rFonts w:ascii="Arial" w:hAnsi="Arial" w:cs="Arial"/>
          <w:sz w:val="22"/>
          <w:szCs w:val="22"/>
        </w:rPr>
        <w:t xml:space="preserve">Person-centred care involves the individual in the centre of the decision-making process where the individual is seen as an active participant of care as opposed to a passive recipient of the care. Rogers (1951) had a strong influence on the concept, as she stressed empathy, respect, and unconditional positive regard in therapeutic relationships. PCC in health and social care </w:t>
      </w:r>
      <w:r w:rsidR="00E568DF" w:rsidRPr="00E568DF">
        <w:rPr>
          <w:rFonts w:ascii="Arial" w:hAnsi="Arial" w:cs="Arial"/>
          <w:sz w:val="22"/>
          <w:szCs w:val="22"/>
        </w:rPr>
        <w:t>considers</w:t>
      </w:r>
      <w:r w:rsidRPr="00E568DF">
        <w:rPr>
          <w:rFonts w:ascii="Arial" w:hAnsi="Arial" w:cs="Arial"/>
          <w:sz w:val="22"/>
          <w:szCs w:val="22"/>
        </w:rPr>
        <w:t xml:space="preserve"> individual values, preferences, needs and cultural backgrounds and encourages dignity, independence, and shared decision-making (NICE, 2021). Health Foundation (2016) defines PCC in the following way: PCC describes care as based on what is important to the person and enables individuals to acquire the knowledge, abilities, and self-confidence to take charge of their health where they can. </w:t>
      </w:r>
    </w:p>
    <w:p w14:paraId="0A5963AD" w14:textId="1FBB019D" w:rsidR="00875040" w:rsidRPr="00E568DF" w:rsidRDefault="00875040" w:rsidP="00E568DF">
      <w:pPr>
        <w:pStyle w:val="Heading2"/>
        <w:rPr>
          <w:rFonts w:ascii="Arial" w:hAnsi="Arial" w:cs="Arial"/>
          <w:sz w:val="22"/>
          <w:szCs w:val="22"/>
        </w:rPr>
      </w:pPr>
      <w:bookmarkStart w:id="3" w:name="_Toc224294024"/>
      <w:r w:rsidRPr="00E568DF">
        <w:rPr>
          <w:rFonts w:ascii="Arial" w:hAnsi="Arial" w:cs="Arial"/>
          <w:sz w:val="22"/>
          <w:szCs w:val="22"/>
        </w:rPr>
        <w:t xml:space="preserve">2.1 Person-Centered Care </w:t>
      </w:r>
      <w:r w:rsidR="00E70724" w:rsidRPr="00E568DF">
        <w:rPr>
          <w:rFonts w:ascii="Arial" w:hAnsi="Arial" w:cs="Arial"/>
          <w:sz w:val="22"/>
          <w:szCs w:val="22"/>
        </w:rPr>
        <w:t>Advantages:</w:t>
      </w:r>
      <w:bookmarkEnd w:id="3"/>
    </w:p>
    <w:p w14:paraId="322C5A09" w14:textId="19B502B9" w:rsidR="00875040" w:rsidRPr="00E568DF" w:rsidRDefault="001E2F35" w:rsidP="00E568DF">
      <w:pPr>
        <w:rPr>
          <w:rFonts w:ascii="Arial" w:hAnsi="Arial" w:cs="Arial"/>
          <w:sz w:val="22"/>
          <w:szCs w:val="22"/>
        </w:rPr>
      </w:pPr>
      <w:r w:rsidRPr="00E568DF">
        <w:rPr>
          <w:rFonts w:ascii="Arial" w:hAnsi="Arial" w:cs="Arial"/>
          <w:sz w:val="22"/>
          <w:szCs w:val="22"/>
        </w:rPr>
        <w:t xml:space="preserve">PCC has been linked with increased patient satisfaction, better therapeutic connections, and increased interaction with services (Goodwin et al., 2014). Recovery-oriented strategies also enhance empowerment and self-efficacy that are significant to long-term wellbeing. Individualised treatment and prevention can help to minimize hospitalisation and relapse. </w:t>
      </w:r>
    </w:p>
    <w:p w14:paraId="6A86E8A1" w14:textId="685BD74A" w:rsidR="00875040" w:rsidRPr="00E568DF" w:rsidRDefault="00875040" w:rsidP="00E568DF">
      <w:pPr>
        <w:pStyle w:val="Heading2"/>
        <w:rPr>
          <w:rFonts w:ascii="Arial" w:hAnsi="Arial" w:cs="Arial"/>
          <w:sz w:val="22"/>
          <w:szCs w:val="22"/>
        </w:rPr>
      </w:pPr>
      <w:bookmarkStart w:id="4" w:name="_Toc224294025"/>
      <w:r w:rsidRPr="00E568DF">
        <w:rPr>
          <w:rFonts w:ascii="Arial" w:hAnsi="Arial" w:cs="Arial"/>
          <w:sz w:val="22"/>
          <w:szCs w:val="22"/>
        </w:rPr>
        <w:lastRenderedPageBreak/>
        <w:t>2.2 Limitations of Person-centered care.</w:t>
      </w:r>
      <w:bookmarkEnd w:id="4"/>
    </w:p>
    <w:p w14:paraId="4BB58CB8" w14:textId="503623E9" w:rsidR="00875040" w:rsidRPr="00E568DF" w:rsidRDefault="001E2F35" w:rsidP="00E568DF">
      <w:pPr>
        <w:rPr>
          <w:rFonts w:ascii="Arial" w:hAnsi="Arial" w:cs="Arial"/>
          <w:sz w:val="22"/>
          <w:szCs w:val="22"/>
        </w:rPr>
      </w:pPr>
      <w:r w:rsidRPr="00E568DF">
        <w:rPr>
          <w:rFonts w:ascii="Arial" w:hAnsi="Arial" w:cs="Arial"/>
          <w:sz w:val="22"/>
          <w:szCs w:val="22"/>
        </w:rPr>
        <w:t xml:space="preserve">In spite of these advantages, PCC has pragmatic and ethical issues. The shortage of resources, overloading, and the lack of personnel may restrict their ability to engage meaningfully with service users. With mental health services, there is a conflict between autonomy honor and risk management as individuals who are not in a position to or who may be harmful to themselves and others. Moreover, cultures in organisations which focus on their performance goals and standardised routes can strip PCC down to a rhetoric, not a practice (Glasby, 2017). </w:t>
      </w:r>
    </w:p>
    <w:p w14:paraId="67AB28E6" w14:textId="2F2400E4" w:rsidR="00875040" w:rsidRPr="007E1233" w:rsidRDefault="00875040" w:rsidP="00944E3F">
      <w:pPr>
        <w:pStyle w:val="Heading1"/>
      </w:pPr>
      <w:bookmarkStart w:id="5" w:name="_Toc224294026"/>
      <w:r w:rsidRPr="00E568DF">
        <w:t xml:space="preserve">3. </w:t>
      </w:r>
      <w:bookmarkEnd w:id="5"/>
      <w:r w:rsidR="0073683E" w:rsidRPr="007E1233">
        <w:t>Carl Rogers’ Client-Centred Theory as a Basis for PCC</w:t>
      </w:r>
    </w:p>
    <w:p w14:paraId="3BBF3AD1" w14:textId="2D2A1652" w:rsidR="001E2F35" w:rsidRPr="007E1233" w:rsidRDefault="001E2F35" w:rsidP="00E568DF">
      <w:pPr>
        <w:rPr>
          <w:rFonts w:ascii="Arial" w:hAnsi="Arial" w:cs="Arial"/>
          <w:sz w:val="22"/>
          <w:szCs w:val="22"/>
        </w:rPr>
      </w:pPr>
      <w:r w:rsidRPr="007E1233">
        <w:rPr>
          <w:rFonts w:ascii="Arial" w:hAnsi="Arial" w:cs="Arial"/>
          <w:sz w:val="22"/>
          <w:szCs w:val="22"/>
        </w:rPr>
        <w:t>The PCC theoretical basis is usually associated with the client-centred theory by Carl Rogers, who states that people are inherently in the state of development, provided that the relationship between them is based on empathy, congruence, and unconditional positive regard (Rogers, 1951). Rogers criticised the paternalistic form of caring since he argued that the subjective experience of the person was to be respected, advocating dignity, active listening, and active communication in health and social care.</w:t>
      </w:r>
    </w:p>
    <w:p w14:paraId="62B15ADA" w14:textId="4DA77B18" w:rsidR="001E2F35" w:rsidRPr="007E1233" w:rsidRDefault="001E2F35" w:rsidP="00E568DF">
      <w:pPr>
        <w:rPr>
          <w:rFonts w:ascii="Arial" w:hAnsi="Arial" w:cs="Arial"/>
          <w:sz w:val="22"/>
          <w:szCs w:val="22"/>
        </w:rPr>
      </w:pPr>
      <w:r w:rsidRPr="007E1233">
        <w:rPr>
          <w:rFonts w:ascii="Arial" w:hAnsi="Arial" w:cs="Arial"/>
          <w:sz w:val="22"/>
          <w:szCs w:val="22"/>
        </w:rPr>
        <w:t>Nevertheless, there are larger contexts that affect adult community mental health practice. Recovery models build on the principle of PCC to promote hope, identity, meaning, social participation, and lived experience as well as symptom management (Anthony, 1993; Leamy et al., 2011). Although recovery approaches have similar emphasis on agency and respectful relationships as Rogers, they also touch upon the issues of citizenship, rights and structural impediments. PCC thus may be seen as theoretically plural such that Rogers offers a relational basis, whereas recovery models add a broader social angle on wellbeing.</w:t>
      </w:r>
    </w:p>
    <w:p w14:paraId="5137ACB9" w14:textId="7370E8FF" w:rsidR="001E2F35" w:rsidRPr="007E1233" w:rsidRDefault="001E2F35" w:rsidP="00E568DF">
      <w:pPr>
        <w:rPr>
          <w:rFonts w:ascii="Arial" w:hAnsi="Arial" w:cs="Arial"/>
          <w:sz w:val="22"/>
          <w:szCs w:val="22"/>
        </w:rPr>
      </w:pPr>
      <w:r w:rsidRPr="007E1233">
        <w:rPr>
          <w:rFonts w:ascii="Arial" w:hAnsi="Arial" w:cs="Arial"/>
          <w:sz w:val="22"/>
          <w:szCs w:val="22"/>
        </w:rPr>
        <w:t>The theory by Rogers is still impactful as it criticised depersonalised and professionally predominated care. It is especially applicable in the mental health area where clients might perceive themselves as judged or diminished to a diagnosis. The studies on the therapeutic alliance indicate that effective practitioner-service user relationships are related to better engagement and outcomes (Norcross and Lambert, 2018; Ardito and Rabellino, 2011; Priebe and McCabe, 2008).</w:t>
      </w:r>
    </w:p>
    <w:p w14:paraId="587E2E9C" w14:textId="318C6E51" w:rsidR="00875040" w:rsidRPr="00E568DF" w:rsidRDefault="001E2F35" w:rsidP="00E568DF">
      <w:pPr>
        <w:rPr>
          <w:rFonts w:ascii="Arial" w:hAnsi="Arial" w:cs="Arial"/>
          <w:sz w:val="22"/>
          <w:szCs w:val="22"/>
        </w:rPr>
      </w:pPr>
      <w:r w:rsidRPr="007E1233">
        <w:rPr>
          <w:rFonts w:ascii="Arial" w:hAnsi="Arial" w:cs="Arial"/>
          <w:sz w:val="22"/>
          <w:szCs w:val="22"/>
        </w:rPr>
        <w:t xml:space="preserve">Yet, the modern community mental health practice has limitations with the approach proposed by Rogers, as well. It pays more attention to the interpersonal relationships and is not a full coverage of structural problems like poverty, discrimination, housing instability or lack of coherent services. Furthermore, non-directive approach can be inadequate in a scenario of risk or compulsory </w:t>
      </w:r>
      <w:r w:rsidRPr="007E1233">
        <w:rPr>
          <w:rFonts w:ascii="Arial" w:hAnsi="Arial" w:cs="Arial"/>
          <w:sz w:val="22"/>
          <w:szCs w:val="22"/>
        </w:rPr>
        <w:lastRenderedPageBreak/>
        <w:t>intervention either in Mental Health Act 1983 or in Mental Capacity Act 2005. The use of recovery frameworks thus emphasises that person-centred care is not only characterised by respectful relationships but also social inclusion, rebuilding of identity and meaningful participation opportunities (Leamy et al., 2011; Slade, 2017). Thus, the theory of Rogers is a valuable connection base and still needs recovery-oriented and rights-based strategies in the contemporary mental health practice.</w:t>
      </w:r>
      <w:r w:rsidR="00117E43" w:rsidRPr="007E1233">
        <w:rPr>
          <w:rFonts w:ascii="Arial" w:hAnsi="Arial" w:cs="Arial"/>
          <w:sz w:val="22"/>
          <w:szCs w:val="22"/>
        </w:rPr>
        <w:t xml:space="preserve"> </w:t>
      </w:r>
    </w:p>
    <w:p w14:paraId="4D32A028" w14:textId="37DB4B5C" w:rsidR="00875040" w:rsidRPr="00E568DF" w:rsidRDefault="00875040" w:rsidP="00944E3F">
      <w:pPr>
        <w:pStyle w:val="Heading1"/>
      </w:pPr>
      <w:bookmarkStart w:id="6" w:name="_Toc224294028"/>
      <w:r w:rsidRPr="00E568DF">
        <w:t>4. Health and Social Care Ethical Foundations</w:t>
      </w:r>
      <w:bookmarkEnd w:id="6"/>
    </w:p>
    <w:p w14:paraId="2A370842" w14:textId="77777777" w:rsidR="00875040" w:rsidRPr="00E568DF" w:rsidRDefault="00875040" w:rsidP="00E568DF">
      <w:pPr>
        <w:rPr>
          <w:rFonts w:ascii="Arial" w:hAnsi="Arial" w:cs="Arial"/>
          <w:sz w:val="22"/>
          <w:szCs w:val="22"/>
        </w:rPr>
      </w:pPr>
      <w:r w:rsidRPr="00E568DF">
        <w:rPr>
          <w:rFonts w:ascii="Arial" w:hAnsi="Arial" w:cs="Arial"/>
          <w:sz w:val="22"/>
          <w:szCs w:val="22"/>
        </w:rPr>
        <w:t>Both PCC and PW are based on ethical principles. It has been suggested that there are four principles, namely, autonomy, beneficence, non-maleficence, and justice (Beauchamp and Childress, 2019).</w:t>
      </w:r>
    </w:p>
    <w:p w14:paraId="1C448AC5" w14:textId="77777777" w:rsidR="00875040" w:rsidRPr="00E568DF" w:rsidRDefault="00875040" w:rsidP="00E568DF">
      <w:pPr>
        <w:pStyle w:val="Heading2"/>
        <w:rPr>
          <w:rFonts w:ascii="Arial" w:hAnsi="Arial" w:cs="Arial"/>
          <w:sz w:val="22"/>
          <w:szCs w:val="22"/>
        </w:rPr>
      </w:pPr>
      <w:bookmarkStart w:id="7" w:name="_Toc224294029"/>
      <w:r w:rsidRPr="00E568DF">
        <w:rPr>
          <w:rFonts w:ascii="Arial" w:hAnsi="Arial" w:cs="Arial"/>
          <w:sz w:val="22"/>
          <w:szCs w:val="22"/>
        </w:rPr>
        <w:t>4.1 Autonomy</w:t>
      </w:r>
      <w:bookmarkEnd w:id="7"/>
    </w:p>
    <w:p w14:paraId="7F2380EF" w14:textId="58BECCFB" w:rsidR="00875040" w:rsidRPr="00E568DF" w:rsidRDefault="00875040" w:rsidP="00E568DF">
      <w:pPr>
        <w:rPr>
          <w:rFonts w:ascii="Arial" w:hAnsi="Arial" w:cs="Arial"/>
          <w:sz w:val="22"/>
          <w:szCs w:val="22"/>
        </w:rPr>
      </w:pPr>
      <w:r w:rsidRPr="00E568DF">
        <w:rPr>
          <w:rFonts w:ascii="Arial" w:hAnsi="Arial" w:cs="Arial"/>
          <w:sz w:val="22"/>
          <w:szCs w:val="22"/>
        </w:rPr>
        <w:t>Autonomy is the right of an individual to make well-informed choices concerning his/her care. This can be shared decision-making, informed consent</w:t>
      </w:r>
      <w:r w:rsidR="00E70724" w:rsidRPr="00E568DF">
        <w:rPr>
          <w:rFonts w:ascii="Arial" w:hAnsi="Arial" w:cs="Arial"/>
          <w:sz w:val="22"/>
          <w:szCs w:val="22"/>
        </w:rPr>
        <w:t>,</w:t>
      </w:r>
      <w:r w:rsidRPr="00E568DF">
        <w:rPr>
          <w:rFonts w:ascii="Arial" w:hAnsi="Arial" w:cs="Arial"/>
          <w:sz w:val="22"/>
          <w:szCs w:val="22"/>
        </w:rPr>
        <w:t xml:space="preserve"> and personalised care planning in community mental health services. But an ethical dilemma occurs whereby the individuals are incapacitated or pose dangers. </w:t>
      </w:r>
      <w:r w:rsidR="0071107D" w:rsidRPr="00E568DF">
        <w:rPr>
          <w:rFonts w:ascii="Arial" w:hAnsi="Arial" w:cs="Arial"/>
          <w:sz w:val="22"/>
          <w:szCs w:val="22"/>
        </w:rPr>
        <w:t>Mental Capacity Act (2005) provides a model of assessing the capacity and decision-making in the best interest that demonstrates the impracticality of balancing autonomy and protection.</w:t>
      </w:r>
    </w:p>
    <w:p w14:paraId="5F3F886A" w14:textId="7BC210B9" w:rsidR="00875040" w:rsidRPr="00E568DF" w:rsidRDefault="00875040" w:rsidP="00E568DF">
      <w:pPr>
        <w:pStyle w:val="Heading2"/>
        <w:rPr>
          <w:rFonts w:ascii="Arial" w:hAnsi="Arial" w:cs="Arial"/>
          <w:sz w:val="22"/>
          <w:szCs w:val="22"/>
        </w:rPr>
      </w:pPr>
      <w:bookmarkStart w:id="8" w:name="_Toc224294030"/>
      <w:r w:rsidRPr="00E568DF">
        <w:rPr>
          <w:rFonts w:ascii="Arial" w:hAnsi="Arial" w:cs="Arial"/>
          <w:sz w:val="22"/>
          <w:szCs w:val="22"/>
        </w:rPr>
        <w:t xml:space="preserve">4.2 </w:t>
      </w:r>
      <w:r w:rsidR="00E70724" w:rsidRPr="00E568DF">
        <w:rPr>
          <w:rFonts w:ascii="Arial" w:hAnsi="Arial" w:cs="Arial"/>
          <w:sz w:val="22"/>
          <w:szCs w:val="22"/>
        </w:rPr>
        <w:t>Beneficence</w:t>
      </w:r>
      <w:r w:rsidRPr="00E568DF">
        <w:rPr>
          <w:rFonts w:ascii="Arial" w:hAnsi="Arial" w:cs="Arial"/>
          <w:sz w:val="22"/>
          <w:szCs w:val="22"/>
        </w:rPr>
        <w:t xml:space="preserve"> and Non-Maleficence</w:t>
      </w:r>
      <w:bookmarkEnd w:id="8"/>
      <w:r w:rsidRPr="00E568DF">
        <w:rPr>
          <w:rFonts w:ascii="Arial" w:hAnsi="Arial" w:cs="Arial"/>
          <w:sz w:val="22"/>
          <w:szCs w:val="22"/>
        </w:rPr>
        <w:t xml:space="preserve"> </w:t>
      </w:r>
    </w:p>
    <w:p w14:paraId="55B5A77C" w14:textId="42C22A80" w:rsidR="00875040" w:rsidRPr="00E568DF" w:rsidRDefault="0071107D" w:rsidP="00E568DF">
      <w:pPr>
        <w:rPr>
          <w:rFonts w:ascii="Arial" w:hAnsi="Arial" w:cs="Arial"/>
          <w:sz w:val="22"/>
          <w:szCs w:val="22"/>
        </w:rPr>
      </w:pPr>
      <w:r w:rsidRPr="00E568DF">
        <w:rPr>
          <w:rFonts w:ascii="Arial" w:hAnsi="Arial" w:cs="Arial"/>
          <w:sz w:val="22"/>
          <w:szCs w:val="22"/>
        </w:rPr>
        <w:t xml:space="preserve">The principle of beneficence mandates all medical workers to abide by the ethical principle of beneficence. Beneficence requires professionals to behave in the best interests of service users, and this promotes wellbeing. </w:t>
      </w:r>
      <w:r w:rsidR="00875040" w:rsidRPr="00E568DF">
        <w:rPr>
          <w:rFonts w:ascii="Arial" w:hAnsi="Arial" w:cs="Arial"/>
          <w:sz w:val="22"/>
          <w:szCs w:val="22"/>
        </w:rPr>
        <w:t xml:space="preserve">Non-maleficence makes the practitioners avoid causing harm. This can be in the form of prevention of risk assessment and early risk intervention in mental health practice. Nevertheless, </w:t>
      </w:r>
      <w:r w:rsidR="00E70724" w:rsidRPr="00E568DF">
        <w:rPr>
          <w:rFonts w:ascii="Arial" w:hAnsi="Arial" w:cs="Arial"/>
          <w:sz w:val="22"/>
          <w:szCs w:val="22"/>
        </w:rPr>
        <w:t>forced</w:t>
      </w:r>
      <w:r w:rsidR="00875040" w:rsidRPr="00E568DF">
        <w:rPr>
          <w:rFonts w:ascii="Arial" w:hAnsi="Arial" w:cs="Arial"/>
          <w:sz w:val="22"/>
          <w:szCs w:val="22"/>
        </w:rPr>
        <w:t xml:space="preserve"> treatment under the Mental Health Act 1983 can be considered as beneficence but contradicts autonomy, which can be considered as </w:t>
      </w:r>
      <w:r w:rsidR="00E70724" w:rsidRPr="00E568DF">
        <w:rPr>
          <w:rFonts w:ascii="Arial" w:hAnsi="Arial" w:cs="Arial"/>
          <w:sz w:val="22"/>
          <w:szCs w:val="22"/>
        </w:rPr>
        <w:t>an inherent ethical tension</w:t>
      </w:r>
      <w:r w:rsidR="00875040" w:rsidRPr="00E568DF">
        <w:rPr>
          <w:rFonts w:ascii="Arial" w:hAnsi="Arial" w:cs="Arial"/>
          <w:sz w:val="22"/>
          <w:szCs w:val="22"/>
        </w:rPr>
        <w:t>.</w:t>
      </w:r>
    </w:p>
    <w:p w14:paraId="34E7111F" w14:textId="77777777" w:rsidR="00875040" w:rsidRPr="00E568DF" w:rsidRDefault="00875040" w:rsidP="00E568DF">
      <w:pPr>
        <w:pStyle w:val="Heading2"/>
        <w:rPr>
          <w:rFonts w:ascii="Arial" w:hAnsi="Arial" w:cs="Arial"/>
          <w:sz w:val="22"/>
          <w:szCs w:val="22"/>
        </w:rPr>
      </w:pPr>
      <w:bookmarkStart w:id="9" w:name="_Toc224294031"/>
      <w:r w:rsidRPr="00E568DF">
        <w:rPr>
          <w:rFonts w:ascii="Arial" w:hAnsi="Arial" w:cs="Arial"/>
          <w:sz w:val="22"/>
          <w:szCs w:val="22"/>
        </w:rPr>
        <w:t>4.3 Justice</w:t>
      </w:r>
      <w:bookmarkEnd w:id="9"/>
    </w:p>
    <w:p w14:paraId="1F88A5BC" w14:textId="1BE5C3D0" w:rsidR="00875040" w:rsidRPr="00E568DF" w:rsidRDefault="00875040" w:rsidP="00E568DF">
      <w:pPr>
        <w:rPr>
          <w:rFonts w:ascii="Arial" w:hAnsi="Arial" w:cs="Arial"/>
          <w:sz w:val="22"/>
          <w:szCs w:val="22"/>
        </w:rPr>
      </w:pPr>
      <w:r w:rsidRPr="00E568DF">
        <w:rPr>
          <w:rFonts w:ascii="Arial" w:hAnsi="Arial" w:cs="Arial"/>
          <w:sz w:val="22"/>
          <w:szCs w:val="22"/>
        </w:rPr>
        <w:t xml:space="preserve">Justice deals with equality and equitable availability of services. </w:t>
      </w:r>
      <w:r w:rsidR="00E70724" w:rsidRPr="00E568DF">
        <w:rPr>
          <w:rFonts w:ascii="Arial" w:hAnsi="Arial" w:cs="Arial"/>
          <w:sz w:val="22"/>
          <w:szCs w:val="22"/>
        </w:rPr>
        <w:t xml:space="preserve">The </w:t>
      </w:r>
      <w:r w:rsidRPr="00E568DF">
        <w:rPr>
          <w:rFonts w:ascii="Arial" w:hAnsi="Arial" w:cs="Arial"/>
          <w:sz w:val="22"/>
          <w:szCs w:val="22"/>
        </w:rPr>
        <w:t xml:space="preserve">Equality </w:t>
      </w:r>
      <w:r w:rsidR="00E70724" w:rsidRPr="00E568DF">
        <w:rPr>
          <w:rFonts w:ascii="Arial" w:hAnsi="Arial" w:cs="Arial"/>
          <w:sz w:val="22"/>
          <w:szCs w:val="22"/>
        </w:rPr>
        <w:t>Act</w:t>
      </w:r>
      <w:r w:rsidRPr="00E568DF">
        <w:rPr>
          <w:rFonts w:ascii="Arial" w:hAnsi="Arial" w:cs="Arial"/>
          <w:sz w:val="22"/>
          <w:szCs w:val="22"/>
        </w:rPr>
        <w:t xml:space="preserve"> 2010 supports the responsibility to avoid discrimination and reasonable adjustments. In mental health services, justice requires just access irrespective of socioeconomic status, race</w:t>
      </w:r>
      <w:r w:rsidR="00E70724" w:rsidRPr="00E568DF">
        <w:rPr>
          <w:rFonts w:ascii="Arial" w:hAnsi="Arial" w:cs="Arial"/>
          <w:sz w:val="22"/>
          <w:szCs w:val="22"/>
        </w:rPr>
        <w:t>,</w:t>
      </w:r>
      <w:r w:rsidRPr="00E568DF">
        <w:rPr>
          <w:rFonts w:ascii="Arial" w:hAnsi="Arial" w:cs="Arial"/>
          <w:sz w:val="22"/>
          <w:szCs w:val="22"/>
        </w:rPr>
        <w:t xml:space="preserve"> or disability.</w:t>
      </w:r>
    </w:p>
    <w:p w14:paraId="584ADE1C" w14:textId="198EF1FA" w:rsidR="00875040" w:rsidRPr="00E568DF" w:rsidRDefault="00875040" w:rsidP="00E568DF">
      <w:pPr>
        <w:rPr>
          <w:rFonts w:ascii="Arial" w:hAnsi="Arial" w:cs="Arial"/>
          <w:sz w:val="22"/>
          <w:szCs w:val="22"/>
        </w:rPr>
      </w:pPr>
      <w:r w:rsidRPr="00E568DF">
        <w:rPr>
          <w:rFonts w:ascii="Arial" w:hAnsi="Arial" w:cs="Arial"/>
          <w:sz w:val="22"/>
          <w:szCs w:val="22"/>
        </w:rPr>
        <w:t>Ethical principles are inter-relational</w:t>
      </w:r>
      <w:r w:rsidR="00E70724" w:rsidRPr="00E568DF">
        <w:rPr>
          <w:rFonts w:ascii="Arial" w:hAnsi="Arial" w:cs="Arial"/>
          <w:sz w:val="22"/>
          <w:szCs w:val="22"/>
        </w:rPr>
        <w:t>,</w:t>
      </w:r>
      <w:r w:rsidRPr="00E568DF">
        <w:rPr>
          <w:rFonts w:ascii="Arial" w:hAnsi="Arial" w:cs="Arial"/>
          <w:sz w:val="22"/>
          <w:szCs w:val="22"/>
        </w:rPr>
        <w:t xml:space="preserve"> and they tend to be delicate in balance. Ethical practice is enhanced through effective partnership working because it encourages joint responsibility and </w:t>
      </w:r>
      <w:r w:rsidRPr="00E568DF">
        <w:rPr>
          <w:rFonts w:ascii="Arial" w:hAnsi="Arial" w:cs="Arial"/>
          <w:sz w:val="22"/>
          <w:szCs w:val="22"/>
        </w:rPr>
        <w:lastRenderedPageBreak/>
        <w:t>protection and mitigates the possibility of systemic failure like that experienced in Winterbourne View.</w:t>
      </w:r>
    </w:p>
    <w:p w14:paraId="336446E0" w14:textId="77777777" w:rsidR="00875040" w:rsidRPr="00E568DF" w:rsidRDefault="00875040" w:rsidP="00944E3F">
      <w:pPr>
        <w:pStyle w:val="Heading1"/>
      </w:pPr>
      <w:bookmarkStart w:id="10" w:name="_Toc224294032"/>
      <w:r w:rsidRPr="00E568DF">
        <w:t>5. Partnership Working in Health and Social Care assessment.</w:t>
      </w:r>
      <w:bookmarkEnd w:id="10"/>
    </w:p>
    <w:p w14:paraId="28FFC390" w14:textId="70840B9E" w:rsidR="00875040" w:rsidRPr="00E568DF" w:rsidRDefault="00875040" w:rsidP="00E568DF">
      <w:pPr>
        <w:rPr>
          <w:rFonts w:ascii="Arial" w:hAnsi="Arial" w:cs="Arial"/>
          <w:sz w:val="22"/>
          <w:szCs w:val="22"/>
        </w:rPr>
      </w:pPr>
      <w:r w:rsidRPr="00E568DF">
        <w:rPr>
          <w:rFonts w:ascii="Arial" w:hAnsi="Arial" w:cs="Arial"/>
          <w:sz w:val="22"/>
          <w:szCs w:val="22"/>
        </w:rPr>
        <w:t xml:space="preserve">Partnership working is the connection between professionals and organisations to organize services and </w:t>
      </w:r>
      <w:r w:rsidR="00E70724" w:rsidRPr="00E568DF">
        <w:rPr>
          <w:rFonts w:ascii="Arial" w:hAnsi="Arial" w:cs="Arial"/>
          <w:sz w:val="22"/>
          <w:szCs w:val="22"/>
        </w:rPr>
        <w:t>achieve</w:t>
      </w:r>
      <w:r w:rsidRPr="00E568DF">
        <w:rPr>
          <w:rFonts w:ascii="Arial" w:hAnsi="Arial" w:cs="Arial"/>
          <w:sz w:val="22"/>
          <w:szCs w:val="22"/>
        </w:rPr>
        <w:t xml:space="preserve"> better results. </w:t>
      </w:r>
      <w:r w:rsidR="00E70724" w:rsidRPr="00E568DF">
        <w:rPr>
          <w:rFonts w:ascii="Arial" w:hAnsi="Arial" w:cs="Arial"/>
          <w:sz w:val="22"/>
          <w:szCs w:val="22"/>
        </w:rPr>
        <w:t xml:space="preserve">The </w:t>
      </w:r>
      <w:r w:rsidRPr="00E568DF">
        <w:rPr>
          <w:rFonts w:ascii="Arial" w:hAnsi="Arial" w:cs="Arial"/>
          <w:sz w:val="22"/>
          <w:szCs w:val="22"/>
        </w:rPr>
        <w:t xml:space="preserve">World Health Organization (2009) recognizes partnership as </w:t>
      </w:r>
      <w:r w:rsidR="00E70724" w:rsidRPr="00E568DF">
        <w:rPr>
          <w:rFonts w:ascii="Arial" w:hAnsi="Arial" w:cs="Arial"/>
          <w:sz w:val="22"/>
          <w:szCs w:val="22"/>
        </w:rPr>
        <w:t>a</w:t>
      </w:r>
      <w:r w:rsidRPr="00E568DF">
        <w:rPr>
          <w:rFonts w:ascii="Arial" w:hAnsi="Arial" w:cs="Arial"/>
          <w:sz w:val="22"/>
          <w:szCs w:val="22"/>
        </w:rPr>
        <w:t xml:space="preserve"> kind of </w:t>
      </w:r>
      <w:r w:rsidR="00E70724" w:rsidRPr="00E568DF">
        <w:rPr>
          <w:rFonts w:ascii="Arial" w:hAnsi="Arial" w:cs="Arial"/>
          <w:sz w:val="22"/>
          <w:szCs w:val="22"/>
        </w:rPr>
        <w:t>relationship</w:t>
      </w:r>
      <w:r w:rsidRPr="00E568DF">
        <w:rPr>
          <w:rFonts w:ascii="Arial" w:hAnsi="Arial" w:cs="Arial"/>
          <w:sz w:val="22"/>
          <w:szCs w:val="22"/>
        </w:rPr>
        <w:t xml:space="preserve"> that </w:t>
      </w:r>
      <w:r w:rsidR="00E70724" w:rsidRPr="00E568DF">
        <w:rPr>
          <w:rFonts w:ascii="Arial" w:hAnsi="Arial" w:cs="Arial"/>
          <w:sz w:val="22"/>
          <w:szCs w:val="22"/>
        </w:rPr>
        <w:t>is</w:t>
      </w:r>
      <w:r w:rsidRPr="00E568DF">
        <w:rPr>
          <w:rFonts w:ascii="Arial" w:hAnsi="Arial" w:cs="Arial"/>
          <w:sz w:val="22"/>
          <w:szCs w:val="22"/>
        </w:rPr>
        <w:t xml:space="preserve"> founded on the goals that they share, mutual respect</w:t>
      </w:r>
      <w:r w:rsidR="00E70724" w:rsidRPr="00E568DF">
        <w:rPr>
          <w:rFonts w:ascii="Arial" w:hAnsi="Arial" w:cs="Arial"/>
          <w:sz w:val="22"/>
          <w:szCs w:val="22"/>
        </w:rPr>
        <w:t>,</w:t>
      </w:r>
      <w:r w:rsidRPr="00E568DF">
        <w:rPr>
          <w:rFonts w:ascii="Arial" w:hAnsi="Arial" w:cs="Arial"/>
          <w:sz w:val="22"/>
          <w:szCs w:val="22"/>
        </w:rPr>
        <w:t xml:space="preserve"> and accountability. PW aims to lessen the dissolution of the NHS and the local authority social care systems in the UK.</w:t>
      </w:r>
    </w:p>
    <w:p w14:paraId="76FE2A06" w14:textId="77777777" w:rsidR="00875040" w:rsidRPr="00E568DF" w:rsidRDefault="00875040" w:rsidP="00E568DF">
      <w:pPr>
        <w:rPr>
          <w:rFonts w:ascii="Arial" w:hAnsi="Arial" w:cs="Arial"/>
          <w:sz w:val="22"/>
          <w:szCs w:val="22"/>
        </w:rPr>
      </w:pPr>
      <w:r w:rsidRPr="00E568DF">
        <w:rPr>
          <w:rFonts w:ascii="Arial" w:hAnsi="Arial" w:cs="Arial"/>
          <w:sz w:val="22"/>
          <w:szCs w:val="22"/>
        </w:rPr>
        <w:t>In the past, health and social care emerged as two distinct systems, each having a different funding and governance system (Glasby, 2017). The division tended to cause disunity in care and communication (Nolte and McKee, 2008). Partnership working came up to contain these challenges.</w:t>
      </w:r>
    </w:p>
    <w:p w14:paraId="0F9F29A9" w14:textId="1A039544" w:rsidR="00875040" w:rsidRPr="00E568DF" w:rsidRDefault="00875040" w:rsidP="00E568DF">
      <w:pPr>
        <w:pStyle w:val="Heading2"/>
        <w:rPr>
          <w:rFonts w:ascii="Arial" w:hAnsi="Arial" w:cs="Arial"/>
          <w:sz w:val="22"/>
          <w:szCs w:val="22"/>
        </w:rPr>
      </w:pPr>
      <w:bookmarkStart w:id="11" w:name="_Toc224294033"/>
      <w:r w:rsidRPr="00E568DF">
        <w:rPr>
          <w:rFonts w:ascii="Arial" w:hAnsi="Arial" w:cs="Arial"/>
          <w:sz w:val="22"/>
          <w:szCs w:val="22"/>
        </w:rPr>
        <w:t>5.1 Partnership Working advantages</w:t>
      </w:r>
      <w:bookmarkEnd w:id="11"/>
    </w:p>
    <w:p w14:paraId="2E10BE53" w14:textId="455A9340" w:rsidR="0071107D" w:rsidRPr="00E568DF" w:rsidRDefault="0071107D" w:rsidP="00E568DF">
      <w:pPr>
        <w:rPr>
          <w:rFonts w:ascii="Arial" w:hAnsi="Arial" w:cs="Arial"/>
          <w:sz w:val="22"/>
          <w:szCs w:val="22"/>
        </w:rPr>
      </w:pPr>
      <w:r w:rsidRPr="00E568DF">
        <w:rPr>
          <w:rFonts w:ascii="Arial" w:hAnsi="Arial" w:cs="Arial"/>
          <w:sz w:val="22"/>
          <w:szCs w:val="22"/>
        </w:rPr>
        <w:t>PW enables the delivery of multidisciplinary care while fully using multidisciplinary interaction. Companies involved in community mental health services may include psychiatrists, community psychiatric nurses, social workers, psychologists, occupational therapists, and volunteer sector organisations as well.</w:t>
      </w:r>
    </w:p>
    <w:p w14:paraId="7866A3F5" w14:textId="393315B8" w:rsidR="00875040" w:rsidRPr="00E568DF" w:rsidRDefault="0071107D" w:rsidP="00E568DF">
      <w:pPr>
        <w:rPr>
          <w:rFonts w:ascii="Arial" w:hAnsi="Arial" w:cs="Arial"/>
          <w:sz w:val="22"/>
          <w:szCs w:val="22"/>
        </w:rPr>
      </w:pPr>
      <w:r w:rsidRPr="00E568DF">
        <w:rPr>
          <w:rFonts w:ascii="Arial" w:hAnsi="Arial" w:cs="Arial"/>
          <w:sz w:val="22"/>
          <w:szCs w:val="22"/>
        </w:rPr>
        <w:t>Integrated care leads to the improvement of service user experience, increased protection, and even reduced hospital admissions (Goodwin et al., 2014). Teamwork contributes to the information exchange and shared responsibility, which boosts person-centered practices.</w:t>
      </w:r>
    </w:p>
    <w:p w14:paraId="14ACE8F7" w14:textId="5E7748C3" w:rsidR="00875040" w:rsidRPr="00E568DF" w:rsidRDefault="00875040" w:rsidP="00E568DF">
      <w:pPr>
        <w:pStyle w:val="Heading2"/>
        <w:rPr>
          <w:rFonts w:ascii="Arial" w:hAnsi="Arial" w:cs="Arial"/>
          <w:sz w:val="22"/>
          <w:szCs w:val="22"/>
        </w:rPr>
      </w:pPr>
      <w:bookmarkStart w:id="12" w:name="_Toc224294034"/>
      <w:r w:rsidRPr="00E568DF">
        <w:rPr>
          <w:rFonts w:ascii="Arial" w:hAnsi="Arial" w:cs="Arial"/>
          <w:sz w:val="22"/>
          <w:szCs w:val="22"/>
        </w:rPr>
        <w:t>5.2 Limitations and Challenges</w:t>
      </w:r>
      <w:bookmarkEnd w:id="12"/>
    </w:p>
    <w:p w14:paraId="3F6BB846" w14:textId="098388ED" w:rsidR="002C3A16" w:rsidRPr="00E568DF" w:rsidRDefault="002C3A16" w:rsidP="00E568DF">
      <w:pPr>
        <w:rPr>
          <w:rFonts w:ascii="Arial" w:hAnsi="Arial" w:cs="Arial"/>
          <w:sz w:val="22"/>
          <w:szCs w:val="22"/>
        </w:rPr>
      </w:pPr>
      <w:r w:rsidRPr="00E568DF">
        <w:rPr>
          <w:rFonts w:ascii="Arial" w:hAnsi="Arial" w:cs="Arial"/>
          <w:sz w:val="22"/>
          <w:szCs w:val="22"/>
        </w:rPr>
        <w:t>Partnership working has structural and cultural barriers to working. The obstacle may be the disagreement in funding, governing, and professional values (Glasby, 2017). Communication failure, lack of transparency in roles, and restrictions on information exchange can erode coordination.</w:t>
      </w:r>
    </w:p>
    <w:p w14:paraId="21CB8758" w14:textId="3606B989" w:rsidR="00875040" w:rsidRPr="005B0671" w:rsidRDefault="00875040" w:rsidP="00944E3F">
      <w:pPr>
        <w:pStyle w:val="Heading1"/>
        <w:rPr>
          <w:highlight w:val="yellow"/>
        </w:rPr>
      </w:pPr>
      <w:bookmarkStart w:id="13" w:name="_Toc224294035"/>
      <w:r w:rsidRPr="005B0671">
        <w:rPr>
          <w:highlight w:val="yellow"/>
        </w:rPr>
        <w:t xml:space="preserve">6. </w:t>
      </w:r>
      <w:bookmarkEnd w:id="13"/>
      <w:r w:rsidR="0073683E" w:rsidRPr="005B0671">
        <w:rPr>
          <w:highlight w:val="yellow"/>
        </w:rPr>
        <w:t>Application of Partnership Working in Adult Community Mental Health Services</w:t>
      </w:r>
    </w:p>
    <w:p w14:paraId="1813F3FE" w14:textId="6B5222C3" w:rsidR="00875040" w:rsidRPr="005B0671" w:rsidRDefault="00875040" w:rsidP="00E568DF">
      <w:pPr>
        <w:rPr>
          <w:rFonts w:ascii="Arial" w:hAnsi="Arial" w:cs="Arial"/>
          <w:sz w:val="22"/>
          <w:szCs w:val="22"/>
          <w:highlight w:val="yellow"/>
        </w:rPr>
      </w:pPr>
      <w:r w:rsidRPr="005B0671">
        <w:rPr>
          <w:rFonts w:ascii="Arial" w:hAnsi="Arial" w:cs="Arial"/>
          <w:sz w:val="22"/>
          <w:szCs w:val="22"/>
          <w:highlight w:val="yellow"/>
        </w:rPr>
        <w:t>The way PCC and PW cooperate is demonstrated through adult community mental health services</w:t>
      </w:r>
      <w:r w:rsidR="005B0671" w:rsidRPr="005B0671">
        <w:rPr>
          <w:rFonts w:ascii="Arial" w:hAnsi="Arial" w:cs="Arial"/>
          <w:sz w:val="22"/>
          <w:szCs w:val="22"/>
          <w:highlight w:val="yellow"/>
        </w:rPr>
        <w:t>, as an example of patient John.</w:t>
      </w:r>
    </w:p>
    <w:p w14:paraId="50841384" w14:textId="65494590" w:rsidR="00875040" w:rsidRPr="005B0671" w:rsidRDefault="00875040" w:rsidP="00E568DF">
      <w:pPr>
        <w:pStyle w:val="Heading2"/>
        <w:rPr>
          <w:rFonts w:ascii="Arial" w:hAnsi="Arial" w:cs="Arial"/>
          <w:sz w:val="22"/>
          <w:szCs w:val="22"/>
          <w:highlight w:val="yellow"/>
        </w:rPr>
      </w:pPr>
      <w:bookmarkStart w:id="14" w:name="_Toc224294036"/>
      <w:r w:rsidRPr="005B0671">
        <w:rPr>
          <w:rFonts w:ascii="Arial" w:hAnsi="Arial" w:cs="Arial"/>
          <w:sz w:val="22"/>
          <w:szCs w:val="22"/>
          <w:highlight w:val="yellow"/>
        </w:rPr>
        <w:lastRenderedPageBreak/>
        <w:t xml:space="preserve">6.1 </w:t>
      </w:r>
      <w:r w:rsidR="00944E3F" w:rsidRPr="005B0671">
        <w:rPr>
          <w:rFonts w:ascii="Arial" w:hAnsi="Arial" w:cs="Arial"/>
          <w:sz w:val="22"/>
          <w:szCs w:val="22"/>
          <w:highlight w:val="yellow"/>
        </w:rPr>
        <w:t>T</w:t>
      </w:r>
      <w:r w:rsidRPr="005B0671">
        <w:rPr>
          <w:rFonts w:ascii="Arial" w:hAnsi="Arial" w:cs="Arial"/>
          <w:sz w:val="22"/>
          <w:szCs w:val="22"/>
          <w:highlight w:val="yellow"/>
        </w:rPr>
        <w:t>eam-</w:t>
      </w:r>
      <w:r w:rsidR="00944E3F" w:rsidRPr="005B0671">
        <w:rPr>
          <w:rFonts w:ascii="Arial" w:hAnsi="Arial" w:cs="Arial"/>
          <w:sz w:val="22"/>
          <w:szCs w:val="22"/>
          <w:highlight w:val="yellow"/>
        </w:rPr>
        <w:t>B</w:t>
      </w:r>
      <w:r w:rsidRPr="005B0671">
        <w:rPr>
          <w:rFonts w:ascii="Arial" w:hAnsi="Arial" w:cs="Arial"/>
          <w:sz w:val="22"/>
          <w:szCs w:val="22"/>
          <w:highlight w:val="yellow"/>
        </w:rPr>
        <w:t xml:space="preserve">ased </w:t>
      </w:r>
      <w:r w:rsidR="00944E3F" w:rsidRPr="005B0671">
        <w:rPr>
          <w:rFonts w:ascii="Arial" w:hAnsi="Arial" w:cs="Arial"/>
          <w:sz w:val="22"/>
          <w:szCs w:val="22"/>
          <w:highlight w:val="yellow"/>
        </w:rPr>
        <w:t>M</w:t>
      </w:r>
      <w:r w:rsidRPr="005B0671">
        <w:rPr>
          <w:rFonts w:ascii="Arial" w:hAnsi="Arial" w:cs="Arial"/>
          <w:sz w:val="22"/>
          <w:szCs w:val="22"/>
          <w:highlight w:val="yellow"/>
        </w:rPr>
        <w:t xml:space="preserve">ultidisciplinary </w:t>
      </w:r>
      <w:r w:rsidR="00944E3F" w:rsidRPr="005B0671">
        <w:rPr>
          <w:rFonts w:ascii="Arial" w:hAnsi="Arial" w:cs="Arial"/>
          <w:sz w:val="22"/>
          <w:szCs w:val="22"/>
          <w:highlight w:val="yellow"/>
        </w:rPr>
        <w:t>P</w:t>
      </w:r>
      <w:r w:rsidRPr="005B0671">
        <w:rPr>
          <w:rFonts w:ascii="Arial" w:hAnsi="Arial" w:cs="Arial"/>
          <w:sz w:val="22"/>
          <w:szCs w:val="22"/>
          <w:highlight w:val="yellow"/>
        </w:rPr>
        <w:t>ractice</w:t>
      </w:r>
      <w:bookmarkEnd w:id="14"/>
    </w:p>
    <w:p w14:paraId="11346501" w14:textId="17888BB6" w:rsidR="002C3A16" w:rsidRPr="005B0671" w:rsidRDefault="003020FD" w:rsidP="00E568DF">
      <w:pPr>
        <w:rPr>
          <w:rFonts w:ascii="Arial" w:hAnsi="Arial" w:cs="Arial"/>
          <w:sz w:val="22"/>
          <w:szCs w:val="22"/>
          <w:highlight w:val="yellow"/>
        </w:rPr>
      </w:pPr>
      <w:r>
        <w:rPr>
          <w:rFonts w:ascii="Arial" w:hAnsi="Arial" w:cs="Arial"/>
          <w:sz w:val="22"/>
          <w:szCs w:val="22"/>
          <w:highlight w:val="yellow"/>
        </w:rPr>
        <w:t>I</w:t>
      </w:r>
      <w:r w:rsidRPr="003020FD">
        <w:rPr>
          <w:rFonts w:ascii="Arial" w:hAnsi="Arial" w:cs="Arial"/>
          <w:sz w:val="22"/>
          <w:szCs w:val="22"/>
          <w:highlight w:val="yellow"/>
        </w:rPr>
        <w:t xml:space="preserve">n effect, the partnership working should be focused on the needs of John. The multidisciplinary team (MDT) approach is effective in providing holistic care, with </w:t>
      </w:r>
      <w:r>
        <w:rPr>
          <w:rFonts w:ascii="Arial" w:hAnsi="Arial" w:cs="Arial"/>
          <w:sz w:val="22"/>
          <w:szCs w:val="22"/>
          <w:highlight w:val="yellow"/>
        </w:rPr>
        <w:t xml:space="preserve">a </w:t>
      </w:r>
      <w:r w:rsidRPr="003020FD">
        <w:rPr>
          <w:rFonts w:ascii="Arial" w:hAnsi="Arial" w:cs="Arial"/>
          <w:sz w:val="22"/>
          <w:szCs w:val="22"/>
          <w:highlight w:val="yellow"/>
        </w:rPr>
        <w:t xml:space="preserve">psychiatrist taking care of diagnosis and medication, nurses observing symptoms, psychologists offering therapy, and social workers taking care of social factors. The usefulness of the MDT working is determined by the coordination of these roles towards the recovery of John and </w:t>
      </w:r>
      <w:r>
        <w:rPr>
          <w:rFonts w:ascii="Arial" w:hAnsi="Arial" w:cs="Arial"/>
          <w:sz w:val="22"/>
          <w:szCs w:val="22"/>
          <w:highlight w:val="yellow"/>
        </w:rPr>
        <w:t xml:space="preserve">the </w:t>
      </w:r>
      <w:r w:rsidRPr="003020FD">
        <w:rPr>
          <w:rFonts w:ascii="Arial" w:hAnsi="Arial" w:cs="Arial"/>
          <w:sz w:val="22"/>
          <w:szCs w:val="22"/>
          <w:highlight w:val="yellow"/>
        </w:rPr>
        <w:t>elimination of relapse (NICE, 2011). Notably, John must be actively engaged in making decisions related to his care since patient-centred practices enhance the involvement and outcomes (NHS England, 2019).</w:t>
      </w:r>
    </w:p>
    <w:p w14:paraId="6F481939" w14:textId="77777777" w:rsidR="00875040" w:rsidRPr="005B0671" w:rsidRDefault="00875040" w:rsidP="00E568DF">
      <w:pPr>
        <w:pStyle w:val="Heading2"/>
        <w:rPr>
          <w:rFonts w:ascii="Arial" w:hAnsi="Arial" w:cs="Arial"/>
          <w:sz w:val="22"/>
          <w:szCs w:val="22"/>
          <w:highlight w:val="yellow"/>
        </w:rPr>
      </w:pPr>
      <w:bookmarkStart w:id="15" w:name="_Toc224294037"/>
      <w:r w:rsidRPr="005B0671">
        <w:rPr>
          <w:rFonts w:ascii="Arial" w:hAnsi="Arial" w:cs="Arial"/>
          <w:sz w:val="22"/>
          <w:szCs w:val="22"/>
          <w:highlight w:val="yellow"/>
        </w:rPr>
        <w:t>6.2 Data Protection and Risk Management.</w:t>
      </w:r>
      <w:bookmarkEnd w:id="15"/>
    </w:p>
    <w:p w14:paraId="3BFC835D" w14:textId="0E6D10EE" w:rsidR="00875040" w:rsidRPr="005B0671" w:rsidRDefault="003020FD" w:rsidP="00E568DF">
      <w:pPr>
        <w:rPr>
          <w:rFonts w:ascii="Arial" w:hAnsi="Arial" w:cs="Arial"/>
          <w:sz w:val="22"/>
          <w:szCs w:val="22"/>
          <w:highlight w:val="yellow"/>
        </w:rPr>
      </w:pPr>
      <w:r w:rsidRPr="003020FD">
        <w:rPr>
          <w:rFonts w:ascii="Arial" w:hAnsi="Arial" w:cs="Arial"/>
          <w:sz w:val="22"/>
          <w:szCs w:val="22"/>
          <w:highlight w:val="yellow"/>
        </w:rPr>
        <w:t xml:space="preserve">Effective communication is vital </w:t>
      </w:r>
      <w:r>
        <w:rPr>
          <w:rFonts w:ascii="Arial" w:hAnsi="Arial" w:cs="Arial"/>
          <w:sz w:val="22"/>
          <w:szCs w:val="22"/>
          <w:highlight w:val="yellow"/>
        </w:rPr>
        <w:t>for the</w:t>
      </w:r>
      <w:r w:rsidRPr="003020FD">
        <w:rPr>
          <w:rFonts w:ascii="Arial" w:hAnsi="Arial" w:cs="Arial"/>
          <w:sz w:val="22"/>
          <w:szCs w:val="22"/>
          <w:highlight w:val="yellow"/>
        </w:rPr>
        <w:t xml:space="preserve"> effective and secure care of John. This is possible through sharing accurate information to facilitate timely intervention in case his condition worsens (Department of Health, 2015). This should be weighed against confidentiality and consent, and one must </w:t>
      </w:r>
      <w:proofErr w:type="spellStart"/>
      <w:r>
        <w:rPr>
          <w:rFonts w:ascii="Arial" w:hAnsi="Arial" w:cs="Arial"/>
          <w:sz w:val="22"/>
          <w:szCs w:val="22"/>
          <w:highlight w:val="yellow"/>
        </w:rPr>
        <w:t>honour</w:t>
      </w:r>
      <w:proofErr w:type="spellEnd"/>
      <w:r w:rsidRPr="003020FD">
        <w:rPr>
          <w:rFonts w:ascii="Arial" w:hAnsi="Arial" w:cs="Arial"/>
          <w:sz w:val="22"/>
          <w:szCs w:val="22"/>
          <w:highlight w:val="yellow"/>
        </w:rPr>
        <w:t xml:space="preserve"> trust (HCPC, 2016).</w:t>
      </w:r>
      <w:r w:rsidR="005B0671" w:rsidRPr="005B0671">
        <w:rPr>
          <w:rFonts w:ascii="Arial" w:hAnsi="Arial" w:cs="Arial"/>
          <w:sz w:val="22"/>
          <w:szCs w:val="22"/>
          <w:highlight w:val="yellow"/>
        </w:rPr>
        <w:t xml:space="preserve"> </w:t>
      </w:r>
    </w:p>
    <w:p w14:paraId="614850BD" w14:textId="77777777" w:rsidR="00875040" w:rsidRPr="005B0671" w:rsidRDefault="00875040" w:rsidP="00E568DF">
      <w:pPr>
        <w:pStyle w:val="Heading2"/>
        <w:rPr>
          <w:rFonts w:ascii="Arial" w:hAnsi="Arial" w:cs="Arial"/>
          <w:sz w:val="22"/>
          <w:szCs w:val="22"/>
          <w:highlight w:val="yellow"/>
        </w:rPr>
      </w:pPr>
      <w:bookmarkStart w:id="16" w:name="_Toc224294038"/>
      <w:r w:rsidRPr="005B0671">
        <w:rPr>
          <w:rFonts w:ascii="Arial" w:hAnsi="Arial" w:cs="Arial"/>
          <w:sz w:val="22"/>
          <w:szCs w:val="22"/>
          <w:highlight w:val="yellow"/>
        </w:rPr>
        <w:t>6.3 Practical Challenges</w:t>
      </w:r>
      <w:bookmarkEnd w:id="16"/>
    </w:p>
    <w:p w14:paraId="2E4E4737" w14:textId="47772C39" w:rsidR="00875040" w:rsidRPr="00E568DF" w:rsidRDefault="005B0671" w:rsidP="00E568DF">
      <w:pPr>
        <w:rPr>
          <w:rFonts w:ascii="Arial" w:hAnsi="Arial" w:cs="Arial"/>
          <w:sz w:val="22"/>
          <w:szCs w:val="22"/>
        </w:rPr>
      </w:pPr>
      <w:r w:rsidRPr="005B0671">
        <w:rPr>
          <w:rFonts w:ascii="Arial" w:hAnsi="Arial" w:cs="Arial"/>
          <w:sz w:val="22"/>
          <w:szCs w:val="22"/>
          <w:highlight w:val="yellow"/>
        </w:rPr>
        <w:t xml:space="preserve">The service fragmentation, staffing shortages, and differences in the priorities of different professionals might affect the quality of care provided to John, so the integration of </w:t>
      </w:r>
      <w:r w:rsidR="003020FD">
        <w:rPr>
          <w:rFonts w:ascii="Arial" w:hAnsi="Arial" w:cs="Arial"/>
          <w:sz w:val="22"/>
          <w:szCs w:val="22"/>
          <w:highlight w:val="yellow"/>
        </w:rPr>
        <w:t>patient-centred</w:t>
      </w:r>
      <w:r w:rsidRPr="005B0671">
        <w:rPr>
          <w:rFonts w:ascii="Arial" w:hAnsi="Arial" w:cs="Arial"/>
          <w:sz w:val="22"/>
          <w:szCs w:val="22"/>
          <w:highlight w:val="yellow"/>
        </w:rPr>
        <w:t xml:space="preserve"> solutions is necessary</w:t>
      </w:r>
      <w:r w:rsidR="003020FD">
        <w:rPr>
          <w:rFonts w:ascii="Arial" w:hAnsi="Arial" w:cs="Arial"/>
          <w:sz w:val="22"/>
          <w:szCs w:val="22"/>
          <w:highlight w:val="yellow"/>
        </w:rPr>
        <w:t xml:space="preserve"> </w:t>
      </w:r>
      <w:r w:rsidR="003020FD" w:rsidRPr="003020FD">
        <w:rPr>
          <w:rFonts w:ascii="Arial" w:hAnsi="Arial" w:cs="Arial"/>
          <w:sz w:val="22"/>
          <w:szCs w:val="22"/>
          <w:highlight w:val="yellow"/>
        </w:rPr>
        <w:t>(WHO, 2021)</w:t>
      </w:r>
      <w:r w:rsidR="003020FD">
        <w:rPr>
          <w:rFonts w:ascii="Arial" w:hAnsi="Arial" w:cs="Arial"/>
          <w:sz w:val="22"/>
          <w:szCs w:val="22"/>
        </w:rPr>
        <w:t>.</w:t>
      </w:r>
    </w:p>
    <w:p w14:paraId="30C1B3BD" w14:textId="2FB0456F" w:rsidR="00875040" w:rsidRPr="007E1233" w:rsidRDefault="00875040" w:rsidP="00944E3F">
      <w:pPr>
        <w:pStyle w:val="Heading1"/>
      </w:pPr>
      <w:bookmarkStart w:id="17" w:name="_Toc224294039"/>
      <w:r w:rsidRPr="007E1233">
        <w:t>7. Applicable Policy and Legislation</w:t>
      </w:r>
      <w:bookmarkEnd w:id="17"/>
    </w:p>
    <w:p w14:paraId="12193719" w14:textId="77777777" w:rsidR="00875040" w:rsidRPr="007E1233" w:rsidRDefault="00875040" w:rsidP="00E568DF">
      <w:pPr>
        <w:rPr>
          <w:rFonts w:ascii="Arial" w:hAnsi="Arial" w:cs="Arial"/>
          <w:sz w:val="22"/>
          <w:szCs w:val="22"/>
        </w:rPr>
      </w:pPr>
      <w:r w:rsidRPr="007E1233">
        <w:rPr>
          <w:rFonts w:ascii="Arial" w:hAnsi="Arial" w:cs="Arial"/>
          <w:sz w:val="22"/>
          <w:szCs w:val="22"/>
        </w:rPr>
        <w:t>Both PCC and PW are entrenched in the UK law and policy.</w:t>
      </w:r>
    </w:p>
    <w:p w14:paraId="6C6380F6" w14:textId="77777777" w:rsidR="00875040" w:rsidRPr="007E1233" w:rsidRDefault="00875040" w:rsidP="00E568DF">
      <w:pPr>
        <w:pStyle w:val="Heading2"/>
        <w:rPr>
          <w:rFonts w:ascii="Arial" w:hAnsi="Arial" w:cs="Arial"/>
          <w:sz w:val="22"/>
          <w:szCs w:val="22"/>
        </w:rPr>
      </w:pPr>
      <w:bookmarkStart w:id="18" w:name="_Toc224294040"/>
      <w:r w:rsidRPr="007E1233">
        <w:rPr>
          <w:rFonts w:ascii="Arial" w:hAnsi="Arial" w:cs="Arial"/>
          <w:sz w:val="22"/>
          <w:szCs w:val="22"/>
        </w:rPr>
        <w:t>7.1 Care Act 2014</w:t>
      </w:r>
      <w:bookmarkEnd w:id="18"/>
    </w:p>
    <w:p w14:paraId="40575720" w14:textId="00542F9D" w:rsidR="00875040" w:rsidRPr="007E1233" w:rsidRDefault="00333826" w:rsidP="00E568DF">
      <w:pPr>
        <w:rPr>
          <w:rFonts w:ascii="Arial" w:hAnsi="Arial" w:cs="Arial"/>
          <w:sz w:val="22"/>
          <w:szCs w:val="22"/>
        </w:rPr>
      </w:pPr>
      <w:r w:rsidRPr="007E1233">
        <w:rPr>
          <w:rFonts w:ascii="Arial" w:hAnsi="Arial" w:cs="Arial"/>
          <w:sz w:val="22"/>
          <w:szCs w:val="22"/>
        </w:rPr>
        <w:t>The Care Act 2014 puts the concept of wellbeing in the context of adult social care and demands cooperation between the local authorities, NHS, and partners, contributing to PCC and PW (Care Act</w:t>
      </w:r>
      <w:r w:rsidR="00464BF8" w:rsidRPr="007E1233">
        <w:rPr>
          <w:rFonts w:ascii="Arial" w:hAnsi="Arial" w:cs="Arial"/>
          <w:sz w:val="22"/>
          <w:szCs w:val="22"/>
        </w:rPr>
        <w:t xml:space="preserve">, </w:t>
      </w:r>
      <w:r w:rsidRPr="007E1233">
        <w:rPr>
          <w:rFonts w:ascii="Arial" w:hAnsi="Arial" w:cs="Arial"/>
          <w:sz w:val="22"/>
          <w:szCs w:val="22"/>
        </w:rPr>
        <w:t xml:space="preserve">2014; Glasby, 2017). It also enhances the protection and </w:t>
      </w:r>
      <w:r w:rsidR="00464BF8" w:rsidRPr="007E1233">
        <w:rPr>
          <w:rFonts w:ascii="Arial" w:hAnsi="Arial" w:cs="Arial"/>
          <w:sz w:val="22"/>
          <w:szCs w:val="22"/>
        </w:rPr>
        <w:t>careers</w:t>
      </w:r>
      <w:r w:rsidRPr="007E1233">
        <w:rPr>
          <w:rFonts w:ascii="Arial" w:hAnsi="Arial" w:cs="Arial"/>
          <w:sz w:val="22"/>
          <w:szCs w:val="22"/>
        </w:rPr>
        <w:t xml:space="preserve"> rights, which are significant in community mental health. Nevertheless, person-centred practice requires successful local practice, which is not possible to defeat the inhibiting eligibility or resource constraints by legal requirements. Strong legal framework is therefore offered by the Act, but still results are dependent on the quality of funding and partnerships.</w:t>
      </w:r>
    </w:p>
    <w:p w14:paraId="71B646E8" w14:textId="38B35B00" w:rsidR="00875040" w:rsidRPr="007E1233" w:rsidRDefault="00875040" w:rsidP="00E568DF">
      <w:pPr>
        <w:pStyle w:val="Heading2"/>
        <w:rPr>
          <w:rFonts w:ascii="Arial" w:hAnsi="Arial" w:cs="Arial"/>
          <w:sz w:val="22"/>
          <w:szCs w:val="22"/>
        </w:rPr>
      </w:pPr>
      <w:bookmarkStart w:id="19" w:name="_Toc224294041"/>
      <w:r w:rsidRPr="007E1233">
        <w:rPr>
          <w:rFonts w:ascii="Arial" w:hAnsi="Arial" w:cs="Arial"/>
          <w:sz w:val="22"/>
          <w:szCs w:val="22"/>
        </w:rPr>
        <w:t xml:space="preserve">7.2 Mental </w:t>
      </w:r>
      <w:r w:rsidR="00E70724" w:rsidRPr="007E1233">
        <w:rPr>
          <w:rFonts w:ascii="Arial" w:hAnsi="Arial" w:cs="Arial"/>
          <w:sz w:val="22"/>
          <w:szCs w:val="22"/>
        </w:rPr>
        <w:t>Capacity</w:t>
      </w:r>
      <w:r w:rsidRPr="007E1233">
        <w:rPr>
          <w:rFonts w:ascii="Arial" w:hAnsi="Arial" w:cs="Arial"/>
          <w:sz w:val="22"/>
          <w:szCs w:val="22"/>
        </w:rPr>
        <w:t xml:space="preserve"> Act 2005, and Mental Health Act 1983</w:t>
      </w:r>
      <w:bookmarkEnd w:id="19"/>
    </w:p>
    <w:p w14:paraId="78CB1BC7" w14:textId="224BD153" w:rsidR="00875040" w:rsidRPr="007E1233" w:rsidRDefault="00333826" w:rsidP="00E568DF">
      <w:pPr>
        <w:rPr>
          <w:rFonts w:ascii="Arial" w:hAnsi="Arial" w:cs="Arial"/>
          <w:sz w:val="22"/>
          <w:szCs w:val="22"/>
        </w:rPr>
      </w:pPr>
      <w:r w:rsidRPr="007E1233">
        <w:rPr>
          <w:rFonts w:ascii="Arial" w:hAnsi="Arial" w:cs="Arial"/>
          <w:sz w:val="22"/>
          <w:szCs w:val="22"/>
        </w:rPr>
        <w:t>The Autonomy in mental health care is limited by Mental Capacity Act 2005 and Mental health Act 1983. Mental Capacity Act assists PCC using the principles of assumed capacity, decision-</w:t>
      </w:r>
      <w:r w:rsidRPr="007E1233">
        <w:rPr>
          <w:rFonts w:ascii="Arial" w:hAnsi="Arial" w:cs="Arial"/>
          <w:sz w:val="22"/>
          <w:szCs w:val="22"/>
        </w:rPr>
        <w:lastRenderedPageBreak/>
        <w:t xml:space="preserve">specific assessment, and the least-restrictive options (Mental Capacity Act 2005; NICE, 2021). Conversely, Mental Health Act permits involuntary assessment and treatment in case they are required in the name of safety (Mental Health Act 1983). This brings out an important conflict in mental health services, which is that the same systems that advance autonomy can legitimately exclude autonomy. </w:t>
      </w:r>
    </w:p>
    <w:p w14:paraId="22F597E8" w14:textId="559BB55A" w:rsidR="00875040" w:rsidRPr="007E1233" w:rsidRDefault="00875040" w:rsidP="00E568DF">
      <w:pPr>
        <w:pStyle w:val="Heading2"/>
        <w:rPr>
          <w:rFonts w:ascii="Arial" w:hAnsi="Arial" w:cs="Arial"/>
          <w:sz w:val="22"/>
          <w:szCs w:val="22"/>
        </w:rPr>
      </w:pPr>
      <w:bookmarkStart w:id="20" w:name="_Toc224294042"/>
      <w:r w:rsidRPr="007E1233">
        <w:rPr>
          <w:rFonts w:ascii="Arial" w:hAnsi="Arial" w:cs="Arial"/>
          <w:sz w:val="22"/>
          <w:szCs w:val="22"/>
        </w:rPr>
        <w:t>7.3 Health and Social Care Act 2012 and Health and Care Act 2022</w:t>
      </w:r>
      <w:bookmarkEnd w:id="20"/>
      <w:r w:rsidRPr="007E1233">
        <w:rPr>
          <w:rFonts w:ascii="Arial" w:hAnsi="Arial" w:cs="Arial"/>
          <w:sz w:val="22"/>
          <w:szCs w:val="22"/>
        </w:rPr>
        <w:t xml:space="preserve"> </w:t>
      </w:r>
    </w:p>
    <w:p w14:paraId="42D16770" w14:textId="480C7E08" w:rsidR="00875040" w:rsidRPr="007E1233" w:rsidRDefault="00333826" w:rsidP="00E568DF">
      <w:pPr>
        <w:rPr>
          <w:rFonts w:ascii="Arial" w:hAnsi="Arial" w:cs="Arial"/>
          <w:sz w:val="22"/>
          <w:szCs w:val="22"/>
        </w:rPr>
      </w:pPr>
      <w:r w:rsidRPr="007E1233">
        <w:rPr>
          <w:rFonts w:ascii="Arial" w:hAnsi="Arial" w:cs="Arial"/>
          <w:sz w:val="22"/>
          <w:szCs w:val="22"/>
        </w:rPr>
        <w:t xml:space="preserve">The organisational collaboration in health and social care is influenced by the Health and Social Care Act 2012 and the Health and Care Act 2022. Integrated Care Systems were reinforced in the 2022 Act to facilitate joint planning and shared responsibility in the services (Health and Care Act 2022; NHS England, 2022). </w:t>
      </w:r>
    </w:p>
    <w:p w14:paraId="767A0A74" w14:textId="77777777" w:rsidR="00875040" w:rsidRPr="007E1233" w:rsidRDefault="00875040" w:rsidP="00E568DF">
      <w:pPr>
        <w:pStyle w:val="Heading2"/>
        <w:rPr>
          <w:rFonts w:ascii="Arial" w:hAnsi="Arial" w:cs="Arial"/>
          <w:sz w:val="22"/>
          <w:szCs w:val="22"/>
        </w:rPr>
      </w:pPr>
      <w:bookmarkStart w:id="21" w:name="_Toc224294043"/>
      <w:r w:rsidRPr="007E1233">
        <w:rPr>
          <w:rFonts w:ascii="Arial" w:hAnsi="Arial" w:cs="Arial"/>
          <w:sz w:val="22"/>
          <w:szCs w:val="22"/>
        </w:rPr>
        <w:t>7.4 Equality Act 2010</w:t>
      </w:r>
      <w:bookmarkEnd w:id="21"/>
    </w:p>
    <w:p w14:paraId="42EFEB04" w14:textId="561C6A31" w:rsidR="00875040" w:rsidRPr="007E1233" w:rsidRDefault="00333826" w:rsidP="00E568DF">
      <w:pPr>
        <w:rPr>
          <w:rFonts w:ascii="Arial" w:hAnsi="Arial" w:cs="Arial"/>
          <w:sz w:val="22"/>
          <w:szCs w:val="22"/>
        </w:rPr>
      </w:pPr>
      <w:r w:rsidRPr="007E1233">
        <w:rPr>
          <w:rFonts w:ascii="Arial" w:hAnsi="Arial" w:cs="Arial"/>
          <w:sz w:val="22"/>
          <w:szCs w:val="22"/>
        </w:rPr>
        <w:t>The Equality act of 2010 is the legal basis of equality in health and social care, as it outlaws discrimination and mandates reasonable adjustments in the case of the population groups that are being safeguarded (Equality Act</w:t>
      </w:r>
      <w:r w:rsidR="00CE75ED" w:rsidRPr="007E1233">
        <w:rPr>
          <w:rFonts w:ascii="Arial" w:hAnsi="Arial" w:cs="Arial"/>
          <w:sz w:val="22"/>
          <w:szCs w:val="22"/>
        </w:rPr>
        <w:t xml:space="preserve">, </w:t>
      </w:r>
      <w:r w:rsidRPr="007E1233">
        <w:rPr>
          <w:rFonts w:ascii="Arial" w:hAnsi="Arial" w:cs="Arial"/>
          <w:sz w:val="22"/>
          <w:szCs w:val="22"/>
        </w:rPr>
        <w:t xml:space="preserve">2010). In community mental health services it involves disability, race, gender, age, and religion that may have an impact on access to care and stigma. Although the Act reinforces the inclusive and person-centred practice, access, trust, and outcome inequalities still exist. </w:t>
      </w:r>
    </w:p>
    <w:p w14:paraId="742FFECB" w14:textId="63CE7E87" w:rsidR="00875040" w:rsidRPr="007E1233" w:rsidRDefault="00875040" w:rsidP="00944E3F">
      <w:pPr>
        <w:pStyle w:val="Heading1"/>
      </w:pPr>
      <w:bookmarkStart w:id="22" w:name="_Toc224294044"/>
      <w:r w:rsidRPr="007E1233">
        <w:t>8. Future Development Recommendations</w:t>
      </w:r>
      <w:bookmarkEnd w:id="22"/>
    </w:p>
    <w:p w14:paraId="46FFE664" w14:textId="18588C40" w:rsidR="00875040" w:rsidRPr="00E568DF" w:rsidRDefault="001E2F35" w:rsidP="00E568DF">
      <w:pPr>
        <w:rPr>
          <w:rFonts w:ascii="Arial" w:hAnsi="Arial" w:cs="Arial"/>
          <w:bCs/>
          <w:sz w:val="22"/>
          <w:szCs w:val="22"/>
        </w:rPr>
      </w:pPr>
      <w:r w:rsidRPr="007E1233">
        <w:rPr>
          <w:rFonts w:ascii="Arial" w:eastAsiaTheme="majorEastAsia" w:hAnsi="Arial" w:cs="Arial"/>
          <w:bCs/>
          <w:color w:val="000000" w:themeColor="text1"/>
          <w:sz w:val="22"/>
          <w:szCs w:val="22"/>
        </w:rPr>
        <w:t xml:space="preserve">The future of PCC and partnership in working in the UK needs to focus more on investment in workforce, digitalisation, co-production, and service fragmentation minimisation. Collaborative practice can be enhanced with the help of recruitment, retention, interdisciplinary training, and professional development (NHS England, 2019; Health Education England, 2022). Such joint training can also lead to a decrease in professional hierarchies and enhanced coordinated care (World Health Organization, 2016). Electronic systems have the potential to improve communication and plan care but also assist in adhering to GDPR as well as the Data Protection Act of 2018 (Department of Health and Social Care, 2022). The expansion of co-production would guarantee an active service-user participation in the care planning and evaluation (Needham and Carr, 2009; Boyle and Harris, 2009). Integrated Care Systems should also be reviewed continuously to enhance accountability, funding, and the collaboration between organisations (NHS England, 2022). Effective leadership and cultural transformation </w:t>
      </w:r>
      <w:r w:rsidR="005F00B0" w:rsidRPr="007E1233">
        <w:rPr>
          <w:rFonts w:ascii="Arial" w:eastAsiaTheme="majorEastAsia" w:hAnsi="Arial" w:cs="Arial"/>
          <w:bCs/>
          <w:color w:val="000000" w:themeColor="text1"/>
          <w:sz w:val="22"/>
          <w:szCs w:val="22"/>
        </w:rPr>
        <w:t>are</w:t>
      </w:r>
      <w:r w:rsidRPr="007E1233">
        <w:rPr>
          <w:rFonts w:ascii="Arial" w:eastAsiaTheme="majorEastAsia" w:hAnsi="Arial" w:cs="Arial"/>
          <w:bCs/>
          <w:color w:val="000000" w:themeColor="text1"/>
          <w:sz w:val="22"/>
          <w:szCs w:val="22"/>
        </w:rPr>
        <w:t xml:space="preserve"> still needed to entrench PCC and partnership working across services (West et al., 2017).</w:t>
      </w:r>
    </w:p>
    <w:p w14:paraId="5BD015BD" w14:textId="77777777" w:rsidR="00875040" w:rsidRPr="007E1233" w:rsidRDefault="00875040" w:rsidP="00944E3F">
      <w:pPr>
        <w:pStyle w:val="Heading1"/>
      </w:pPr>
      <w:bookmarkStart w:id="23" w:name="_Toc224294049"/>
      <w:r w:rsidRPr="007E1233">
        <w:lastRenderedPageBreak/>
        <w:t>9. Conclusion</w:t>
      </w:r>
      <w:bookmarkEnd w:id="23"/>
    </w:p>
    <w:p w14:paraId="77A5B13F" w14:textId="727CC7F8" w:rsidR="00A27C4E" w:rsidRPr="00E568DF" w:rsidRDefault="00333826" w:rsidP="00E568DF">
      <w:pPr>
        <w:rPr>
          <w:rFonts w:ascii="Arial" w:hAnsi="Arial" w:cs="Arial"/>
          <w:sz w:val="22"/>
          <w:szCs w:val="22"/>
        </w:rPr>
      </w:pPr>
      <w:r w:rsidRPr="007E1233">
        <w:rPr>
          <w:rFonts w:ascii="Arial" w:hAnsi="Arial" w:cs="Arial"/>
          <w:sz w:val="22"/>
          <w:szCs w:val="22"/>
        </w:rPr>
        <w:t>This report has demonstrated that person-centred care and partnership working are the main pillars of adult community mental health services, whose worth relies on its practice. They both can facilitate dignity, trust, coordination and comprehensive support, but both might be superficial when service users lack substantive influence or when inter-agency working is still disjointed. The theory by Rogers offers a significant point of reference based on empathy, congruence, and unconditional positive regard yet lacks the discussion of coercion, inequality, organisational power and even broader social determinants. The recovery-oriented approaches provide a more comprehensive approach by acknowledging hope, identity, inclusion and lived experience. It has also been revealed in the report that the Care Act 2014, Mental Capacity Act 2005, Mental Health Act 1983, Health and Care Act 2022, and Equality Act 2010 have influenced care and this has been linked to law and practice. Finally, successful practice must be resourceful, integrated, reflective, and authentic co-production.</w:t>
      </w:r>
    </w:p>
    <w:p w14:paraId="1780AF9C" w14:textId="77777777" w:rsidR="00A27C4E" w:rsidRDefault="00A27C4E" w:rsidP="00A27C4E">
      <w:pPr>
        <w:rPr>
          <w:rFonts w:ascii="Arial" w:hAnsi="Arial" w:cs="Arial"/>
          <w:sz w:val="22"/>
          <w:szCs w:val="22"/>
        </w:rPr>
      </w:pPr>
    </w:p>
    <w:p w14:paraId="5A3C7923" w14:textId="77777777" w:rsidR="00A27C4E" w:rsidRDefault="00A27C4E" w:rsidP="00A27C4E">
      <w:pPr>
        <w:rPr>
          <w:rFonts w:ascii="Arial" w:hAnsi="Arial" w:cs="Arial"/>
          <w:sz w:val="22"/>
          <w:szCs w:val="22"/>
        </w:rPr>
      </w:pPr>
    </w:p>
    <w:p w14:paraId="6798E0CC" w14:textId="77777777" w:rsidR="00A27C4E" w:rsidRDefault="00A27C4E" w:rsidP="00A27C4E">
      <w:pPr>
        <w:rPr>
          <w:rFonts w:ascii="Arial" w:hAnsi="Arial" w:cs="Arial"/>
          <w:sz w:val="22"/>
          <w:szCs w:val="22"/>
        </w:rPr>
      </w:pPr>
    </w:p>
    <w:p w14:paraId="430CBABF" w14:textId="49411E45" w:rsidR="00A27C4E" w:rsidRDefault="00A27C4E" w:rsidP="00A27C4E">
      <w:pPr>
        <w:rPr>
          <w:rFonts w:ascii="Arial" w:hAnsi="Arial" w:cs="Arial"/>
          <w:sz w:val="22"/>
          <w:szCs w:val="22"/>
        </w:rPr>
      </w:pPr>
    </w:p>
    <w:p w14:paraId="62332703" w14:textId="5F6C9825" w:rsidR="00F308F4" w:rsidRDefault="00F308F4" w:rsidP="00A27C4E">
      <w:pPr>
        <w:rPr>
          <w:rFonts w:ascii="Arial" w:hAnsi="Arial" w:cs="Arial"/>
          <w:sz w:val="22"/>
          <w:szCs w:val="22"/>
        </w:rPr>
      </w:pPr>
    </w:p>
    <w:p w14:paraId="6415BF85" w14:textId="316149BA" w:rsidR="00F308F4" w:rsidRDefault="00F308F4" w:rsidP="00A27C4E">
      <w:pPr>
        <w:rPr>
          <w:rFonts w:ascii="Arial" w:hAnsi="Arial" w:cs="Arial"/>
          <w:sz w:val="22"/>
          <w:szCs w:val="22"/>
        </w:rPr>
      </w:pPr>
    </w:p>
    <w:p w14:paraId="7C563A6F" w14:textId="130CBAAC" w:rsidR="00F308F4" w:rsidRDefault="00F308F4" w:rsidP="00A27C4E">
      <w:pPr>
        <w:rPr>
          <w:rFonts w:ascii="Arial" w:hAnsi="Arial" w:cs="Arial"/>
          <w:sz w:val="22"/>
          <w:szCs w:val="22"/>
        </w:rPr>
      </w:pPr>
    </w:p>
    <w:p w14:paraId="2381060F" w14:textId="77777777" w:rsidR="00333826" w:rsidRDefault="00333826" w:rsidP="00A27C4E">
      <w:pPr>
        <w:rPr>
          <w:rFonts w:ascii="Arial" w:hAnsi="Arial" w:cs="Arial"/>
          <w:sz w:val="22"/>
          <w:szCs w:val="22"/>
        </w:rPr>
      </w:pPr>
    </w:p>
    <w:p w14:paraId="6A6F77BD" w14:textId="77777777" w:rsidR="00875040" w:rsidRDefault="00875040" w:rsidP="00A27C4E">
      <w:pPr>
        <w:rPr>
          <w:rFonts w:ascii="Arial" w:hAnsi="Arial" w:cs="Arial"/>
          <w:sz w:val="22"/>
          <w:szCs w:val="22"/>
        </w:rPr>
      </w:pPr>
    </w:p>
    <w:p w14:paraId="679C56F2" w14:textId="77777777" w:rsidR="00333826" w:rsidRDefault="00333826" w:rsidP="00A27C4E">
      <w:pPr>
        <w:rPr>
          <w:rFonts w:ascii="Arial" w:hAnsi="Arial" w:cs="Arial"/>
          <w:sz w:val="22"/>
          <w:szCs w:val="22"/>
        </w:rPr>
      </w:pPr>
    </w:p>
    <w:p w14:paraId="1E1E6D8E" w14:textId="77777777" w:rsidR="001E2F35" w:rsidRDefault="001E2F35" w:rsidP="00A27C4E">
      <w:pPr>
        <w:rPr>
          <w:rFonts w:ascii="Arial" w:hAnsi="Arial" w:cs="Arial"/>
          <w:sz w:val="22"/>
          <w:szCs w:val="22"/>
        </w:rPr>
      </w:pPr>
    </w:p>
    <w:p w14:paraId="725C0C18" w14:textId="77777777" w:rsidR="001E2F35" w:rsidRDefault="001E2F35" w:rsidP="00A27C4E">
      <w:pPr>
        <w:rPr>
          <w:rFonts w:ascii="Arial" w:hAnsi="Arial" w:cs="Arial"/>
          <w:sz w:val="22"/>
          <w:szCs w:val="22"/>
        </w:rPr>
      </w:pPr>
    </w:p>
    <w:p w14:paraId="1556E80B" w14:textId="77777777" w:rsidR="001E2F35" w:rsidRDefault="001E2F35" w:rsidP="00A27C4E">
      <w:pPr>
        <w:rPr>
          <w:rFonts w:ascii="Arial" w:hAnsi="Arial" w:cs="Arial"/>
          <w:sz w:val="22"/>
          <w:szCs w:val="22"/>
        </w:rPr>
      </w:pPr>
    </w:p>
    <w:p w14:paraId="00449700" w14:textId="349F12CC" w:rsidR="001E2F35" w:rsidRPr="00A27C4E" w:rsidRDefault="001E2F35" w:rsidP="00A27C4E">
      <w:pPr>
        <w:rPr>
          <w:rFonts w:ascii="Arial" w:hAnsi="Arial" w:cs="Arial"/>
          <w:sz w:val="22"/>
          <w:szCs w:val="22"/>
        </w:rPr>
      </w:pPr>
    </w:p>
    <w:p w14:paraId="040DAE23" w14:textId="7CBF120E" w:rsidR="005F00B0" w:rsidRPr="0073683E" w:rsidRDefault="00C73AF5" w:rsidP="005F00B0">
      <w:pPr>
        <w:pStyle w:val="Heading1"/>
      </w:pPr>
      <w:r w:rsidRPr="00944E3F">
        <w:lastRenderedPageBreak/>
        <w:t xml:space="preserve">Reference </w:t>
      </w:r>
    </w:p>
    <w:p w14:paraId="1BDE2FD6" w14:textId="77777777" w:rsidR="005F00B0" w:rsidRDefault="005F00B0">
      <w:pPr>
        <w:rPr>
          <w:rFonts w:ascii="Arial" w:hAnsi="Arial" w:cs="Arial"/>
          <w:sz w:val="22"/>
          <w:szCs w:val="22"/>
        </w:rPr>
      </w:pPr>
      <w:r w:rsidRPr="00333826">
        <w:rPr>
          <w:rFonts w:ascii="Arial" w:hAnsi="Arial" w:cs="Arial"/>
          <w:sz w:val="22"/>
          <w:szCs w:val="22"/>
        </w:rPr>
        <w:t xml:space="preserve">Ardito, R.B. and Rabellino, D. (2011) </w:t>
      </w:r>
      <w:r>
        <w:rPr>
          <w:rFonts w:ascii="Arial" w:hAnsi="Arial" w:cs="Arial"/>
          <w:sz w:val="22"/>
          <w:szCs w:val="22"/>
        </w:rPr>
        <w:t>‘</w:t>
      </w:r>
      <w:r w:rsidRPr="00333826">
        <w:rPr>
          <w:rFonts w:ascii="Arial" w:hAnsi="Arial" w:cs="Arial"/>
          <w:sz w:val="22"/>
          <w:szCs w:val="22"/>
        </w:rPr>
        <w:t xml:space="preserve">Therapeutic alliance and outcome of psychotherapy: Historical excursus, measurements, and prospects for research’, </w:t>
      </w:r>
      <w:r w:rsidRPr="00333826">
        <w:rPr>
          <w:rFonts w:ascii="Arial" w:hAnsi="Arial" w:cs="Arial"/>
          <w:i/>
          <w:iCs/>
          <w:sz w:val="22"/>
          <w:szCs w:val="22"/>
        </w:rPr>
        <w:t>Frontiers in Psychology</w:t>
      </w:r>
      <w:r w:rsidRPr="00333826">
        <w:rPr>
          <w:rFonts w:ascii="Arial" w:hAnsi="Arial" w:cs="Arial"/>
          <w:sz w:val="22"/>
          <w:szCs w:val="22"/>
        </w:rPr>
        <w:t>, 2, p. 270</w:t>
      </w:r>
    </w:p>
    <w:p w14:paraId="35DDE448"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Beauchamp, T.L. and Childress, J.F. (2019) </w:t>
      </w:r>
      <w:r w:rsidRPr="00A910F9">
        <w:rPr>
          <w:rFonts w:ascii="Arial" w:hAnsi="Arial" w:cs="Arial"/>
          <w:i/>
          <w:iCs/>
          <w:sz w:val="22"/>
          <w:szCs w:val="22"/>
        </w:rPr>
        <w:t>Principles of biomedical ethics</w:t>
      </w:r>
      <w:r w:rsidRPr="00A910F9">
        <w:rPr>
          <w:rFonts w:ascii="Arial" w:hAnsi="Arial" w:cs="Arial"/>
          <w:sz w:val="22"/>
          <w:szCs w:val="22"/>
        </w:rPr>
        <w:t>. 8th edn. New York: Oxford University Press.</w:t>
      </w:r>
    </w:p>
    <w:p w14:paraId="1C8B7932"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Boyle, D. and Harris, M. (2009). </w:t>
      </w:r>
      <w:r w:rsidRPr="0073683E">
        <w:rPr>
          <w:rFonts w:ascii="Arial" w:hAnsi="Arial" w:cs="Arial"/>
          <w:i/>
          <w:iCs/>
          <w:sz w:val="22"/>
          <w:szCs w:val="22"/>
        </w:rPr>
        <w:t>The Challenge of Co-production</w:t>
      </w:r>
      <w:r w:rsidRPr="0073683E">
        <w:rPr>
          <w:rFonts w:ascii="Arial" w:hAnsi="Arial" w:cs="Arial"/>
          <w:sz w:val="22"/>
          <w:szCs w:val="22"/>
        </w:rPr>
        <w:t>. London: NESTA.</w:t>
      </w:r>
    </w:p>
    <w:p w14:paraId="2DB5413E"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Care Act 2014 (2014) </w:t>
      </w:r>
      <w:r w:rsidRPr="00A910F9">
        <w:rPr>
          <w:rFonts w:ascii="Arial" w:hAnsi="Arial" w:cs="Arial"/>
          <w:i/>
          <w:iCs/>
          <w:sz w:val="22"/>
          <w:szCs w:val="22"/>
        </w:rPr>
        <w:t>Care Act 2014</w:t>
      </w:r>
      <w:r w:rsidRPr="00A910F9">
        <w:rPr>
          <w:rFonts w:ascii="Arial" w:hAnsi="Arial" w:cs="Arial"/>
          <w:sz w:val="22"/>
          <w:szCs w:val="22"/>
        </w:rPr>
        <w:t xml:space="preserve">. London: The Stationery Office. Available at: </w:t>
      </w:r>
      <w:hyperlink r:id="rId7" w:tgtFrame="_new" w:history="1">
        <w:r w:rsidRPr="00A910F9">
          <w:rPr>
            <w:rStyle w:val="Hyperlink"/>
            <w:rFonts w:ascii="Arial" w:hAnsi="Arial" w:cs="Arial"/>
            <w:sz w:val="22"/>
            <w:szCs w:val="22"/>
          </w:rPr>
          <w:t>https://www.legislation.gov.uk/ukpga/2014/23/contents</w:t>
        </w:r>
      </w:hyperlink>
      <w:r w:rsidRPr="00A910F9">
        <w:rPr>
          <w:rFonts w:ascii="Arial" w:hAnsi="Arial" w:cs="Arial"/>
          <w:sz w:val="22"/>
          <w:szCs w:val="22"/>
        </w:rPr>
        <w:t xml:space="preserve"> (Accessed: 2 March 2026).</w:t>
      </w:r>
    </w:p>
    <w:p w14:paraId="6A97CED3"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Department of Health and Social Care (2019) </w:t>
      </w:r>
      <w:r w:rsidRPr="00A910F9">
        <w:rPr>
          <w:rFonts w:ascii="Arial" w:hAnsi="Arial" w:cs="Arial"/>
          <w:i/>
          <w:iCs/>
          <w:sz w:val="22"/>
          <w:szCs w:val="22"/>
        </w:rPr>
        <w:t>Department of Health and Social Care annual report and accounts 2018 to 2019</w:t>
      </w:r>
      <w:r w:rsidRPr="00A910F9">
        <w:rPr>
          <w:rFonts w:ascii="Arial" w:hAnsi="Arial" w:cs="Arial"/>
          <w:sz w:val="22"/>
          <w:szCs w:val="22"/>
        </w:rPr>
        <w:t xml:space="preserve">. London: DHSC. Available at: </w:t>
      </w:r>
      <w:hyperlink r:id="rId8" w:tgtFrame="_new" w:history="1">
        <w:r w:rsidRPr="00A910F9">
          <w:rPr>
            <w:rStyle w:val="Hyperlink"/>
            <w:rFonts w:ascii="Arial" w:hAnsi="Arial" w:cs="Arial"/>
            <w:sz w:val="22"/>
            <w:szCs w:val="22"/>
          </w:rPr>
          <w:t>https://assets.publishing.service.gov.uk/government/uploads/system/uploads/attachment_data/file/832765/dhsc-annual-report-and-accounts-2018-to-2019.pdf</w:t>
        </w:r>
      </w:hyperlink>
      <w:r w:rsidRPr="00A910F9">
        <w:rPr>
          <w:rFonts w:ascii="Arial" w:hAnsi="Arial" w:cs="Arial"/>
          <w:sz w:val="22"/>
          <w:szCs w:val="22"/>
        </w:rPr>
        <w:t xml:space="preserve"> (Accessed: 2 March 2026). </w:t>
      </w:r>
    </w:p>
    <w:p w14:paraId="5CE654C9"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Department of Health and Social Care (2022). </w:t>
      </w:r>
      <w:r w:rsidRPr="0073683E">
        <w:rPr>
          <w:rFonts w:ascii="Arial" w:hAnsi="Arial" w:cs="Arial"/>
          <w:i/>
          <w:iCs/>
          <w:sz w:val="22"/>
          <w:szCs w:val="22"/>
        </w:rPr>
        <w:t>Data saves lives: reshaping health and social care with data</w:t>
      </w:r>
      <w:r w:rsidRPr="0073683E">
        <w:rPr>
          <w:rFonts w:ascii="Arial" w:hAnsi="Arial" w:cs="Arial"/>
          <w:sz w:val="22"/>
          <w:szCs w:val="22"/>
        </w:rPr>
        <w:t>. London: DHSC.</w:t>
      </w:r>
    </w:p>
    <w:p w14:paraId="0B4F7E96"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Equality Act 2010 (2010) </w:t>
      </w:r>
      <w:r w:rsidRPr="00A910F9">
        <w:rPr>
          <w:rFonts w:ascii="Arial" w:hAnsi="Arial" w:cs="Arial"/>
          <w:i/>
          <w:iCs/>
          <w:sz w:val="22"/>
          <w:szCs w:val="22"/>
        </w:rPr>
        <w:t>Equality Act 2010</w:t>
      </w:r>
      <w:r w:rsidRPr="00A910F9">
        <w:rPr>
          <w:rFonts w:ascii="Arial" w:hAnsi="Arial" w:cs="Arial"/>
          <w:sz w:val="22"/>
          <w:szCs w:val="22"/>
        </w:rPr>
        <w:t xml:space="preserve">. London: The Stationery Office. Available at: </w:t>
      </w:r>
      <w:hyperlink r:id="rId9" w:tgtFrame="_new" w:history="1">
        <w:r w:rsidRPr="00A910F9">
          <w:rPr>
            <w:rStyle w:val="Hyperlink"/>
            <w:rFonts w:ascii="Arial" w:hAnsi="Arial" w:cs="Arial"/>
            <w:sz w:val="22"/>
            <w:szCs w:val="22"/>
          </w:rPr>
          <w:t>https://www.legislation.gov.uk/ukpga/2010/15/contents</w:t>
        </w:r>
      </w:hyperlink>
      <w:r w:rsidRPr="00A910F9">
        <w:rPr>
          <w:rFonts w:ascii="Arial" w:hAnsi="Arial" w:cs="Arial"/>
          <w:sz w:val="22"/>
          <w:szCs w:val="22"/>
        </w:rPr>
        <w:t xml:space="preserve"> (Accessed: 2 March 2026).</w:t>
      </w:r>
    </w:p>
    <w:p w14:paraId="03B7F2A0"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Glasby, J. (2017) ‘Partnership working in health and social care’, in Glasby, J. (ed.) </w:t>
      </w:r>
      <w:r w:rsidRPr="00A910F9">
        <w:rPr>
          <w:rFonts w:ascii="Arial" w:hAnsi="Arial" w:cs="Arial"/>
          <w:i/>
          <w:iCs/>
          <w:sz w:val="22"/>
          <w:szCs w:val="22"/>
        </w:rPr>
        <w:t>Understanding health and social care</w:t>
      </w:r>
      <w:r w:rsidRPr="00A910F9">
        <w:rPr>
          <w:rFonts w:ascii="Arial" w:hAnsi="Arial" w:cs="Arial"/>
          <w:sz w:val="22"/>
          <w:szCs w:val="22"/>
        </w:rPr>
        <w:t>. 3rd edn. Bristol: Policy Press, pp. 71–94.</w:t>
      </w:r>
    </w:p>
    <w:p w14:paraId="42E38518"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Glasby, J. (2017) </w:t>
      </w:r>
      <w:r w:rsidRPr="00A910F9">
        <w:rPr>
          <w:rFonts w:ascii="Arial" w:hAnsi="Arial" w:cs="Arial"/>
          <w:i/>
          <w:iCs/>
          <w:sz w:val="22"/>
          <w:szCs w:val="22"/>
        </w:rPr>
        <w:t>Understanding health and social care</w:t>
      </w:r>
      <w:r w:rsidRPr="00A910F9">
        <w:rPr>
          <w:rFonts w:ascii="Arial" w:hAnsi="Arial" w:cs="Arial"/>
          <w:sz w:val="22"/>
          <w:szCs w:val="22"/>
        </w:rPr>
        <w:t>. 3rd edn. Bristol: Policy Press.</w:t>
      </w:r>
    </w:p>
    <w:p w14:paraId="2D75C090"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Goodwin, N., Dixon, A., Anderson, G. and Wodchis, W. (2014) </w:t>
      </w:r>
      <w:r w:rsidRPr="00A910F9">
        <w:rPr>
          <w:rFonts w:ascii="Arial" w:hAnsi="Arial" w:cs="Arial"/>
          <w:i/>
          <w:iCs/>
          <w:sz w:val="22"/>
          <w:szCs w:val="22"/>
        </w:rPr>
        <w:t>Providing integrated care for older people with complex needs: lessons from seven international case studies</w:t>
      </w:r>
      <w:r w:rsidRPr="00A910F9">
        <w:rPr>
          <w:rFonts w:ascii="Arial" w:hAnsi="Arial" w:cs="Arial"/>
          <w:sz w:val="22"/>
          <w:szCs w:val="22"/>
        </w:rPr>
        <w:t>. London: The King’s Fund.</w:t>
      </w:r>
    </w:p>
    <w:p w14:paraId="19691BCC"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Health and Care Act 2022 (2022) </w:t>
      </w:r>
      <w:r w:rsidRPr="00A910F9">
        <w:rPr>
          <w:rFonts w:ascii="Arial" w:hAnsi="Arial" w:cs="Arial"/>
          <w:i/>
          <w:iCs/>
          <w:sz w:val="22"/>
          <w:szCs w:val="22"/>
        </w:rPr>
        <w:t>Health and Care Act 2022</w:t>
      </w:r>
      <w:r w:rsidRPr="00A910F9">
        <w:rPr>
          <w:rFonts w:ascii="Arial" w:hAnsi="Arial" w:cs="Arial"/>
          <w:sz w:val="22"/>
          <w:szCs w:val="22"/>
        </w:rPr>
        <w:t xml:space="preserve">. London: The Stationery Office. Available at: </w:t>
      </w:r>
      <w:hyperlink r:id="rId10" w:tgtFrame="_new" w:history="1">
        <w:r w:rsidRPr="00A910F9">
          <w:rPr>
            <w:rStyle w:val="Hyperlink"/>
            <w:rFonts w:ascii="Arial" w:hAnsi="Arial" w:cs="Arial"/>
            <w:sz w:val="22"/>
            <w:szCs w:val="22"/>
          </w:rPr>
          <w:t>https://www.legislation.gov.uk/ukpga/2022/31/contents</w:t>
        </w:r>
      </w:hyperlink>
      <w:r w:rsidRPr="00A910F9">
        <w:rPr>
          <w:rFonts w:ascii="Arial" w:hAnsi="Arial" w:cs="Arial"/>
          <w:sz w:val="22"/>
          <w:szCs w:val="22"/>
        </w:rPr>
        <w:t xml:space="preserve"> (Accessed: 2 March 2026).</w:t>
      </w:r>
    </w:p>
    <w:p w14:paraId="705C1F86"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Health and Social Care Act 2012 (2012) </w:t>
      </w:r>
      <w:r w:rsidRPr="00A910F9">
        <w:rPr>
          <w:rFonts w:ascii="Arial" w:hAnsi="Arial" w:cs="Arial"/>
          <w:i/>
          <w:iCs/>
          <w:sz w:val="22"/>
          <w:szCs w:val="22"/>
        </w:rPr>
        <w:t>Health and Social Care Act 2012</w:t>
      </w:r>
      <w:r w:rsidRPr="00A910F9">
        <w:rPr>
          <w:rFonts w:ascii="Arial" w:hAnsi="Arial" w:cs="Arial"/>
          <w:sz w:val="22"/>
          <w:szCs w:val="22"/>
        </w:rPr>
        <w:t xml:space="preserve">. London: The Stationery Office. Available at: </w:t>
      </w:r>
      <w:hyperlink r:id="rId11" w:tgtFrame="_new" w:history="1">
        <w:r w:rsidRPr="00A910F9">
          <w:rPr>
            <w:rStyle w:val="Hyperlink"/>
            <w:rFonts w:ascii="Arial" w:hAnsi="Arial" w:cs="Arial"/>
            <w:sz w:val="22"/>
            <w:szCs w:val="22"/>
          </w:rPr>
          <w:t>https://www.legislation.gov.uk/ukpga/2012/7/contents</w:t>
        </w:r>
      </w:hyperlink>
      <w:r w:rsidRPr="00A910F9">
        <w:rPr>
          <w:rFonts w:ascii="Arial" w:hAnsi="Arial" w:cs="Arial"/>
          <w:sz w:val="22"/>
          <w:szCs w:val="22"/>
        </w:rPr>
        <w:t xml:space="preserve"> (Accessed: 2 March 2026).</w:t>
      </w:r>
    </w:p>
    <w:p w14:paraId="19323D49"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Health Education England (2022). </w:t>
      </w:r>
      <w:r w:rsidRPr="0073683E">
        <w:rPr>
          <w:rFonts w:ascii="Arial" w:hAnsi="Arial" w:cs="Arial"/>
          <w:i/>
          <w:iCs/>
          <w:sz w:val="22"/>
          <w:szCs w:val="22"/>
        </w:rPr>
        <w:t>NHS Workforce Strategy</w:t>
      </w:r>
      <w:r w:rsidRPr="0073683E">
        <w:rPr>
          <w:rFonts w:ascii="Arial" w:hAnsi="Arial" w:cs="Arial"/>
          <w:sz w:val="22"/>
          <w:szCs w:val="22"/>
        </w:rPr>
        <w:t>. London: HEE.</w:t>
      </w:r>
    </w:p>
    <w:p w14:paraId="3765D8AF" w14:textId="77777777" w:rsidR="005F00B0" w:rsidRPr="00A910F9" w:rsidRDefault="005F00B0" w:rsidP="00A910F9">
      <w:pPr>
        <w:rPr>
          <w:rFonts w:ascii="Arial" w:hAnsi="Arial" w:cs="Arial"/>
          <w:sz w:val="22"/>
          <w:szCs w:val="22"/>
        </w:rPr>
      </w:pPr>
      <w:r w:rsidRPr="00A910F9">
        <w:rPr>
          <w:rFonts w:ascii="Arial" w:hAnsi="Arial" w:cs="Arial"/>
          <w:sz w:val="22"/>
          <w:szCs w:val="22"/>
        </w:rPr>
        <w:lastRenderedPageBreak/>
        <w:t xml:space="preserve">Health Foundation (2016) </w:t>
      </w:r>
      <w:r w:rsidRPr="00A910F9">
        <w:rPr>
          <w:rFonts w:ascii="Arial" w:hAnsi="Arial" w:cs="Arial"/>
          <w:i/>
          <w:iCs/>
          <w:sz w:val="22"/>
          <w:szCs w:val="22"/>
        </w:rPr>
        <w:t>Person-centred care made simple</w:t>
      </w:r>
      <w:r w:rsidRPr="00A910F9">
        <w:rPr>
          <w:rFonts w:ascii="Arial" w:hAnsi="Arial" w:cs="Arial"/>
          <w:sz w:val="22"/>
          <w:szCs w:val="22"/>
        </w:rPr>
        <w:t>. London: The Health Foundation.</w:t>
      </w:r>
    </w:p>
    <w:p w14:paraId="59369022" w14:textId="77777777" w:rsidR="005F00B0" w:rsidRPr="007E1233" w:rsidRDefault="005F00B0">
      <w:pPr>
        <w:rPr>
          <w:rFonts w:ascii="Arial" w:hAnsi="Arial" w:cs="Arial"/>
          <w:sz w:val="22"/>
          <w:szCs w:val="22"/>
        </w:rPr>
      </w:pPr>
      <w:r w:rsidRPr="007E1233">
        <w:rPr>
          <w:rFonts w:ascii="Arial" w:hAnsi="Arial" w:cs="Arial"/>
          <w:sz w:val="22"/>
          <w:szCs w:val="22"/>
        </w:rPr>
        <w:t xml:space="preserve">Leamy, M., Bird, V., Le Boutillier, C., Williams, J. and Slade, M. (2011) ‘Conceptual framework for personal recovery in mental health: systematic review and narrative synthesis’, </w:t>
      </w:r>
      <w:r w:rsidRPr="007E1233">
        <w:rPr>
          <w:rFonts w:ascii="Arial" w:hAnsi="Arial" w:cs="Arial"/>
          <w:i/>
          <w:sz w:val="22"/>
          <w:szCs w:val="22"/>
        </w:rPr>
        <w:t>British Journal of Psychiatry</w:t>
      </w:r>
      <w:r w:rsidRPr="007E1233">
        <w:rPr>
          <w:rFonts w:ascii="Arial" w:hAnsi="Arial" w:cs="Arial"/>
          <w:sz w:val="22"/>
          <w:szCs w:val="22"/>
        </w:rPr>
        <w:t>, 199(6), pp. 445-452.</w:t>
      </w:r>
    </w:p>
    <w:p w14:paraId="1D444B09" w14:textId="77777777" w:rsidR="005F00B0" w:rsidRPr="000530B7" w:rsidRDefault="005F00B0">
      <w:pPr>
        <w:rPr>
          <w:rFonts w:ascii="Arial" w:hAnsi="Arial" w:cs="Arial"/>
          <w:sz w:val="22"/>
          <w:szCs w:val="22"/>
        </w:rPr>
      </w:pPr>
      <w:r w:rsidRPr="007E1233">
        <w:rPr>
          <w:rStyle w:val="Strong"/>
          <w:rFonts w:ascii="Arial" w:hAnsi="Arial" w:cs="Arial"/>
          <w:b w:val="0"/>
          <w:sz w:val="22"/>
          <w:szCs w:val="22"/>
        </w:rPr>
        <w:t>Legislation. (2014).</w:t>
      </w:r>
      <w:r w:rsidRPr="007E1233">
        <w:rPr>
          <w:rFonts w:ascii="Arial" w:hAnsi="Arial" w:cs="Arial"/>
          <w:sz w:val="22"/>
          <w:szCs w:val="22"/>
        </w:rPr>
        <w:t xml:space="preserve"> </w:t>
      </w:r>
      <w:r w:rsidRPr="007E1233">
        <w:rPr>
          <w:rStyle w:val="Emphasis"/>
          <w:rFonts w:ascii="Arial" w:hAnsi="Arial" w:cs="Arial"/>
          <w:sz w:val="22"/>
          <w:szCs w:val="22"/>
        </w:rPr>
        <w:t>Care Act 2014, c.23: Section 42 — Enquiry by local authority</w:t>
      </w:r>
      <w:r w:rsidRPr="007E1233">
        <w:rPr>
          <w:rFonts w:ascii="Arial" w:hAnsi="Arial" w:cs="Arial"/>
          <w:sz w:val="22"/>
          <w:szCs w:val="22"/>
        </w:rPr>
        <w:t xml:space="preserve">. UK Parliament. Available at: </w:t>
      </w:r>
      <w:hyperlink r:id="rId12" w:tgtFrame="_new" w:history="1">
        <w:r w:rsidRPr="007E1233">
          <w:rPr>
            <w:rStyle w:val="Hyperlink"/>
            <w:rFonts w:ascii="Arial" w:hAnsi="Arial" w:cs="Arial"/>
            <w:sz w:val="22"/>
            <w:szCs w:val="22"/>
          </w:rPr>
          <w:t>https://www.legislation.gov.uk/ukpga/2014/23/section/42</w:t>
        </w:r>
      </w:hyperlink>
    </w:p>
    <w:p w14:paraId="614E8171"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Mental Capacity Act 2005 (2005) </w:t>
      </w:r>
      <w:r w:rsidRPr="00A910F9">
        <w:rPr>
          <w:rFonts w:ascii="Arial" w:hAnsi="Arial" w:cs="Arial"/>
          <w:i/>
          <w:iCs/>
          <w:sz w:val="22"/>
          <w:szCs w:val="22"/>
        </w:rPr>
        <w:t>Mental Capacity Act 2005</w:t>
      </w:r>
      <w:r w:rsidRPr="00A910F9">
        <w:rPr>
          <w:rFonts w:ascii="Arial" w:hAnsi="Arial" w:cs="Arial"/>
          <w:sz w:val="22"/>
          <w:szCs w:val="22"/>
        </w:rPr>
        <w:t xml:space="preserve">. London: The Stationery Office. Available at: </w:t>
      </w:r>
      <w:hyperlink r:id="rId13" w:tgtFrame="_new" w:history="1">
        <w:r w:rsidRPr="00A910F9">
          <w:rPr>
            <w:rStyle w:val="Hyperlink"/>
            <w:rFonts w:ascii="Arial" w:hAnsi="Arial" w:cs="Arial"/>
            <w:sz w:val="22"/>
            <w:szCs w:val="22"/>
          </w:rPr>
          <w:t>https://www.legislation.gov.uk/ukpga/2005/9/contents</w:t>
        </w:r>
      </w:hyperlink>
      <w:r w:rsidRPr="00A910F9">
        <w:rPr>
          <w:rFonts w:ascii="Arial" w:hAnsi="Arial" w:cs="Arial"/>
          <w:sz w:val="22"/>
          <w:szCs w:val="22"/>
        </w:rPr>
        <w:t xml:space="preserve"> (Accessed: 2 March 2026).</w:t>
      </w:r>
    </w:p>
    <w:p w14:paraId="1BC8C67C" w14:textId="77777777" w:rsidR="005F00B0" w:rsidRDefault="005F00B0" w:rsidP="00A910F9">
      <w:pPr>
        <w:rPr>
          <w:rFonts w:ascii="Arial" w:hAnsi="Arial" w:cs="Arial"/>
          <w:sz w:val="22"/>
          <w:szCs w:val="22"/>
        </w:rPr>
      </w:pPr>
      <w:r w:rsidRPr="00A910F9">
        <w:rPr>
          <w:rFonts w:ascii="Arial" w:hAnsi="Arial" w:cs="Arial"/>
          <w:sz w:val="22"/>
          <w:szCs w:val="22"/>
        </w:rPr>
        <w:t xml:space="preserve">Mental Health Act 1983 (amended 2007) (2007) </w:t>
      </w:r>
      <w:r w:rsidRPr="00A910F9">
        <w:rPr>
          <w:rFonts w:ascii="Arial" w:hAnsi="Arial" w:cs="Arial"/>
          <w:i/>
          <w:iCs/>
          <w:sz w:val="22"/>
          <w:szCs w:val="22"/>
        </w:rPr>
        <w:t>Mental Health Act 2007</w:t>
      </w:r>
      <w:r w:rsidRPr="00A910F9">
        <w:rPr>
          <w:rFonts w:ascii="Arial" w:hAnsi="Arial" w:cs="Arial"/>
          <w:sz w:val="22"/>
          <w:szCs w:val="22"/>
        </w:rPr>
        <w:t xml:space="preserve">. London: The Stationery Office. Available at: </w:t>
      </w:r>
      <w:hyperlink r:id="rId14" w:tgtFrame="_new" w:history="1">
        <w:r w:rsidRPr="00A910F9">
          <w:rPr>
            <w:rStyle w:val="Hyperlink"/>
            <w:rFonts w:ascii="Arial" w:hAnsi="Arial" w:cs="Arial"/>
            <w:sz w:val="22"/>
            <w:szCs w:val="22"/>
          </w:rPr>
          <w:t>https://www.legislation.gov.uk/ukpga/2007/12/contents</w:t>
        </w:r>
      </w:hyperlink>
      <w:r w:rsidRPr="00A910F9">
        <w:rPr>
          <w:rFonts w:ascii="Arial" w:hAnsi="Arial" w:cs="Arial"/>
          <w:sz w:val="22"/>
          <w:szCs w:val="22"/>
        </w:rPr>
        <w:t xml:space="preserve"> (Accessed: 2 March 2026).</w:t>
      </w:r>
    </w:p>
    <w:p w14:paraId="0073553F"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National Institute for Health and Care Excellence (2021) </w:t>
      </w:r>
      <w:r w:rsidRPr="00A910F9">
        <w:rPr>
          <w:rFonts w:ascii="Arial" w:hAnsi="Arial" w:cs="Arial"/>
          <w:i/>
          <w:iCs/>
          <w:sz w:val="22"/>
          <w:szCs w:val="22"/>
        </w:rPr>
        <w:t>Shared decision making</w:t>
      </w:r>
      <w:r w:rsidRPr="00A910F9">
        <w:rPr>
          <w:rFonts w:ascii="Arial" w:hAnsi="Arial" w:cs="Arial"/>
          <w:sz w:val="22"/>
          <w:szCs w:val="22"/>
        </w:rPr>
        <w:t xml:space="preserve"> (NG197). London: NICE. Available at: </w:t>
      </w:r>
      <w:hyperlink r:id="rId15" w:tgtFrame="_new" w:history="1">
        <w:r w:rsidRPr="00A910F9">
          <w:rPr>
            <w:rStyle w:val="Hyperlink"/>
            <w:rFonts w:ascii="Arial" w:hAnsi="Arial" w:cs="Arial"/>
            <w:sz w:val="22"/>
            <w:szCs w:val="22"/>
          </w:rPr>
          <w:t>https://www.nice.org.uk/guidance/ng197</w:t>
        </w:r>
      </w:hyperlink>
      <w:r w:rsidRPr="00A910F9">
        <w:rPr>
          <w:rFonts w:ascii="Arial" w:hAnsi="Arial" w:cs="Arial"/>
          <w:sz w:val="22"/>
          <w:szCs w:val="22"/>
        </w:rPr>
        <w:t xml:space="preserve"> (Accessed: 2 March 2026). </w:t>
      </w:r>
    </w:p>
    <w:p w14:paraId="639A0F53"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Needham, C. and Carr, S. (2009). </w:t>
      </w:r>
      <w:r w:rsidRPr="0073683E">
        <w:rPr>
          <w:rFonts w:ascii="Arial" w:hAnsi="Arial" w:cs="Arial"/>
          <w:i/>
          <w:iCs/>
          <w:sz w:val="22"/>
          <w:szCs w:val="22"/>
        </w:rPr>
        <w:t>Co-production: An emerging evidence base for adult social care transformation</w:t>
      </w:r>
      <w:r w:rsidRPr="0073683E">
        <w:rPr>
          <w:rFonts w:ascii="Arial" w:hAnsi="Arial" w:cs="Arial"/>
          <w:sz w:val="22"/>
          <w:szCs w:val="22"/>
        </w:rPr>
        <w:t>. London: SCIE.</w:t>
      </w:r>
    </w:p>
    <w:p w14:paraId="284AE142"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NHS England (2019). </w:t>
      </w:r>
      <w:r w:rsidRPr="0073683E">
        <w:rPr>
          <w:rFonts w:ascii="Arial" w:hAnsi="Arial" w:cs="Arial"/>
          <w:i/>
          <w:iCs/>
          <w:sz w:val="22"/>
          <w:szCs w:val="22"/>
        </w:rPr>
        <w:t>The NHS Long Term Plan</w:t>
      </w:r>
      <w:r w:rsidRPr="0073683E">
        <w:rPr>
          <w:rFonts w:ascii="Arial" w:hAnsi="Arial" w:cs="Arial"/>
          <w:sz w:val="22"/>
          <w:szCs w:val="22"/>
        </w:rPr>
        <w:t>. London: NHS England.</w:t>
      </w:r>
    </w:p>
    <w:p w14:paraId="5BB07AD0" w14:textId="77777777" w:rsidR="005F00B0" w:rsidRPr="0073683E" w:rsidRDefault="005F00B0" w:rsidP="0073683E">
      <w:pPr>
        <w:rPr>
          <w:rFonts w:ascii="Arial" w:hAnsi="Arial" w:cs="Arial"/>
          <w:sz w:val="22"/>
          <w:szCs w:val="22"/>
        </w:rPr>
      </w:pPr>
      <w:r w:rsidRPr="0073683E">
        <w:rPr>
          <w:rFonts w:ascii="Arial" w:hAnsi="Arial" w:cs="Arial"/>
          <w:sz w:val="22"/>
          <w:szCs w:val="22"/>
        </w:rPr>
        <w:t xml:space="preserve">NHS England (2022). </w:t>
      </w:r>
      <w:r w:rsidRPr="0073683E">
        <w:rPr>
          <w:rFonts w:ascii="Arial" w:hAnsi="Arial" w:cs="Arial"/>
          <w:i/>
          <w:iCs/>
          <w:sz w:val="22"/>
          <w:szCs w:val="22"/>
        </w:rPr>
        <w:t>Integrated Care Systems: Design framework</w:t>
      </w:r>
      <w:r w:rsidRPr="0073683E">
        <w:rPr>
          <w:rFonts w:ascii="Arial" w:hAnsi="Arial" w:cs="Arial"/>
          <w:sz w:val="22"/>
          <w:szCs w:val="22"/>
        </w:rPr>
        <w:t>. London: NHS England.</w:t>
      </w:r>
    </w:p>
    <w:p w14:paraId="1C64759A"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Nolte, E. and McKee, M. (2008) ‘Integration and chronic care: a review’, in Nolte, E. and McKee, M. (eds.) </w:t>
      </w:r>
      <w:r w:rsidRPr="00A910F9">
        <w:rPr>
          <w:rFonts w:ascii="Arial" w:hAnsi="Arial" w:cs="Arial"/>
          <w:i/>
          <w:iCs/>
          <w:sz w:val="22"/>
          <w:szCs w:val="22"/>
        </w:rPr>
        <w:t>Caring for people with chronic conditions: a health system perspective</w:t>
      </w:r>
      <w:r w:rsidRPr="00A910F9">
        <w:rPr>
          <w:rFonts w:ascii="Arial" w:hAnsi="Arial" w:cs="Arial"/>
          <w:sz w:val="22"/>
          <w:szCs w:val="22"/>
        </w:rPr>
        <w:t>. Maidenhead: Open University Press, pp. 64–91.</w:t>
      </w:r>
    </w:p>
    <w:p w14:paraId="550047F8" w14:textId="77777777" w:rsidR="005F00B0" w:rsidRPr="000530B7" w:rsidRDefault="005F00B0" w:rsidP="00A910F9">
      <w:pPr>
        <w:rPr>
          <w:rFonts w:ascii="Arial" w:hAnsi="Arial" w:cs="Arial"/>
          <w:sz w:val="22"/>
          <w:szCs w:val="22"/>
        </w:rPr>
      </w:pPr>
      <w:r w:rsidRPr="007E1233">
        <w:rPr>
          <w:rFonts w:ascii="Arial" w:hAnsi="Arial" w:cs="Arial"/>
          <w:sz w:val="22"/>
          <w:szCs w:val="22"/>
        </w:rPr>
        <w:t xml:space="preserve">Norcross, J.C. and Lambert, M.J. (2018) ‘Psychotherapy relationships that work III’, </w:t>
      </w:r>
      <w:r w:rsidRPr="007E1233">
        <w:rPr>
          <w:rFonts w:ascii="Arial" w:hAnsi="Arial" w:cs="Arial"/>
          <w:i/>
          <w:sz w:val="22"/>
          <w:szCs w:val="22"/>
        </w:rPr>
        <w:t>Psychotherapy,</w:t>
      </w:r>
      <w:r w:rsidRPr="007E1233">
        <w:rPr>
          <w:rFonts w:ascii="Arial" w:hAnsi="Arial" w:cs="Arial"/>
          <w:sz w:val="22"/>
          <w:szCs w:val="22"/>
        </w:rPr>
        <w:t xml:space="preserve"> 56(4), pp. 423-425.</w:t>
      </w:r>
    </w:p>
    <w:p w14:paraId="06D5E9B0" w14:textId="77777777" w:rsidR="005F00B0" w:rsidRDefault="005F00B0">
      <w:pPr>
        <w:rPr>
          <w:rFonts w:ascii="Arial" w:hAnsi="Arial" w:cs="Arial"/>
          <w:sz w:val="22"/>
          <w:szCs w:val="22"/>
        </w:rPr>
      </w:pPr>
      <w:r w:rsidRPr="00333826">
        <w:rPr>
          <w:rFonts w:ascii="Arial" w:hAnsi="Arial" w:cs="Arial"/>
          <w:sz w:val="22"/>
          <w:szCs w:val="22"/>
        </w:rPr>
        <w:t xml:space="preserve">Priebe, S. and McCabe, R. (2008) ‘Therapeutic relationships in psychiatry: The basis of therapy or therapy in itself?’, </w:t>
      </w:r>
      <w:r w:rsidRPr="00333826">
        <w:rPr>
          <w:rFonts w:ascii="Arial" w:hAnsi="Arial" w:cs="Arial"/>
          <w:i/>
          <w:iCs/>
          <w:sz w:val="22"/>
          <w:szCs w:val="22"/>
        </w:rPr>
        <w:t>International Review of Psychiatry</w:t>
      </w:r>
      <w:r w:rsidRPr="00333826">
        <w:rPr>
          <w:rFonts w:ascii="Arial" w:hAnsi="Arial" w:cs="Arial"/>
          <w:sz w:val="22"/>
          <w:szCs w:val="22"/>
        </w:rPr>
        <w:t>, 20(6), pp. 521–526.</w:t>
      </w:r>
    </w:p>
    <w:p w14:paraId="5772AA53" w14:textId="77777777" w:rsidR="005F00B0" w:rsidRPr="00A910F9" w:rsidRDefault="005F00B0" w:rsidP="00A910F9">
      <w:pPr>
        <w:rPr>
          <w:rFonts w:ascii="Arial" w:hAnsi="Arial" w:cs="Arial"/>
          <w:sz w:val="22"/>
          <w:szCs w:val="22"/>
        </w:rPr>
      </w:pPr>
      <w:r w:rsidRPr="00A910F9">
        <w:rPr>
          <w:rFonts w:ascii="Arial" w:hAnsi="Arial" w:cs="Arial"/>
          <w:sz w:val="22"/>
          <w:szCs w:val="22"/>
        </w:rPr>
        <w:t xml:space="preserve">Rogers, C.R. (1951) </w:t>
      </w:r>
      <w:r w:rsidRPr="00A910F9">
        <w:rPr>
          <w:rFonts w:ascii="Arial" w:hAnsi="Arial" w:cs="Arial"/>
          <w:i/>
          <w:iCs/>
          <w:sz w:val="22"/>
          <w:szCs w:val="22"/>
        </w:rPr>
        <w:t>Client-centered therapy: its current practice, implications and theory</w:t>
      </w:r>
      <w:r w:rsidRPr="00A910F9">
        <w:rPr>
          <w:rFonts w:ascii="Arial" w:hAnsi="Arial" w:cs="Arial"/>
          <w:sz w:val="22"/>
          <w:szCs w:val="22"/>
        </w:rPr>
        <w:t>. Boston: Houghton Mifflin.</w:t>
      </w:r>
    </w:p>
    <w:p w14:paraId="64FD247E" w14:textId="77777777" w:rsidR="005F00B0" w:rsidRPr="007E1233" w:rsidRDefault="005F00B0" w:rsidP="00A910F9">
      <w:pPr>
        <w:rPr>
          <w:rFonts w:ascii="Arial" w:hAnsi="Arial" w:cs="Arial"/>
          <w:sz w:val="22"/>
          <w:szCs w:val="22"/>
        </w:rPr>
      </w:pPr>
      <w:r w:rsidRPr="007E1233">
        <w:rPr>
          <w:rFonts w:ascii="Arial" w:hAnsi="Arial" w:cs="Arial"/>
          <w:sz w:val="22"/>
          <w:szCs w:val="22"/>
        </w:rPr>
        <w:t xml:space="preserve">Slade, M. (2017) ‘Implementing shared decision making in routine mental health care’, </w:t>
      </w:r>
      <w:r w:rsidRPr="007E1233">
        <w:rPr>
          <w:rFonts w:ascii="Arial" w:hAnsi="Arial" w:cs="Arial"/>
          <w:i/>
          <w:sz w:val="22"/>
          <w:szCs w:val="22"/>
        </w:rPr>
        <w:t>World Psychiatry</w:t>
      </w:r>
      <w:r w:rsidRPr="007E1233">
        <w:rPr>
          <w:rFonts w:ascii="Arial" w:hAnsi="Arial" w:cs="Arial"/>
          <w:sz w:val="22"/>
          <w:szCs w:val="22"/>
        </w:rPr>
        <w:t>, 16(2), pp. 146-153.</w:t>
      </w:r>
    </w:p>
    <w:p w14:paraId="36D0BF8D" w14:textId="77777777" w:rsidR="005F00B0" w:rsidRPr="0073683E" w:rsidRDefault="005F00B0" w:rsidP="0073683E">
      <w:pPr>
        <w:rPr>
          <w:rFonts w:ascii="Arial" w:hAnsi="Arial" w:cs="Arial"/>
          <w:sz w:val="22"/>
          <w:szCs w:val="22"/>
        </w:rPr>
      </w:pPr>
      <w:r w:rsidRPr="0073683E">
        <w:rPr>
          <w:rFonts w:ascii="Arial" w:hAnsi="Arial" w:cs="Arial"/>
          <w:sz w:val="22"/>
          <w:szCs w:val="22"/>
        </w:rPr>
        <w:lastRenderedPageBreak/>
        <w:t xml:space="preserve">West, M., Eckert, R., Collins, B. and Chowla, R. (2017). </w:t>
      </w:r>
      <w:r w:rsidRPr="0073683E">
        <w:rPr>
          <w:rFonts w:ascii="Arial" w:hAnsi="Arial" w:cs="Arial"/>
          <w:i/>
          <w:iCs/>
          <w:sz w:val="22"/>
          <w:szCs w:val="22"/>
        </w:rPr>
        <w:t>Caring to change: How compassionate leadership can stimulate innovation in health care</w:t>
      </w:r>
      <w:r w:rsidRPr="0073683E">
        <w:rPr>
          <w:rFonts w:ascii="Arial" w:hAnsi="Arial" w:cs="Arial"/>
          <w:sz w:val="22"/>
          <w:szCs w:val="22"/>
        </w:rPr>
        <w:t>. London: The King’s Fund.</w:t>
      </w:r>
    </w:p>
    <w:p w14:paraId="015159DF" w14:textId="77777777" w:rsidR="005F00B0" w:rsidRDefault="005F00B0" w:rsidP="00A910F9">
      <w:pPr>
        <w:rPr>
          <w:rFonts w:ascii="Arial" w:hAnsi="Arial" w:cs="Arial"/>
          <w:sz w:val="22"/>
          <w:szCs w:val="22"/>
        </w:rPr>
      </w:pPr>
      <w:r w:rsidRPr="00A910F9">
        <w:rPr>
          <w:rFonts w:ascii="Arial" w:hAnsi="Arial" w:cs="Arial"/>
          <w:sz w:val="22"/>
          <w:szCs w:val="22"/>
        </w:rPr>
        <w:t xml:space="preserve">World Health Organization (2009) </w:t>
      </w:r>
      <w:r w:rsidRPr="00A910F9">
        <w:rPr>
          <w:rFonts w:ascii="Arial" w:hAnsi="Arial" w:cs="Arial"/>
          <w:i/>
          <w:iCs/>
          <w:sz w:val="22"/>
          <w:szCs w:val="22"/>
        </w:rPr>
        <w:t>Building a working definition of partnership</w:t>
      </w:r>
      <w:r w:rsidRPr="00A910F9">
        <w:rPr>
          <w:rFonts w:ascii="Arial" w:hAnsi="Arial" w:cs="Arial"/>
          <w:sz w:val="22"/>
          <w:szCs w:val="22"/>
        </w:rPr>
        <w:t>. Geneva: World Health Organization.</w:t>
      </w:r>
      <w:r>
        <w:rPr>
          <w:rFonts w:ascii="Arial" w:hAnsi="Arial" w:cs="Arial"/>
          <w:sz w:val="22"/>
          <w:szCs w:val="22"/>
        </w:rPr>
        <w:t xml:space="preserve"> Available at: </w:t>
      </w:r>
      <w:hyperlink r:id="rId16" w:history="1">
        <w:r w:rsidRPr="00C67A0B">
          <w:rPr>
            <w:rStyle w:val="Hyperlink"/>
            <w:rFonts w:ascii="Arial" w:hAnsi="Arial" w:cs="Arial"/>
            <w:sz w:val="22"/>
            <w:szCs w:val="22"/>
          </w:rPr>
          <w:t>https://cdn-test-cms.who.int/media-tes/docs/default</w:t>
        </w:r>
        <w:r w:rsidRPr="00C67A0B">
          <w:rPr>
            <w:rStyle w:val="Hyperlink"/>
            <w:rFonts w:ascii="Arial" w:hAnsi="Arial" w:cs="Arial"/>
            <w:sz w:val="22"/>
            <w:szCs w:val="22"/>
          </w:rPr>
          <w:noBreakHyphen/>
          <w:t>source/patient</w:t>
        </w:r>
        <w:r w:rsidRPr="00C67A0B">
          <w:rPr>
            <w:rStyle w:val="Hyperlink"/>
            <w:rFonts w:ascii="Arial" w:hAnsi="Arial" w:cs="Arial"/>
            <w:sz w:val="22"/>
            <w:szCs w:val="22"/>
          </w:rPr>
          <w:noBreakHyphen/>
          <w:t>safety/psf/apps/defining_partnerships</w:t>
        </w:r>
        <w:r w:rsidRPr="00C67A0B">
          <w:rPr>
            <w:rStyle w:val="Hyperlink"/>
            <w:rFonts w:ascii="Arial" w:hAnsi="Arial" w:cs="Arial"/>
            <w:sz w:val="22"/>
            <w:szCs w:val="22"/>
          </w:rPr>
          <w:noBreakHyphen/>
          <w:t>apps.pdf?sfvrsn=14d14805_11</w:t>
        </w:r>
      </w:hyperlink>
    </w:p>
    <w:p w14:paraId="28F164BA" w14:textId="77777777" w:rsidR="005F00B0" w:rsidRDefault="005F00B0" w:rsidP="0073683E">
      <w:r w:rsidRPr="0073683E">
        <w:rPr>
          <w:rFonts w:ascii="Arial" w:hAnsi="Arial" w:cs="Arial"/>
          <w:sz w:val="22"/>
          <w:szCs w:val="22"/>
        </w:rPr>
        <w:t xml:space="preserve">World Health Organization (2016). </w:t>
      </w:r>
      <w:r w:rsidRPr="0073683E">
        <w:rPr>
          <w:rFonts w:ascii="Arial" w:hAnsi="Arial" w:cs="Arial"/>
          <w:i/>
          <w:iCs/>
          <w:sz w:val="22"/>
          <w:szCs w:val="22"/>
        </w:rPr>
        <w:t>Framework on integrated, people-centred health services</w:t>
      </w:r>
      <w:r w:rsidRPr="0073683E">
        <w:rPr>
          <w:rFonts w:ascii="Arial" w:hAnsi="Arial" w:cs="Arial"/>
          <w:sz w:val="22"/>
          <w:szCs w:val="22"/>
        </w:rPr>
        <w:t>. Geneva: WHO.</w:t>
      </w:r>
      <w:r>
        <w:rPr>
          <w:rFonts w:ascii="Arial" w:hAnsi="Arial" w:cs="Arial"/>
          <w:sz w:val="22"/>
          <w:szCs w:val="22"/>
        </w:rPr>
        <w:t xml:space="preserve"> Available at: </w:t>
      </w:r>
      <w:hyperlink r:id="rId17" w:history="1">
        <w:r w:rsidRPr="00C67A0B">
          <w:rPr>
            <w:rStyle w:val="Hyperlink"/>
          </w:rPr>
          <w:t>https://apps.who.int/gb/ebwha/pdf_files/WHA69/A69_39</w:t>
        </w:r>
        <w:r w:rsidRPr="00C67A0B">
          <w:rPr>
            <w:rStyle w:val="Hyperlink"/>
          </w:rPr>
          <w:noBreakHyphen/>
          <w:t>en.pdf?ua=1%26ua%3D1</w:t>
        </w:r>
      </w:hyperlink>
    </w:p>
    <w:p w14:paraId="28BCF3EB" w14:textId="77777777" w:rsidR="003020FD" w:rsidRPr="00D54E5E" w:rsidRDefault="003020FD" w:rsidP="003020FD">
      <w:pPr>
        <w:rPr>
          <w:rFonts w:ascii="Arial" w:hAnsi="Arial" w:cs="Arial"/>
          <w:sz w:val="22"/>
          <w:szCs w:val="22"/>
        </w:rPr>
      </w:pPr>
      <w:r w:rsidRPr="00D54E5E">
        <w:rPr>
          <w:rFonts w:ascii="Arial" w:hAnsi="Arial" w:cs="Arial"/>
          <w:sz w:val="22"/>
          <w:szCs w:val="22"/>
        </w:rPr>
        <w:t xml:space="preserve">Department of Health (2015) </w:t>
      </w:r>
      <w:r w:rsidRPr="00D54E5E">
        <w:rPr>
          <w:rFonts w:ascii="Arial" w:hAnsi="Arial" w:cs="Arial"/>
          <w:i/>
          <w:iCs/>
          <w:sz w:val="22"/>
          <w:szCs w:val="22"/>
        </w:rPr>
        <w:t>Future in mind: Promoting, protecting and improving our children and young people’s mental health and wellbeing</w:t>
      </w:r>
      <w:r w:rsidRPr="00D54E5E">
        <w:rPr>
          <w:rFonts w:ascii="Arial" w:hAnsi="Arial" w:cs="Arial"/>
          <w:sz w:val="22"/>
          <w:szCs w:val="22"/>
        </w:rPr>
        <w:t>. London: Department of Health.</w:t>
      </w:r>
    </w:p>
    <w:p w14:paraId="73E6537D" w14:textId="77777777" w:rsidR="003020FD" w:rsidRPr="00D54E5E" w:rsidRDefault="003020FD" w:rsidP="003020FD">
      <w:pPr>
        <w:rPr>
          <w:rFonts w:ascii="Arial" w:hAnsi="Arial" w:cs="Arial"/>
          <w:sz w:val="22"/>
          <w:szCs w:val="22"/>
        </w:rPr>
      </w:pPr>
      <w:r w:rsidRPr="00D54E5E">
        <w:rPr>
          <w:rFonts w:ascii="Arial" w:hAnsi="Arial" w:cs="Arial"/>
          <w:sz w:val="22"/>
          <w:szCs w:val="22"/>
        </w:rPr>
        <w:t xml:space="preserve">Health and Care Professions Council (HCPC) (2016) </w:t>
      </w:r>
      <w:r w:rsidRPr="00D54E5E">
        <w:rPr>
          <w:rFonts w:ascii="Arial" w:hAnsi="Arial" w:cs="Arial"/>
          <w:i/>
          <w:iCs/>
          <w:sz w:val="22"/>
          <w:szCs w:val="22"/>
        </w:rPr>
        <w:t>Standards of conduct, performance and ethics</w:t>
      </w:r>
      <w:r w:rsidRPr="00D54E5E">
        <w:rPr>
          <w:rFonts w:ascii="Arial" w:hAnsi="Arial" w:cs="Arial"/>
          <w:sz w:val="22"/>
          <w:szCs w:val="22"/>
        </w:rPr>
        <w:t>. London: HCPC.</w:t>
      </w:r>
    </w:p>
    <w:p w14:paraId="1FC59E3D" w14:textId="77777777" w:rsidR="003020FD" w:rsidRPr="00D54E5E" w:rsidRDefault="003020FD" w:rsidP="003020FD">
      <w:pPr>
        <w:rPr>
          <w:rFonts w:ascii="Arial" w:hAnsi="Arial" w:cs="Arial"/>
          <w:sz w:val="22"/>
          <w:szCs w:val="22"/>
        </w:rPr>
      </w:pPr>
      <w:r w:rsidRPr="00D54E5E">
        <w:rPr>
          <w:rFonts w:ascii="Arial" w:hAnsi="Arial" w:cs="Arial"/>
          <w:sz w:val="22"/>
          <w:szCs w:val="22"/>
        </w:rPr>
        <w:t xml:space="preserve">NICE (2011) </w:t>
      </w:r>
      <w:r w:rsidRPr="00D54E5E">
        <w:rPr>
          <w:rFonts w:ascii="Arial" w:hAnsi="Arial" w:cs="Arial"/>
          <w:i/>
          <w:iCs/>
          <w:sz w:val="22"/>
          <w:szCs w:val="22"/>
        </w:rPr>
        <w:t>Service user experience in adult mental health: Improving the experience of care for people using adult NHS mental health services (CG136)</w:t>
      </w:r>
      <w:r w:rsidRPr="00D54E5E">
        <w:rPr>
          <w:rFonts w:ascii="Arial" w:hAnsi="Arial" w:cs="Arial"/>
          <w:sz w:val="22"/>
          <w:szCs w:val="22"/>
        </w:rPr>
        <w:t>. London: NICE.</w:t>
      </w:r>
    </w:p>
    <w:p w14:paraId="7B5447BF" w14:textId="77777777" w:rsidR="003020FD" w:rsidRPr="003020FD" w:rsidRDefault="003020FD" w:rsidP="003020FD">
      <w:pPr>
        <w:rPr>
          <w:rFonts w:ascii="Arial" w:hAnsi="Arial" w:cs="Arial"/>
          <w:sz w:val="22"/>
          <w:szCs w:val="22"/>
        </w:rPr>
      </w:pPr>
      <w:r w:rsidRPr="00D54E5E">
        <w:rPr>
          <w:rFonts w:ascii="Arial" w:hAnsi="Arial" w:cs="Arial"/>
          <w:sz w:val="22"/>
          <w:szCs w:val="22"/>
        </w:rPr>
        <w:t xml:space="preserve">World Health Organization (2021) </w:t>
      </w:r>
      <w:r w:rsidRPr="00D54E5E">
        <w:rPr>
          <w:rFonts w:ascii="Arial" w:hAnsi="Arial" w:cs="Arial"/>
          <w:i/>
          <w:iCs/>
          <w:sz w:val="22"/>
          <w:szCs w:val="22"/>
        </w:rPr>
        <w:t>Guidance on community mental health services: Promoting person-centred and rights-based approaches</w:t>
      </w:r>
      <w:r w:rsidRPr="00D54E5E">
        <w:rPr>
          <w:rFonts w:ascii="Arial" w:hAnsi="Arial" w:cs="Arial"/>
          <w:sz w:val="22"/>
          <w:szCs w:val="22"/>
        </w:rPr>
        <w:t>. Geneva: World Health Organization.</w:t>
      </w:r>
    </w:p>
    <w:p w14:paraId="67258B67" w14:textId="77777777" w:rsidR="00A27C4E" w:rsidRDefault="00A27C4E">
      <w:pPr>
        <w:rPr>
          <w:rFonts w:ascii="Arial" w:hAnsi="Arial" w:cs="Arial"/>
          <w:sz w:val="22"/>
          <w:szCs w:val="22"/>
        </w:rPr>
      </w:pPr>
    </w:p>
    <w:p w14:paraId="15E3DD3F" w14:textId="77777777" w:rsidR="00A27C4E" w:rsidRDefault="00A27C4E">
      <w:pPr>
        <w:rPr>
          <w:rFonts w:ascii="Arial" w:hAnsi="Arial" w:cs="Arial"/>
          <w:sz w:val="22"/>
          <w:szCs w:val="22"/>
        </w:rPr>
      </w:pPr>
    </w:p>
    <w:p w14:paraId="0B63B9DF" w14:textId="77777777" w:rsidR="00A27C4E" w:rsidRDefault="00A27C4E">
      <w:pPr>
        <w:rPr>
          <w:rFonts w:ascii="Arial" w:hAnsi="Arial" w:cs="Arial"/>
          <w:sz w:val="22"/>
          <w:szCs w:val="22"/>
        </w:rPr>
      </w:pPr>
    </w:p>
    <w:p w14:paraId="6ABCF983" w14:textId="77777777" w:rsidR="00A27C4E" w:rsidRDefault="00A27C4E">
      <w:pPr>
        <w:rPr>
          <w:rFonts w:ascii="Arial" w:hAnsi="Arial" w:cs="Arial"/>
          <w:sz w:val="22"/>
          <w:szCs w:val="22"/>
        </w:rPr>
      </w:pPr>
    </w:p>
    <w:p w14:paraId="64405C86" w14:textId="77777777" w:rsidR="00A27C4E" w:rsidRDefault="00A27C4E">
      <w:pPr>
        <w:rPr>
          <w:rFonts w:ascii="Arial" w:hAnsi="Arial" w:cs="Arial"/>
          <w:sz w:val="22"/>
          <w:szCs w:val="22"/>
        </w:rPr>
      </w:pPr>
    </w:p>
    <w:p w14:paraId="3AB3D166" w14:textId="77777777" w:rsidR="00A27C4E" w:rsidRDefault="00A27C4E">
      <w:pPr>
        <w:rPr>
          <w:rFonts w:ascii="Arial" w:hAnsi="Arial" w:cs="Arial"/>
          <w:sz w:val="22"/>
          <w:szCs w:val="22"/>
        </w:rPr>
      </w:pPr>
    </w:p>
    <w:p w14:paraId="6876DB4B" w14:textId="77777777" w:rsidR="00A27C4E" w:rsidRDefault="00A27C4E">
      <w:pPr>
        <w:rPr>
          <w:rFonts w:ascii="Arial" w:hAnsi="Arial" w:cs="Arial"/>
          <w:sz w:val="22"/>
          <w:szCs w:val="22"/>
        </w:rPr>
      </w:pPr>
    </w:p>
    <w:p w14:paraId="57720F63" w14:textId="77777777" w:rsidR="00A27C4E" w:rsidRDefault="00A27C4E">
      <w:pPr>
        <w:rPr>
          <w:rFonts w:ascii="Arial" w:hAnsi="Arial" w:cs="Arial"/>
          <w:sz w:val="22"/>
          <w:szCs w:val="22"/>
        </w:rPr>
      </w:pPr>
    </w:p>
    <w:p w14:paraId="2047D9D4" w14:textId="77777777" w:rsidR="00A27C4E" w:rsidRDefault="00A27C4E">
      <w:pPr>
        <w:rPr>
          <w:rFonts w:ascii="Arial" w:hAnsi="Arial" w:cs="Arial"/>
          <w:sz w:val="22"/>
          <w:szCs w:val="22"/>
        </w:rPr>
      </w:pPr>
    </w:p>
    <w:p w14:paraId="5F7643C7" w14:textId="77777777" w:rsidR="00A27C4E" w:rsidRDefault="00A27C4E">
      <w:pPr>
        <w:rPr>
          <w:rFonts w:ascii="Arial" w:hAnsi="Arial" w:cs="Arial"/>
          <w:sz w:val="22"/>
          <w:szCs w:val="22"/>
        </w:rPr>
      </w:pPr>
    </w:p>
    <w:p w14:paraId="13FB0C85" w14:textId="77777777" w:rsidR="00A27C4E" w:rsidRDefault="00A27C4E">
      <w:pPr>
        <w:rPr>
          <w:rFonts w:ascii="Arial" w:hAnsi="Arial" w:cs="Arial"/>
          <w:sz w:val="22"/>
          <w:szCs w:val="22"/>
        </w:rPr>
      </w:pPr>
    </w:p>
    <w:p w14:paraId="4C0C0D96" w14:textId="77777777" w:rsidR="00A27C4E" w:rsidRDefault="00A27C4E">
      <w:pPr>
        <w:rPr>
          <w:rFonts w:ascii="Arial" w:hAnsi="Arial" w:cs="Arial"/>
          <w:sz w:val="22"/>
          <w:szCs w:val="22"/>
        </w:rPr>
      </w:pPr>
    </w:p>
    <w:p w14:paraId="331B4A8F" w14:textId="77777777" w:rsidR="00A27C4E" w:rsidRDefault="00A27C4E">
      <w:pPr>
        <w:rPr>
          <w:rFonts w:ascii="Arial" w:hAnsi="Arial" w:cs="Arial"/>
          <w:sz w:val="22"/>
          <w:szCs w:val="22"/>
        </w:rPr>
      </w:pPr>
    </w:p>
    <w:p w14:paraId="0646DDF1" w14:textId="77777777" w:rsidR="00A27C4E" w:rsidRDefault="00A27C4E">
      <w:pPr>
        <w:rPr>
          <w:rFonts w:ascii="Arial" w:hAnsi="Arial" w:cs="Arial"/>
          <w:sz w:val="22"/>
          <w:szCs w:val="22"/>
        </w:rPr>
      </w:pPr>
    </w:p>
    <w:p w14:paraId="5D5FC76B" w14:textId="77777777" w:rsidR="00A27C4E" w:rsidRDefault="00A27C4E">
      <w:pPr>
        <w:rPr>
          <w:rFonts w:ascii="Arial" w:hAnsi="Arial" w:cs="Arial"/>
          <w:sz w:val="22"/>
          <w:szCs w:val="22"/>
        </w:rPr>
      </w:pPr>
    </w:p>
    <w:p w14:paraId="413E8386" w14:textId="77777777" w:rsidR="00A27C4E" w:rsidRDefault="00A27C4E">
      <w:pPr>
        <w:rPr>
          <w:rFonts w:ascii="Arial" w:hAnsi="Arial" w:cs="Arial"/>
          <w:sz w:val="22"/>
          <w:szCs w:val="22"/>
        </w:rPr>
      </w:pPr>
    </w:p>
    <w:p w14:paraId="33B2ECE3" w14:textId="2A801B7A" w:rsidR="00A27C4E" w:rsidRPr="00A27C4E" w:rsidRDefault="00A27C4E" w:rsidP="00A27C4E">
      <w:pPr>
        <w:rPr>
          <w:rFonts w:ascii="Arial" w:hAnsi="Arial" w:cs="Arial"/>
          <w:sz w:val="22"/>
          <w:szCs w:val="22"/>
        </w:rPr>
      </w:pPr>
    </w:p>
    <w:p w14:paraId="4A2567D3" w14:textId="77777777" w:rsidR="00A27C4E" w:rsidRPr="00790F20" w:rsidRDefault="00A27C4E">
      <w:pPr>
        <w:rPr>
          <w:rFonts w:ascii="Arial" w:hAnsi="Arial" w:cs="Arial"/>
          <w:sz w:val="22"/>
          <w:szCs w:val="22"/>
        </w:rPr>
      </w:pPr>
    </w:p>
    <w:sectPr w:rsidR="00A27C4E" w:rsidRPr="00790F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9449A" w14:textId="77777777" w:rsidR="00AD1ED3" w:rsidRDefault="00AD1ED3" w:rsidP="00861E73">
      <w:pPr>
        <w:spacing w:after="0" w:line="240" w:lineRule="auto"/>
      </w:pPr>
      <w:r>
        <w:separator/>
      </w:r>
    </w:p>
  </w:endnote>
  <w:endnote w:type="continuationSeparator" w:id="0">
    <w:p w14:paraId="326F091C" w14:textId="77777777" w:rsidR="00AD1ED3" w:rsidRDefault="00AD1ED3" w:rsidP="00861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9D8E4" w14:textId="77777777" w:rsidR="00AD1ED3" w:rsidRDefault="00AD1ED3" w:rsidP="00861E73">
      <w:pPr>
        <w:spacing w:after="0" w:line="240" w:lineRule="auto"/>
      </w:pPr>
      <w:r>
        <w:separator/>
      </w:r>
    </w:p>
  </w:footnote>
  <w:footnote w:type="continuationSeparator" w:id="0">
    <w:p w14:paraId="7C665130" w14:textId="77777777" w:rsidR="00AD1ED3" w:rsidRDefault="00AD1ED3" w:rsidP="00861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E48B8"/>
    <w:multiLevelType w:val="hybridMultilevel"/>
    <w:tmpl w:val="E50CA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2055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BD9"/>
    <w:rsid w:val="000264FF"/>
    <w:rsid w:val="00044254"/>
    <w:rsid w:val="000530B7"/>
    <w:rsid w:val="00065BD9"/>
    <w:rsid w:val="000C4DDC"/>
    <w:rsid w:val="00117E43"/>
    <w:rsid w:val="00147D7E"/>
    <w:rsid w:val="00195DD3"/>
    <w:rsid w:val="001E2F35"/>
    <w:rsid w:val="001E613F"/>
    <w:rsid w:val="00203F06"/>
    <w:rsid w:val="00207A7B"/>
    <w:rsid w:val="00294D03"/>
    <w:rsid w:val="002C3A16"/>
    <w:rsid w:val="002D1303"/>
    <w:rsid w:val="003020FD"/>
    <w:rsid w:val="00333826"/>
    <w:rsid w:val="00342C70"/>
    <w:rsid w:val="003625E0"/>
    <w:rsid w:val="0037662F"/>
    <w:rsid w:val="00387E93"/>
    <w:rsid w:val="003D17F0"/>
    <w:rsid w:val="00447760"/>
    <w:rsid w:val="00464BF8"/>
    <w:rsid w:val="00471FE3"/>
    <w:rsid w:val="0049585A"/>
    <w:rsid w:val="004F20A8"/>
    <w:rsid w:val="005B0671"/>
    <w:rsid w:val="005B4356"/>
    <w:rsid w:val="005D55D7"/>
    <w:rsid w:val="005F00B0"/>
    <w:rsid w:val="006622E5"/>
    <w:rsid w:val="006814A6"/>
    <w:rsid w:val="006F0DAA"/>
    <w:rsid w:val="0071107D"/>
    <w:rsid w:val="00727BEF"/>
    <w:rsid w:val="0073683E"/>
    <w:rsid w:val="00773D33"/>
    <w:rsid w:val="00790F20"/>
    <w:rsid w:val="007D4C7E"/>
    <w:rsid w:val="007E1233"/>
    <w:rsid w:val="00861E73"/>
    <w:rsid w:val="00875040"/>
    <w:rsid w:val="00937D84"/>
    <w:rsid w:val="00944E3F"/>
    <w:rsid w:val="00A143CA"/>
    <w:rsid w:val="00A27C4E"/>
    <w:rsid w:val="00A910F9"/>
    <w:rsid w:val="00AD1ED3"/>
    <w:rsid w:val="00AE1D32"/>
    <w:rsid w:val="00AE78E5"/>
    <w:rsid w:val="00B33E61"/>
    <w:rsid w:val="00B9440D"/>
    <w:rsid w:val="00BA504C"/>
    <w:rsid w:val="00C65D96"/>
    <w:rsid w:val="00C73AF5"/>
    <w:rsid w:val="00CB36E5"/>
    <w:rsid w:val="00CE75ED"/>
    <w:rsid w:val="00D0526B"/>
    <w:rsid w:val="00D54E5E"/>
    <w:rsid w:val="00D70128"/>
    <w:rsid w:val="00D7657B"/>
    <w:rsid w:val="00DA007B"/>
    <w:rsid w:val="00DA3783"/>
    <w:rsid w:val="00DF41F2"/>
    <w:rsid w:val="00E346F8"/>
    <w:rsid w:val="00E568DF"/>
    <w:rsid w:val="00E70724"/>
    <w:rsid w:val="00E75760"/>
    <w:rsid w:val="00EE7B68"/>
    <w:rsid w:val="00F308F4"/>
    <w:rsid w:val="00F7747B"/>
    <w:rsid w:val="00F8225E"/>
    <w:rsid w:val="00FD171B"/>
    <w:rsid w:val="00FE77E2"/>
    <w:rsid w:val="00FF7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54FE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C7E"/>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944E3F"/>
    <w:pPr>
      <w:keepNext/>
      <w:keepLines/>
      <w:spacing w:before="360" w:after="80"/>
      <w:outlineLvl w:val="0"/>
    </w:pPr>
    <w:rPr>
      <w:rFonts w:ascii="Arial" w:eastAsiaTheme="majorEastAsia" w:hAnsi="Arial" w:cs="Arial"/>
      <w:b/>
      <w:color w:val="000000" w:themeColor="text1"/>
      <w:sz w:val="22"/>
      <w:szCs w:val="22"/>
    </w:rPr>
  </w:style>
  <w:style w:type="paragraph" w:styleId="Heading2">
    <w:name w:val="heading 2"/>
    <w:basedOn w:val="Normal"/>
    <w:next w:val="Normal"/>
    <w:link w:val="Heading2Char"/>
    <w:autoRedefine/>
    <w:uiPriority w:val="9"/>
    <w:semiHidden/>
    <w:unhideWhenUsed/>
    <w:qFormat/>
    <w:rsid w:val="007D4C7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semiHidden/>
    <w:unhideWhenUsed/>
    <w:qFormat/>
    <w:rsid w:val="00E75760"/>
    <w:pPr>
      <w:keepNext/>
      <w:keepLines/>
      <w:spacing w:before="160" w:after="80" w:line="278" w:lineRule="auto"/>
      <w:jc w:val="left"/>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065BD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65BD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65B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5B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5B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5B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E3F"/>
    <w:rPr>
      <w:rFonts w:ascii="Arial" w:eastAsiaTheme="majorEastAsia" w:hAnsi="Arial" w:cs="Arial"/>
      <w:b/>
      <w:color w:val="000000" w:themeColor="text1"/>
      <w:sz w:val="22"/>
      <w:szCs w:val="22"/>
    </w:rPr>
  </w:style>
  <w:style w:type="character" w:customStyle="1" w:styleId="Heading2Char">
    <w:name w:val="Heading 2 Char"/>
    <w:basedOn w:val="DefaultParagraphFont"/>
    <w:link w:val="Heading2"/>
    <w:uiPriority w:val="9"/>
    <w:semiHidden/>
    <w:rsid w:val="007D4C7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E75760"/>
    <w:rPr>
      <w:rFonts w:ascii="Times New Roman" w:eastAsiaTheme="majorEastAsia" w:hAnsi="Times New Roman" w:cstheme="majorBidi"/>
      <w:szCs w:val="28"/>
    </w:rPr>
  </w:style>
  <w:style w:type="paragraph" w:styleId="Caption">
    <w:name w:val="caption"/>
    <w:basedOn w:val="Normal"/>
    <w:next w:val="Normal"/>
    <w:autoRedefine/>
    <w:uiPriority w:val="35"/>
    <w:unhideWhenUsed/>
    <w:qFormat/>
    <w:rsid w:val="00E75760"/>
    <w:pPr>
      <w:spacing w:after="200" w:line="240" w:lineRule="auto"/>
      <w:jc w:val="left"/>
    </w:pPr>
    <w:rPr>
      <w:i/>
      <w:iCs/>
      <w:color w:val="000000" w:themeColor="text1"/>
      <w:szCs w:val="18"/>
    </w:rPr>
  </w:style>
  <w:style w:type="character" w:customStyle="1" w:styleId="Heading4Char">
    <w:name w:val="Heading 4 Char"/>
    <w:basedOn w:val="DefaultParagraphFont"/>
    <w:link w:val="Heading4"/>
    <w:uiPriority w:val="9"/>
    <w:semiHidden/>
    <w:rsid w:val="00065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5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5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5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5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5BD9"/>
    <w:rPr>
      <w:rFonts w:eastAsiaTheme="majorEastAsia" w:cstheme="majorBidi"/>
      <w:color w:val="272727" w:themeColor="text1" w:themeTint="D8"/>
    </w:rPr>
  </w:style>
  <w:style w:type="paragraph" w:styleId="Title">
    <w:name w:val="Title"/>
    <w:basedOn w:val="Normal"/>
    <w:next w:val="Normal"/>
    <w:link w:val="TitleChar"/>
    <w:uiPriority w:val="10"/>
    <w:qFormat/>
    <w:rsid w:val="00065B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5B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5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BD9"/>
    <w:pPr>
      <w:spacing w:before="160"/>
      <w:jc w:val="center"/>
    </w:pPr>
    <w:rPr>
      <w:i/>
      <w:iCs/>
      <w:color w:val="404040" w:themeColor="text1" w:themeTint="BF"/>
    </w:rPr>
  </w:style>
  <w:style w:type="character" w:customStyle="1" w:styleId="QuoteChar">
    <w:name w:val="Quote Char"/>
    <w:basedOn w:val="DefaultParagraphFont"/>
    <w:link w:val="Quote"/>
    <w:uiPriority w:val="29"/>
    <w:rsid w:val="00065BD9"/>
    <w:rPr>
      <w:rFonts w:ascii="Times New Roman" w:hAnsi="Times New Roman"/>
      <w:i/>
      <w:iCs/>
      <w:color w:val="404040" w:themeColor="text1" w:themeTint="BF"/>
    </w:rPr>
  </w:style>
  <w:style w:type="paragraph" w:styleId="ListParagraph">
    <w:name w:val="List Paragraph"/>
    <w:basedOn w:val="Normal"/>
    <w:uiPriority w:val="34"/>
    <w:qFormat/>
    <w:rsid w:val="00065BD9"/>
    <w:pPr>
      <w:ind w:left="720"/>
      <w:contextualSpacing/>
    </w:pPr>
  </w:style>
  <w:style w:type="character" w:styleId="IntenseEmphasis">
    <w:name w:val="Intense Emphasis"/>
    <w:basedOn w:val="DefaultParagraphFont"/>
    <w:uiPriority w:val="21"/>
    <w:qFormat/>
    <w:rsid w:val="00065BD9"/>
    <w:rPr>
      <w:i/>
      <w:iCs/>
      <w:color w:val="0F4761" w:themeColor="accent1" w:themeShade="BF"/>
    </w:rPr>
  </w:style>
  <w:style w:type="paragraph" w:styleId="IntenseQuote">
    <w:name w:val="Intense Quote"/>
    <w:basedOn w:val="Normal"/>
    <w:next w:val="Normal"/>
    <w:link w:val="IntenseQuoteChar"/>
    <w:uiPriority w:val="30"/>
    <w:qFormat/>
    <w:rsid w:val="00065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5BD9"/>
    <w:rPr>
      <w:rFonts w:ascii="Times New Roman" w:hAnsi="Times New Roman"/>
      <w:i/>
      <w:iCs/>
      <w:color w:val="0F4761" w:themeColor="accent1" w:themeShade="BF"/>
    </w:rPr>
  </w:style>
  <w:style w:type="character" w:styleId="IntenseReference">
    <w:name w:val="Intense Reference"/>
    <w:basedOn w:val="DefaultParagraphFont"/>
    <w:uiPriority w:val="32"/>
    <w:qFormat/>
    <w:rsid w:val="00065BD9"/>
    <w:rPr>
      <w:b/>
      <w:bCs/>
      <w:smallCaps/>
      <w:color w:val="0F4761" w:themeColor="accent1" w:themeShade="BF"/>
      <w:spacing w:val="5"/>
    </w:rPr>
  </w:style>
  <w:style w:type="character" w:styleId="Hyperlink">
    <w:name w:val="Hyperlink"/>
    <w:basedOn w:val="DefaultParagraphFont"/>
    <w:uiPriority w:val="99"/>
    <w:unhideWhenUsed/>
    <w:rsid w:val="00C73AF5"/>
    <w:rPr>
      <w:color w:val="467886" w:themeColor="hyperlink"/>
      <w:u w:val="single"/>
    </w:rPr>
  </w:style>
  <w:style w:type="character" w:styleId="UnresolvedMention">
    <w:name w:val="Unresolved Mention"/>
    <w:basedOn w:val="DefaultParagraphFont"/>
    <w:uiPriority w:val="99"/>
    <w:semiHidden/>
    <w:unhideWhenUsed/>
    <w:rsid w:val="00C73AF5"/>
    <w:rPr>
      <w:color w:val="605E5C"/>
      <w:shd w:val="clear" w:color="auto" w:fill="E1DFDD"/>
    </w:rPr>
  </w:style>
  <w:style w:type="paragraph" w:styleId="TOCHeading">
    <w:name w:val="TOC Heading"/>
    <w:basedOn w:val="Heading1"/>
    <w:next w:val="Normal"/>
    <w:uiPriority w:val="39"/>
    <w:unhideWhenUsed/>
    <w:qFormat/>
    <w:rsid w:val="0087504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75040"/>
    <w:pPr>
      <w:spacing w:after="100"/>
    </w:pPr>
  </w:style>
  <w:style w:type="paragraph" w:styleId="TOC2">
    <w:name w:val="toc 2"/>
    <w:basedOn w:val="Normal"/>
    <w:next w:val="Normal"/>
    <w:autoRedefine/>
    <w:uiPriority w:val="39"/>
    <w:unhideWhenUsed/>
    <w:rsid w:val="00875040"/>
    <w:pPr>
      <w:spacing w:after="100"/>
      <w:ind w:left="240"/>
    </w:pPr>
  </w:style>
  <w:style w:type="paragraph" w:styleId="Header">
    <w:name w:val="header"/>
    <w:basedOn w:val="Normal"/>
    <w:link w:val="HeaderChar"/>
    <w:uiPriority w:val="99"/>
    <w:unhideWhenUsed/>
    <w:rsid w:val="00861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E73"/>
    <w:rPr>
      <w:rFonts w:ascii="Times New Roman" w:hAnsi="Times New Roman"/>
    </w:rPr>
  </w:style>
  <w:style w:type="paragraph" w:styleId="Footer">
    <w:name w:val="footer"/>
    <w:basedOn w:val="Normal"/>
    <w:link w:val="FooterChar"/>
    <w:uiPriority w:val="99"/>
    <w:unhideWhenUsed/>
    <w:rsid w:val="00861E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E73"/>
    <w:rPr>
      <w:rFonts w:ascii="Times New Roman" w:hAnsi="Times New Roman"/>
    </w:rPr>
  </w:style>
  <w:style w:type="character" w:styleId="CommentReference">
    <w:name w:val="annotation reference"/>
    <w:basedOn w:val="DefaultParagraphFont"/>
    <w:uiPriority w:val="99"/>
    <w:semiHidden/>
    <w:unhideWhenUsed/>
    <w:rsid w:val="00F308F4"/>
    <w:rPr>
      <w:sz w:val="16"/>
      <w:szCs w:val="16"/>
    </w:rPr>
  </w:style>
  <w:style w:type="paragraph" w:styleId="CommentText">
    <w:name w:val="annotation text"/>
    <w:basedOn w:val="Normal"/>
    <w:link w:val="CommentTextChar"/>
    <w:uiPriority w:val="99"/>
    <w:semiHidden/>
    <w:unhideWhenUsed/>
    <w:rsid w:val="00F308F4"/>
    <w:pPr>
      <w:spacing w:line="240" w:lineRule="auto"/>
    </w:pPr>
    <w:rPr>
      <w:sz w:val="20"/>
      <w:szCs w:val="20"/>
    </w:rPr>
  </w:style>
  <w:style w:type="character" w:customStyle="1" w:styleId="CommentTextChar">
    <w:name w:val="Comment Text Char"/>
    <w:basedOn w:val="DefaultParagraphFont"/>
    <w:link w:val="CommentText"/>
    <w:uiPriority w:val="99"/>
    <w:semiHidden/>
    <w:rsid w:val="00F308F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308F4"/>
    <w:rPr>
      <w:b/>
      <w:bCs/>
    </w:rPr>
  </w:style>
  <w:style w:type="character" w:customStyle="1" w:styleId="CommentSubjectChar">
    <w:name w:val="Comment Subject Char"/>
    <w:basedOn w:val="CommentTextChar"/>
    <w:link w:val="CommentSubject"/>
    <w:uiPriority w:val="99"/>
    <w:semiHidden/>
    <w:rsid w:val="00F308F4"/>
    <w:rPr>
      <w:rFonts w:ascii="Times New Roman" w:hAnsi="Times New Roman"/>
      <w:b/>
      <w:bCs/>
      <w:sz w:val="20"/>
      <w:szCs w:val="20"/>
    </w:rPr>
  </w:style>
  <w:style w:type="paragraph" w:styleId="BalloonText">
    <w:name w:val="Balloon Text"/>
    <w:basedOn w:val="Normal"/>
    <w:link w:val="BalloonTextChar"/>
    <w:uiPriority w:val="99"/>
    <w:semiHidden/>
    <w:unhideWhenUsed/>
    <w:rsid w:val="00F308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08F4"/>
    <w:rPr>
      <w:rFonts w:ascii="Segoe UI" w:hAnsi="Segoe UI" w:cs="Segoe UI"/>
      <w:sz w:val="18"/>
      <w:szCs w:val="18"/>
    </w:rPr>
  </w:style>
  <w:style w:type="character" w:styleId="Strong">
    <w:name w:val="Strong"/>
    <w:basedOn w:val="DefaultParagraphFont"/>
    <w:uiPriority w:val="22"/>
    <w:qFormat/>
    <w:rsid w:val="000530B7"/>
    <w:rPr>
      <w:b/>
      <w:bCs/>
    </w:rPr>
  </w:style>
  <w:style w:type="character" w:styleId="Emphasis">
    <w:name w:val="Emphasis"/>
    <w:basedOn w:val="DefaultParagraphFont"/>
    <w:uiPriority w:val="20"/>
    <w:qFormat/>
    <w:rsid w:val="000530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32765/dhsc-annual-report-and-accounts-2018-to-2019.pdf?utm_source=chatgpt.com" TargetMode="External"/><Relationship Id="rId13" Type="http://schemas.openxmlformats.org/officeDocument/2006/relationships/hyperlink" Target="https://www.legislation.gov.uk/ukpga/2005/9/conten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pga/2014/23/section/42?utm_source=chatgpt.com" TargetMode="External"/><Relationship Id="rId17" Type="http://schemas.openxmlformats.org/officeDocument/2006/relationships/hyperlink" Target="https://apps.who.int/gb/ebwha/pdf_files/WHA69/A69_39en.pdf?ua=1%26ua%3D1" TargetMode="External"/><Relationship Id="rId2" Type="http://schemas.openxmlformats.org/officeDocument/2006/relationships/styles" Target="styles.xml"/><Relationship Id="rId16" Type="http://schemas.openxmlformats.org/officeDocument/2006/relationships/hyperlink" Target="https://cdn-test-cms.who.int/media-tes/docs/defaultsource/patientsafety/psf/apps/defining_partnershipsapps.pdf?sfvrsn=14d14805_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2/7/contents" TargetMode="External"/><Relationship Id="rId5" Type="http://schemas.openxmlformats.org/officeDocument/2006/relationships/footnotes" Target="footnotes.xml"/><Relationship Id="rId15" Type="http://schemas.openxmlformats.org/officeDocument/2006/relationships/hyperlink" Target="https://www.nice.org.uk/guidance/ng197?utm_source=chatgpt.com" TargetMode="External"/><Relationship Id="rId10" Type="http://schemas.openxmlformats.org/officeDocument/2006/relationships/hyperlink" Target="https://www.legislation.gov.uk/ukpga/2022/31/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legislation.gov.uk/ukpga/2007/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3985</Words>
  <Characters>22716</Characters>
  <Application>Microsoft Office Word</Application>
  <DocSecurity>0</DocSecurity>
  <Lines>189</Lines>
  <Paragraphs>53</Paragraphs>
  <ScaleCrop>false</ScaleCrop>
  <Company/>
  <LinksUpToDate>false</LinksUpToDate>
  <CharactersWithSpaces>26648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2026-03-21T11:20:00Z</dcterms:created>
  <dcterms:modified xsi:type="dcterms:W3CDTF">2026-03-21T11:20:00Z</dcterms:modified>
</cp:coreProperties>
</file>