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7A75" w:rsidRPr="00257A75" w:rsidRDefault="00257A75" w:rsidP="00257A75">
      <w:pPr>
        <w:spacing w:after="0" w:line="360" w:lineRule="auto"/>
        <w:rPr>
          <w:rFonts w:ascii="Arial" w:hAnsi="Arial" w:cs="Arial"/>
          <w:b/>
          <w:sz w:val="24"/>
          <w:szCs w:val="24"/>
        </w:rPr>
      </w:pPr>
      <w:bookmarkStart w:id="0" w:name="_GoBack"/>
      <w:r w:rsidRPr="00257A75">
        <w:rPr>
          <w:rFonts w:ascii="Arial" w:hAnsi="Arial" w:cs="Arial"/>
          <w:b/>
          <w:sz w:val="24"/>
          <w:szCs w:val="24"/>
        </w:rPr>
        <w:t>Module: Academic and employability skills</w:t>
      </w:r>
    </w:p>
    <w:p w:rsidR="00257A75" w:rsidRPr="00257A75" w:rsidRDefault="00257A75" w:rsidP="00257A75">
      <w:pPr>
        <w:spacing w:after="0" w:line="360" w:lineRule="auto"/>
        <w:rPr>
          <w:rFonts w:ascii="Arial" w:hAnsi="Arial" w:cs="Arial"/>
          <w:b/>
          <w:sz w:val="24"/>
          <w:szCs w:val="24"/>
        </w:rPr>
      </w:pPr>
      <w:r w:rsidRPr="00257A75">
        <w:rPr>
          <w:rFonts w:ascii="Arial" w:hAnsi="Arial" w:cs="Arial"/>
          <w:b/>
          <w:sz w:val="24"/>
          <w:szCs w:val="24"/>
        </w:rPr>
        <w:t>Module code: BMSW4001</w:t>
      </w:r>
    </w:p>
    <w:p w:rsidR="00257A75" w:rsidRPr="00257A75" w:rsidRDefault="00257A75" w:rsidP="00257A75">
      <w:pPr>
        <w:spacing w:after="0" w:line="360" w:lineRule="auto"/>
        <w:rPr>
          <w:rFonts w:ascii="Arial" w:hAnsi="Arial" w:cs="Arial"/>
          <w:b/>
          <w:sz w:val="24"/>
          <w:szCs w:val="24"/>
        </w:rPr>
      </w:pPr>
      <w:r w:rsidRPr="00257A75">
        <w:rPr>
          <w:rFonts w:ascii="Arial" w:hAnsi="Arial" w:cs="Arial"/>
          <w:b/>
          <w:sz w:val="24"/>
          <w:szCs w:val="24"/>
        </w:rPr>
        <w:t>Assignment Title: Task 1</w:t>
      </w:r>
    </w:p>
    <w:p w:rsidR="00257A75" w:rsidRPr="00257A75" w:rsidRDefault="00257A75" w:rsidP="00257A75">
      <w:pPr>
        <w:spacing w:after="0" w:line="360" w:lineRule="auto"/>
        <w:rPr>
          <w:rFonts w:ascii="Arial" w:hAnsi="Arial" w:cs="Arial"/>
          <w:b/>
          <w:sz w:val="24"/>
          <w:szCs w:val="24"/>
        </w:rPr>
      </w:pPr>
      <w:r w:rsidRPr="00257A75">
        <w:rPr>
          <w:rFonts w:ascii="Arial" w:hAnsi="Arial" w:cs="Arial"/>
          <w:b/>
          <w:sz w:val="24"/>
          <w:szCs w:val="24"/>
        </w:rPr>
        <w:t xml:space="preserve">Lecturer: Doreen Nyaa </w:t>
      </w:r>
    </w:p>
    <w:p w:rsidR="00257A75" w:rsidRPr="00257A75" w:rsidRDefault="00257A75" w:rsidP="00257A75">
      <w:pPr>
        <w:spacing w:after="0" w:line="360" w:lineRule="auto"/>
        <w:rPr>
          <w:rFonts w:ascii="Arial" w:hAnsi="Arial" w:cs="Arial"/>
          <w:b/>
          <w:sz w:val="24"/>
          <w:szCs w:val="24"/>
        </w:rPr>
      </w:pPr>
      <w:r w:rsidRPr="00257A75">
        <w:rPr>
          <w:rFonts w:ascii="Arial" w:hAnsi="Arial" w:cs="Arial"/>
          <w:b/>
          <w:sz w:val="24"/>
          <w:szCs w:val="24"/>
        </w:rPr>
        <w:t>Student name/Id number: Nicoleta Mocanu/2118432</w:t>
      </w:r>
    </w:p>
    <w:bookmarkEnd w:id="0"/>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w:t>
      </w:r>
    </w:p>
    <w:p w:rsidR="00257A75" w:rsidRDefault="00257A75">
      <w:pPr>
        <w:rPr>
          <w:rFonts w:ascii="Arial" w:hAnsi="Arial" w:cs="Arial"/>
          <w:sz w:val="24"/>
          <w:szCs w:val="24"/>
        </w:rPr>
      </w:pPr>
      <w:r>
        <w:rPr>
          <w:rFonts w:ascii="Arial" w:hAnsi="Arial" w:cs="Arial"/>
          <w:sz w:val="24"/>
          <w:szCs w:val="24"/>
        </w:rPr>
        <w:br w:type="page"/>
      </w:r>
    </w:p>
    <w:sdt>
      <w:sdtPr>
        <w:id w:val="6129850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257A75" w:rsidRPr="00257A75" w:rsidRDefault="00257A75" w:rsidP="00257A75">
          <w:pPr>
            <w:pStyle w:val="TOCHeading"/>
            <w:spacing w:line="360" w:lineRule="auto"/>
            <w:jc w:val="center"/>
            <w:rPr>
              <w:rFonts w:ascii="Arial" w:hAnsi="Arial" w:cs="Arial"/>
              <w:b/>
              <w:color w:val="auto"/>
              <w:sz w:val="22"/>
              <w:szCs w:val="22"/>
            </w:rPr>
          </w:pPr>
          <w:r w:rsidRPr="00257A75">
            <w:rPr>
              <w:rFonts w:ascii="Arial" w:hAnsi="Arial" w:cs="Arial"/>
              <w:b/>
              <w:color w:val="auto"/>
              <w:sz w:val="22"/>
              <w:szCs w:val="22"/>
            </w:rPr>
            <w:t>Table of Contents</w:t>
          </w:r>
        </w:p>
        <w:p w:rsidR="00257A75" w:rsidRDefault="00257A75" w:rsidP="00257A75">
          <w:pPr>
            <w:pStyle w:val="TOC1"/>
            <w:tabs>
              <w:tab w:val="right" w:leader="dot" w:pos="9350"/>
            </w:tabs>
            <w:spacing w:line="360" w:lineRule="auto"/>
            <w:rPr>
              <w:rFonts w:ascii="Arial" w:hAnsi="Arial" w:cs="Arial"/>
            </w:rPr>
          </w:pPr>
        </w:p>
        <w:p w:rsidR="00257A75" w:rsidRPr="00257A75" w:rsidRDefault="00257A75" w:rsidP="00257A75">
          <w:pPr>
            <w:pStyle w:val="TOC1"/>
            <w:tabs>
              <w:tab w:val="right" w:leader="dot" w:pos="9350"/>
            </w:tabs>
            <w:spacing w:line="360" w:lineRule="auto"/>
            <w:rPr>
              <w:rFonts w:ascii="Arial" w:hAnsi="Arial" w:cs="Arial"/>
              <w:noProof/>
            </w:rPr>
          </w:pPr>
          <w:r w:rsidRPr="00257A75">
            <w:rPr>
              <w:rFonts w:ascii="Arial" w:hAnsi="Arial" w:cs="Arial"/>
            </w:rPr>
            <w:fldChar w:fldCharType="begin"/>
          </w:r>
          <w:r w:rsidRPr="00257A75">
            <w:rPr>
              <w:rFonts w:ascii="Arial" w:hAnsi="Arial" w:cs="Arial"/>
            </w:rPr>
            <w:instrText xml:space="preserve"> TOC \o "1-3" \h \z \u </w:instrText>
          </w:r>
          <w:r w:rsidRPr="00257A75">
            <w:rPr>
              <w:rFonts w:ascii="Arial" w:hAnsi="Arial" w:cs="Arial"/>
            </w:rPr>
            <w:fldChar w:fldCharType="separate"/>
          </w:r>
          <w:hyperlink w:anchor="_Toc99811310" w:history="1">
            <w:r w:rsidRPr="00257A75">
              <w:rPr>
                <w:rStyle w:val="Hyperlink"/>
                <w:rFonts w:ascii="Arial" w:hAnsi="Arial" w:cs="Arial"/>
                <w:noProof/>
                <w:color w:val="auto"/>
              </w:rPr>
              <w:t>Introduction</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_Toc99811310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4</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11" w:history="1">
            <w:r w:rsidRPr="00257A75">
              <w:rPr>
                <w:rStyle w:val="Hyperlink"/>
                <w:rFonts w:ascii="Arial" w:hAnsi="Arial" w:cs="Arial"/>
                <w:noProof/>
                <w:color w:val="auto"/>
              </w:rPr>
              <w:t>Ways to Motivate Employees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_Toc99811311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4</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12" w:history="1">
            <w:r w:rsidRPr="00257A75">
              <w:rPr>
                <w:rStyle w:val="Hyperlink"/>
                <w:rFonts w:ascii="Arial" w:hAnsi="Arial" w:cs="Arial"/>
                <w:noProof/>
                <w:color w:val="auto"/>
              </w:rPr>
              <w:t>Pay</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_Toc99811312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5</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13" w:history="1">
            <w:r w:rsidRPr="00257A75">
              <w:rPr>
                <w:rStyle w:val="Hyperlink"/>
                <w:rFonts w:ascii="Arial" w:hAnsi="Arial" w:cs="Arial"/>
                <w:noProof/>
                <w:color w:val="auto"/>
              </w:rPr>
              <w:t>Contingent Pay</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_Toc99811313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5</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14" w:history="1">
            <w:r w:rsidRPr="00257A75">
              <w:rPr>
                <w:rStyle w:val="Hyperlink"/>
                <w:rFonts w:ascii="Arial" w:hAnsi="Arial" w:cs="Arial"/>
                <w:noProof/>
                <w:color w:val="auto"/>
              </w:rPr>
              <w:t>Employee Benefits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_Toc99811314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6</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15" w:history="1">
            <w:r w:rsidRPr="00257A75">
              <w:rPr>
                <w:rStyle w:val="Hyperlink"/>
                <w:rFonts w:ascii="Arial" w:hAnsi="Arial" w:cs="Arial"/>
                <w:noProof/>
                <w:color w:val="auto"/>
              </w:rPr>
              <w:t>Variable Pay</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_Toc99811315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6</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16" w:history="1">
            <w:r w:rsidRPr="00257A75">
              <w:rPr>
                <w:rStyle w:val="Hyperlink"/>
                <w:rFonts w:ascii="Arial" w:hAnsi="Arial" w:cs="Arial"/>
                <w:noProof/>
                <w:color w:val="auto"/>
              </w:rPr>
              <w:t>Allowances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_Toc99811316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6</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17" w:history="1">
            <w:r w:rsidRPr="00257A75">
              <w:rPr>
                <w:rStyle w:val="Hyperlink"/>
                <w:rFonts w:ascii="Arial" w:hAnsi="Arial" w:cs="Arial"/>
                <w:noProof/>
                <w:color w:val="auto"/>
              </w:rPr>
              <w:t>Recognition and Awards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_Toc99811317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7</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18" w:history="1">
            <w:r w:rsidRPr="00257A75">
              <w:rPr>
                <w:rStyle w:val="Hyperlink"/>
                <w:rFonts w:ascii="Arial" w:hAnsi="Arial" w:cs="Arial"/>
                <w:noProof/>
                <w:color w:val="auto"/>
              </w:rPr>
              <w:t>Public Recognition</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_Toc99811318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7</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19" w:history="1">
            <w:r w:rsidRPr="00257A75">
              <w:rPr>
                <w:rStyle w:val="Hyperlink"/>
                <w:rFonts w:ascii="Arial" w:hAnsi="Arial" w:cs="Arial"/>
                <w:noProof/>
                <w:color w:val="auto"/>
              </w:rPr>
              <w:t>Criteria Based Awards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_Toc99811319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7</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0" w:history="1">
            <w:r w:rsidRPr="00257A75">
              <w:rPr>
                <w:rStyle w:val="Hyperlink"/>
                <w:rFonts w:ascii="Arial" w:hAnsi="Arial" w:cs="Arial"/>
                <w:noProof/>
                <w:color w:val="auto"/>
              </w:rPr>
              <w:t>Thank You Notes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_Toc99811320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7</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21" w:history="1">
            <w:r w:rsidRPr="00257A75">
              <w:rPr>
                <w:rStyle w:val="Hyperlink"/>
                <w:rFonts w:ascii="Arial" w:hAnsi="Arial" w:cs="Arial"/>
                <w:noProof/>
                <w:color w:val="auto"/>
              </w:rPr>
              <w:t>Additional Holidays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_Toc99811321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8</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2" w:history="1">
            <w:r w:rsidRPr="00257A75">
              <w:rPr>
                <w:rStyle w:val="Hyperlink"/>
                <w:rFonts w:ascii="Arial" w:hAnsi="Arial" w:cs="Arial"/>
                <w:noProof/>
                <w:color w:val="auto"/>
              </w:rPr>
              <w:t>Respecting the Time of Employees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_Toc99811322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8</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3" w:history="1">
            <w:r w:rsidRPr="00257A75">
              <w:rPr>
                <w:rStyle w:val="Hyperlink"/>
                <w:rFonts w:ascii="Arial" w:hAnsi="Arial" w:cs="Arial"/>
                <w:noProof/>
                <w:color w:val="auto"/>
              </w:rPr>
              <w:t>Supporting the Staff</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_Toc99811323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9</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4" w:history="1">
            <w:r w:rsidRPr="00257A75">
              <w:rPr>
                <w:rStyle w:val="Hyperlink"/>
                <w:rFonts w:ascii="Arial" w:hAnsi="Arial" w:cs="Arial"/>
                <w:noProof/>
                <w:color w:val="auto"/>
              </w:rPr>
              <w:t>Get in Festive Mood</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_Toc99811324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9</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5" w:history="1">
            <w:r w:rsidRPr="00257A75">
              <w:rPr>
                <w:rStyle w:val="Hyperlink"/>
                <w:rFonts w:ascii="Arial" w:hAnsi="Arial" w:cs="Arial"/>
                <w:noProof/>
                <w:color w:val="auto"/>
              </w:rPr>
              <w:t>Fun Workshops and Seminars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_Toc99811325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9</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26" w:history="1">
            <w:r w:rsidRPr="00257A75">
              <w:rPr>
                <w:rStyle w:val="Hyperlink"/>
                <w:rFonts w:ascii="Arial" w:hAnsi="Arial" w:cs="Arial"/>
                <w:noProof/>
                <w:color w:val="auto"/>
              </w:rPr>
              <w:t>Good Working Conditions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_Toc99811326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9</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7" w:history="1">
            <w:r w:rsidRPr="00257A75">
              <w:rPr>
                <w:rStyle w:val="Hyperlink"/>
                <w:rFonts w:ascii="Arial" w:hAnsi="Arial" w:cs="Arial"/>
                <w:noProof/>
                <w:color w:val="auto"/>
              </w:rPr>
              <w:t>Goal Setting</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_Toc99811327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10</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8" w:history="1">
            <w:r w:rsidRPr="00257A75">
              <w:rPr>
                <w:rStyle w:val="Hyperlink"/>
                <w:rFonts w:ascii="Arial" w:hAnsi="Arial" w:cs="Arial"/>
                <w:noProof/>
                <w:color w:val="auto"/>
              </w:rPr>
              <w:t>Mentoring and Development</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_Toc99811328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10</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29" w:history="1">
            <w:r w:rsidRPr="00257A75">
              <w:rPr>
                <w:rStyle w:val="Hyperlink"/>
                <w:rFonts w:ascii="Arial" w:hAnsi="Arial" w:cs="Arial"/>
                <w:noProof/>
                <w:color w:val="auto"/>
              </w:rPr>
              <w:t>No Resource Constraints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_Toc99811329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10</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30" w:history="1">
            <w:r w:rsidRPr="00257A75">
              <w:rPr>
                <w:rStyle w:val="Hyperlink"/>
                <w:rFonts w:ascii="Arial" w:hAnsi="Arial" w:cs="Arial"/>
                <w:noProof/>
                <w:color w:val="auto"/>
              </w:rPr>
              <w:t>Challenges Involved in Motivating Employees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_Toc99811330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10</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31" w:history="1">
            <w:r w:rsidRPr="00257A75">
              <w:rPr>
                <w:rStyle w:val="Hyperlink"/>
                <w:rFonts w:ascii="Arial" w:hAnsi="Arial" w:cs="Arial"/>
                <w:noProof/>
                <w:color w:val="auto"/>
              </w:rPr>
              <w:t>Low Self Confidence</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_Toc99811331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10</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32" w:history="1">
            <w:r w:rsidRPr="00257A75">
              <w:rPr>
                <w:rStyle w:val="Hyperlink"/>
                <w:rFonts w:ascii="Arial" w:hAnsi="Arial" w:cs="Arial"/>
                <w:noProof/>
                <w:color w:val="auto"/>
              </w:rPr>
              <w:t>Lack of Interest in Subject Matters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_Toc99811332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11</w:t>
            </w:r>
            <w:r w:rsidRPr="00257A75">
              <w:rPr>
                <w:rFonts w:ascii="Arial" w:hAnsi="Arial" w:cs="Arial"/>
                <w:noProof/>
                <w:webHidden/>
              </w:rPr>
              <w:fldChar w:fldCharType="end"/>
            </w:r>
          </w:hyperlink>
        </w:p>
        <w:p w:rsidR="00257A75" w:rsidRPr="00257A75" w:rsidRDefault="00257A75" w:rsidP="00257A75">
          <w:pPr>
            <w:pStyle w:val="TOC2"/>
            <w:tabs>
              <w:tab w:val="right" w:leader="dot" w:pos="9350"/>
            </w:tabs>
            <w:spacing w:line="360" w:lineRule="auto"/>
            <w:rPr>
              <w:rFonts w:ascii="Arial" w:hAnsi="Arial" w:cs="Arial"/>
              <w:noProof/>
            </w:rPr>
          </w:pPr>
          <w:hyperlink w:anchor="_Toc99811333" w:history="1">
            <w:r w:rsidRPr="00257A75">
              <w:rPr>
                <w:rStyle w:val="Hyperlink"/>
                <w:rFonts w:ascii="Arial" w:hAnsi="Arial" w:cs="Arial"/>
                <w:noProof/>
                <w:color w:val="auto"/>
              </w:rPr>
              <w:t>Fear of Failure</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_Toc99811333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11</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34" w:history="1">
            <w:r w:rsidRPr="00257A75">
              <w:rPr>
                <w:rStyle w:val="Hyperlink"/>
                <w:rFonts w:ascii="Arial" w:hAnsi="Arial" w:cs="Arial"/>
                <w:noProof/>
                <w:color w:val="auto"/>
              </w:rPr>
              <w:t>Conclusion and Recommendation</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_Toc99811334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11</w:t>
            </w:r>
            <w:r w:rsidRPr="00257A75">
              <w:rPr>
                <w:rFonts w:ascii="Arial" w:hAnsi="Arial" w:cs="Arial"/>
                <w:noProof/>
                <w:webHidden/>
              </w:rPr>
              <w:fldChar w:fldCharType="end"/>
            </w:r>
          </w:hyperlink>
        </w:p>
        <w:p w:rsidR="00257A75" w:rsidRPr="00257A75" w:rsidRDefault="00257A75" w:rsidP="00257A75">
          <w:pPr>
            <w:pStyle w:val="TOC1"/>
            <w:tabs>
              <w:tab w:val="right" w:leader="dot" w:pos="9350"/>
            </w:tabs>
            <w:spacing w:line="360" w:lineRule="auto"/>
            <w:rPr>
              <w:rFonts w:ascii="Arial" w:hAnsi="Arial" w:cs="Arial"/>
              <w:noProof/>
            </w:rPr>
          </w:pPr>
          <w:hyperlink w:anchor="_Toc99811335" w:history="1">
            <w:r w:rsidRPr="00257A75">
              <w:rPr>
                <w:rStyle w:val="Hyperlink"/>
                <w:rFonts w:ascii="Arial" w:hAnsi="Arial" w:cs="Arial"/>
                <w:noProof/>
                <w:color w:val="auto"/>
              </w:rPr>
              <w:t>References</w:t>
            </w:r>
            <w:r w:rsidRPr="00257A75">
              <w:rPr>
                <w:rFonts w:ascii="Arial" w:hAnsi="Arial" w:cs="Arial"/>
                <w:noProof/>
                <w:webHidden/>
              </w:rPr>
              <w:tab/>
            </w:r>
            <w:r w:rsidRPr="00257A75">
              <w:rPr>
                <w:rFonts w:ascii="Arial" w:hAnsi="Arial" w:cs="Arial"/>
                <w:noProof/>
                <w:webHidden/>
              </w:rPr>
              <w:fldChar w:fldCharType="begin"/>
            </w:r>
            <w:r w:rsidRPr="00257A75">
              <w:rPr>
                <w:rFonts w:ascii="Arial" w:hAnsi="Arial" w:cs="Arial"/>
                <w:noProof/>
                <w:webHidden/>
              </w:rPr>
              <w:instrText xml:space="preserve"> PAGEREF _Toc99811335 \h </w:instrText>
            </w:r>
            <w:r w:rsidRPr="00257A75">
              <w:rPr>
                <w:rFonts w:ascii="Arial" w:hAnsi="Arial" w:cs="Arial"/>
                <w:noProof/>
                <w:webHidden/>
              </w:rPr>
            </w:r>
            <w:r w:rsidRPr="00257A75">
              <w:rPr>
                <w:rFonts w:ascii="Arial" w:hAnsi="Arial" w:cs="Arial"/>
                <w:noProof/>
                <w:webHidden/>
              </w:rPr>
              <w:fldChar w:fldCharType="separate"/>
            </w:r>
            <w:r>
              <w:rPr>
                <w:rFonts w:ascii="Arial" w:hAnsi="Arial" w:cs="Arial"/>
                <w:noProof/>
                <w:webHidden/>
              </w:rPr>
              <w:t>12</w:t>
            </w:r>
            <w:r w:rsidRPr="00257A75">
              <w:rPr>
                <w:rFonts w:ascii="Arial" w:hAnsi="Arial" w:cs="Arial"/>
                <w:noProof/>
                <w:webHidden/>
              </w:rPr>
              <w:fldChar w:fldCharType="end"/>
            </w:r>
          </w:hyperlink>
        </w:p>
        <w:p w:rsidR="00257A75" w:rsidRDefault="00257A75" w:rsidP="00257A75">
          <w:pPr>
            <w:spacing w:line="360" w:lineRule="auto"/>
          </w:pPr>
          <w:r w:rsidRPr="00257A75">
            <w:rPr>
              <w:rFonts w:ascii="Arial" w:hAnsi="Arial" w:cs="Arial"/>
              <w:b/>
              <w:bCs/>
              <w:noProof/>
            </w:rPr>
            <w:fldChar w:fldCharType="end"/>
          </w:r>
        </w:p>
      </w:sdtContent>
    </w:sdt>
    <w:p w:rsidR="00257A75" w:rsidRDefault="00257A75">
      <w:pPr>
        <w:rPr>
          <w:rFonts w:ascii="Arial" w:hAnsi="Arial" w:cs="Arial"/>
          <w:sz w:val="24"/>
          <w:szCs w:val="24"/>
        </w:rPr>
      </w:pPr>
      <w:r>
        <w:rPr>
          <w:rFonts w:ascii="Arial" w:hAnsi="Arial" w:cs="Arial"/>
          <w:sz w:val="24"/>
          <w:szCs w:val="24"/>
        </w:rPr>
        <w:br w:type="page"/>
      </w:r>
    </w:p>
    <w:p w:rsidR="00257A75" w:rsidRPr="00257A75" w:rsidRDefault="00257A75" w:rsidP="00257A75">
      <w:pPr>
        <w:pStyle w:val="Heading1"/>
      </w:pPr>
      <w:bookmarkStart w:id="1" w:name="_Toc99811310"/>
      <w:r w:rsidRPr="00257A75">
        <w:lastRenderedPageBreak/>
        <w:t>Introduction</w:t>
      </w:r>
      <w:bookmarkEnd w:id="1"/>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The vast majority of different researchers agree that agents are an integral part of any relationship, as most of the day-to-day work is performed by agents in today's extremely harsh and dynamic environments. The overall outcome of a relationship in achieving a basic goal depends heavily on the efficiency of the worker. Therefore, it is important to first identify the factors that affect execution. Agent execution is a limiting and motivational component. Limits include the capacity, preparation, and resources expected to perform a task, and motivation is expressed as an inherent force that drives an individual to work towards something. A well-known saying is, "You can lead a horse to the water, but you don't drink it except when it's dry" (Kriti, 2018). </w:t>
      </w:r>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Therefore, while no one can be motivated, affiliates can create a motivational work environment to realize universally unprecedented possibilities. It takes more time and resilience to further improve one's abilities, but the motives can be countered by specific means within a more limited period. All affiliations, paying little brain to the area, size or industry require convinced agents to work in fact. HR is a fundamental asset that ensures the effectiveness, execution, and flourishing of the affiliation (Sophie,2018).  Moved agents are fulfilled, committed, and work enthusiastically The consequence of a pushed workforce fuses laborer upkeep, devotion, and concordance; these are the factors that contribute generally to the turn of events and headway of the affiliation. Subsequently, quite possibly the most convincing test confronting the present associations is how to ensure that representatives are profoundly energetic.</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2" w:name="_Toc99811311"/>
      <w:r w:rsidRPr="00257A75">
        <w:t xml:space="preserve">Ways to </w:t>
      </w:r>
      <w:r>
        <w:t xml:space="preserve">Motivate </w:t>
      </w:r>
      <w:r w:rsidRPr="00257A75">
        <w:t>Employees</w:t>
      </w:r>
      <w:bookmarkEnd w:id="2"/>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"The powers within an individual that impact their bearing, force, and tirelessness of intentional method of behaving" is how motivation is defined. suggest that inspiration refers to "the cycles that record a single's enthusiasm to apply elevated degrees of labor to arrive at hierarchical objectives, adapted by the task's capacity to meet some singular need." If today's directors are to take on the responsibility of leading representatives toward achieving authoritative goals, they must understand the mental process of inspiration. The 'force' component refers to the magnitude of the labor that has been allotted to the goal. As a result, one representative may invest more effort than another </w:t>
      </w:r>
      <w:r w:rsidRPr="00257A75">
        <w:rPr>
          <w:rFonts w:ascii="Arial" w:hAnsi="Arial" w:cs="Arial"/>
          <w:sz w:val="24"/>
          <w:szCs w:val="24"/>
        </w:rPr>
        <w:lastRenderedPageBreak/>
        <w:t xml:space="preserve">to complete specific tasks. The final component, "ingenuity," refers to the length of time that a work is supported. Before reaching the goal, a determined worker will not yield. Also, when the representative decides to act on his or her own volition, inspiration might be depicted as deliberate. The worker's ability to properly complete an assignment is another factor that influences motivation and job execution. The term 'capacity' refers to the natural desire and developed abilities to work well. Inborn fitness refers to a representative's psychological readiness and ability to learn new skills quickly. In this regard, an association can assist workers with great fitness scores to additionally foster their mastery through partaking in different abilities improvement courses (Sophie, 2018). </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3" w:name="_Toc99811312"/>
      <w:r w:rsidRPr="00257A75">
        <w:t>Pay</w:t>
      </w:r>
      <w:bookmarkEnd w:id="3"/>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Two types of inspiration can be found in the workplace: inborn and outer. This means that work-related factors that influence inspiration have an inborn and outward persuasive value that motivates employees to perform (Lazarova and Zlatanova, 2019). Given that the majority of representatives are both typically and extraneously influenced at the same time, the conclusion that inborn and external inspiration is not fundamentally independent can be drawn. The phrase "inborn" comes from the word "internal," which means that inspiration comes from within the person; in other words, self-created inspiration. The single will strive to achieve the three intrinsic mental necessities, which are specific criteria for independence and competence, whenever inherently inspired. Having significant decision-making power, a channel to communicate innovativeness, open doors for advancement, recognition for good work, being treated courteously and intelligently, and having the energy to take on challenging and significant errands that result in an inborn sense of accomplishment upon successful completion are all valued by such representatives.</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4" w:name="_Toc99811313"/>
      <w:r w:rsidRPr="00257A75">
        <w:t>Contingent Pay</w:t>
      </w:r>
      <w:bookmarkEnd w:id="4"/>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Contingent pay refers to workplace arrangements in which some or all of an employee's salary is based on a performance metric. For example, a worker might endeavor to complete an undertaking in short order due to the substantial award that </w:t>
      </w:r>
      <w:r w:rsidRPr="00257A75">
        <w:rPr>
          <w:rFonts w:ascii="Arial" w:hAnsi="Arial" w:cs="Arial"/>
          <w:sz w:val="24"/>
          <w:szCs w:val="24"/>
        </w:rPr>
        <w:lastRenderedPageBreak/>
        <w:t xml:space="preserve">goes with for working proficiently. While extraneous prizes can go about as certain </w:t>
      </w:r>
      <w:r w:rsidRPr="00257A75">
        <w:rPr>
          <w:rFonts w:ascii="Arial" w:hAnsi="Arial" w:cs="Arial"/>
          <w:sz w:val="24"/>
          <w:szCs w:val="24"/>
        </w:rPr>
        <w:t>reinforces</w:t>
      </w:r>
      <w:r w:rsidRPr="00257A75">
        <w:rPr>
          <w:rFonts w:ascii="Arial" w:hAnsi="Arial" w:cs="Arial"/>
          <w:sz w:val="24"/>
          <w:szCs w:val="24"/>
        </w:rPr>
        <w:t xml:space="preserve"> and have been viewed as a powerful instrument for momentary increases) for example, meeting prompt objectives might antagonistically affect workers' way of behaving.</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5" w:name="_Toc99811314"/>
      <w:r w:rsidRPr="00257A75">
        <w:t>Employee Benefits</w:t>
      </w:r>
      <w:bookmarkEnd w:id="5"/>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Execution critique employs an experimental approach to behavior. When done properly, the interplay between the two supervisors and companions can result in a more grounded, agreeable work atmosphere (Lazarova and Zlatanova, 2019). Positive and negative criticism is important because it aids in the overcoming of vices, the development of a consistent style of behaving, and the empowerment of groups to work more effectively toward their goals. Significant exploration results demonstrate that workers who don't anticipate getting outward rewards beat the people who anticipate reward. In any case, external rewards are valuable if managed under appropriate conditions. If there is no characteristic inspiration or low level, or if the profession is not challenging and normal. There are a few detriments of extraneous prizes. In the first place, it isn't maintainable because once the prize is removed, inspiration will stop. For example, an association has planned a prize program to urge representatives to answer to chip away at a time.</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6" w:name="_Toc99811315"/>
      <w:r w:rsidRPr="00257A75">
        <w:t>Variable Pay</w:t>
      </w:r>
      <w:bookmarkEnd w:id="6"/>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Representatives who are given the freedom to make their own decisions about their work and who are allowed to operate independently are more likely to make a profit. The workers who accomplish the most elevated recurrence of reliability will get a couple of free film passes. Quickly there was a flood in the number of representatives turning up on schedule. Hardly any months after the fact, the supervisory crew chooses to annul this award program, and hence, the number of representatives answering to chip away at a time was most terrible than before the program was carried out.</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7" w:name="_Toc99811316"/>
      <w:r w:rsidRPr="00257A75">
        <w:t>Allowances</w:t>
      </w:r>
      <w:bookmarkEnd w:id="7"/>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lastRenderedPageBreak/>
        <w:t xml:space="preserve">             Because they 'own' the job, employees who are given ownership for their tasks and held accountable for the results are more likely to perform well. The urges that fall into this class are either friendly or work-related. In this segment, social award conversations will be introduced first, followed by the topic of corporate compensation. Representative awards are primarily a channel for managers to appreciate the excellent work ethic, effort, dedication, or remarkable achievements of their employees.</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8" w:name="_Toc99811317"/>
      <w:r w:rsidRPr="00257A75">
        <w:t>Recognition and Awards</w:t>
      </w:r>
      <w:bookmarkEnd w:id="8"/>
    </w:p>
    <w:p w:rsidR="00257A75" w:rsidRPr="00257A75" w:rsidRDefault="00257A75" w:rsidP="00257A75">
      <w:pPr>
        <w:pStyle w:val="Heading2"/>
      </w:pPr>
      <w:bookmarkStart w:id="9" w:name="_Toc99811318"/>
      <w:r w:rsidRPr="00257A75">
        <w:t>Public Recognition</w:t>
      </w:r>
      <w:bookmarkEnd w:id="9"/>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xml:space="preserve">                 The recognition master award is given to the team member who recognizes others the most. The heart of your awards programme is leadership and other team members that actively acknowledge others. Consider them as office influencers. It's their regular acknowledgment that keeps other staff engaged and motivated. Numerous scientists have discovered and proven that intrinsic inspiration has a positive long-term influence, which they refer to as "genuine inspirations." Given the aforementioned, a certain management style is no longer required if a company wants its staff to be more motivated and focused on the company's goals. Employees should be able to satisfy increasing demand requirements by breathing cleaner air in the workplace (Amabile, 2010).</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0" w:name="_Toc99811319"/>
      <w:r w:rsidRPr="00257A75">
        <w:t>Criteria Based Awards</w:t>
      </w:r>
      <w:bookmarkEnd w:id="10"/>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The criteria based award is given to employees who are the most important contributors to your company's success. This could be a member of the team who has made the most sales, overhauled important organisational processes, or helped others succeed. Rousing workers through acknowledgment includes practically zero expense for the association and at times it is presented alongside unmistakable motivations. There is an inconspicuous distinction between acknowledgment, input, and social good tidings however for this paper, these motivations will be named as 'social prizes'.</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1" w:name="_Toc99811320"/>
      <w:r w:rsidRPr="00257A75">
        <w:t>Thank You Notes</w:t>
      </w:r>
      <w:bookmarkEnd w:id="11"/>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lastRenderedPageBreak/>
        <w:t>The customer service award is given to members of the team who have excelled in client communication and relations. It's not simple to keep consumers happy, but providing a positive customer experience helps everyone involved. Generally, alluring compensation bundles are proposed to captivate the best abilities to a position, guaranteeing they perform at most extreme viability, and hold capable representatives inside the association while commission-based compensation is reached out to urge workers to meet hierarchical targets. Today, associations give financial motivating forces in two ways, in particular, direct money-related remuneration and aberrant money-related pay. Two of the most ordinarily recognized direct money-related remunerations are pay and commission. Aberrant money-related remuneration or in any case known as representative advantages might incorporate repayment for training, childcare advantages, protection, and paid leave.</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12" w:name="_Toc99811321"/>
      <w:r w:rsidRPr="00257A75">
        <w:t>Additional Holidays</w:t>
      </w:r>
      <w:bookmarkEnd w:id="12"/>
    </w:p>
    <w:p w:rsidR="00257A75" w:rsidRPr="00257A75" w:rsidRDefault="00257A75" w:rsidP="00257A75">
      <w:pPr>
        <w:pStyle w:val="Heading2"/>
      </w:pPr>
      <w:bookmarkStart w:id="13" w:name="_Toc99811322"/>
      <w:r w:rsidRPr="00257A75">
        <w:t>Respecting the Time of Employees</w:t>
      </w:r>
      <w:bookmarkEnd w:id="13"/>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Business is regularly an oral arrangement between owner and worker. Whenever that arrangement is clear, compensation for quite a while worked is spread out around the beginning of business and normally lays out the energy of the business delegate relationship. The best extent of appropriate compensation and hours is to choose industry standards in a region or district (J. Kumar, 2017). For example, are typically paid persistently or day and there are enormous differences in pay beginning with one region of the country then onto the following. Herders, oddly, are regularly compensated by month-to-month remuneration. Work guidelines ought to be conformed to and pay ought to be wonderfully fair between the business and worker. Right when these guidelines are met, compensation typically isn't a part of an owner-worker relationship. Pay is moreover not an entirely exceptional impelling variable for the entry-level laborer. A praiseworthy examination of factors impacting workers recognized that pay and pay situated eighth of ten factors that impacted expert execution. In addition, the impact of pay on execution was anyway habitually negative as it was by all accounts a positive variable (Amir and Akbay, 2020).</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4" w:name="_Toc99811323"/>
      <w:r w:rsidRPr="00257A75">
        <w:lastRenderedPageBreak/>
        <w:t>Supporting the Staff</w:t>
      </w:r>
      <w:bookmarkEnd w:id="14"/>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You may be preoccupied with your work and the company, but it is also necessary to respect the workers' schedules. They have a life outside of work as well. The manager must ensure that they have enough time to attend to their family duties. Employees are not machines, but human beings who, like everyone else, require a break now and then.</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5" w:name="_Toc99811324"/>
      <w:r w:rsidRPr="00257A75">
        <w:t>Get in Festive Mood</w:t>
      </w:r>
      <w:bookmarkEnd w:id="15"/>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The company can organise for their employees to have vacations for major occasions and festivals, such as Christmas or Thanksgiving. These would allow workers to spend time with their families while also relaxing their thoughts. These vacations are necessary for employees to regain lost vitality, which stimulates them to continue working for the company. During these days, the organisation should not overburden them with work.</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6" w:name="_Toc99811325"/>
      <w:r w:rsidRPr="00257A75">
        <w:t>Fun Workshops and Seminars</w:t>
      </w:r>
      <w:bookmarkEnd w:id="16"/>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When work is organised, training is always required, but it is not required unless workers are involved. "This is how we do things here," the training establishes. Confusion or ambiguity about what a worker is supposed to do is a common managerial blunder that accidentally "pours water on a worker's intrinsic fire." It is most efficient to train farm laborers when they "hear it, see it, and do it" (Amir and Akbay, 2020).  The majority of dairy owners learn by doing, and personnel learns by watching. As dairy farms expand and dairy owners and managers become further distanced from cowhide work, they lose the ability to lead by example and instruct their employees.</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17" w:name="_Toc99811326"/>
      <w:r w:rsidRPr="00257A75">
        <w:t>Good Working Conditions</w:t>
      </w:r>
      <w:bookmarkEnd w:id="17"/>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 xml:space="preserve">You have legal rights as a worker to ensure that your workplace is safe and healthy. You also have the right to work in an environment free of emotional abuse, such as sexual harassment. There are legal protections in place to shield you against retaliatory measures by your employer if your working conditions are subpar and you opt to improve them by bringing in a regulatory agency. Despite these legal safeguards, </w:t>
      </w:r>
      <w:r w:rsidRPr="00257A75">
        <w:rPr>
          <w:rFonts w:ascii="Arial" w:hAnsi="Arial" w:cs="Arial"/>
          <w:sz w:val="24"/>
          <w:szCs w:val="24"/>
        </w:rPr>
        <w:lastRenderedPageBreak/>
        <w:t>your employer may still fail to provide safe and healthy working conditions. When your employer isn't compliant, knowing your rights and the methods of redress accessible to you can help you resolve the matter.</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8" w:name="_Toc99811327"/>
      <w:r w:rsidRPr="00257A75">
        <w:t>Goal Setting</w:t>
      </w:r>
      <w:bookmarkEnd w:id="18"/>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The preparation of an action plan to encourage and steer a person or group toward a goal is known as goal setting. Desires and fleeting intentions are less thoughtful than goals. As a result, making objectives entails committing one's thoughts, emotions, and actions to achieving the goal.</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19" w:name="_Toc99811328"/>
      <w:r w:rsidRPr="00257A75">
        <w:t>Mentoring and Development</w:t>
      </w:r>
      <w:bookmarkEnd w:id="19"/>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Emotional safeguards, such as the right to work in an environment free of harassment and discrimination, are also part of good working conditions. The Equal Employment Opportunity Commission strives to protect workers' rights to work in a safe, welcoming workplace, particularly where the slights and discrimination are based on race, religion, age, handicap, or gender. When an employee is obliged to endure discrimination as a condition of employment or when the situation is extreme enough that a reasonable person would think the workplace abusive or hostile, it is specifically illegal.</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20" w:name="_Toc99811329"/>
      <w:r w:rsidRPr="00257A75">
        <w:t>No Resource Constraints</w:t>
      </w:r>
      <w:bookmarkEnd w:id="20"/>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Employers can foster acceptable working conditions by proactively resolving problems and penalising discriminating abusers before an employee feels compelled to make a complaint. It's also a good idea to start creating a safe work environment rather than waiting for someone to get wounded. Conscientious employers recognise that providing a happy and healthy work environment is more than just a legal requirement.</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21" w:name="_Toc99811330"/>
      <w:r w:rsidRPr="00257A75">
        <w:t>Challenges Involved in Motivating Employees</w:t>
      </w:r>
      <w:bookmarkEnd w:id="21"/>
    </w:p>
    <w:p w:rsidR="00257A75" w:rsidRPr="00257A75" w:rsidRDefault="00257A75" w:rsidP="00257A75">
      <w:pPr>
        <w:pStyle w:val="Heading2"/>
      </w:pPr>
      <w:bookmarkStart w:id="22" w:name="_Toc99811331"/>
      <w:r w:rsidRPr="00257A75">
        <w:t>Low Self Confidence</w:t>
      </w:r>
      <w:bookmarkEnd w:id="22"/>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 xml:space="preserve">A worker's inspiration is supported when he genuinely believes in his capacity to do the errands expected to meet his goals. His readiness to persevere and finish jobs is </w:t>
      </w:r>
      <w:r w:rsidRPr="00257A75">
        <w:rPr>
          <w:rFonts w:ascii="Arial" w:hAnsi="Arial" w:cs="Arial"/>
          <w:sz w:val="24"/>
          <w:szCs w:val="24"/>
        </w:rPr>
        <w:lastRenderedPageBreak/>
        <w:t>supported by his certainty. Assuming that a representative needs certainty, he will feel shameful and will not be able to decide or remain spurred until an objective is met.</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23" w:name="_Toc99811332"/>
      <w:r w:rsidRPr="00257A75">
        <w:t>Lack of Interest in Subject Matters</w:t>
      </w:r>
      <w:bookmarkEnd w:id="23"/>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A representative's inspiration shows itself as an energy or a main thrust that urges him to make a move. A drew in worker will be interested about an assignment and will try to finish it well. Low inspiration and inability to accomplish an objective could result from an indifference. A representative won't totally partake in his work assuming he is uninterested in explicit obligations.</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2"/>
      </w:pPr>
      <w:bookmarkStart w:id="24" w:name="_Toc99811333"/>
      <w:r w:rsidRPr="00257A75">
        <w:t>Fear of Failure</w:t>
      </w:r>
      <w:bookmarkEnd w:id="24"/>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Assuming a representative fears fizzling, he fears not succeeding, and he will stay away from it is uncertain going to take care of business that he. An absence of accomplishment is seen as a disappointment by the representative, who accepts it affirms that he is defective here and there.</w:t>
      </w:r>
    </w:p>
    <w:p w:rsidR="00257A75" w:rsidRPr="00257A75" w:rsidRDefault="00257A75" w:rsidP="00257A75">
      <w:pPr>
        <w:spacing w:after="0" w:line="360" w:lineRule="auto"/>
        <w:rPr>
          <w:rFonts w:ascii="Arial" w:hAnsi="Arial" w:cs="Arial"/>
          <w:sz w:val="24"/>
          <w:szCs w:val="24"/>
        </w:rPr>
      </w:pPr>
    </w:p>
    <w:p w:rsidR="00257A75" w:rsidRPr="00257A75" w:rsidRDefault="00257A75" w:rsidP="00257A75">
      <w:pPr>
        <w:pStyle w:val="Heading1"/>
      </w:pPr>
      <w:bookmarkStart w:id="25" w:name="_Toc99811334"/>
      <w:r w:rsidRPr="00257A75">
        <w:t>Conclusion and Recommendation</w:t>
      </w:r>
      <w:bookmarkEnd w:id="25"/>
    </w:p>
    <w:p w:rsidR="00257A75" w:rsidRPr="00257A75" w:rsidRDefault="00257A75" w:rsidP="00257A75">
      <w:pPr>
        <w:spacing w:after="0" w:line="360" w:lineRule="auto"/>
        <w:ind w:firstLine="720"/>
        <w:rPr>
          <w:rFonts w:ascii="Arial" w:hAnsi="Arial" w:cs="Arial"/>
          <w:sz w:val="24"/>
          <w:szCs w:val="24"/>
        </w:rPr>
      </w:pPr>
      <w:r w:rsidRPr="00257A75">
        <w:rPr>
          <w:rFonts w:ascii="Arial" w:hAnsi="Arial" w:cs="Arial"/>
          <w:sz w:val="24"/>
          <w:szCs w:val="24"/>
        </w:rPr>
        <w:t>While not all employees are motivated to work in the same way, owners and managers can use a variety of methods to persuade and persuade employees to achieve specific goals. The work should be coordinated with the end goal in mind. Estimating execution against the goal and conversing with workers about their results about the goals is enough to start most specialists' internal fires (Amir and Akbay, 2020). In today's world, where costs are steadily rising, the greatest way to keep someone motivated and focused on their task is to give them the motivational force or capital to achieve the company's goals. It would benefit both labourers and friends because the organization's points and objectives would be met, and labourers would receive a motivating factor reward for their efforts.</w:t>
      </w:r>
    </w:p>
    <w:p w:rsidR="00257A75" w:rsidRPr="00257A75" w:rsidRDefault="00257A75" w:rsidP="00257A75">
      <w:pPr>
        <w:spacing w:after="0" w:line="360" w:lineRule="auto"/>
        <w:rPr>
          <w:rFonts w:ascii="Arial" w:hAnsi="Arial" w:cs="Arial"/>
          <w:sz w:val="24"/>
          <w:szCs w:val="24"/>
        </w:rPr>
      </w:pPr>
      <w:r w:rsidRPr="00257A75">
        <w:rPr>
          <w:rFonts w:ascii="Arial" w:hAnsi="Arial" w:cs="Arial"/>
          <w:sz w:val="24"/>
          <w:szCs w:val="24"/>
        </w:rPr>
        <w:t> </w:t>
      </w:r>
    </w:p>
    <w:p w:rsidR="00257A75" w:rsidRPr="00257A75" w:rsidRDefault="00257A75" w:rsidP="00257A75">
      <w:pPr>
        <w:spacing w:after="0" w:line="360" w:lineRule="auto"/>
        <w:rPr>
          <w:rFonts w:ascii="Arial" w:hAnsi="Arial" w:cs="Arial"/>
          <w:sz w:val="24"/>
          <w:szCs w:val="24"/>
        </w:rPr>
      </w:pPr>
    </w:p>
    <w:p w:rsidR="00257A75" w:rsidRDefault="00257A75">
      <w:pPr>
        <w:rPr>
          <w:rFonts w:ascii="Arial" w:hAnsi="Arial" w:cs="Arial"/>
          <w:sz w:val="24"/>
          <w:szCs w:val="24"/>
        </w:rPr>
      </w:pPr>
      <w:r>
        <w:rPr>
          <w:rFonts w:ascii="Arial" w:hAnsi="Arial" w:cs="Arial"/>
          <w:sz w:val="24"/>
          <w:szCs w:val="24"/>
        </w:rPr>
        <w:br w:type="page"/>
      </w:r>
    </w:p>
    <w:p w:rsidR="00257A75" w:rsidRPr="00257A75" w:rsidRDefault="00257A75" w:rsidP="00257A75">
      <w:pPr>
        <w:pStyle w:val="Heading1"/>
        <w:jc w:val="center"/>
      </w:pPr>
      <w:bookmarkStart w:id="26" w:name="_Toc99811335"/>
      <w:r w:rsidRPr="00257A75">
        <w:lastRenderedPageBreak/>
        <w:t>References</w:t>
      </w:r>
      <w:bookmarkEnd w:id="26"/>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Amir Khaleel and Hassoo Cuma Akbay, 2020. Factors affecting motivation of employees in the public sector in Erbil, Iraq an application of binary logistic regression. p. 321-329.</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Amabile T, Kramer S. What really motivates workers? Harv Bus Rev. 2010;88:44-4.</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Armstrong, M., 2010. Armstrong's handbook of reward management practice: Improving performance through reward. Kogan Page Publishers.</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Al-Suraihi, W.A., Samikon, S.A., Al-Suraihi, A.H.A. and Ibrahim, I., 2021. Employee turnover: Causes, importance and retention strategies. European Journal of Business and Management Research, 6(3), pp.1-10</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Bartlett, C.A. and Ghoshal, S., 1995. Changing the role of top management: Beyond structure to process. Harvard Business Review, 73(1), pp.86-93</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 xml:space="preserve">Marcus Leonard, Lisa B. Flynn, Eric J. McNulty, 2018. The (Profoundly Human) Future of                 Leadership: The View from Healthcare. p. 71-73. </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 xml:space="preserve">M. Lazarova &amp; T. Zlatanova T. 2019. The Role of Control in the Effective Hospital Management. p. 23-28. </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 xml:space="preserve">Sophie Schön Persson, 2018. Relationships between Healthcare Employees and Managers as a Resource for Well-being at Work. </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 xml:space="preserve">Lari Mahboube, et al, 2019. Comparing the Attitude of Doctors and Nurses Toward Factor of Collaborative Relationships. p. 3263-3267. </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Phillips, H., Bogdanich, I., Carter, K., Holler, J., Smith, T., Ticehurst, E.H. and Wascher, M., 2017. Commentary: Exploring novel approaches to staff rewards and recognition. Hospital pharmacy, 52(11), pp.729-731.</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 xml:space="preserve">Kirti Rajhans, 2018. Effective Communication Management: A Key to Stakeholder Relationship Management in Project-Based Organizations. p. 47-66. </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Ellis, C M, Laymon, R G and LeBlanc, P V, 2004. Improving pay productivity with strategic work valuation, WorldatWork Journal, second quarter, pp 56–68.</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t>Ghoshal, S and Bartlett, C A, 1995. Changing the role of top management: beyond structure to process, Harvard Business Review, January–February, pp 86–96.</w:t>
      </w:r>
    </w:p>
    <w:p w:rsidR="00257A75" w:rsidRPr="00257A75" w:rsidRDefault="00257A75" w:rsidP="00257A75">
      <w:pPr>
        <w:spacing w:after="0" w:line="360" w:lineRule="auto"/>
        <w:ind w:left="720" w:hanging="720"/>
        <w:rPr>
          <w:rFonts w:ascii="Arial" w:hAnsi="Arial" w:cs="Arial"/>
          <w:sz w:val="24"/>
          <w:szCs w:val="24"/>
        </w:rPr>
      </w:pPr>
      <w:r w:rsidRPr="00257A75">
        <w:rPr>
          <w:rFonts w:ascii="Arial" w:hAnsi="Arial" w:cs="Arial"/>
          <w:sz w:val="24"/>
          <w:szCs w:val="24"/>
        </w:rPr>
        <w:lastRenderedPageBreak/>
        <w:t>Zwickel K, Koppel J, Katz M, Virkstis K, Rothenberger S, Boston-Fleischhauer C. Providing professionally meaningful recognition to enhance frontline engagement. J Nurs Adm. 2016;46(7/8):355-356.</w:t>
      </w:r>
    </w:p>
    <w:p w:rsidR="0003618F" w:rsidRPr="00257A75" w:rsidRDefault="00257A75" w:rsidP="00257A75">
      <w:pPr>
        <w:spacing w:after="0" w:line="360" w:lineRule="auto"/>
        <w:ind w:left="720" w:hanging="720"/>
        <w:rPr>
          <w:rFonts w:ascii="Arial" w:hAnsi="Arial" w:cs="Arial"/>
          <w:sz w:val="24"/>
          <w:szCs w:val="24"/>
        </w:rPr>
      </w:pPr>
    </w:p>
    <w:sectPr w:rsidR="0003618F" w:rsidRPr="00257A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A75"/>
    <w:rsid w:val="00257A75"/>
    <w:rsid w:val="002C5121"/>
    <w:rsid w:val="00F30B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916A793-175D-4CF4-AC60-88CC8C9DD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7A75"/>
    <w:pPr>
      <w:spacing w:after="0" w:line="360" w:lineRule="auto"/>
      <w:outlineLvl w:val="0"/>
    </w:pPr>
    <w:rPr>
      <w:rFonts w:ascii="Arial" w:hAnsi="Arial" w:cs="Arial"/>
      <w:b/>
      <w:i/>
      <w:sz w:val="24"/>
      <w:szCs w:val="24"/>
    </w:rPr>
  </w:style>
  <w:style w:type="paragraph" w:styleId="Heading2">
    <w:name w:val="heading 2"/>
    <w:basedOn w:val="Normal"/>
    <w:next w:val="Normal"/>
    <w:link w:val="Heading2Char"/>
    <w:uiPriority w:val="9"/>
    <w:unhideWhenUsed/>
    <w:qFormat/>
    <w:rsid w:val="00257A75"/>
    <w:pPr>
      <w:spacing w:after="0" w:line="360" w:lineRule="auto"/>
      <w:outlineLvl w:val="1"/>
    </w:pPr>
    <w:rPr>
      <w:rFonts w:ascii="Arial" w:hAnsi="Arial" w:cs="Arial"/>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A75"/>
    <w:rPr>
      <w:rFonts w:ascii="Arial" w:hAnsi="Arial" w:cs="Arial"/>
      <w:b/>
      <w:i/>
      <w:sz w:val="24"/>
      <w:szCs w:val="24"/>
    </w:rPr>
  </w:style>
  <w:style w:type="character" w:customStyle="1" w:styleId="Heading2Char">
    <w:name w:val="Heading 2 Char"/>
    <w:basedOn w:val="DefaultParagraphFont"/>
    <w:link w:val="Heading2"/>
    <w:uiPriority w:val="9"/>
    <w:rsid w:val="00257A75"/>
    <w:rPr>
      <w:rFonts w:ascii="Arial" w:hAnsi="Arial" w:cs="Arial"/>
      <w:i/>
      <w:sz w:val="24"/>
      <w:szCs w:val="24"/>
    </w:rPr>
  </w:style>
  <w:style w:type="paragraph" w:styleId="TOCHeading">
    <w:name w:val="TOC Heading"/>
    <w:basedOn w:val="Heading1"/>
    <w:next w:val="Normal"/>
    <w:uiPriority w:val="39"/>
    <w:unhideWhenUsed/>
    <w:qFormat/>
    <w:rsid w:val="00257A75"/>
    <w:pPr>
      <w:keepNext/>
      <w:keepLines/>
      <w:spacing w:before="240" w:line="259" w:lineRule="auto"/>
      <w:outlineLvl w:val="9"/>
    </w:pPr>
    <w:rPr>
      <w:rFonts w:asciiTheme="majorHAnsi" w:eastAsiaTheme="majorEastAsia" w:hAnsiTheme="majorHAnsi" w:cstheme="majorBidi"/>
      <w:b w:val="0"/>
      <w:i w:val="0"/>
      <w:color w:val="365F91" w:themeColor="accent1" w:themeShade="BF"/>
      <w:sz w:val="32"/>
      <w:szCs w:val="32"/>
    </w:rPr>
  </w:style>
  <w:style w:type="paragraph" w:styleId="TOC1">
    <w:name w:val="toc 1"/>
    <w:basedOn w:val="Normal"/>
    <w:next w:val="Normal"/>
    <w:autoRedefine/>
    <w:uiPriority w:val="39"/>
    <w:unhideWhenUsed/>
    <w:rsid w:val="00257A75"/>
    <w:pPr>
      <w:spacing w:after="100"/>
    </w:pPr>
  </w:style>
  <w:style w:type="paragraph" w:styleId="TOC2">
    <w:name w:val="toc 2"/>
    <w:basedOn w:val="Normal"/>
    <w:next w:val="Normal"/>
    <w:autoRedefine/>
    <w:uiPriority w:val="39"/>
    <w:unhideWhenUsed/>
    <w:rsid w:val="00257A75"/>
    <w:pPr>
      <w:spacing w:after="100"/>
      <w:ind w:left="220"/>
    </w:pPr>
  </w:style>
  <w:style w:type="character" w:styleId="Hyperlink">
    <w:name w:val="Hyperlink"/>
    <w:basedOn w:val="DefaultParagraphFont"/>
    <w:uiPriority w:val="99"/>
    <w:unhideWhenUsed/>
    <w:rsid w:val="00257A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C5CF4-E96A-4D21-9598-D57400366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3122</Words>
  <Characters>17802</Characters>
  <DocSecurity>0</DocSecurity>
  <Lines>148</Lines>
  <Paragraphs>41</Paragraphs>
  <ScaleCrop>false</ScaleCrop>
  <Company/>
  <LinksUpToDate>false</LinksUpToDate>
  <CharactersWithSpaces>20883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2022-04-02T11:57:00Z</dcterms:created>
  <dcterms:modified xsi:type="dcterms:W3CDTF">2022-04-02T12:02:00Z</dcterms:modified>
</cp:coreProperties>
</file>