
<file path=[Content_Types].xml><?xml version="1.0" encoding="utf-8"?>
<Types xmlns="http://schemas.openxmlformats.org/package/2006/content-types">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rPr>
        <w:id w:val="59875016"/>
        <w:docPartObj>
          <w:docPartGallery w:val="Cover Pages"/>
          <w:docPartUnique/>
        </w:docPartObj>
      </w:sdtPr>
      <w:sdtEndPr>
        <w:rPr>
          <w:rFonts w:asciiTheme="minorHAnsi" w:eastAsiaTheme="minorHAnsi" w:hAnsiTheme="minorHAnsi" w:cstheme="minorBidi"/>
          <w:sz w:val="22"/>
          <w:szCs w:val="22"/>
        </w:rPr>
      </w:sdtEndPr>
      <w:sdtContent>
        <w:p w:rsidR="00AE67E7" w:rsidRDefault="00AC3FA0">
          <w:pPr>
            <w:pStyle w:val="NoSpacing"/>
            <w:rPr>
              <w:rFonts w:asciiTheme="majorHAnsi" w:eastAsiaTheme="majorEastAsia" w:hAnsiTheme="majorHAnsi" w:cstheme="majorBidi"/>
              <w:sz w:val="72"/>
              <w:szCs w:val="72"/>
            </w:rPr>
          </w:pPr>
          <w:r w:rsidRPr="00AC3FA0">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AC3FA0">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AC3FA0">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AC3FA0">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Theme="majorHAnsi" w:eastAsiaTheme="majorEastAsia" w:hAnsiTheme="majorHAnsi" w:cstheme="majorBidi"/>
              <w:b/>
              <w:sz w:val="96"/>
              <w:szCs w:val="96"/>
            </w:rPr>
            <w:alias w:val="Title"/>
            <w:id w:val="14700071"/>
            <w:placeholder>
              <w:docPart w:val="5555FA8DFFF24D5EAEBBD44F91F67597"/>
            </w:placeholder>
            <w:dataBinding w:prefixMappings="xmlns:ns0='http://schemas.openxmlformats.org/package/2006/metadata/core-properties' xmlns:ns1='http://purl.org/dc/elements/1.1/'" w:xpath="/ns0:coreProperties[1]/ns1:title[1]" w:storeItemID="{6C3C8BC8-F283-45AE-878A-BAB7291924A1}"/>
            <w:text/>
          </w:sdtPr>
          <w:sdtContent>
            <w:p w:rsidR="00AE67E7" w:rsidRPr="00AE67E7" w:rsidRDefault="00AE67E7">
              <w:pPr>
                <w:pStyle w:val="NoSpacing"/>
                <w:rPr>
                  <w:rFonts w:asciiTheme="majorHAnsi" w:eastAsiaTheme="majorEastAsia" w:hAnsiTheme="majorHAnsi" w:cstheme="majorBidi"/>
                  <w:b/>
                  <w:sz w:val="96"/>
                  <w:szCs w:val="96"/>
                </w:rPr>
              </w:pPr>
              <w:r w:rsidRPr="00AE67E7">
                <w:rPr>
                  <w:rFonts w:asciiTheme="majorHAnsi" w:eastAsiaTheme="majorEastAsia" w:hAnsiTheme="majorHAnsi" w:cstheme="majorBidi"/>
                  <w:b/>
                  <w:sz w:val="96"/>
                  <w:szCs w:val="96"/>
                </w:rPr>
                <w:t>Assignment 2</w:t>
              </w:r>
            </w:p>
          </w:sdtContent>
        </w:sdt>
        <w:p w:rsidR="00AE67E7" w:rsidRPr="00B84832" w:rsidRDefault="00AE67E7" w:rsidP="00AE67E7">
          <w:pPr>
            <w:pStyle w:val="NoSpacing"/>
            <w:rPr>
              <w:rFonts w:asciiTheme="majorHAnsi" w:eastAsiaTheme="majorEastAsia" w:hAnsiTheme="majorHAnsi" w:cstheme="majorBidi"/>
              <w:b/>
              <w:sz w:val="72"/>
              <w:szCs w:val="72"/>
            </w:rPr>
          </w:pPr>
          <w:r w:rsidRPr="00B84832">
            <w:rPr>
              <w:rFonts w:asciiTheme="majorHAnsi" w:eastAsiaTheme="majorEastAsia" w:hAnsiTheme="majorHAnsi" w:cstheme="majorBidi"/>
              <w:b/>
              <w:sz w:val="72"/>
              <w:szCs w:val="72"/>
            </w:rPr>
            <w:t xml:space="preserve">Name: </w:t>
          </w:r>
          <w:proofErr w:type="spellStart"/>
          <w:r w:rsidRPr="00B84832">
            <w:rPr>
              <w:rFonts w:asciiTheme="majorHAnsi" w:eastAsiaTheme="majorEastAsia" w:hAnsiTheme="majorHAnsi" w:cstheme="majorBidi"/>
              <w:b/>
              <w:sz w:val="72"/>
              <w:szCs w:val="72"/>
            </w:rPr>
            <w:t>Rukhsana</w:t>
          </w:r>
          <w:proofErr w:type="spellEnd"/>
          <w:r w:rsidRPr="00B84832">
            <w:rPr>
              <w:rFonts w:asciiTheme="majorHAnsi" w:eastAsiaTheme="majorEastAsia" w:hAnsiTheme="majorHAnsi" w:cstheme="majorBidi"/>
              <w:b/>
              <w:sz w:val="72"/>
              <w:szCs w:val="72"/>
            </w:rPr>
            <w:t xml:space="preserve"> </w:t>
          </w:r>
          <w:proofErr w:type="spellStart"/>
          <w:r w:rsidRPr="00B84832">
            <w:rPr>
              <w:rFonts w:asciiTheme="majorHAnsi" w:eastAsiaTheme="majorEastAsia" w:hAnsiTheme="majorHAnsi" w:cstheme="majorBidi"/>
              <w:b/>
              <w:sz w:val="72"/>
              <w:szCs w:val="72"/>
            </w:rPr>
            <w:t>Nawaz</w:t>
          </w:r>
          <w:proofErr w:type="spellEnd"/>
        </w:p>
        <w:p w:rsidR="00AE67E7" w:rsidRPr="00B84832" w:rsidRDefault="00AE67E7" w:rsidP="00AE67E7">
          <w:pPr>
            <w:pStyle w:val="NoSpacing"/>
            <w:rPr>
              <w:rFonts w:asciiTheme="majorHAnsi" w:eastAsiaTheme="majorEastAsia" w:hAnsiTheme="majorHAnsi" w:cstheme="majorBidi"/>
              <w:b/>
              <w:sz w:val="72"/>
              <w:szCs w:val="72"/>
            </w:rPr>
          </w:pPr>
          <w:r w:rsidRPr="00B84832">
            <w:rPr>
              <w:rFonts w:asciiTheme="majorHAnsi" w:eastAsiaTheme="majorEastAsia" w:hAnsiTheme="majorHAnsi" w:cstheme="majorBidi"/>
              <w:b/>
              <w:sz w:val="72"/>
              <w:szCs w:val="72"/>
            </w:rPr>
            <w:t>Student id: 212</w:t>
          </w:r>
          <w:r>
            <w:rPr>
              <w:rFonts w:asciiTheme="majorHAnsi" w:eastAsiaTheme="majorEastAsia" w:hAnsiTheme="majorHAnsi" w:cstheme="majorBidi"/>
              <w:b/>
              <w:sz w:val="72"/>
              <w:szCs w:val="72"/>
            </w:rPr>
            <w:t>6717</w:t>
          </w:r>
        </w:p>
        <w:p w:rsidR="00AE67E7" w:rsidRDefault="00AE67E7">
          <w:pPr>
            <w:pStyle w:val="NoSpacing"/>
            <w:rPr>
              <w:rFonts w:asciiTheme="majorHAnsi" w:eastAsiaTheme="majorEastAsia" w:hAnsiTheme="majorHAnsi" w:cstheme="majorBidi"/>
              <w:sz w:val="36"/>
              <w:szCs w:val="36"/>
            </w:rPr>
          </w:pPr>
        </w:p>
        <w:p w:rsidR="00AE67E7" w:rsidRDefault="00AE67E7">
          <w:pPr>
            <w:pStyle w:val="NoSpacing"/>
            <w:rPr>
              <w:rFonts w:asciiTheme="majorHAnsi" w:eastAsiaTheme="majorEastAsia" w:hAnsiTheme="majorHAnsi" w:cstheme="majorBidi"/>
              <w:sz w:val="36"/>
              <w:szCs w:val="36"/>
            </w:rPr>
          </w:pPr>
        </w:p>
        <w:p w:rsidR="00AE67E7" w:rsidRDefault="00AE67E7">
          <w:r>
            <w:br w:type="page"/>
          </w:r>
        </w:p>
      </w:sdtContent>
    </w:sdt>
    <w:p w:rsidR="002C0D8C" w:rsidRPr="00136A21" w:rsidRDefault="00F47D0E" w:rsidP="002C0D8C">
      <w:pPr>
        <w:rPr>
          <w:b/>
          <w:u w:val="single"/>
        </w:rPr>
      </w:pPr>
      <w:r w:rsidRPr="00F47D0E">
        <w:rPr>
          <w:rFonts w:cstheme="minorHAnsi"/>
          <w:b/>
          <w:u w:val="single"/>
        </w:rPr>
        <w:lastRenderedPageBreak/>
        <w:t>Essay</w:t>
      </w:r>
      <w:r w:rsidRPr="00F47D0E">
        <w:rPr>
          <w:b/>
          <w:u w:val="single"/>
        </w:rPr>
        <w:t xml:space="preserve"> </w:t>
      </w:r>
      <w:r w:rsidR="002C0D8C" w:rsidRPr="00136A21">
        <w:rPr>
          <w:b/>
          <w:u w:val="single"/>
        </w:rPr>
        <w:t xml:space="preserve">Comparing and Contrasting Erikson’s Psychosocial Development Theory and </w:t>
      </w:r>
      <w:proofErr w:type="spellStart"/>
      <w:r w:rsidR="002C0D8C" w:rsidRPr="00136A21">
        <w:rPr>
          <w:b/>
          <w:u w:val="single"/>
        </w:rPr>
        <w:t>Bowlby’s</w:t>
      </w:r>
      <w:proofErr w:type="spellEnd"/>
      <w:r w:rsidR="002C0D8C" w:rsidRPr="00136A21">
        <w:rPr>
          <w:b/>
          <w:u w:val="single"/>
        </w:rPr>
        <w:t xml:space="preserve"> Attachment Theory in Child Development</w:t>
      </w:r>
    </w:p>
    <w:p w:rsidR="002C0D8C" w:rsidRPr="00136A21" w:rsidRDefault="002C0D8C" w:rsidP="002C0D8C">
      <w:pPr>
        <w:rPr>
          <w:b/>
        </w:rPr>
      </w:pPr>
      <w:r w:rsidRPr="00136A21">
        <w:rPr>
          <w:b/>
        </w:rPr>
        <w:t>Introduction</w:t>
      </w:r>
    </w:p>
    <w:p w:rsidR="00136A21" w:rsidRDefault="00136A21" w:rsidP="00136A21">
      <w:r>
        <w:t xml:space="preserve">Child development theories provide valuable frameworks for understanding the factors influencing children's health, behavior, and development. These theories offer insight into the complex interplay between biological, psychological, and social factors shaping a child's growth. This essay explores two significant theories: Erik Erikson’s Psychosocial Development Theory and John </w:t>
      </w:r>
      <w:proofErr w:type="spellStart"/>
      <w:r>
        <w:t>Bowlby’s</w:t>
      </w:r>
      <w:proofErr w:type="spellEnd"/>
      <w:r>
        <w:t xml:space="preserve"> Attachment Theory, comparing and contrasting their perspectives on development. While Erikson emphasizes the psychosocial challenges children face across eight stages of development, </w:t>
      </w:r>
      <w:proofErr w:type="spellStart"/>
      <w:r>
        <w:t>Bowlby</w:t>
      </w:r>
      <w:proofErr w:type="spellEnd"/>
      <w:r>
        <w:t xml:space="preserve"> highlights the foundational role of early attachment relationships in shaping emotional and social well-being.</w:t>
      </w:r>
    </w:p>
    <w:p w:rsidR="00136A21" w:rsidRDefault="00136A21" w:rsidP="00136A21">
      <w:r>
        <w:t xml:space="preserve">Erikson’s theory spans the entire lifespan, addressing the crises individuals must navigate at each stage to foster psychological growth. In contrast, </w:t>
      </w:r>
      <w:proofErr w:type="spellStart"/>
      <w:r>
        <w:t>Bowlby’s</w:t>
      </w:r>
      <w:proofErr w:type="spellEnd"/>
      <w:r>
        <w:t xml:space="preserve"> Attachment Theory primarily focuses on the early years of life, where secure attachment is critical for building a stable emotional foundation. Both theories underscore the importance of relationships but differ in their scope and emphasis.</w:t>
      </w:r>
    </w:p>
    <w:p w:rsidR="00136A21" w:rsidRDefault="00136A21" w:rsidP="00136A21">
      <w:r>
        <w:t xml:space="preserve">By examining the similarities and differences between these theories, as well as their strengths and limitations, this essay aims to illustrate how they contribute to a holistic understanding of children’s development. Furthermore, the essay will explore how these theories can be applied in assessing developmental milestones, addressing challenges, and planning interventions to support children’s growth. Through a critical analysis, the relevance of these theories in educational, </w:t>
      </w:r>
      <w:proofErr w:type="spellStart"/>
      <w:r>
        <w:t>caregiving</w:t>
      </w:r>
      <w:proofErr w:type="spellEnd"/>
      <w:r>
        <w:t>, and therapeutic contexts will be demonstrated, offering practical insights for fostering healthy development in children and young people.</w:t>
      </w:r>
    </w:p>
    <w:p w:rsidR="002C0D8C" w:rsidRPr="00136A21" w:rsidRDefault="002C0D8C" w:rsidP="002C0D8C">
      <w:pPr>
        <w:rPr>
          <w:b/>
          <w:u w:val="single"/>
        </w:rPr>
      </w:pPr>
      <w:r w:rsidRPr="00136A21">
        <w:rPr>
          <w:b/>
          <w:u w:val="single"/>
        </w:rPr>
        <w:t>Background of Theorists and Theories</w:t>
      </w:r>
    </w:p>
    <w:p w:rsidR="002C0D8C" w:rsidRPr="00136A21" w:rsidRDefault="002C0D8C" w:rsidP="002C0D8C">
      <w:pPr>
        <w:rPr>
          <w:b/>
        </w:rPr>
      </w:pPr>
      <w:r w:rsidRPr="00136A21">
        <w:rPr>
          <w:b/>
        </w:rPr>
        <w:t>Erik Erikson: Psychosocial Development Theory</w:t>
      </w:r>
    </w:p>
    <w:p w:rsidR="002C0D8C" w:rsidRDefault="002C0D8C" w:rsidP="002C0D8C">
      <w:r>
        <w:t>Erik Erikson (1902–1994) was a German-American developmental psychologist and psychoanalyst who expanded Freud’s psychosexual stages to include eight psychosocial stages spanning from infancy to late adulthood. Each stage presents a crisis that must be resolved for healthy development (Erikson, 1963). For children and young people, the key stages include:</w:t>
      </w:r>
    </w:p>
    <w:p w:rsidR="002C0D8C" w:rsidRDefault="002C0D8C" w:rsidP="002C0D8C">
      <w:pPr>
        <w:pStyle w:val="ListParagraph"/>
        <w:numPr>
          <w:ilvl w:val="0"/>
          <w:numId w:val="8"/>
        </w:numPr>
      </w:pPr>
      <w:r w:rsidRPr="002C0D8C">
        <w:rPr>
          <w:b/>
        </w:rPr>
        <w:t>Trust vs. Mistrust (0–1 year):</w:t>
      </w:r>
      <w:r>
        <w:t xml:space="preserve"> Developing trust through consistent care.</w:t>
      </w:r>
    </w:p>
    <w:p w:rsidR="002C0D8C" w:rsidRDefault="002C0D8C" w:rsidP="002C0D8C">
      <w:pPr>
        <w:pStyle w:val="ListParagraph"/>
        <w:numPr>
          <w:ilvl w:val="0"/>
          <w:numId w:val="8"/>
        </w:numPr>
      </w:pPr>
      <w:r w:rsidRPr="002C0D8C">
        <w:rPr>
          <w:b/>
        </w:rPr>
        <w:t>Autonomy vs. Shame and Doubt (1–3 years):</w:t>
      </w:r>
      <w:r>
        <w:t xml:space="preserve"> Building independence through choice and control.</w:t>
      </w:r>
    </w:p>
    <w:p w:rsidR="002C0D8C" w:rsidRDefault="002C0D8C" w:rsidP="002C0D8C">
      <w:pPr>
        <w:pStyle w:val="ListParagraph"/>
        <w:numPr>
          <w:ilvl w:val="0"/>
          <w:numId w:val="8"/>
        </w:numPr>
      </w:pPr>
      <w:r w:rsidRPr="002C0D8C">
        <w:rPr>
          <w:b/>
        </w:rPr>
        <w:t>Initiative vs. Guilt (3–6 years):</w:t>
      </w:r>
      <w:r>
        <w:t xml:space="preserve"> Developing initiative by exploring and trying new activities.</w:t>
      </w:r>
    </w:p>
    <w:p w:rsidR="002C0D8C" w:rsidRDefault="002C0D8C" w:rsidP="002C0D8C">
      <w:pPr>
        <w:pStyle w:val="ListParagraph"/>
        <w:numPr>
          <w:ilvl w:val="0"/>
          <w:numId w:val="8"/>
        </w:numPr>
      </w:pPr>
      <w:r w:rsidRPr="002C0D8C">
        <w:rPr>
          <w:b/>
        </w:rPr>
        <w:t xml:space="preserve">Industry vs. Inferiority (6–12 years): </w:t>
      </w:r>
      <w:r>
        <w:t>Gaining competence through skill development and recognition.</w:t>
      </w:r>
    </w:p>
    <w:p w:rsidR="002C0D8C" w:rsidRDefault="002C0D8C" w:rsidP="002C0D8C">
      <w:pPr>
        <w:pStyle w:val="ListParagraph"/>
        <w:numPr>
          <w:ilvl w:val="0"/>
          <w:numId w:val="8"/>
        </w:numPr>
      </w:pPr>
      <w:r w:rsidRPr="002C0D8C">
        <w:rPr>
          <w:b/>
        </w:rPr>
        <w:t>Identity vs. Role Confusion (12–18 years):</w:t>
      </w:r>
      <w:r>
        <w:t xml:space="preserve"> Establishing a sense of identity during adolescence.</w:t>
      </w:r>
    </w:p>
    <w:p w:rsidR="002C0D8C" w:rsidRDefault="002C0D8C" w:rsidP="002C0D8C">
      <w:r>
        <w:t>Erikson highlighted the influence of social relationships and culture in navigating these challenges.</w:t>
      </w:r>
    </w:p>
    <w:p w:rsidR="002C0D8C" w:rsidRPr="002C0D8C" w:rsidRDefault="002C0D8C" w:rsidP="002C0D8C">
      <w:pPr>
        <w:rPr>
          <w:b/>
        </w:rPr>
      </w:pPr>
      <w:r w:rsidRPr="002C0D8C">
        <w:rPr>
          <w:b/>
        </w:rPr>
        <w:lastRenderedPageBreak/>
        <w:t xml:space="preserve">John </w:t>
      </w:r>
      <w:proofErr w:type="spellStart"/>
      <w:r w:rsidRPr="002C0D8C">
        <w:rPr>
          <w:b/>
        </w:rPr>
        <w:t>Bowlby</w:t>
      </w:r>
      <w:proofErr w:type="spellEnd"/>
      <w:r w:rsidRPr="002C0D8C">
        <w:rPr>
          <w:b/>
        </w:rPr>
        <w:t>: Attachment Theory</w:t>
      </w:r>
    </w:p>
    <w:p w:rsidR="002C0D8C" w:rsidRDefault="002C0D8C" w:rsidP="002C0D8C">
      <w:r>
        <w:t xml:space="preserve">John </w:t>
      </w:r>
      <w:proofErr w:type="spellStart"/>
      <w:r>
        <w:t>Bowlby</w:t>
      </w:r>
      <w:proofErr w:type="spellEnd"/>
      <w:r>
        <w:t xml:space="preserve"> (1907–1990), a British psychologist, developed Attachment Theory to explain the importance of early relationships in shaping emotional and social development. </w:t>
      </w:r>
      <w:proofErr w:type="spellStart"/>
      <w:r>
        <w:t>Bowlby</w:t>
      </w:r>
      <w:proofErr w:type="spellEnd"/>
      <w:r>
        <w:t xml:space="preserve"> argued that children form an innate bond with a primary caregiver, which provides a secure base for exploration and future relationships (</w:t>
      </w:r>
      <w:proofErr w:type="spellStart"/>
      <w:r>
        <w:t>Bowlby</w:t>
      </w:r>
      <w:proofErr w:type="spellEnd"/>
      <w:r>
        <w:t>, 1969). Key components include:</w:t>
      </w:r>
    </w:p>
    <w:p w:rsidR="002C0D8C" w:rsidRDefault="002C0D8C" w:rsidP="002C0D8C">
      <w:pPr>
        <w:pStyle w:val="ListParagraph"/>
        <w:numPr>
          <w:ilvl w:val="0"/>
          <w:numId w:val="9"/>
        </w:numPr>
      </w:pPr>
      <w:r w:rsidRPr="002C0D8C">
        <w:rPr>
          <w:b/>
        </w:rPr>
        <w:t>Attachment Styles:</w:t>
      </w:r>
      <w:r>
        <w:t xml:space="preserve"> Secure, avoidant, ambivalent, and disorganized attachment patterns observed in early relationships (Ainsworth, 1978).</w:t>
      </w:r>
    </w:p>
    <w:p w:rsidR="002C0D8C" w:rsidRDefault="002C0D8C" w:rsidP="002C0D8C">
      <w:pPr>
        <w:pStyle w:val="ListParagraph"/>
        <w:numPr>
          <w:ilvl w:val="0"/>
          <w:numId w:val="9"/>
        </w:numPr>
      </w:pPr>
      <w:r w:rsidRPr="002C0D8C">
        <w:rPr>
          <w:b/>
        </w:rPr>
        <w:t>Internal Working Model:</w:t>
      </w:r>
      <w:r>
        <w:t xml:space="preserve"> A cognitive framework guiding expectations and behavior in relationships based on early attachment experiences.</w:t>
      </w:r>
    </w:p>
    <w:p w:rsidR="002C0D8C" w:rsidRDefault="002C0D8C" w:rsidP="002C0D8C">
      <w:proofErr w:type="spellStart"/>
      <w:r>
        <w:t>Bowlby</w:t>
      </w:r>
      <w:proofErr w:type="spellEnd"/>
      <w:r>
        <w:t xml:space="preserve"> emphasized the biological basis of attachment, suggesting that a child’s early interactions with caregivers are crucial for emotional regulation and social development.</w:t>
      </w:r>
    </w:p>
    <w:p w:rsidR="002C0D8C" w:rsidRPr="002C0D8C" w:rsidRDefault="002C0D8C" w:rsidP="002C0D8C">
      <w:pPr>
        <w:rPr>
          <w:b/>
          <w:u w:val="single"/>
        </w:rPr>
      </w:pPr>
      <w:r w:rsidRPr="002C0D8C">
        <w:rPr>
          <w:b/>
          <w:u w:val="single"/>
        </w:rPr>
        <w:t xml:space="preserve">Similarities </w:t>
      </w:r>
      <w:r w:rsidR="00AE67E7" w:rsidRPr="002C0D8C">
        <w:rPr>
          <w:b/>
          <w:u w:val="single"/>
        </w:rPr>
        <w:t>between</w:t>
      </w:r>
      <w:r w:rsidRPr="002C0D8C">
        <w:rPr>
          <w:b/>
          <w:u w:val="single"/>
        </w:rPr>
        <w:t xml:space="preserve"> Erikson and </w:t>
      </w:r>
      <w:proofErr w:type="spellStart"/>
      <w:r w:rsidRPr="002C0D8C">
        <w:rPr>
          <w:b/>
          <w:u w:val="single"/>
        </w:rPr>
        <w:t>Bowlby</w:t>
      </w:r>
      <w:proofErr w:type="spellEnd"/>
    </w:p>
    <w:p w:rsidR="002C0D8C" w:rsidRPr="002C0D8C" w:rsidRDefault="002C0D8C" w:rsidP="002C0D8C">
      <w:pPr>
        <w:rPr>
          <w:b/>
        </w:rPr>
      </w:pPr>
      <w:r w:rsidRPr="002C0D8C">
        <w:rPr>
          <w:b/>
        </w:rPr>
        <w:t>Focus on Relationships:</w:t>
      </w:r>
    </w:p>
    <w:p w:rsidR="002C0D8C" w:rsidRDefault="002C0D8C" w:rsidP="002C0D8C">
      <w:r>
        <w:t xml:space="preserve">Both theorists highlight the importance of relationships in shaping development. Erikson emphasizes broader social relationships, while </w:t>
      </w:r>
      <w:proofErr w:type="spellStart"/>
      <w:r>
        <w:t>Bowlby</w:t>
      </w:r>
      <w:proofErr w:type="spellEnd"/>
      <w:r>
        <w:t xml:space="preserve"> focuses on early caregiver-child bonds.</w:t>
      </w:r>
    </w:p>
    <w:p w:rsidR="002C0D8C" w:rsidRPr="002C0D8C" w:rsidRDefault="002C0D8C" w:rsidP="002C0D8C">
      <w:pPr>
        <w:rPr>
          <w:b/>
        </w:rPr>
      </w:pPr>
      <w:r w:rsidRPr="002C0D8C">
        <w:rPr>
          <w:b/>
        </w:rPr>
        <w:t>Lifelong Impact:</w:t>
      </w:r>
    </w:p>
    <w:p w:rsidR="002C0D8C" w:rsidRDefault="002C0D8C" w:rsidP="002C0D8C">
      <w:r>
        <w:t xml:space="preserve">Both theories argue that early experiences have a lasting impact on emotional and social development. For instance, unresolved crises in Erikson’s stages or insecure attachment in </w:t>
      </w:r>
      <w:proofErr w:type="spellStart"/>
      <w:r>
        <w:t>Bowlby’s</w:t>
      </w:r>
      <w:proofErr w:type="spellEnd"/>
      <w:r>
        <w:t xml:space="preserve"> framework can lead to challenges later in life.</w:t>
      </w:r>
    </w:p>
    <w:p w:rsidR="002C0D8C" w:rsidRPr="002C0D8C" w:rsidRDefault="002C0D8C" w:rsidP="002C0D8C">
      <w:pPr>
        <w:rPr>
          <w:b/>
        </w:rPr>
      </w:pPr>
      <w:r w:rsidRPr="002C0D8C">
        <w:rPr>
          <w:b/>
        </w:rPr>
        <w:t>Developmental Challenges:</w:t>
      </w:r>
    </w:p>
    <w:p w:rsidR="002C0D8C" w:rsidRDefault="002C0D8C" w:rsidP="002C0D8C">
      <w:r>
        <w:t xml:space="preserve">Erikson’s crises and </w:t>
      </w:r>
      <w:proofErr w:type="spellStart"/>
      <w:r>
        <w:t>Bowlby’s</w:t>
      </w:r>
      <w:proofErr w:type="spellEnd"/>
      <w:r>
        <w:t xml:space="preserve"> attachment processes both reflect challenges children must navigate to achieve healthy development.</w:t>
      </w:r>
    </w:p>
    <w:p w:rsidR="002C0D8C" w:rsidRPr="002C0D8C" w:rsidRDefault="002C0D8C" w:rsidP="002C0D8C">
      <w:pPr>
        <w:rPr>
          <w:b/>
          <w:u w:val="single"/>
        </w:rPr>
      </w:pPr>
      <w:r w:rsidRPr="002C0D8C">
        <w:rPr>
          <w:b/>
          <w:u w:val="single"/>
        </w:rPr>
        <w:t xml:space="preserve">Differences </w:t>
      </w:r>
      <w:proofErr w:type="gramStart"/>
      <w:r w:rsidRPr="002C0D8C">
        <w:rPr>
          <w:b/>
          <w:u w:val="single"/>
        </w:rPr>
        <w:t>Between</w:t>
      </w:r>
      <w:proofErr w:type="gramEnd"/>
      <w:r w:rsidRPr="002C0D8C">
        <w:rPr>
          <w:b/>
          <w:u w:val="single"/>
        </w:rPr>
        <w:t xml:space="preserve"> Erikson and </w:t>
      </w:r>
      <w:proofErr w:type="spellStart"/>
      <w:r w:rsidRPr="002C0D8C">
        <w:rPr>
          <w:b/>
          <w:u w:val="single"/>
        </w:rPr>
        <w:t>Bowlby</w:t>
      </w:r>
      <w:proofErr w:type="spellEnd"/>
    </w:p>
    <w:p w:rsidR="002C0D8C" w:rsidRPr="002C0D8C" w:rsidRDefault="002C0D8C" w:rsidP="002C0D8C">
      <w:pPr>
        <w:rPr>
          <w:b/>
        </w:rPr>
      </w:pPr>
      <w:r w:rsidRPr="002C0D8C">
        <w:rPr>
          <w:b/>
        </w:rPr>
        <w:t>Scope of Development:</w:t>
      </w:r>
    </w:p>
    <w:p w:rsidR="002C0D8C" w:rsidRDefault="002C0D8C" w:rsidP="00DA45CB">
      <w:pPr>
        <w:pStyle w:val="ListParagraph"/>
        <w:numPr>
          <w:ilvl w:val="0"/>
          <w:numId w:val="11"/>
        </w:numPr>
      </w:pPr>
      <w:r>
        <w:t>Erikson’s theory spans the entire lifespan, addressing challenges from infancy to late adulthood.</w:t>
      </w:r>
    </w:p>
    <w:p w:rsidR="002C0D8C" w:rsidRDefault="002C0D8C" w:rsidP="00DA45CB">
      <w:pPr>
        <w:pStyle w:val="ListParagraph"/>
        <w:numPr>
          <w:ilvl w:val="0"/>
          <w:numId w:val="11"/>
        </w:numPr>
      </w:pPr>
      <w:proofErr w:type="spellStart"/>
      <w:r>
        <w:t>Bowlby’s</w:t>
      </w:r>
      <w:proofErr w:type="spellEnd"/>
      <w:r>
        <w:t xml:space="preserve"> theory focuses primarily on early childhood and its impact on subsequent relationships.</w:t>
      </w:r>
    </w:p>
    <w:p w:rsidR="002C0D8C" w:rsidRPr="00DA45CB" w:rsidRDefault="002C0D8C" w:rsidP="002C0D8C">
      <w:pPr>
        <w:rPr>
          <w:b/>
        </w:rPr>
      </w:pPr>
      <w:r w:rsidRPr="00DA45CB">
        <w:rPr>
          <w:b/>
        </w:rPr>
        <w:t>Biological vs. Social Emphasis:</w:t>
      </w:r>
    </w:p>
    <w:p w:rsidR="002C0D8C" w:rsidRDefault="002C0D8C" w:rsidP="00DA45CB">
      <w:pPr>
        <w:pStyle w:val="ListParagraph"/>
        <w:numPr>
          <w:ilvl w:val="0"/>
          <w:numId w:val="12"/>
        </w:numPr>
      </w:pPr>
      <w:proofErr w:type="spellStart"/>
      <w:r>
        <w:t>Bowlby’s</w:t>
      </w:r>
      <w:proofErr w:type="spellEnd"/>
      <w:r>
        <w:t xml:space="preserve"> theory is grounded in evolutionary biology, emphasizing innate attachment behaviors.</w:t>
      </w:r>
    </w:p>
    <w:p w:rsidR="002C0D8C" w:rsidRDefault="002C0D8C" w:rsidP="00DA45CB">
      <w:pPr>
        <w:pStyle w:val="ListParagraph"/>
        <w:numPr>
          <w:ilvl w:val="0"/>
          <w:numId w:val="12"/>
        </w:numPr>
      </w:pPr>
      <w:r>
        <w:t>Erikson focuses on psychosocial factors, highlighting the role of cultural and societal influences.</w:t>
      </w:r>
    </w:p>
    <w:p w:rsidR="002C0D8C" w:rsidRPr="00DA45CB" w:rsidRDefault="002C0D8C" w:rsidP="002C0D8C">
      <w:pPr>
        <w:rPr>
          <w:b/>
        </w:rPr>
      </w:pPr>
      <w:r w:rsidRPr="00DA45CB">
        <w:rPr>
          <w:b/>
        </w:rPr>
        <w:t>Conceptual Framework:</w:t>
      </w:r>
    </w:p>
    <w:p w:rsidR="002C0D8C" w:rsidRDefault="002C0D8C" w:rsidP="00DA45CB">
      <w:pPr>
        <w:pStyle w:val="ListParagraph"/>
        <w:numPr>
          <w:ilvl w:val="0"/>
          <w:numId w:val="13"/>
        </w:numPr>
      </w:pPr>
      <w:r>
        <w:lastRenderedPageBreak/>
        <w:t>Erikson’s theory involves distinct stages with specific crises to resolve.</w:t>
      </w:r>
    </w:p>
    <w:p w:rsidR="002C0D8C" w:rsidRDefault="002C0D8C" w:rsidP="00DA45CB">
      <w:pPr>
        <w:pStyle w:val="ListParagraph"/>
        <w:numPr>
          <w:ilvl w:val="0"/>
          <w:numId w:val="13"/>
        </w:numPr>
      </w:pPr>
      <w:proofErr w:type="spellStart"/>
      <w:r>
        <w:t>Bowlby’s</w:t>
      </w:r>
      <w:proofErr w:type="spellEnd"/>
      <w:r>
        <w:t xml:space="preserve"> theory does not follow a stage-based model but examines the ongoing influence of early attachment patterns.</w:t>
      </w:r>
    </w:p>
    <w:p w:rsidR="002C0D8C" w:rsidRPr="00DA45CB" w:rsidRDefault="002C0D8C" w:rsidP="002C0D8C">
      <w:pPr>
        <w:rPr>
          <w:b/>
          <w:u w:val="single"/>
        </w:rPr>
      </w:pPr>
      <w:r w:rsidRPr="00DA45CB">
        <w:rPr>
          <w:b/>
          <w:u w:val="single"/>
        </w:rPr>
        <w:t>Strengths and Limitations</w:t>
      </w:r>
    </w:p>
    <w:p w:rsidR="002C0D8C" w:rsidRPr="00DA45CB" w:rsidRDefault="002C0D8C" w:rsidP="002C0D8C">
      <w:pPr>
        <w:rPr>
          <w:b/>
        </w:rPr>
      </w:pPr>
      <w:r w:rsidRPr="00DA45CB">
        <w:rPr>
          <w:b/>
        </w:rPr>
        <w:t>Erikson’s Psychosocial Development Theory</w:t>
      </w:r>
    </w:p>
    <w:p w:rsidR="002C0D8C" w:rsidRPr="00DA45CB" w:rsidRDefault="002C0D8C" w:rsidP="002C0D8C">
      <w:pPr>
        <w:rPr>
          <w:b/>
        </w:rPr>
      </w:pPr>
      <w:r w:rsidRPr="00DA45CB">
        <w:rPr>
          <w:b/>
        </w:rPr>
        <w:t>Strengths:</w:t>
      </w:r>
    </w:p>
    <w:p w:rsidR="00C517BD" w:rsidRDefault="00C517BD" w:rsidP="00C517BD">
      <w:pPr>
        <w:pStyle w:val="ListParagraph"/>
        <w:numPr>
          <w:ilvl w:val="0"/>
          <w:numId w:val="14"/>
        </w:numPr>
        <w:rPr>
          <w:b/>
        </w:rPr>
      </w:pPr>
      <w:r w:rsidRPr="00C517BD">
        <w:rPr>
          <w:b/>
        </w:rPr>
        <w:t>Comprehensive Framework for Understanding Development Across the Lifespan</w:t>
      </w:r>
    </w:p>
    <w:p w:rsidR="00C517BD" w:rsidRDefault="00C517BD" w:rsidP="00C517BD">
      <w:pPr>
        <w:pStyle w:val="ListParagraph"/>
      </w:pPr>
      <w:r>
        <w:t>Erikson’s Psychosocial Development Theory stands out for its comprehensive scope, covering the entire lifespan from infancy to late adulthood. Unlike other theories that often focus on early childhood, Erikson emphasizes that development is a continuous process with challenges and growth opportunities at every stage of life (Erikson, 1963). This broad perspective allows for a more holistic understanding of how individuals evolve socially and emotionally over time. For example, Erikson’s final stage, Integrity vs. Despair, underscores the importance of reflecting on one’s life and finding meaning, which is particularly relevant for understanding the psychological needs of older adults. This lifelong applicability makes the theory highly versatile and relevant for practitioners in various fields, including education, healthcare, and mental health.</w:t>
      </w:r>
    </w:p>
    <w:p w:rsidR="00C517BD" w:rsidRPr="00C517BD" w:rsidRDefault="00C517BD" w:rsidP="00C517BD">
      <w:pPr>
        <w:pStyle w:val="ListParagraph"/>
        <w:numPr>
          <w:ilvl w:val="0"/>
          <w:numId w:val="14"/>
        </w:numPr>
        <w:rPr>
          <w:b/>
        </w:rPr>
      </w:pPr>
      <w:r w:rsidRPr="00C517BD">
        <w:rPr>
          <w:b/>
        </w:rPr>
        <w:t>Highlights the Role of Cultural and Social Factors in Development</w:t>
      </w:r>
    </w:p>
    <w:p w:rsidR="00C517BD" w:rsidRDefault="00C517BD" w:rsidP="00C517BD">
      <w:pPr>
        <w:pStyle w:val="ListParagraph"/>
      </w:pPr>
      <w:r>
        <w:t>Erikson’s theory acknowledges the significant influence of cultural and social contexts on human development, setting it apart from theories that focus solely on biological or cognitive aspects. Each stage of Erikson’s model reflects a societal expectation or challenge, such as building trust in infancy or achieving independence in early childhood. For instance, the Industry vs. Inferiority stage aligns with the societal emphasis on skill development and academic achievement during school years (Slater, 2003). This integration of social and cultural dynamics allows the theory to adapt to diverse contexts, offering insights into how cultural norms and practices shape developmental trajectories.</w:t>
      </w:r>
    </w:p>
    <w:p w:rsidR="00C517BD" w:rsidRPr="00C517BD" w:rsidRDefault="00C517BD" w:rsidP="00C517BD">
      <w:pPr>
        <w:pStyle w:val="ListParagraph"/>
        <w:numPr>
          <w:ilvl w:val="0"/>
          <w:numId w:val="14"/>
        </w:numPr>
        <w:rPr>
          <w:b/>
        </w:rPr>
      </w:pPr>
      <w:r w:rsidRPr="00C517BD">
        <w:rPr>
          <w:b/>
        </w:rPr>
        <w:t>Useful for Identifying Developmental Challenges and Supporting Interventions</w:t>
      </w:r>
    </w:p>
    <w:p w:rsidR="00C517BD" w:rsidRDefault="00C517BD" w:rsidP="00C517BD">
      <w:pPr>
        <w:pStyle w:val="ListParagraph"/>
      </w:pPr>
      <w:r>
        <w:t>Erikson’s framework provides a practical tool for identifying developmental challenges at different stages of life. Each stage’s crisis serves as a diagnostic marker that helps caregivers, educators, and mental health professionals recognize where an individual might be struggling. For instance, a child experiencing feelings of inferiority during the Industry vs. Inferiority stage may benefit from interventions that focus on skill-building and positive reinforcement to boost their confidence. Similarly, young adults grappling with intimacy issues in the Intimacy vs. Isolation stage can be supported through counseling or relationship-building activities. By offering clear markers for each stage of development, Erikson’s theory enables tailored interventions that address specific psychosocial challenges, fostering healthier outcomes across the lifespan.</w:t>
      </w:r>
    </w:p>
    <w:p w:rsidR="002C0D8C" w:rsidRPr="00136A21" w:rsidRDefault="002C0D8C" w:rsidP="002C0D8C">
      <w:pPr>
        <w:rPr>
          <w:b/>
        </w:rPr>
      </w:pPr>
      <w:r w:rsidRPr="00136A21">
        <w:rPr>
          <w:b/>
        </w:rPr>
        <w:t>Limitations:</w:t>
      </w:r>
    </w:p>
    <w:p w:rsidR="002C0D8C" w:rsidRDefault="002C0D8C" w:rsidP="002C0D8C">
      <w:pPr>
        <w:pStyle w:val="ListParagraph"/>
        <w:numPr>
          <w:ilvl w:val="0"/>
          <w:numId w:val="3"/>
        </w:numPr>
      </w:pPr>
      <w:r>
        <w:t>Broad stages may oversimplify complex developmental processes.</w:t>
      </w:r>
    </w:p>
    <w:p w:rsidR="002C0D8C" w:rsidRDefault="002C0D8C" w:rsidP="002C0D8C">
      <w:pPr>
        <w:pStyle w:val="ListParagraph"/>
        <w:numPr>
          <w:ilvl w:val="0"/>
          <w:numId w:val="3"/>
        </w:numPr>
      </w:pPr>
      <w:r>
        <w:lastRenderedPageBreak/>
        <w:t>Limited empirical evidence for some stages, particularly in later adulthood (Marcia, 1980).</w:t>
      </w:r>
    </w:p>
    <w:p w:rsidR="002C0D8C" w:rsidRDefault="002C0D8C" w:rsidP="002C0D8C">
      <w:pPr>
        <w:pStyle w:val="ListParagraph"/>
        <w:numPr>
          <w:ilvl w:val="0"/>
          <w:numId w:val="3"/>
        </w:numPr>
      </w:pPr>
      <w:r>
        <w:t>May not fully account for biological and genetic influences.</w:t>
      </w:r>
    </w:p>
    <w:p w:rsidR="002C0D8C" w:rsidRPr="00136A21" w:rsidRDefault="002C0D8C" w:rsidP="002C0D8C">
      <w:pPr>
        <w:rPr>
          <w:b/>
          <w:u w:val="single"/>
        </w:rPr>
      </w:pPr>
      <w:proofErr w:type="spellStart"/>
      <w:r w:rsidRPr="00136A21">
        <w:rPr>
          <w:b/>
          <w:u w:val="single"/>
        </w:rPr>
        <w:t>Bowlby’s</w:t>
      </w:r>
      <w:proofErr w:type="spellEnd"/>
      <w:r w:rsidRPr="00136A21">
        <w:rPr>
          <w:b/>
          <w:u w:val="single"/>
        </w:rPr>
        <w:t xml:space="preserve"> Attachment Theory</w:t>
      </w:r>
    </w:p>
    <w:p w:rsidR="002C0D8C" w:rsidRPr="00136A21" w:rsidRDefault="002C0D8C" w:rsidP="002C0D8C">
      <w:pPr>
        <w:rPr>
          <w:b/>
        </w:rPr>
      </w:pPr>
      <w:r w:rsidRPr="00136A21">
        <w:rPr>
          <w:b/>
        </w:rPr>
        <w:t>Strengths:</w:t>
      </w:r>
    </w:p>
    <w:p w:rsidR="002C0D8C" w:rsidRDefault="002C0D8C" w:rsidP="002C0D8C">
      <w:pPr>
        <w:pStyle w:val="ListParagraph"/>
        <w:numPr>
          <w:ilvl w:val="0"/>
          <w:numId w:val="4"/>
        </w:numPr>
      </w:pPr>
      <w:r>
        <w:t>Grounded in empirical research, such as Ainsworth’s “Strange Situation” study (Ainsworth et al., 1978).</w:t>
      </w:r>
    </w:p>
    <w:p w:rsidR="002C0D8C" w:rsidRDefault="002C0D8C" w:rsidP="002C0D8C">
      <w:pPr>
        <w:pStyle w:val="ListParagraph"/>
        <w:numPr>
          <w:ilvl w:val="0"/>
          <w:numId w:val="4"/>
        </w:numPr>
      </w:pPr>
      <w:r>
        <w:t>Highlights the critical role of early relationships in emotional and social development.</w:t>
      </w:r>
    </w:p>
    <w:p w:rsidR="002C0D8C" w:rsidRDefault="002C0D8C" w:rsidP="002C0D8C">
      <w:pPr>
        <w:pStyle w:val="ListParagraph"/>
        <w:numPr>
          <w:ilvl w:val="0"/>
          <w:numId w:val="4"/>
        </w:numPr>
      </w:pPr>
      <w:r>
        <w:t xml:space="preserve">Has informed practices in </w:t>
      </w:r>
      <w:proofErr w:type="spellStart"/>
      <w:r>
        <w:t>caregiving</w:t>
      </w:r>
      <w:proofErr w:type="spellEnd"/>
      <w:r>
        <w:t>, adoption, and mental health interventions (Cassidy &amp; Shaver, 2016).</w:t>
      </w:r>
    </w:p>
    <w:p w:rsidR="002C0D8C" w:rsidRPr="00136A21" w:rsidRDefault="002C0D8C" w:rsidP="002C0D8C">
      <w:pPr>
        <w:rPr>
          <w:b/>
        </w:rPr>
      </w:pPr>
      <w:r w:rsidRPr="00136A21">
        <w:rPr>
          <w:b/>
        </w:rPr>
        <w:t>Limitations:</w:t>
      </w:r>
    </w:p>
    <w:p w:rsidR="002C0D8C" w:rsidRDefault="002C0D8C" w:rsidP="002C0D8C">
      <w:pPr>
        <w:pStyle w:val="ListParagraph"/>
        <w:numPr>
          <w:ilvl w:val="0"/>
          <w:numId w:val="5"/>
        </w:numPr>
      </w:pPr>
      <w:r>
        <w:t>Focus on early childhood may overlook later developmental influences.</w:t>
      </w:r>
    </w:p>
    <w:p w:rsidR="002C0D8C" w:rsidRDefault="002C0D8C" w:rsidP="002C0D8C">
      <w:pPr>
        <w:pStyle w:val="ListParagraph"/>
        <w:numPr>
          <w:ilvl w:val="0"/>
          <w:numId w:val="5"/>
        </w:numPr>
      </w:pPr>
      <w:r>
        <w:t>Critics argue it overemphasizes the role of the mother, potentially neglecting other caregivers and contexts (</w:t>
      </w:r>
      <w:proofErr w:type="spellStart"/>
      <w:r>
        <w:t>Rutter</w:t>
      </w:r>
      <w:proofErr w:type="spellEnd"/>
      <w:r>
        <w:t>, 1981).</w:t>
      </w:r>
    </w:p>
    <w:p w:rsidR="002C0D8C" w:rsidRDefault="002C0D8C" w:rsidP="002C0D8C">
      <w:pPr>
        <w:pStyle w:val="ListParagraph"/>
        <w:numPr>
          <w:ilvl w:val="0"/>
          <w:numId w:val="5"/>
        </w:numPr>
      </w:pPr>
      <w:r>
        <w:t xml:space="preserve">Cultural variations in attachment styles challenge its universality (van </w:t>
      </w:r>
      <w:proofErr w:type="spellStart"/>
      <w:r>
        <w:t>IJzendoorn</w:t>
      </w:r>
      <w:proofErr w:type="spellEnd"/>
      <w:r>
        <w:t xml:space="preserve"> &amp; </w:t>
      </w:r>
      <w:proofErr w:type="spellStart"/>
      <w:r>
        <w:t>Sagi</w:t>
      </w:r>
      <w:proofErr w:type="spellEnd"/>
      <w:r>
        <w:t>-Schwartz, 2008).</w:t>
      </w:r>
    </w:p>
    <w:p w:rsidR="002C0D8C" w:rsidRPr="00136A21" w:rsidRDefault="002C0D8C" w:rsidP="002C0D8C">
      <w:pPr>
        <w:rPr>
          <w:b/>
          <w:u w:val="single"/>
        </w:rPr>
      </w:pPr>
      <w:r w:rsidRPr="00136A21">
        <w:rPr>
          <w:b/>
          <w:u w:val="single"/>
        </w:rPr>
        <w:t>Application to Children’s Development</w:t>
      </w:r>
    </w:p>
    <w:p w:rsidR="00DA45CB" w:rsidRPr="00DA45CB" w:rsidRDefault="002C0D8C" w:rsidP="00F3778F">
      <w:pPr>
        <w:rPr>
          <w:b/>
        </w:rPr>
      </w:pPr>
      <w:r w:rsidRPr="00136A21">
        <w:rPr>
          <w:b/>
        </w:rPr>
        <w:t>Erikson’s Theory in Practice</w:t>
      </w:r>
    </w:p>
    <w:p w:rsidR="00DA45CB" w:rsidRDefault="00DA45CB" w:rsidP="00DA45CB">
      <w:r>
        <w:t>Erik Erikson’s Psychosocial Development Theory provides a structured approach for educators and caregivers to support children’s development by addressing the unique challenges they face at each stage. Erikson’s framework emphasizes that successful resolution of psychosocial crises leads to healthy emotional and social growth, while failure can result in developmental difficulties (Erikson, 1963).</w:t>
      </w:r>
    </w:p>
    <w:p w:rsidR="00DA45CB" w:rsidRDefault="00DA45CB" w:rsidP="00DA45CB">
      <w:r>
        <w:t>For toddlers, the stage of Autonomy vs. Shame and Doubt (1–3 years) is crucial for developing a sense of independence. During this stage, children learn self-control and confidence by performing tasks independently, such as dressing themselves, choosing toys, or feeding themselves. Caregivers can encourage autonomy by offering simple choices, like selecting between two outfits or snacks, fostering decision-making skills. Positive reinforcement of their efforts, even when they make mistakes, helps build self-esteem. Criticism or excessive control can lead to feelings of shame and doubt, hindering the development of autonomy (Slater, 2003).</w:t>
      </w:r>
    </w:p>
    <w:p w:rsidR="00DA45CB" w:rsidRDefault="00DA45CB" w:rsidP="00DA45CB">
      <w:r>
        <w:t xml:space="preserve">For school-aged children, the stage of Industry vs. Inferiority (6–12 years) highlights the importance of skill-building and gaining recognition for achievements. Educators and caregivers can support children in this stage by providing opportunities for academic, social, and extracurricular activities. Teachers, for instance, can assign manageable tasks and provide constructive feedback to help students feel capable and industrious. Recognizing children’s accomplishments, whether through praise, rewards, or displaying their work, boost their confidence and motivation. Setting achievable goals and avoiding </w:t>
      </w:r>
      <w:r>
        <w:lastRenderedPageBreak/>
        <w:t>overly high expectations prevents feelings of inferiority, which can arise from repeated failures (Marcia, 1980).</w:t>
      </w:r>
    </w:p>
    <w:p w:rsidR="00DA45CB" w:rsidRDefault="00DA45CB" w:rsidP="00DA45CB">
      <w:r>
        <w:t>By applying Erikson’s principles, caregivers and educators foster a supportive environment that nurtures independence, competence, and confidence in children. These developmental milestones lay the foundation for lifelong emotional and social well-being.</w:t>
      </w:r>
    </w:p>
    <w:p w:rsidR="002C0D8C" w:rsidRPr="00136A21" w:rsidRDefault="002C0D8C" w:rsidP="002C0D8C">
      <w:pPr>
        <w:rPr>
          <w:b/>
        </w:rPr>
      </w:pPr>
      <w:proofErr w:type="spellStart"/>
      <w:r w:rsidRPr="00136A21">
        <w:rPr>
          <w:b/>
        </w:rPr>
        <w:t>Bowlby’s</w:t>
      </w:r>
      <w:proofErr w:type="spellEnd"/>
      <w:r w:rsidRPr="00136A21">
        <w:rPr>
          <w:b/>
        </w:rPr>
        <w:t xml:space="preserve"> Theory in Practice</w:t>
      </w:r>
    </w:p>
    <w:p w:rsidR="00DA45CB" w:rsidRDefault="00DA45CB" w:rsidP="00DA45CB">
      <w:r>
        <w:t xml:space="preserve">John </w:t>
      </w:r>
      <w:proofErr w:type="spellStart"/>
      <w:r>
        <w:t>Bowlby’s</w:t>
      </w:r>
      <w:proofErr w:type="spellEnd"/>
      <w:r>
        <w:t xml:space="preserve"> Attachment Theory underscores the importance of secure attachment in early childhood for emotional and social development. </w:t>
      </w:r>
      <w:proofErr w:type="spellStart"/>
      <w:r>
        <w:t>Bowlby</w:t>
      </w:r>
      <w:proofErr w:type="spellEnd"/>
      <w:r>
        <w:t xml:space="preserve"> argued that a secure attachment provides children with a “secure base” from which they can explore their environment and build relationships (</w:t>
      </w:r>
      <w:proofErr w:type="spellStart"/>
      <w:r>
        <w:t>Bowlby</w:t>
      </w:r>
      <w:proofErr w:type="spellEnd"/>
      <w:r>
        <w:t>, 1969).</w:t>
      </w:r>
    </w:p>
    <w:p w:rsidR="00DA45CB" w:rsidRDefault="00DA45CB" w:rsidP="00DA45CB">
      <w:r>
        <w:t>In practice, policies promoting parental leave enable caregivers to spend time forming strong bonds with their infants. Responsive care giving—such as comforting a distressed child, maintaining routines, and being emotionally available—helps establish trust and security. For example, when a caregiver consistently responds to an infant’s needs, the child develops confidence in their relationships and their ability to navigate the world (Cassidy &amp; Shaver, 2016).</w:t>
      </w:r>
    </w:p>
    <w:p w:rsidR="00DA45CB" w:rsidRDefault="00DA45CB" w:rsidP="00DA45CB">
      <w:r>
        <w:t>In educational settings, creating a safe and nurturing environment supports children’s emotional well-being and readiness to learn. Teachers play a critical role by acting as secondary attachment figures who offer warmth, encouragement, and consistent support. For instance, a teacher who responds empathetically to a child’s distress creates a secure environment that allows the child to focus on learning and interacting with peers. Furthermore, classroom routines and positive reinforcement promote stability, mirroring the principles of secure attachment (Ainsworth et al., 1978).</w:t>
      </w:r>
    </w:p>
    <w:p w:rsidR="00DA45CB" w:rsidRDefault="00DA45CB" w:rsidP="00DA45CB">
      <w:proofErr w:type="spellStart"/>
      <w:r>
        <w:t>Bowlby’s</w:t>
      </w:r>
      <w:proofErr w:type="spellEnd"/>
      <w:r>
        <w:t xml:space="preserve"> theory is also applied in therapeutic practices for children facing attachment challenges. Interventions often focus on rebuilding trust and creating consistent </w:t>
      </w:r>
      <w:proofErr w:type="spellStart"/>
      <w:r>
        <w:t>caregiving</w:t>
      </w:r>
      <w:proofErr w:type="spellEnd"/>
      <w:r>
        <w:t xml:space="preserve"> environments, especially in cases of foster care or adoption (</w:t>
      </w:r>
      <w:proofErr w:type="spellStart"/>
      <w:r>
        <w:t>Rutter</w:t>
      </w:r>
      <w:proofErr w:type="spellEnd"/>
      <w:r>
        <w:t xml:space="preserve">, 1981). Policies and practices influenced by </w:t>
      </w:r>
      <w:proofErr w:type="spellStart"/>
      <w:r>
        <w:t>Bowlby’s</w:t>
      </w:r>
      <w:proofErr w:type="spellEnd"/>
      <w:r>
        <w:t xml:space="preserve"> work emphasize the importance of stable relationships in fostering emotional and social resilience.</w:t>
      </w:r>
    </w:p>
    <w:p w:rsidR="00DA45CB" w:rsidRDefault="00DA45CB" w:rsidP="00DA45CB">
      <w:r>
        <w:t xml:space="preserve">By implementing </w:t>
      </w:r>
      <w:proofErr w:type="spellStart"/>
      <w:r>
        <w:t>Bowlby’s</w:t>
      </w:r>
      <w:proofErr w:type="spellEnd"/>
      <w:r>
        <w:t xml:space="preserve"> insights into </w:t>
      </w:r>
      <w:proofErr w:type="spellStart"/>
      <w:r>
        <w:t>caregiving</w:t>
      </w:r>
      <w:proofErr w:type="spellEnd"/>
      <w:r>
        <w:t xml:space="preserve"> and education, children can develop the emotional security needed for exploration, relationship-building, and achieving developmental milestones. His theory continues to inform best practices in early childhood care and education.</w:t>
      </w:r>
    </w:p>
    <w:p w:rsidR="002C0D8C" w:rsidRPr="00136A21" w:rsidRDefault="002C0D8C" w:rsidP="002C0D8C">
      <w:pPr>
        <w:rPr>
          <w:b/>
        </w:rPr>
      </w:pPr>
      <w:r w:rsidRPr="00136A21">
        <w:rPr>
          <w:b/>
        </w:rPr>
        <w:t>Conclusion</w:t>
      </w:r>
    </w:p>
    <w:p w:rsidR="002C0D8C" w:rsidRDefault="002C0D8C" w:rsidP="002C0D8C">
      <w:r>
        <w:t xml:space="preserve">Both Erikson’s Psychosocial Development Theory and </w:t>
      </w:r>
      <w:proofErr w:type="spellStart"/>
      <w:r>
        <w:t>Bowlby’s</w:t>
      </w:r>
      <w:proofErr w:type="spellEnd"/>
      <w:r>
        <w:t xml:space="preserve"> Attachment Theory provide valuable frameworks for understanding child development, emphasizing the importance of relationships and early experiences. Erikson offers a comprehensive, stage-based approach, while </w:t>
      </w:r>
      <w:proofErr w:type="spellStart"/>
      <w:r>
        <w:t>Bowlby</w:t>
      </w:r>
      <w:proofErr w:type="spellEnd"/>
      <w:r>
        <w:t xml:space="preserve"> focuses on the biological and emotional foundations of attachment. Despite their limitations, these theories remain influential in shaping practices in education, care</w:t>
      </w:r>
      <w:r w:rsidR="00136A21">
        <w:t xml:space="preserve"> </w:t>
      </w:r>
      <w:r>
        <w:t>giving, and mental health. By integrating insights from both, practitioners can adopt a more holistic approach to supporting children’s development and planning for their future growth.</w:t>
      </w:r>
    </w:p>
    <w:p w:rsidR="00136A21" w:rsidRPr="00DA45CB" w:rsidRDefault="00136A21" w:rsidP="002C0D8C">
      <w:pPr>
        <w:rPr>
          <w:b/>
          <w:u w:val="single"/>
        </w:rPr>
      </w:pPr>
      <w:r w:rsidRPr="00DA45CB">
        <w:rPr>
          <w:b/>
          <w:u w:val="single"/>
        </w:rPr>
        <w:lastRenderedPageBreak/>
        <w:t>References:</w:t>
      </w:r>
    </w:p>
    <w:p w:rsidR="00136A21" w:rsidRDefault="00136A21" w:rsidP="00136A21">
      <w:pPr>
        <w:pStyle w:val="ListParagraph"/>
        <w:numPr>
          <w:ilvl w:val="0"/>
          <w:numId w:val="10"/>
        </w:numPr>
      </w:pPr>
      <w:r w:rsidRPr="00136A21">
        <w:t xml:space="preserve">Ainsworth, M. D., </w:t>
      </w:r>
      <w:proofErr w:type="spellStart"/>
      <w:r w:rsidRPr="00136A21">
        <w:t>Blehar</w:t>
      </w:r>
      <w:proofErr w:type="spellEnd"/>
      <w:r w:rsidRPr="00136A21">
        <w:t>, M. C., Waters, E., &amp; Wall, S. (1978). Patterns of Attachment: A Psychological Study of the Strange Situation. Lawrence Erlbaum Associates.</w:t>
      </w:r>
    </w:p>
    <w:p w:rsidR="00136A21" w:rsidRDefault="00136A21" w:rsidP="00136A21">
      <w:pPr>
        <w:pStyle w:val="ListParagraph"/>
        <w:numPr>
          <w:ilvl w:val="0"/>
          <w:numId w:val="10"/>
        </w:numPr>
      </w:pPr>
      <w:proofErr w:type="spellStart"/>
      <w:r w:rsidRPr="00136A21">
        <w:t>Bowlby</w:t>
      </w:r>
      <w:proofErr w:type="spellEnd"/>
      <w:r w:rsidRPr="00136A21">
        <w:t>, J. (1969). Attachment and Loss: Vol. 1. Attachment. Basic Books.</w:t>
      </w:r>
    </w:p>
    <w:p w:rsidR="00136A21" w:rsidRDefault="00136A21" w:rsidP="00136A21">
      <w:pPr>
        <w:pStyle w:val="ListParagraph"/>
        <w:numPr>
          <w:ilvl w:val="0"/>
          <w:numId w:val="10"/>
        </w:numPr>
      </w:pPr>
      <w:r w:rsidRPr="00136A21">
        <w:t xml:space="preserve">Cassidy, J., &amp; Shaver, P. R. (2016). Handbook of Attachment: Theory, Research, and Clinical Applications (3rd </w:t>
      </w:r>
      <w:proofErr w:type="gramStart"/>
      <w:r w:rsidRPr="00136A21">
        <w:t>ed</w:t>
      </w:r>
      <w:proofErr w:type="gramEnd"/>
      <w:r w:rsidRPr="00136A21">
        <w:t>.). Guilford Press.</w:t>
      </w:r>
    </w:p>
    <w:p w:rsidR="00136A21" w:rsidRDefault="00136A21" w:rsidP="00136A21">
      <w:pPr>
        <w:pStyle w:val="ListParagraph"/>
        <w:numPr>
          <w:ilvl w:val="0"/>
          <w:numId w:val="10"/>
        </w:numPr>
      </w:pPr>
      <w:r w:rsidRPr="00136A21">
        <w:t>Erikson, E. H. (1963). Childhood and Society. W.W. Norton &amp; Company.</w:t>
      </w:r>
    </w:p>
    <w:p w:rsidR="00136A21" w:rsidRDefault="00136A21" w:rsidP="00136A21">
      <w:pPr>
        <w:pStyle w:val="ListParagraph"/>
        <w:numPr>
          <w:ilvl w:val="0"/>
          <w:numId w:val="10"/>
        </w:numPr>
      </w:pPr>
      <w:r w:rsidRPr="00136A21">
        <w:t xml:space="preserve">Marcia, J. E. (1980). Identity in adolescence. In J. </w:t>
      </w:r>
      <w:proofErr w:type="spellStart"/>
      <w:r w:rsidRPr="00136A21">
        <w:t>Adelson</w:t>
      </w:r>
      <w:proofErr w:type="spellEnd"/>
      <w:r w:rsidRPr="00136A21">
        <w:t xml:space="preserve"> (Ed.), Handbook of Adolescent Psychology (pp. 159–187). Wiley.</w:t>
      </w:r>
    </w:p>
    <w:p w:rsidR="00136A21" w:rsidRDefault="00136A21" w:rsidP="00136A21">
      <w:pPr>
        <w:pStyle w:val="ListParagraph"/>
        <w:numPr>
          <w:ilvl w:val="0"/>
          <w:numId w:val="10"/>
        </w:numPr>
      </w:pPr>
      <w:proofErr w:type="spellStart"/>
      <w:r w:rsidRPr="00136A21">
        <w:t>Rutter</w:t>
      </w:r>
      <w:proofErr w:type="spellEnd"/>
      <w:r w:rsidRPr="00136A21">
        <w:t>, M. (1981). Maternal deprivation reassessed. Journal of Child Psychology and Psychiatry, 22(4), 229–252.</w:t>
      </w:r>
    </w:p>
    <w:p w:rsidR="00136A21" w:rsidRDefault="00136A21" w:rsidP="00136A21">
      <w:pPr>
        <w:pStyle w:val="ListParagraph"/>
        <w:numPr>
          <w:ilvl w:val="0"/>
          <w:numId w:val="10"/>
        </w:numPr>
      </w:pPr>
      <w:r w:rsidRPr="00136A21">
        <w:t xml:space="preserve">Slater, C. L. (2003). </w:t>
      </w:r>
      <w:proofErr w:type="spellStart"/>
      <w:r w:rsidRPr="00136A21">
        <w:t>Generativity</w:t>
      </w:r>
      <w:proofErr w:type="spellEnd"/>
      <w:r w:rsidRPr="00136A21">
        <w:t xml:space="preserve"> versus stagnation: An elaboration of Erikson's adult stage of human development. Journal of Adult Development, 10(1), 53–65.</w:t>
      </w:r>
    </w:p>
    <w:p w:rsidR="00136A21" w:rsidRDefault="00136A21" w:rsidP="00136A21">
      <w:pPr>
        <w:pStyle w:val="ListParagraph"/>
        <w:numPr>
          <w:ilvl w:val="0"/>
          <w:numId w:val="10"/>
        </w:numPr>
      </w:pPr>
      <w:proofErr w:type="gramStart"/>
      <w:r w:rsidRPr="00136A21">
        <w:t>van</w:t>
      </w:r>
      <w:proofErr w:type="gramEnd"/>
      <w:r w:rsidRPr="00136A21">
        <w:t xml:space="preserve"> </w:t>
      </w:r>
      <w:proofErr w:type="spellStart"/>
      <w:r w:rsidRPr="00136A21">
        <w:t>IJzendoorn</w:t>
      </w:r>
      <w:proofErr w:type="spellEnd"/>
      <w:r w:rsidRPr="00136A21">
        <w:t xml:space="preserve">, M. H., &amp; </w:t>
      </w:r>
      <w:proofErr w:type="spellStart"/>
      <w:r w:rsidRPr="00136A21">
        <w:t>Sagi</w:t>
      </w:r>
      <w:proofErr w:type="spellEnd"/>
      <w:r w:rsidRPr="00136A21">
        <w:t>-Schwartz, A. (2008). Cross-cultural patterns of attachment. In J. Cassidy &amp; P. R. Shaver (Eds.), Handbook of Attachment (pp. 880–905). Guilford Press.</w:t>
      </w:r>
    </w:p>
    <w:sectPr w:rsidR="00136A21" w:rsidSect="00AE67E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8A565F"/>
    <w:multiLevelType w:val="hybridMultilevel"/>
    <w:tmpl w:val="5F628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0FB4183"/>
    <w:multiLevelType w:val="hybridMultilevel"/>
    <w:tmpl w:val="2318AE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2AC28C0"/>
    <w:multiLevelType w:val="hybridMultilevel"/>
    <w:tmpl w:val="718467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954794D"/>
    <w:multiLevelType w:val="hybridMultilevel"/>
    <w:tmpl w:val="E430A6EE"/>
    <w:lvl w:ilvl="0" w:tplc="1418369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95D60AC"/>
    <w:multiLevelType w:val="hybridMultilevel"/>
    <w:tmpl w:val="8F460E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17B531D"/>
    <w:multiLevelType w:val="hybridMultilevel"/>
    <w:tmpl w:val="742635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5DE2992"/>
    <w:multiLevelType w:val="hybridMultilevel"/>
    <w:tmpl w:val="D0A84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F940A3E"/>
    <w:multiLevelType w:val="hybridMultilevel"/>
    <w:tmpl w:val="0C8E0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A7A21EF"/>
    <w:multiLevelType w:val="hybridMultilevel"/>
    <w:tmpl w:val="57525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D354FA2"/>
    <w:multiLevelType w:val="hybridMultilevel"/>
    <w:tmpl w:val="71FA06A0"/>
    <w:lvl w:ilvl="0" w:tplc="6772F6EC">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nsid w:val="6EA0372C"/>
    <w:multiLevelType w:val="hybridMultilevel"/>
    <w:tmpl w:val="8D4AE2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2DF2385"/>
    <w:multiLevelType w:val="hybridMultilevel"/>
    <w:tmpl w:val="2C3C7B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97719E7"/>
    <w:multiLevelType w:val="hybridMultilevel"/>
    <w:tmpl w:val="55DC693A"/>
    <w:lvl w:ilvl="0" w:tplc="2CD8B9AE">
      <w:start w:val="1"/>
      <w:numFmt w:val="decimal"/>
      <w:lvlText w:val="%1."/>
      <w:lvlJc w:val="left"/>
      <w:pPr>
        <w:ind w:left="720" w:hanging="360"/>
      </w:pPr>
      <w:rPr>
        <w:rFonts w:asciiTheme="minorHAnsi" w:eastAsiaTheme="minorHAnsi" w:hAnsiTheme="minorHAns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F204DB2"/>
    <w:multiLevelType w:val="hybridMultilevel"/>
    <w:tmpl w:val="39E697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5"/>
  </w:num>
  <w:num w:numId="3">
    <w:abstractNumId w:val="1"/>
  </w:num>
  <w:num w:numId="4">
    <w:abstractNumId w:val="13"/>
  </w:num>
  <w:num w:numId="5">
    <w:abstractNumId w:val="4"/>
  </w:num>
  <w:num w:numId="6">
    <w:abstractNumId w:val="12"/>
  </w:num>
  <w:num w:numId="7">
    <w:abstractNumId w:val="9"/>
  </w:num>
  <w:num w:numId="8">
    <w:abstractNumId w:val="3"/>
  </w:num>
  <w:num w:numId="9">
    <w:abstractNumId w:val="7"/>
  </w:num>
  <w:num w:numId="10">
    <w:abstractNumId w:val="2"/>
  </w:num>
  <w:num w:numId="11">
    <w:abstractNumId w:val="6"/>
  </w:num>
  <w:num w:numId="12">
    <w:abstractNumId w:val="0"/>
  </w:num>
  <w:num w:numId="13">
    <w:abstractNumId w:val="8"/>
  </w:num>
  <w:num w:numId="14">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compat/>
  <w:rsids>
    <w:rsidRoot w:val="002C0D8C"/>
    <w:rsid w:val="00136A21"/>
    <w:rsid w:val="00245294"/>
    <w:rsid w:val="002C0D8C"/>
    <w:rsid w:val="00306C6B"/>
    <w:rsid w:val="003647C4"/>
    <w:rsid w:val="00426FE3"/>
    <w:rsid w:val="005D2557"/>
    <w:rsid w:val="006B5193"/>
    <w:rsid w:val="00AC3FA0"/>
    <w:rsid w:val="00AE67E7"/>
    <w:rsid w:val="00C517BD"/>
    <w:rsid w:val="00DA45CB"/>
    <w:rsid w:val="00F3778F"/>
    <w:rsid w:val="00F47D0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529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0D8C"/>
    <w:pPr>
      <w:ind w:left="720"/>
      <w:contextualSpacing/>
    </w:pPr>
  </w:style>
  <w:style w:type="paragraph" w:styleId="NoSpacing">
    <w:name w:val="No Spacing"/>
    <w:link w:val="NoSpacingChar"/>
    <w:uiPriority w:val="1"/>
    <w:qFormat/>
    <w:rsid w:val="00AE67E7"/>
    <w:pPr>
      <w:spacing w:after="0" w:line="240" w:lineRule="auto"/>
    </w:pPr>
    <w:rPr>
      <w:rFonts w:eastAsiaTheme="minorEastAsia"/>
    </w:rPr>
  </w:style>
  <w:style w:type="character" w:customStyle="1" w:styleId="NoSpacingChar">
    <w:name w:val="No Spacing Char"/>
    <w:basedOn w:val="DefaultParagraphFont"/>
    <w:link w:val="NoSpacing"/>
    <w:uiPriority w:val="1"/>
    <w:rsid w:val="00AE67E7"/>
    <w:rPr>
      <w:rFonts w:eastAsiaTheme="minorEastAsia"/>
    </w:rPr>
  </w:style>
  <w:style w:type="paragraph" w:styleId="BalloonText">
    <w:name w:val="Balloon Text"/>
    <w:basedOn w:val="Normal"/>
    <w:link w:val="BalloonTextChar"/>
    <w:uiPriority w:val="99"/>
    <w:semiHidden/>
    <w:unhideWhenUsed/>
    <w:rsid w:val="00AE67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67E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A2FB2"/>
    <w:rsid w:val="000F7988"/>
    <w:rsid w:val="00760495"/>
    <w:rsid w:val="008A2FB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798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55FA8DFFF24D5EAEBBD44F91F67597">
    <w:name w:val="5555FA8DFFF24D5EAEBBD44F91F67597"/>
    <w:rsid w:val="008A2FB2"/>
  </w:style>
  <w:style w:type="paragraph" w:customStyle="1" w:styleId="23C0A605505D4406B793925A08CC6185">
    <w:name w:val="23C0A605505D4406B793925A08CC6185"/>
    <w:rsid w:val="008A2FB2"/>
  </w:style>
  <w:style w:type="paragraph" w:customStyle="1" w:styleId="961FD91ADD42402083D4D9E2E7C9F082">
    <w:name w:val="961FD91ADD42402083D4D9E2E7C9F082"/>
    <w:rsid w:val="008A2FB2"/>
  </w:style>
  <w:style w:type="paragraph" w:customStyle="1" w:styleId="689F8D3F18D446DDAFE8D44F03DC8E3B">
    <w:name w:val="689F8D3F18D446DDAFE8D44F03DC8E3B"/>
    <w:rsid w:val="008A2FB2"/>
  </w:style>
  <w:style w:type="paragraph" w:customStyle="1" w:styleId="8AF6721C6AFC4B0C8C3A4890B356ED1D">
    <w:name w:val="8AF6721C6AFC4B0C8C3A4890B356ED1D"/>
    <w:rsid w:val="008A2FB2"/>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1</Pages>
  <Words>2172</Words>
  <Characters>12385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creator>Hassan</dc:creator>
  <cp:lastModifiedBy>Hassan</cp:lastModifiedBy>
  <cp:revision>6</cp:revision>
  <dcterms:created xsi:type="dcterms:W3CDTF">2024-12-03T18:28:00Z</dcterms:created>
  <dcterms:modified xsi:type="dcterms:W3CDTF">2024-12-08T16:43:00Z</dcterms:modified>
</cp:coreProperties>
</file>