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7A56C" w14:textId="77777777" w:rsidR="00472E6F" w:rsidRDefault="00472E6F" w:rsidP="00472E6F">
      <w:pPr>
        <w:spacing w:before="700"/>
        <w:jc w:val="left"/>
        <w:rPr>
          <w:b/>
          <w:sz w:val="36"/>
        </w:rPr>
      </w:pPr>
      <w:r>
        <w:rPr>
          <w:b/>
          <w:noProof/>
          <w:sz w:val="17"/>
        </w:rPr>
        <mc:AlternateContent>
          <mc:Choice Requires="wps">
            <w:drawing>
              <wp:anchor distT="0" distB="0" distL="0" distR="0" simplePos="0" relativeHeight="251659264" behindDoc="1" locked="0" layoutInCell="1" allowOverlap="1" wp14:anchorId="7EFD83F8" wp14:editId="5EBCAF76">
                <wp:simplePos x="0" y="0"/>
                <wp:positionH relativeFrom="page">
                  <wp:posOffset>815340</wp:posOffset>
                </wp:positionH>
                <wp:positionV relativeFrom="paragraph">
                  <wp:posOffset>1364615</wp:posOffset>
                </wp:positionV>
                <wp:extent cx="630555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451484"/>
                        </a:xfrm>
                        <a:prstGeom prst="rect">
                          <a:avLst/>
                        </a:prstGeom>
                        <a:solidFill>
                          <a:srgbClr val="C0C0C0"/>
                        </a:solidFill>
                        <a:ln w="6350">
                          <a:solidFill>
                            <a:srgbClr val="000000"/>
                          </a:solidFill>
                          <a:prstDash val="solid"/>
                        </a:ln>
                      </wps:spPr>
                      <wps:txbx>
                        <w:txbxContent>
                          <w:p w14:paraId="412F7598" w14:textId="77777777" w:rsidR="00472E6F" w:rsidRDefault="00472E6F" w:rsidP="00472E6F">
                            <w:pPr>
                              <w:spacing w:before="120"/>
                              <w:ind w:left="1110"/>
                              <w:rPr>
                                <w:b/>
                                <w:color w:val="000000"/>
                                <w:sz w:val="40"/>
                              </w:rPr>
                            </w:pPr>
                            <w:r>
                              <w:rPr>
                                <w:b/>
                                <w:color w:val="000000"/>
                                <w:sz w:val="40"/>
                              </w:rPr>
                              <w:t>LEVEL</w:t>
                            </w:r>
                            <w:r>
                              <w:rPr>
                                <w:b/>
                                <w:color w:val="000000"/>
                                <w:spacing w:val="-6"/>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2"/>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7EFD83F8" id="_x0000_t202" coordsize="21600,21600" o:spt="202" path="m,l,21600r21600,l21600,xe">
                <v:stroke joinstyle="miter"/>
                <v:path gradientshapeok="t" o:connecttype="rect"/>
              </v:shapetype>
              <v:shape id="Textbox 3" o:spid="_x0000_s1026" type="#_x0000_t202" style="position:absolute;margin-left:64.2pt;margin-top:107.45pt;width:496.5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" fillcolor="silver" strokeweight=".5pt">
                <v:path arrowok="t"/>
                <v:textbox inset="0,0,0,0">
                  <w:txbxContent>
                    <w:p w14:paraId="412F7598" w14:textId="77777777" w:rsidR="00472E6F" w:rsidRDefault="00472E6F" w:rsidP="00472E6F">
                      <w:pPr>
                        <w:spacing w:before="120"/>
                        <w:ind w:left="1110"/>
                        <w:rPr>
                          <w:b/>
                          <w:color w:val="000000"/>
                          <w:sz w:val="40"/>
                        </w:rPr>
                      </w:pPr>
                      <w:r>
                        <w:rPr>
                          <w:b/>
                          <w:color w:val="000000"/>
                          <w:sz w:val="40"/>
                        </w:rPr>
                        <w:t>LEVEL</w:t>
                      </w:r>
                      <w:r>
                        <w:rPr>
                          <w:b/>
                          <w:color w:val="000000"/>
                          <w:spacing w:val="-6"/>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2"/>
                          <w:sz w:val="40"/>
                        </w:rPr>
                        <w:t xml:space="preserve"> </w:t>
                      </w:r>
                      <w:r>
                        <w:rPr>
                          <w:b/>
                          <w:color w:val="000000"/>
                          <w:spacing w:val="-2"/>
                          <w:sz w:val="40"/>
                        </w:rPr>
                        <w:t>SPECIFICATION</w:t>
                      </w:r>
                    </w:p>
                  </w:txbxContent>
                </v:textbox>
                <w10:wrap type="topAndBottom" anchorx="page"/>
              </v:shape>
            </w:pict>
          </mc:Fallback>
        </mc:AlternateContent>
      </w:r>
      <w:r>
        <w:rPr>
          <w:rFonts w:ascii="Times New Roman"/>
          <w:noProof/>
          <w:sz w:val="20"/>
        </w:rPr>
        <w:drawing>
          <wp:inline distT="0" distB="0" distL="0" distR="0" wp14:anchorId="4A37D23D" wp14:editId="5A8941B4">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1182" cy="594074"/>
                    </a:xfrm>
                    <a:prstGeom prst="rect">
                      <a:avLst/>
                    </a:prstGeom>
                  </pic:spPr>
                </pic:pic>
              </a:graphicData>
            </a:graphic>
          </wp:inline>
        </w:drawing>
      </w:r>
    </w:p>
    <w:p w14:paraId="3C121054" w14:textId="77777777" w:rsidR="00472E6F" w:rsidRDefault="00472E6F" w:rsidP="00472E6F">
      <w:pPr>
        <w:rPr>
          <w:b/>
          <w:spacing w:val="-2"/>
          <w:sz w:val="28"/>
        </w:rPr>
      </w:pPr>
    </w:p>
    <w:p w14:paraId="1C09362B" w14:textId="77777777" w:rsidR="00245F87" w:rsidRPr="00472E6F" w:rsidRDefault="00472E6F" w:rsidP="00472E6F">
      <w:pPr>
        <w:rPr>
          <w:b/>
          <w:sz w:val="28"/>
        </w:rPr>
      </w:pPr>
      <w:r w:rsidRPr="00472E6F">
        <w:rPr>
          <w:b/>
          <w:spacing w:val="-2"/>
          <w:sz w:val="28"/>
        </w:rPr>
        <w:t>Module:</w:t>
      </w:r>
      <w:r>
        <w:rPr>
          <w:b/>
          <w:spacing w:val="-2"/>
          <w:sz w:val="28"/>
        </w:rPr>
        <w:t xml:space="preserve"> </w:t>
      </w:r>
      <w:r w:rsidR="008B1F14" w:rsidRPr="00472E6F">
        <w:rPr>
          <w:b/>
          <w:sz w:val="28"/>
        </w:rPr>
        <w:t>Principles of Health and Social Care Practice</w:t>
      </w:r>
    </w:p>
    <w:p w14:paraId="286FC652" w14:textId="77777777" w:rsidR="00245F87" w:rsidRPr="00472E6F" w:rsidRDefault="008B1F14" w:rsidP="00472E6F">
      <w:pPr>
        <w:rPr>
          <w:b/>
          <w:sz w:val="28"/>
        </w:rPr>
      </w:pPr>
      <w:r w:rsidRPr="00472E6F">
        <w:rPr>
          <w:b/>
          <w:sz w:val="28"/>
        </w:rPr>
        <w:t>Component 1: Reflective Report</w:t>
      </w:r>
    </w:p>
    <w:p w14:paraId="63180231" w14:textId="77777777" w:rsidR="00245F87" w:rsidRPr="00472E6F" w:rsidRDefault="008B1F14" w:rsidP="00472E6F">
      <w:pPr>
        <w:rPr>
          <w:b/>
          <w:sz w:val="28"/>
        </w:rPr>
      </w:pPr>
      <w:r w:rsidRPr="00472E6F">
        <w:rPr>
          <w:b/>
          <w:sz w:val="28"/>
        </w:rPr>
        <w:t>Module code: BMHP5016</w:t>
      </w:r>
    </w:p>
    <w:p w14:paraId="2B18F9CE" w14:textId="77777777" w:rsidR="00245F87" w:rsidRPr="00472E6F" w:rsidRDefault="00472E6F" w:rsidP="00472E6F">
      <w:pPr>
        <w:rPr>
          <w:b/>
          <w:sz w:val="28"/>
        </w:rPr>
      </w:pPr>
      <w:r>
        <w:rPr>
          <w:b/>
          <w:sz w:val="28"/>
        </w:rPr>
        <w:t xml:space="preserve">Student name: </w:t>
      </w:r>
      <w:r w:rsidRPr="00472E6F">
        <w:rPr>
          <w:b/>
          <w:sz w:val="28"/>
        </w:rPr>
        <w:t>Azhar</w:t>
      </w:r>
    </w:p>
    <w:p w14:paraId="78340BCE" w14:textId="62877D28" w:rsidR="00245F87" w:rsidRPr="00472E6F" w:rsidRDefault="008B1F14" w:rsidP="00472E6F">
      <w:pPr>
        <w:rPr>
          <w:b/>
          <w:sz w:val="28"/>
        </w:rPr>
      </w:pPr>
      <w:r w:rsidRPr="00472E6F">
        <w:rPr>
          <w:b/>
          <w:sz w:val="28"/>
        </w:rPr>
        <w:t xml:space="preserve">Student number: </w:t>
      </w:r>
      <w:r w:rsidR="00BC0827">
        <w:rPr>
          <w:b/>
          <w:sz w:val="28"/>
        </w:rPr>
        <w:t>2512279</w:t>
      </w:r>
    </w:p>
    <w:p w14:paraId="7FB5D1F9" w14:textId="77777777" w:rsidR="00472E6F" w:rsidRPr="00472E6F" w:rsidRDefault="00472E6F" w:rsidP="00472E6F">
      <w:pPr>
        <w:rPr>
          <w:b/>
          <w:sz w:val="28"/>
        </w:rPr>
      </w:pPr>
      <w:r w:rsidRPr="00472E6F">
        <w:rPr>
          <w:b/>
          <w:sz w:val="28"/>
        </w:rPr>
        <w:t>Assignment</w:t>
      </w:r>
      <w:r w:rsidRPr="00472E6F">
        <w:rPr>
          <w:b/>
          <w:spacing w:val="-6"/>
          <w:sz w:val="28"/>
        </w:rPr>
        <w:t xml:space="preserve"> </w:t>
      </w:r>
      <w:r w:rsidRPr="00472E6F">
        <w:rPr>
          <w:b/>
          <w:spacing w:val="-2"/>
          <w:sz w:val="28"/>
        </w:rPr>
        <w:t xml:space="preserve">Title: </w:t>
      </w:r>
      <w:r>
        <w:rPr>
          <w:b/>
          <w:sz w:val="28"/>
        </w:rPr>
        <w:t>Component 1</w:t>
      </w:r>
      <w:r w:rsidRPr="00472E6F">
        <w:rPr>
          <w:b/>
          <w:sz w:val="28"/>
        </w:rPr>
        <w:t xml:space="preserve"> Written Assignment</w:t>
      </w:r>
      <w:r w:rsidRPr="00472E6F">
        <w:rPr>
          <w:b/>
          <w:spacing w:val="-16"/>
          <w:sz w:val="28"/>
        </w:rPr>
        <w:t xml:space="preserve"> </w:t>
      </w:r>
      <w:r w:rsidRPr="00472E6F">
        <w:rPr>
          <w:b/>
          <w:sz w:val="28"/>
        </w:rPr>
        <w:t xml:space="preserve">(Reflective </w:t>
      </w:r>
      <w:r w:rsidRPr="00472E6F">
        <w:rPr>
          <w:b/>
          <w:spacing w:val="-2"/>
          <w:sz w:val="28"/>
        </w:rPr>
        <w:t>Report)</w:t>
      </w:r>
    </w:p>
    <w:p w14:paraId="7D452C46" w14:textId="77777777" w:rsidR="00245F87" w:rsidRDefault="008B1F14">
      <w:r>
        <w:br w:type="page"/>
      </w:r>
    </w:p>
    <w:sdt>
      <w:sdtPr>
        <w:rPr>
          <w:rFonts w:ascii="Arial" w:eastAsia="Arial" w:hAnsi="Arial" w:cstheme="minorBidi"/>
          <w:b w:val="0"/>
          <w:bCs w:val="0"/>
          <w:color w:val="auto"/>
          <w:sz w:val="22"/>
          <w:szCs w:val="22"/>
        </w:rPr>
        <w:id w:val="-1314631572"/>
        <w:docPartObj>
          <w:docPartGallery w:val="Table of Contents"/>
          <w:docPartUnique/>
        </w:docPartObj>
      </w:sdtPr>
      <w:sdtEndPr>
        <w:rPr>
          <w:noProof/>
        </w:rPr>
      </w:sdtEndPr>
      <w:sdtContent>
        <w:p w14:paraId="61C06C25" w14:textId="77777777" w:rsidR="00472E6F" w:rsidRPr="00472E6F" w:rsidRDefault="00472E6F">
          <w:pPr>
            <w:pStyle w:val="TOCHeading"/>
          </w:pPr>
          <w:r w:rsidRPr="00472E6F">
            <w:t>Table of Contents</w:t>
          </w:r>
        </w:p>
        <w:p w14:paraId="2E01A4E1" w14:textId="77777777" w:rsidR="00145075" w:rsidRDefault="00472E6F">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42784305" w:history="1">
            <w:r w:rsidR="00145075" w:rsidRPr="00F34FCF">
              <w:rPr>
                <w:rStyle w:val="Hyperlink"/>
                <w:noProof/>
              </w:rPr>
              <w:t>Introduction</w:t>
            </w:r>
            <w:r w:rsidR="00145075">
              <w:rPr>
                <w:noProof/>
                <w:webHidden/>
              </w:rPr>
              <w:tab/>
            </w:r>
            <w:r w:rsidR="00145075">
              <w:rPr>
                <w:noProof/>
                <w:webHidden/>
              </w:rPr>
              <w:fldChar w:fldCharType="begin"/>
            </w:r>
            <w:r w:rsidR="00145075">
              <w:rPr>
                <w:noProof/>
                <w:webHidden/>
              </w:rPr>
              <w:instrText xml:space="preserve"> PAGEREF _Toc242784305 \h </w:instrText>
            </w:r>
            <w:r w:rsidR="00145075">
              <w:rPr>
                <w:noProof/>
                <w:webHidden/>
              </w:rPr>
            </w:r>
            <w:r w:rsidR="00145075">
              <w:rPr>
                <w:noProof/>
                <w:webHidden/>
              </w:rPr>
              <w:fldChar w:fldCharType="separate"/>
            </w:r>
            <w:r w:rsidR="00145075">
              <w:rPr>
                <w:noProof/>
                <w:webHidden/>
              </w:rPr>
              <w:t>1</w:t>
            </w:r>
            <w:r w:rsidR="00145075">
              <w:rPr>
                <w:noProof/>
                <w:webHidden/>
              </w:rPr>
              <w:fldChar w:fldCharType="end"/>
            </w:r>
          </w:hyperlink>
        </w:p>
        <w:p w14:paraId="101F12A0" w14:textId="77777777" w:rsidR="00145075" w:rsidRDefault="00145075">
          <w:pPr>
            <w:pStyle w:val="TOC1"/>
            <w:tabs>
              <w:tab w:val="right" w:leader="dot" w:pos="9350"/>
            </w:tabs>
            <w:rPr>
              <w:rFonts w:asciiTheme="minorHAnsi" w:eastAsiaTheme="minorEastAsia" w:hAnsiTheme="minorHAnsi"/>
              <w:noProof/>
            </w:rPr>
          </w:pPr>
          <w:hyperlink w:anchor="_Toc242784306" w:history="1">
            <w:r w:rsidRPr="00F34FCF">
              <w:rPr>
                <w:rStyle w:val="Hyperlink"/>
                <w:noProof/>
              </w:rPr>
              <w:t>Task 1: Reflection on the Importance of the Principles of Health and Social Care</w:t>
            </w:r>
            <w:r>
              <w:rPr>
                <w:noProof/>
                <w:webHidden/>
              </w:rPr>
              <w:tab/>
            </w:r>
            <w:r>
              <w:rPr>
                <w:noProof/>
                <w:webHidden/>
              </w:rPr>
              <w:fldChar w:fldCharType="begin"/>
            </w:r>
            <w:r>
              <w:rPr>
                <w:noProof/>
                <w:webHidden/>
              </w:rPr>
              <w:instrText xml:space="preserve"> PAGEREF _Toc242784306 \h </w:instrText>
            </w:r>
            <w:r>
              <w:rPr>
                <w:noProof/>
                <w:webHidden/>
              </w:rPr>
            </w:r>
            <w:r>
              <w:rPr>
                <w:noProof/>
                <w:webHidden/>
              </w:rPr>
              <w:fldChar w:fldCharType="separate"/>
            </w:r>
            <w:r>
              <w:rPr>
                <w:noProof/>
                <w:webHidden/>
              </w:rPr>
              <w:t>1</w:t>
            </w:r>
            <w:r>
              <w:rPr>
                <w:noProof/>
                <w:webHidden/>
              </w:rPr>
              <w:fldChar w:fldCharType="end"/>
            </w:r>
          </w:hyperlink>
        </w:p>
        <w:p w14:paraId="131A3129" w14:textId="77777777" w:rsidR="00145075" w:rsidRDefault="00145075">
          <w:pPr>
            <w:pStyle w:val="TOC1"/>
            <w:tabs>
              <w:tab w:val="right" w:leader="dot" w:pos="9350"/>
            </w:tabs>
            <w:rPr>
              <w:rFonts w:asciiTheme="minorHAnsi" w:eastAsiaTheme="minorEastAsia" w:hAnsiTheme="minorHAnsi"/>
              <w:noProof/>
            </w:rPr>
          </w:pPr>
          <w:hyperlink w:anchor="_Toc242784307" w:history="1">
            <w:r w:rsidRPr="00F34FCF">
              <w:rPr>
                <w:rStyle w:val="Hyperlink"/>
                <w:noProof/>
              </w:rPr>
              <w:t>Task 2: Practical Example in Practice - Robyn’s Story</w:t>
            </w:r>
            <w:r>
              <w:rPr>
                <w:noProof/>
                <w:webHidden/>
              </w:rPr>
              <w:tab/>
            </w:r>
            <w:r>
              <w:rPr>
                <w:noProof/>
                <w:webHidden/>
              </w:rPr>
              <w:fldChar w:fldCharType="begin"/>
            </w:r>
            <w:r>
              <w:rPr>
                <w:noProof/>
                <w:webHidden/>
              </w:rPr>
              <w:instrText xml:space="preserve"> PAGEREF _Toc242784307 \h </w:instrText>
            </w:r>
            <w:r>
              <w:rPr>
                <w:noProof/>
                <w:webHidden/>
              </w:rPr>
            </w:r>
            <w:r>
              <w:rPr>
                <w:noProof/>
                <w:webHidden/>
              </w:rPr>
              <w:fldChar w:fldCharType="separate"/>
            </w:r>
            <w:r>
              <w:rPr>
                <w:noProof/>
                <w:webHidden/>
              </w:rPr>
              <w:t>2</w:t>
            </w:r>
            <w:r>
              <w:rPr>
                <w:noProof/>
                <w:webHidden/>
              </w:rPr>
              <w:fldChar w:fldCharType="end"/>
            </w:r>
          </w:hyperlink>
        </w:p>
        <w:p w14:paraId="6EDCABBD" w14:textId="77777777" w:rsidR="00145075" w:rsidRDefault="00145075">
          <w:pPr>
            <w:pStyle w:val="TOC1"/>
            <w:tabs>
              <w:tab w:val="right" w:leader="dot" w:pos="9350"/>
            </w:tabs>
            <w:rPr>
              <w:rFonts w:asciiTheme="minorHAnsi" w:eastAsiaTheme="minorEastAsia" w:hAnsiTheme="minorHAnsi"/>
              <w:noProof/>
            </w:rPr>
          </w:pPr>
          <w:hyperlink w:anchor="_Toc242784308" w:history="1">
            <w:r w:rsidRPr="00F34FCF">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_Toc242784308 \h </w:instrText>
            </w:r>
            <w:r>
              <w:rPr>
                <w:noProof/>
                <w:webHidden/>
              </w:rPr>
            </w:r>
            <w:r>
              <w:rPr>
                <w:noProof/>
                <w:webHidden/>
              </w:rPr>
              <w:fldChar w:fldCharType="separate"/>
            </w:r>
            <w:r>
              <w:rPr>
                <w:noProof/>
                <w:webHidden/>
              </w:rPr>
              <w:t>3</w:t>
            </w:r>
            <w:r>
              <w:rPr>
                <w:noProof/>
                <w:webHidden/>
              </w:rPr>
              <w:fldChar w:fldCharType="end"/>
            </w:r>
          </w:hyperlink>
        </w:p>
        <w:p w14:paraId="22B55431" w14:textId="77777777" w:rsidR="00145075" w:rsidRDefault="00145075">
          <w:pPr>
            <w:pStyle w:val="TOC1"/>
            <w:tabs>
              <w:tab w:val="right" w:leader="dot" w:pos="9350"/>
            </w:tabs>
            <w:rPr>
              <w:rFonts w:asciiTheme="minorHAnsi" w:eastAsiaTheme="minorEastAsia" w:hAnsiTheme="minorHAnsi"/>
              <w:noProof/>
            </w:rPr>
          </w:pPr>
          <w:hyperlink w:anchor="_Toc242784309" w:history="1">
            <w:r w:rsidRPr="00F34FCF">
              <w:rPr>
                <w:rStyle w:val="Hyperlink"/>
                <w:noProof/>
              </w:rPr>
              <w:t>Conclusion</w:t>
            </w:r>
            <w:r>
              <w:rPr>
                <w:noProof/>
                <w:webHidden/>
              </w:rPr>
              <w:tab/>
            </w:r>
            <w:r>
              <w:rPr>
                <w:noProof/>
                <w:webHidden/>
              </w:rPr>
              <w:fldChar w:fldCharType="begin"/>
            </w:r>
            <w:r>
              <w:rPr>
                <w:noProof/>
                <w:webHidden/>
              </w:rPr>
              <w:instrText xml:space="preserve"> PAGEREF _Toc242784309 \h </w:instrText>
            </w:r>
            <w:r>
              <w:rPr>
                <w:noProof/>
                <w:webHidden/>
              </w:rPr>
            </w:r>
            <w:r>
              <w:rPr>
                <w:noProof/>
                <w:webHidden/>
              </w:rPr>
              <w:fldChar w:fldCharType="separate"/>
            </w:r>
            <w:r>
              <w:rPr>
                <w:noProof/>
                <w:webHidden/>
              </w:rPr>
              <w:t>5</w:t>
            </w:r>
            <w:r>
              <w:rPr>
                <w:noProof/>
                <w:webHidden/>
              </w:rPr>
              <w:fldChar w:fldCharType="end"/>
            </w:r>
          </w:hyperlink>
        </w:p>
        <w:p w14:paraId="216BB03F" w14:textId="77777777" w:rsidR="00145075" w:rsidRDefault="00145075">
          <w:pPr>
            <w:pStyle w:val="TOC1"/>
            <w:tabs>
              <w:tab w:val="right" w:leader="dot" w:pos="9350"/>
            </w:tabs>
            <w:rPr>
              <w:rFonts w:asciiTheme="minorHAnsi" w:eastAsiaTheme="minorEastAsia" w:hAnsiTheme="minorHAnsi"/>
              <w:noProof/>
            </w:rPr>
          </w:pPr>
          <w:hyperlink w:anchor="_Toc242784310" w:history="1">
            <w:r w:rsidRPr="00F34FCF">
              <w:rPr>
                <w:rStyle w:val="Hyperlink"/>
                <w:noProof/>
              </w:rPr>
              <w:t>Reference</w:t>
            </w:r>
            <w:r>
              <w:rPr>
                <w:noProof/>
                <w:webHidden/>
              </w:rPr>
              <w:tab/>
            </w:r>
            <w:r>
              <w:rPr>
                <w:noProof/>
                <w:webHidden/>
              </w:rPr>
              <w:fldChar w:fldCharType="begin"/>
            </w:r>
            <w:r>
              <w:rPr>
                <w:noProof/>
                <w:webHidden/>
              </w:rPr>
              <w:instrText xml:space="preserve"> PAGEREF _Toc242784310 \h </w:instrText>
            </w:r>
            <w:r>
              <w:rPr>
                <w:noProof/>
                <w:webHidden/>
              </w:rPr>
            </w:r>
            <w:r>
              <w:rPr>
                <w:noProof/>
                <w:webHidden/>
              </w:rPr>
              <w:fldChar w:fldCharType="separate"/>
            </w:r>
            <w:r>
              <w:rPr>
                <w:noProof/>
                <w:webHidden/>
              </w:rPr>
              <w:t>6</w:t>
            </w:r>
            <w:r>
              <w:rPr>
                <w:noProof/>
                <w:webHidden/>
              </w:rPr>
              <w:fldChar w:fldCharType="end"/>
            </w:r>
          </w:hyperlink>
        </w:p>
        <w:p w14:paraId="3B552F90" w14:textId="77777777" w:rsidR="00472E6F" w:rsidRDefault="00472E6F">
          <w:r>
            <w:rPr>
              <w:b/>
              <w:bCs/>
              <w:noProof/>
            </w:rPr>
            <w:fldChar w:fldCharType="end"/>
          </w:r>
        </w:p>
      </w:sdtContent>
    </w:sdt>
    <w:p w14:paraId="4E0E7683" w14:textId="77777777" w:rsidR="00713AE2" w:rsidRDefault="00713AE2" w:rsidP="00713AE2">
      <w:pPr>
        <w:sectPr w:rsidR="00713AE2" w:rsidSect="00034616">
          <w:pgSz w:w="12240" w:h="15840"/>
          <w:pgMar w:top="1152" w:right="1440" w:bottom="1152" w:left="1440" w:header="720" w:footer="720" w:gutter="0"/>
          <w:cols w:space="720"/>
          <w:docGrid w:linePitch="360"/>
        </w:sectPr>
      </w:pPr>
    </w:p>
    <w:p w14:paraId="1BE55935" w14:textId="77777777" w:rsidR="00245F87" w:rsidRDefault="008B1F14" w:rsidP="00713AE2">
      <w:pPr>
        <w:pStyle w:val="Heading1"/>
      </w:pPr>
      <w:bookmarkStart w:id="0" w:name="_Toc242784305"/>
      <w:r>
        <w:lastRenderedPageBreak/>
        <w:t>Introduction</w:t>
      </w:r>
      <w:bookmarkEnd w:id="0"/>
    </w:p>
    <w:p w14:paraId="489C0305" w14:textId="77777777" w:rsidR="00713AE2" w:rsidRDefault="00713AE2" w:rsidP="00713AE2">
      <w:r>
        <w:t>The practice of health and social care should ensure rights are respected, promote wellbeing and involve individuals in making decisions. There are three principles which include person-</w:t>
      </w:r>
      <w:proofErr w:type="spellStart"/>
      <w:r>
        <w:t>centred</w:t>
      </w:r>
      <w:proofErr w:type="spellEnd"/>
      <w:r>
        <w:t xml:space="preserve"> care, partnership working and ethical practice where person-</w:t>
      </w:r>
      <w:proofErr w:type="spellStart"/>
      <w:r>
        <w:t>centred</w:t>
      </w:r>
      <w:proofErr w:type="spellEnd"/>
      <w:r>
        <w:t xml:space="preserve"> care respects the wishes and aims of people, partnership working involves collaboration between the service user, their family and the professional and ethical practice promotes respect, autonomy, justice and security.</w:t>
      </w:r>
    </w:p>
    <w:p w14:paraId="242CBC92" w14:textId="77777777" w:rsidR="00245F87" w:rsidRDefault="00713AE2" w:rsidP="00713AE2">
      <w:r>
        <w:t>This assignment will look at the three principles within the practice of health and social care in the UK. Task 1 will examine the importance of the three principles by using the theory, legislation and professional guidance. Task 2 will discuss Robyn who had experienced 24-hour support following her injury in the spine and her transition from agency to PHB. Task 3 will reflect on how to implement the principles in future practice. The legislations considered are the Care Act 2014, Health and Care Act 2022 and Mental Capacity Act 2005 (Department of Health and Social Care, 2014; Department of Health and Social Care, 2005</w:t>
      </w:r>
      <w:r w:rsidR="00420179">
        <w:t>).</w:t>
      </w:r>
    </w:p>
    <w:p w14:paraId="634AFA23" w14:textId="77777777" w:rsidR="00245F87" w:rsidRDefault="008B1F14">
      <w:pPr>
        <w:pStyle w:val="Heading1"/>
      </w:pPr>
      <w:bookmarkStart w:id="1" w:name="_Toc242784306"/>
      <w:r>
        <w:t>Task 1: Reflection on the Importance of the Principles of Health and Social Care</w:t>
      </w:r>
      <w:bookmarkEnd w:id="1"/>
    </w:p>
    <w:p w14:paraId="4E6B0D65" w14:textId="77777777" w:rsidR="00245F87" w:rsidRDefault="00713AE2">
      <w:r w:rsidRPr="00713AE2">
        <w:t xml:space="preserve">Person </w:t>
      </w:r>
      <w:proofErr w:type="spellStart"/>
      <w:r w:rsidRPr="00713AE2">
        <w:t>centred</w:t>
      </w:r>
      <w:proofErr w:type="spellEnd"/>
      <w:r w:rsidRPr="00713AE2">
        <w:t xml:space="preserve"> approach concentrates on preferences, identity, choice, and needs of people and places people in the focus of </w:t>
      </w:r>
      <w:proofErr w:type="gramStart"/>
      <w:r w:rsidRPr="00713AE2">
        <w:t>decision making</w:t>
      </w:r>
      <w:proofErr w:type="gramEnd"/>
      <w:r w:rsidRPr="00713AE2">
        <w:t xml:space="preserve"> process. In this context, the Care Act 2014 highlights promotion of wellbeing in terms of dignity, independence and control of daily lives, relations and living environment (Department of Health and Social Care, 2014). At the same time, the NHS England </w:t>
      </w:r>
      <w:proofErr w:type="gramStart"/>
      <w:r w:rsidRPr="00713AE2">
        <w:t>stresses on</w:t>
      </w:r>
      <w:proofErr w:type="gramEnd"/>
      <w:r w:rsidRPr="00713AE2">
        <w:t xml:space="preserve"> the need to create </w:t>
      </w:r>
      <w:proofErr w:type="gramStart"/>
      <w:r w:rsidRPr="00713AE2">
        <w:t>the</w:t>
      </w:r>
      <w:proofErr w:type="gramEnd"/>
      <w:r w:rsidRPr="00713AE2">
        <w:t xml:space="preserve"> </w:t>
      </w:r>
      <w:proofErr w:type="gramStart"/>
      <w:r w:rsidRPr="00713AE2">
        <w:t>decision making</w:t>
      </w:r>
      <w:proofErr w:type="gramEnd"/>
      <w:r w:rsidRPr="00713AE2">
        <w:t xml:space="preserve"> process based on the priorities of </w:t>
      </w:r>
      <w:r>
        <w:t>individuals (NHS England, 2019)</w:t>
      </w:r>
      <w:r w:rsidR="008B1F14">
        <w:t>.</w:t>
      </w:r>
    </w:p>
    <w:p w14:paraId="7BEDBF1E" w14:textId="77777777" w:rsidR="00713AE2" w:rsidRDefault="00713AE2">
      <w:r w:rsidRPr="00713AE2">
        <w:t>The hierarchy of needs of Maslow includes not only the aspect of belonging, esteem and self-</w:t>
      </w:r>
      <w:proofErr w:type="spellStart"/>
      <w:r w:rsidRPr="00713AE2">
        <w:t>actualisation</w:t>
      </w:r>
      <w:proofErr w:type="spellEnd"/>
      <w:r w:rsidRPr="00713AE2">
        <w:t xml:space="preserve"> needs, but also physical needs and safety (Maslow, 1943). This means that assistance with washing and dressing could be associated with engaging in various activities such as hobbies, relationships and involvement in the community. However, it should be kept in mind that Maslow’s hierarchy is not </w:t>
      </w:r>
      <w:proofErr w:type="gramStart"/>
      <w:r w:rsidRPr="00713AE2">
        <w:t>an absolutely rigid</w:t>
      </w:r>
      <w:proofErr w:type="gramEnd"/>
      <w:r w:rsidRPr="00713AE2">
        <w:t xml:space="preserve"> one, since different individuals could give more importance either to being independent or to building relationships.</w:t>
      </w:r>
      <w:r>
        <w:t xml:space="preserve"> </w:t>
      </w:r>
      <w:r w:rsidRPr="00713AE2">
        <w:t>Regardless, person-centered care means listening to individuals, understanding their context, and not making any assumptions based on any diagnosis or theory.</w:t>
      </w:r>
    </w:p>
    <w:p w14:paraId="6AC9E386" w14:textId="77777777" w:rsidR="00EC5B9C" w:rsidRDefault="00EC5B9C" w:rsidP="00EC5B9C">
      <w:r>
        <w:t xml:space="preserve">Partnering includes exchange of information between professionals, coordination of services and communication. Since the needs in health and social care services often intersect, </w:t>
      </w:r>
      <w:r>
        <w:lastRenderedPageBreak/>
        <w:t>cooperation will ensure that there are no gaps in providing services and contradictions in advice. The Health and Care Act 2022 is about integrated care, while the Care Act 2014 is about wellbeing, assessment and cooperation (Department of Health and Social Care, 2022). However, unclear roles, delays in referrals and poor communication may prevent cooperation. Principles of consent, confidentiality and legal information exchange are crucial.</w:t>
      </w:r>
    </w:p>
    <w:p w14:paraId="5E2A6ECF" w14:textId="77777777" w:rsidR="00245F87" w:rsidRDefault="00EC5B9C" w:rsidP="00EC5B9C">
      <w:r>
        <w:t xml:space="preserve">There are four ethical principles that include autonomy, beneficence, non-maleficence and justice. They promote choice, benefits, avoiding harm and justice (WHO, 2016). According to the Mental Capacity Act 2005, capacity is presumed until proven otherwise. In case </w:t>
      </w:r>
      <w:proofErr w:type="gramStart"/>
      <w:r>
        <w:t>the people</w:t>
      </w:r>
      <w:proofErr w:type="gramEnd"/>
      <w:r>
        <w:t xml:space="preserve"> lack capacity, professionals should act according to the principle of best interest and use the least restrictive option (Department of Health and Social Care, 2005). Disability and disagreement with professionals </w:t>
      </w:r>
      <w:proofErr w:type="gramStart"/>
      <w:r>
        <w:t>is</w:t>
      </w:r>
      <w:proofErr w:type="gramEnd"/>
      <w:r>
        <w:t xml:space="preserve"> not </w:t>
      </w:r>
      <w:proofErr w:type="gramStart"/>
      <w:r>
        <w:t>an evidence</w:t>
      </w:r>
      <w:proofErr w:type="gramEnd"/>
      <w:r>
        <w:t xml:space="preserve"> of incapacity</w:t>
      </w:r>
      <w:r w:rsidR="008B1F14">
        <w:t>.</w:t>
      </w:r>
    </w:p>
    <w:p w14:paraId="1CE9E107" w14:textId="77777777" w:rsidR="00EC5B9C" w:rsidRDefault="00EC5B9C" w:rsidP="00EC5B9C">
      <w:r w:rsidRPr="00EC5B9C">
        <w:t xml:space="preserve">Values </w:t>
      </w:r>
      <w:r>
        <w:t>such as those of the six C’s -</w:t>
      </w:r>
      <w:r w:rsidRPr="00EC5B9C">
        <w:t xml:space="preserve"> care, compassion, competence, communication, courage, and commitment are professional values, and are </w:t>
      </w:r>
      <w:proofErr w:type="gramStart"/>
      <w:r w:rsidRPr="00EC5B9C">
        <w:t>an ideal</w:t>
      </w:r>
      <w:proofErr w:type="gramEnd"/>
      <w:r w:rsidRPr="00EC5B9C">
        <w:t xml:space="preserve"> guiding principle for providing safe and dignified care (NHS England, 2012). Care Quality Commission utilizes fundamental standards in the evaluation of the quality of health care service; fundamental standards include such aspects as person-centered care, dignity and respect, and safe care and treatment.</w:t>
      </w:r>
    </w:p>
    <w:p w14:paraId="536A9D9D" w14:textId="77777777" w:rsidR="00EC5B9C" w:rsidRDefault="00EC5B9C" w:rsidP="00EC5B9C">
      <w:r w:rsidRPr="00EC5B9C">
        <w:t>These t</w:t>
      </w:r>
      <w:r>
        <w:t>hree principles go hand in hand</w:t>
      </w:r>
      <w:r w:rsidRPr="00EC5B9C">
        <w:t xml:space="preserve"> paternalism happens when the professional takes the decision on behalf of the individual. Ethical principles enable one to strike a balance between autonomy and safety in a situation where the preferred course of action may be risky. The issue here is that one does not take "safety" as an excuse to limit freedom.</w:t>
      </w:r>
      <w:r>
        <w:t xml:space="preserve"> </w:t>
      </w:r>
      <w:r w:rsidRPr="00EC5B9C">
        <w:t>Best practices would be to assess the appropriateness of any safeguards, provide explanations regarding decisions made, and assess the effectiveness of any support services.</w:t>
      </w:r>
    </w:p>
    <w:p w14:paraId="3C2D623B" w14:textId="77777777" w:rsidR="00245F87" w:rsidRDefault="008B1F14">
      <w:pPr>
        <w:pStyle w:val="Heading1"/>
      </w:pPr>
      <w:bookmarkStart w:id="2" w:name="_Toc242784307"/>
      <w:r>
        <w:t>Task 2:</w:t>
      </w:r>
      <w:r w:rsidR="00EC5B9C">
        <w:t xml:space="preserve"> Practical Example in Practice -</w:t>
      </w:r>
      <w:r>
        <w:t xml:space="preserve"> Robyn’s Story</w:t>
      </w:r>
      <w:bookmarkEnd w:id="2"/>
    </w:p>
    <w:p w14:paraId="341E553D" w14:textId="77777777" w:rsidR="00EC5B9C" w:rsidRDefault="00EC5B9C" w:rsidP="00EC5B9C">
      <w:r>
        <w:t xml:space="preserve">Robyn suffered from spinal injury in 2006 when she was 21 years old and required 24 hours care. Firstly, the </w:t>
      </w:r>
      <w:proofErr w:type="gramStart"/>
      <w:r>
        <w:t>live in carers</w:t>
      </w:r>
      <w:proofErr w:type="gramEnd"/>
      <w:r>
        <w:t xml:space="preserve"> were provided by an agency in terms of Continuous Health Care (CHC) and local authority care provision. However, challenges with recruitment resulted in many changes in staffing and therefore uncertainties and lack of accessibility to her activities such as visiting her horses. Thus, the distinction between basic and wellbeing care was made clear.</w:t>
      </w:r>
    </w:p>
    <w:p w14:paraId="0AB8DCE8" w14:textId="77777777" w:rsidR="00245F87" w:rsidRDefault="00EC5B9C" w:rsidP="00EC5B9C">
      <w:r>
        <w:t xml:space="preserve">Individually focused care was not provided </w:t>
      </w:r>
      <w:proofErr w:type="gramStart"/>
      <w:r>
        <w:t>due to the fact that</w:t>
      </w:r>
      <w:proofErr w:type="gramEnd"/>
      <w:r>
        <w:t xml:space="preserve"> recruitment process did not take into consideration personal needs of Robyn. Some of the carers were afraid of or allergic to animals while others </w:t>
      </w:r>
      <w:proofErr w:type="gramStart"/>
      <w:r>
        <w:t>were not able to</w:t>
      </w:r>
      <w:proofErr w:type="gramEnd"/>
      <w:r>
        <w:t xml:space="preserve"> drive and </w:t>
      </w:r>
      <w:proofErr w:type="gramStart"/>
      <w:r>
        <w:t>therefore</w:t>
      </w:r>
      <w:proofErr w:type="gramEnd"/>
      <w:r>
        <w:t xml:space="preserve"> she </w:t>
      </w:r>
      <w:proofErr w:type="gramStart"/>
      <w:r>
        <w:t>was not able to</w:t>
      </w:r>
      <w:proofErr w:type="gramEnd"/>
      <w:r>
        <w:t xml:space="preserve"> visit her horses. Holistic care is based on individual needs, relationships, independent living and community </w:t>
      </w:r>
      <w:r>
        <w:lastRenderedPageBreak/>
        <w:t>involvement (NICE, 2018). Holistic care is defined by Care Act 2014</w:t>
      </w:r>
      <w:r w:rsidR="008B1F14">
        <w:t>.</w:t>
      </w:r>
      <w:r>
        <w:t xml:space="preserve"> </w:t>
      </w:r>
      <w:r w:rsidRPr="00EC5B9C">
        <w:t>The instance of Robyn shows the need to have a reliable team of staff who can meet the needs of the individual.</w:t>
      </w:r>
    </w:p>
    <w:p w14:paraId="70FF584A" w14:textId="77777777" w:rsidR="00EC5B9C" w:rsidRDefault="00EC5B9C" w:rsidP="00EC5B9C">
      <w:r>
        <w:t xml:space="preserve">It was important to establish partnerships since in May 2014, Robyn contacted her social care team and CHC teams with the purpose of </w:t>
      </w:r>
      <w:proofErr w:type="gramStart"/>
      <w:r>
        <w:t>recruitment of</w:t>
      </w:r>
      <w:proofErr w:type="gramEnd"/>
      <w:r>
        <w:t xml:space="preserve"> her assistants. The PHB nurse discussed with her the opportunity of funding, and professionals </w:t>
      </w:r>
      <w:proofErr w:type="gramStart"/>
      <w:r>
        <w:t>made an assessment of</w:t>
      </w:r>
      <w:proofErr w:type="gramEnd"/>
      <w:r>
        <w:t xml:space="preserve"> her needs and goals. Indicative budget and support </w:t>
      </w:r>
      <w:proofErr w:type="gramStart"/>
      <w:r>
        <w:t>plan</w:t>
      </w:r>
      <w:proofErr w:type="gramEnd"/>
      <w:r>
        <w:t xml:space="preserve"> were drawn, and Personal Budget Support Service helped to employ personal assistants. The start of Robyn's PHB in November 2015 was a good illustration of the value of assessment and support.</w:t>
      </w:r>
    </w:p>
    <w:p w14:paraId="0EEB0EF0" w14:textId="77777777" w:rsidR="00245F87" w:rsidRDefault="00EC5B9C" w:rsidP="00EC5B9C">
      <w:r>
        <w:t xml:space="preserve">Ethically, the use of personal assistants showed </w:t>
      </w:r>
      <w:proofErr w:type="gramStart"/>
      <w:r>
        <w:t>the respect</w:t>
      </w:r>
      <w:proofErr w:type="gramEnd"/>
      <w:r>
        <w:t xml:space="preserve"> </w:t>
      </w:r>
      <w:proofErr w:type="gramStart"/>
      <w:r>
        <w:t>to</w:t>
      </w:r>
      <w:proofErr w:type="gramEnd"/>
      <w:r>
        <w:t xml:space="preserve"> her autonomy and dignity, her desire to have consistent support. She was able to exercise more control over her staffing and interests, which can be considered as a feature of personalized care. The use of personal assistants corresponds to the principles of NHS Constitution, such as dignity and participation (Department of Health and Social Care, 2021)</w:t>
      </w:r>
      <w:r w:rsidR="008B1F14">
        <w:t>.</w:t>
      </w:r>
      <w:r>
        <w:t xml:space="preserve"> </w:t>
      </w:r>
      <w:r w:rsidRPr="00EC5B9C">
        <w:t>However, it also implied the introduction of some new responsibilities as regards recruitment, administration, and reliable cover. It implies that PHBs need appropriate risk management and support.</w:t>
      </w:r>
    </w:p>
    <w:p w14:paraId="6AA8D0FF" w14:textId="77777777" w:rsidR="00EC5B9C" w:rsidRPr="007F4494" w:rsidRDefault="00EC5B9C" w:rsidP="007F4494">
      <w:r w:rsidRPr="00EC5B9C">
        <w:t>The example of Robyn provides another demonstration of negative impacts of bad continuity, because her condition was influenced negatively by staff change, and therefore she was unable to live a full life. A more solid and effective solution included many factors besides the mere modification of the funding system, and what was needed was outcome-based planning with proper staffing and monitoring.</w:t>
      </w:r>
      <w:r w:rsidR="007F4494">
        <w:t xml:space="preserve"> </w:t>
      </w:r>
      <w:r w:rsidRPr="00EC5B9C">
        <w:t>In this case study no outcomes in connection with improvement in Robyn’s condition were identified after the introduction of the PHB. However, in this case the procedure contributed to elimination of certain drawbacks and individualiz</w:t>
      </w:r>
      <w:r w:rsidR="007F4494">
        <w:t xml:space="preserve">ation of the services to Robyn. </w:t>
      </w:r>
      <w:r w:rsidRPr="00EC5B9C">
        <w:t>In general, this case demonstrates the link between the person-centered approach, collaboration and ethics. It can be said that the personalized budget will provide a good chance for Robyn to become more independent, but it largely depends on her involvement in the process.</w:t>
      </w:r>
    </w:p>
    <w:p w14:paraId="6966AF3C" w14:textId="77777777" w:rsidR="00245F87" w:rsidRDefault="008B1F14" w:rsidP="00EC5B9C">
      <w:pPr>
        <w:pStyle w:val="Heading1"/>
      </w:pPr>
      <w:bookmarkStart w:id="3" w:name="_Toc242784308"/>
      <w:r>
        <w:t>Task 3: Self-Reflection as a Health and Social Care Professional</w:t>
      </w:r>
      <w:bookmarkEnd w:id="3"/>
    </w:p>
    <w:p w14:paraId="235D8084" w14:textId="77777777" w:rsidR="00245F87" w:rsidRDefault="007F4494">
      <w:proofErr w:type="gramStart"/>
      <w:r w:rsidRPr="007F4494">
        <w:t>With regard to</w:t>
      </w:r>
      <w:proofErr w:type="gramEnd"/>
      <w:r w:rsidRPr="007F4494">
        <w:t xml:space="preserve"> Robyn, in my opinion, besides carrying out </w:t>
      </w:r>
      <w:proofErr w:type="gramStart"/>
      <w:r w:rsidRPr="007F4494">
        <w:t>the tasks</w:t>
      </w:r>
      <w:proofErr w:type="gramEnd"/>
      <w:r w:rsidRPr="007F4494">
        <w:t xml:space="preserve"> with the highest level of safety, it is necessary to </w:t>
      </w:r>
      <w:proofErr w:type="gramStart"/>
      <w:r w:rsidRPr="007F4494">
        <w:t>give proper consideration to</w:t>
      </w:r>
      <w:proofErr w:type="gramEnd"/>
      <w:r w:rsidRPr="007F4494">
        <w:t xml:space="preserve"> personal value systems and enable people to be independent. I would use Gibbs’ reflection model on learning via description, feelings, evaluation, analysis, conclusions</w:t>
      </w:r>
      <w:r>
        <w:t>, and action plan (Gibbs, 1988)</w:t>
      </w:r>
      <w:r w:rsidR="008B1F14">
        <w:t>.</w:t>
      </w:r>
    </w:p>
    <w:p w14:paraId="55181B1F" w14:textId="77777777" w:rsidR="007F4494" w:rsidRDefault="007F4494">
      <w:r w:rsidRPr="007F4494">
        <w:rPr>
          <w:b/>
        </w:rPr>
        <w:lastRenderedPageBreak/>
        <w:t>Experience and feelings:</w:t>
      </w:r>
      <w:r w:rsidRPr="007F4494">
        <w:t xml:space="preserve"> The case of Robyn is an example of the confusion that occurs due to inconsistent staffing. I would feel concerned about the disruptions but understand the staffing situation. My job would be to empathize with Robyn and acknowledge her concerns without criticizing anyone and making any unreasonable promises.</w:t>
      </w:r>
    </w:p>
    <w:p w14:paraId="18D565EE" w14:textId="77777777" w:rsidR="00245F87" w:rsidRDefault="007F4494">
      <w:r w:rsidRPr="007F4494">
        <w:rPr>
          <w:b/>
        </w:rPr>
        <w:t>Evaluation and analysis:</w:t>
      </w:r>
      <w:r w:rsidRPr="007F4494">
        <w:t xml:space="preserve"> Person-</w:t>
      </w:r>
      <w:proofErr w:type="spellStart"/>
      <w:r w:rsidRPr="007F4494">
        <w:t>centred</w:t>
      </w:r>
      <w:proofErr w:type="spellEnd"/>
      <w:r w:rsidRPr="007F4494">
        <w:t xml:space="preserve"> care. My strength is that I have a commitment to value and respect people and their choices. I would ask people about their preferences, what they require from their services and support, and would document their choices properly. For instance, Robyn’s interest in going to visit her horses is an example of how individual interests and identity affect well-being. People with disabilities have their l</w:t>
      </w:r>
      <w:r>
        <w:t>ives besides their disabilities</w:t>
      </w:r>
      <w:r w:rsidR="008B1F14">
        <w:t>.</w:t>
      </w:r>
    </w:p>
    <w:p w14:paraId="4DB423FE" w14:textId="77777777" w:rsidR="007F4494" w:rsidRDefault="007F4494">
      <w:r w:rsidRPr="007F4494">
        <w:t>At the same time, it is necessary for me to work on my confidence level for translating preferences into an action plan. If it is needed for an individual that participation in community activities is important, then instead of rejecting such preferences, I will talk about transport, staffing, access, and risks involved. According to the Care Act of 2014, well-being and control are very essential for individuals.</w:t>
      </w:r>
      <w:r>
        <w:t xml:space="preserve"> </w:t>
      </w:r>
      <w:r w:rsidRPr="007F4494">
        <w:t>I will clarify risks in simple terms, give out tips on how to be safe and consult the seniors whenever necessary.</w:t>
      </w:r>
    </w:p>
    <w:p w14:paraId="12D59A86" w14:textId="77777777" w:rsidR="007F4494" w:rsidRDefault="007F4494">
      <w:r w:rsidRPr="007F4494">
        <w:rPr>
          <w:b/>
        </w:rPr>
        <w:t>Evaluation and Analysis of Partnership Working:</w:t>
      </w:r>
      <w:r w:rsidRPr="007F4494">
        <w:t xml:space="preserve"> The process of transferring Robyn to a PHB requires effective partnership between </w:t>
      </w:r>
      <w:proofErr w:type="gramStart"/>
      <w:r w:rsidRPr="007F4494">
        <w:t>the health</w:t>
      </w:r>
      <w:proofErr w:type="gramEnd"/>
      <w:r w:rsidRPr="007F4494">
        <w:t xml:space="preserve">, social care, and support service. In my future practice, I will make sure that I have effective communication, information exchange, record keeping and defined responsibilities. In addition, the client will be involved in any meeting for her opinion to be </w:t>
      </w:r>
      <w:proofErr w:type="gramStart"/>
      <w:r w:rsidRPr="007F4494">
        <w:t>taken into account</w:t>
      </w:r>
      <w:proofErr w:type="gramEnd"/>
      <w:r w:rsidRPr="007F4494">
        <w:t xml:space="preserve"> during decision-making.</w:t>
      </w:r>
    </w:p>
    <w:p w14:paraId="2795B297" w14:textId="77777777" w:rsidR="007F4494" w:rsidRDefault="007F4494" w:rsidP="007F4494">
      <w:r>
        <w:t xml:space="preserve">Nevertheless, I would hesitate to ask questions </w:t>
      </w:r>
      <w:proofErr w:type="gramStart"/>
      <w:r>
        <w:t>on</w:t>
      </w:r>
      <w:proofErr w:type="gramEnd"/>
      <w:r>
        <w:t xml:space="preserve"> things that confuse me concerning the process and roles, and this could cause delays. This problem will be overcome by learning how to do referrals, confidentiality and other things like getting consent. This will be achieved by getting supervisory directions whenever I find myself in doubt on the matter, and I shall see to it that the issue is sorted out. Being confident is important; however, it should not inhibit the proper exchange of information.</w:t>
      </w:r>
    </w:p>
    <w:p w14:paraId="34F10F44" w14:textId="77777777" w:rsidR="007F4494" w:rsidRDefault="007F4494" w:rsidP="007F4494">
      <w:r w:rsidRPr="00145075">
        <w:rPr>
          <w:b/>
        </w:rPr>
        <w:t>Analysis and Evaluation:</w:t>
      </w:r>
      <w:r>
        <w:t xml:space="preserve"> Ethical practice. I strive to be objective, empathic, and honest in my actions, balancing the options and their possible harm. According to the Mental Capacity Act 2005, capacity must be determined on a decision-by-decision level and lack of capacity cannot be inferred because of an individual's disabilities or bad decisions (Department of Health and Social Care, 2005). I will provide clear information, help to ask questions, and make appropriate </w:t>
      </w:r>
      <w:proofErr w:type="gramStart"/>
      <w:r>
        <w:t>assessment</w:t>
      </w:r>
      <w:proofErr w:type="gramEnd"/>
      <w:r>
        <w:t xml:space="preserve"> in case of suspicion.</w:t>
      </w:r>
    </w:p>
    <w:p w14:paraId="1EE37753" w14:textId="77777777" w:rsidR="007F4494" w:rsidRDefault="007F4494" w:rsidP="007F4494"/>
    <w:p w14:paraId="176579E8" w14:textId="77777777" w:rsidR="00145075" w:rsidRDefault="007F4494" w:rsidP="007F4494">
      <w:r>
        <w:t xml:space="preserve">I will maintain privacy, </w:t>
      </w:r>
      <w:proofErr w:type="gramStart"/>
      <w:r>
        <w:t>confidentiality, and</w:t>
      </w:r>
      <w:proofErr w:type="gramEnd"/>
      <w:r>
        <w:t xml:space="preserve"> consent and maintain professional boundaries. Although the NMC Code is used by nurses, midwives, and nursing associates, it provides a great source of examples of professional standards (Nursing and Midwifery Council, 2018). Robyn's story shows me the necessity to highlight inadequate continuity of care.</w:t>
      </w:r>
    </w:p>
    <w:p w14:paraId="2B026916" w14:textId="77777777" w:rsidR="00145075" w:rsidRDefault="00145075" w:rsidP="007F4494"/>
    <w:p w14:paraId="1686467D" w14:textId="77777777" w:rsidR="00145075" w:rsidRPr="00145075" w:rsidRDefault="00145075" w:rsidP="00145075">
      <w:r w:rsidRPr="00145075">
        <w:rPr>
          <w:b/>
        </w:rPr>
        <w:t>Conclusion and actions for improvement:</w:t>
      </w:r>
      <w:r w:rsidRPr="00145075">
        <w:t xml:space="preserve"> From the above reflection, my conviction has been reinforced about the importance of dignity, choices, and safety being integrated together. My strengths are in listening, individual differences and wider issues concerning well-being. However, there is need to develop my knowledge about legislation, working with other agencies and provision of care.</w:t>
      </w:r>
    </w:p>
    <w:p w14:paraId="384AE68D" w14:textId="77777777" w:rsidR="00145075" w:rsidRDefault="00145075" w:rsidP="00145075">
      <w:pPr>
        <w:rPr>
          <w:b/>
          <w:bCs/>
        </w:rPr>
      </w:pPr>
      <w:proofErr w:type="gramStart"/>
      <w:r w:rsidRPr="00145075">
        <w:t>In order to</w:t>
      </w:r>
      <w:proofErr w:type="gramEnd"/>
      <w:r w:rsidRPr="00145075">
        <w:t xml:space="preserve"> do so, I will undertake training on person-</w:t>
      </w:r>
      <w:proofErr w:type="spellStart"/>
      <w:r w:rsidRPr="00145075">
        <w:t>centred</w:t>
      </w:r>
      <w:proofErr w:type="spellEnd"/>
      <w:r w:rsidRPr="00145075">
        <w:t xml:space="preserve"> care, safeguarding, mental capacity, confidentiality and risk assessments. I will review the policies at </w:t>
      </w:r>
      <w:proofErr w:type="gramStart"/>
      <w:r w:rsidRPr="00145075">
        <w:t>work place</w:t>
      </w:r>
      <w:proofErr w:type="gramEnd"/>
      <w:r w:rsidRPr="00145075">
        <w:t xml:space="preserve"> and Care Act guidance and seek supervision in case of any uncertainties. Furthermore, I will ensure that my record-keeping is accurate, fact-based and involves individual perspectives. In addition, I will revise the care plans of the service users in conjunction with my colleagues where necessary.</w:t>
      </w:r>
      <w:r>
        <w:t xml:space="preserve"> </w:t>
      </w:r>
      <w:r w:rsidRPr="00145075">
        <w:t>This will help improve my competency and ability to deliver safe and person-centered care.</w:t>
      </w:r>
    </w:p>
    <w:p w14:paraId="2C7B9175" w14:textId="77777777" w:rsidR="00245F87" w:rsidRDefault="008B1F14" w:rsidP="00145075">
      <w:pPr>
        <w:pStyle w:val="Heading1"/>
      </w:pPr>
      <w:bookmarkStart w:id="4" w:name="_Toc242784309"/>
      <w:r>
        <w:t>Conclusion</w:t>
      </w:r>
      <w:bookmarkEnd w:id="4"/>
    </w:p>
    <w:p w14:paraId="1B87EE01" w14:textId="77777777" w:rsidR="00145075" w:rsidRDefault="00145075" w:rsidP="00145075">
      <w:r>
        <w:t xml:space="preserve">These three issues play an important role in providing safe and effective health and social care services. Theory and legislation make sure that such aspects as dignity, autonomy, participation, and safeguarding are </w:t>
      </w:r>
      <w:proofErr w:type="gramStart"/>
      <w:r>
        <w:t>taken into account</w:t>
      </w:r>
      <w:proofErr w:type="gramEnd"/>
      <w:r>
        <w:t xml:space="preserve">. Robyn's example shows how inconsistent staff might influence poor wellbeing while planning and Personal Health Budgets might be helpful. Personalized support would need safe recruitment, practical assistance and timely review. Being a future practitioner, I would take people's preferences into account, be a good communicator, consider legal and ethical issues and </w:t>
      </w:r>
      <w:proofErr w:type="gramStart"/>
      <w:r>
        <w:t>seek for</w:t>
      </w:r>
      <w:proofErr w:type="gramEnd"/>
      <w:r>
        <w:t xml:space="preserve"> advice if needed. Reflection and training would help me improve my skills. </w:t>
      </w:r>
      <w:proofErr w:type="gramStart"/>
      <w:r>
        <w:t>Generally speaking, quality</w:t>
      </w:r>
      <w:proofErr w:type="gramEnd"/>
      <w:r>
        <w:t xml:space="preserve"> care is not only about doing something but also about respecting people and helping them to live a meaningful life</w:t>
      </w:r>
      <w:r w:rsidR="008B1F14">
        <w:t>.</w:t>
      </w:r>
    </w:p>
    <w:p w14:paraId="48C24E31" w14:textId="77777777" w:rsidR="00245F87" w:rsidRDefault="00145075" w:rsidP="00145075">
      <w:pPr>
        <w:spacing w:line="276" w:lineRule="auto"/>
        <w:jc w:val="left"/>
      </w:pPr>
      <w:r>
        <w:br w:type="page"/>
      </w:r>
    </w:p>
    <w:p w14:paraId="613E7F9F" w14:textId="77777777" w:rsidR="00245F87" w:rsidRDefault="008B1F14">
      <w:pPr>
        <w:pStyle w:val="Heading1"/>
      </w:pPr>
      <w:bookmarkStart w:id="5" w:name="_Toc242784310"/>
      <w:r>
        <w:lastRenderedPageBreak/>
        <w:t>Reference</w:t>
      </w:r>
      <w:bookmarkEnd w:id="5"/>
    </w:p>
    <w:p w14:paraId="35B2DE17" w14:textId="77777777" w:rsidR="00472E6F" w:rsidRDefault="00472E6F" w:rsidP="00472E6F">
      <w:pPr>
        <w:spacing w:after="120" w:line="276" w:lineRule="auto"/>
      </w:pPr>
      <w:r>
        <w:t xml:space="preserve">Department of Health and Social Care (2014) Care Act 2014. Available at: </w:t>
      </w:r>
      <w:hyperlink r:id="rId9" w:history="1">
        <w:r w:rsidRPr="00B15BB4">
          <w:rPr>
            <w:rStyle w:val="Hyperlink"/>
          </w:rPr>
          <w:t>https://www.legislation.gov.uk/ukpga/2014/23/part/1/enacted</w:t>
        </w:r>
      </w:hyperlink>
      <w:r>
        <w:t xml:space="preserve">  (Accessed: 13 October 2026).</w:t>
      </w:r>
    </w:p>
    <w:p w14:paraId="29FEDE57" w14:textId="77777777" w:rsidR="00245F87" w:rsidRDefault="008B1F14" w:rsidP="00420179">
      <w:pPr>
        <w:spacing w:line="276" w:lineRule="auto"/>
      </w:pPr>
      <w:r>
        <w:t xml:space="preserve">Care Quality Commission (CQC) (2023) The fundamental standards. Available at: </w:t>
      </w:r>
      <w:hyperlink r:id="rId10" w:history="1">
        <w:r w:rsidR="00420179" w:rsidRPr="00771545">
          <w:rPr>
            <w:rStyle w:val="Hyperlink"/>
          </w:rPr>
          <w:t>https://www.cqc.org.uk/about-us/fundamental-standards</w:t>
        </w:r>
      </w:hyperlink>
      <w:r w:rsidR="00420179">
        <w:t xml:space="preserve"> </w:t>
      </w:r>
      <w:r>
        <w:t xml:space="preserve"> (Accessed: 13 October 2026).</w:t>
      </w:r>
    </w:p>
    <w:p w14:paraId="31A47C1C" w14:textId="77777777" w:rsidR="00245F87" w:rsidRDefault="008B1F14" w:rsidP="00420179">
      <w:pPr>
        <w:spacing w:line="276" w:lineRule="auto"/>
      </w:pPr>
      <w:r>
        <w:t xml:space="preserve">Department of Health and Social Care (2021) The NHS Constitution for England. Available at: </w:t>
      </w:r>
      <w:hyperlink r:id="rId11" w:history="1">
        <w:r w:rsidR="00420179" w:rsidRPr="00771545">
          <w:rPr>
            <w:rStyle w:val="Hyperlink"/>
          </w:rPr>
          <w:t>https://www.gov.uk/government/publications/the-nhs-constitution-for-england</w:t>
        </w:r>
      </w:hyperlink>
      <w:r w:rsidR="00420179">
        <w:t xml:space="preserve"> </w:t>
      </w:r>
      <w:r>
        <w:t>(Accessed: 13 October 2026).</w:t>
      </w:r>
    </w:p>
    <w:p w14:paraId="0E3A031C" w14:textId="77777777" w:rsidR="00472E6F" w:rsidRDefault="00472E6F" w:rsidP="00472E6F">
      <w:pPr>
        <w:spacing w:after="120" w:line="276" w:lineRule="auto"/>
      </w:pPr>
      <w:r>
        <w:t xml:space="preserve">Gibbs, G. (1988) Learning by Doing: A Guide to Teaching and Learning Methods. Oxford: Further Education Unit, Oxford Polytechnic. Available at: </w:t>
      </w:r>
      <w:hyperlink r:id="rId12" w:history="1">
        <w:r w:rsidRPr="00B15BB4">
          <w:rPr>
            <w:rStyle w:val="Hyperlink"/>
          </w:rPr>
          <w:t>https://www.scirp.org/reference/referencespapers?referenceid=478921</w:t>
        </w:r>
      </w:hyperlink>
      <w:r>
        <w:t xml:space="preserve"> (Accessed: 13 October 2026).</w:t>
      </w:r>
    </w:p>
    <w:p w14:paraId="629600D8" w14:textId="77777777" w:rsidR="00420179" w:rsidRDefault="00420179" w:rsidP="00420179">
      <w:pPr>
        <w:spacing w:after="120" w:line="276" w:lineRule="auto"/>
      </w:pPr>
      <w:r>
        <w:t xml:space="preserve">Department of Health and Social Care (2022) Health and Social Care Act 2022 (Regulated Activities) Regulations 2014. Available at: </w:t>
      </w:r>
      <w:hyperlink r:id="rId13" w:history="1">
        <w:r w:rsidRPr="00771545">
          <w:rPr>
            <w:rStyle w:val="Hyperlink"/>
          </w:rPr>
          <w:t>https://www.legislation.gov.uk/ukpga/2022/31/contents</w:t>
        </w:r>
      </w:hyperlink>
      <w:proofErr w:type="gramStart"/>
      <w:r>
        <w:t xml:space="preserve">   (</w:t>
      </w:r>
      <w:proofErr w:type="gramEnd"/>
      <w:r>
        <w:t>Accessed: 13 October 2026).</w:t>
      </w:r>
    </w:p>
    <w:p w14:paraId="2FAB36BC" w14:textId="77777777" w:rsidR="00472E6F" w:rsidRDefault="00472E6F" w:rsidP="00420179">
      <w:pPr>
        <w:spacing w:line="276" w:lineRule="auto"/>
      </w:pPr>
      <w:r w:rsidRPr="00420179">
        <w:t xml:space="preserve">Maslow, A.H. (1943) ‘A theory of human motivation’, Psychological Review, 50(4), pp. 370–396. </w:t>
      </w:r>
      <w:hyperlink r:id="rId14" w:tgtFrame="_blank" w:history="1">
        <w:r w:rsidRPr="00420179">
          <w:t>doi.org/10.1037/h0054346</w:t>
        </w:r>
      </w:hyperlink>
    </w:p>
    <w:p w14:paraId="565FA316" w14:textId="77777777" w:rsidR="00245F87" w:rsidRDefault="00420179" w:rsidP="00420179">
      <w:pPr>
        <w:spacing w:line="276" w:lineRule="auto"/>
      </w:pPr>
      <w:r>
        <w:t xml:space="preserve">Department of Health and Social Care (2005) </w:t>
      </w:r>
      <w:r w:rsidR="008B1F14">
        <w:t>Mental Capacity Act 2005. (2005) c.9. London: The Stationery Office.</w:t>
      </w:r>
      <w:r>
        <w:t xml:space="preserve"> Available at: </w:t>
      </w:r>
      <w:hyperlink r:id="rId15" w:history="1">
        <w:r w:rsidRPr="00771545">
          <w:rPr>
            <w:rStyle w:val="Hyperlink"/>
          </w:rPr>
          <w:t>https://www.legislation.gov.uk/ukpga/2005/9/contents</w:t>
        </w:r>
      </w:hyperlink>
      <w:r>
        <w:t xml:space="preserve">  (Accessed: 13 October 2026).</w:t>
      </w:r>
    </w:p>
    <w:p w14:paraId="2E006633" w14:textId="77777777" w:rsidR="00245F87" w:rsidRDefault="008B1F14" w:rsidP="00A54CE4">
      <w:pPr>
        <w:spacing w:line="276" w:lineRule="auto"/>
      </w:pPr>
      <w:r>
        <w:t>NHS England (2012) Compassion in practice: Nursing, midwifery and care staff – our vision and strategy. London: NHS Commissioning Board.</w:t>
      </w:r>
      <w:r w:rsidR="00420179">
        <w:t xml:space="preserve"> Available at: </w:t>
      </w:r>
      <w:hyperlink r:id="rId16" w:history="1">
        <w:r w:rsidR="00A54CE4" w:rsidRPr="00771545">
          <w:rPr>
            <w:rStyle w:val="Hyperlink"/>
          </w:rPr>
          <w:t>https://www.england.nhs.uk/wp-content/uploads/2012/12/compassion-in-practice.pdf</w:t>
        </w:r>
      </w:hyperlink>
      <w:r w:rsidR="00A54CE4">
        <w:t xml:space="preserve"> </w:t>
      </w:r>
      <w:r w:rsidR="00420179">
        <w:t>(Accessed: 13 October 2026).</w:t>
      </w:r>
    </w:p>
    <w:p w14:paraId="605D78E2" w14:textId="77777777" w:rsidR="00245F87" w:rsidRDefault="008B1F14" w:rsidP="00A54CE4">
      <w:pPr>
        <w:spacing w:line="276" w:lineRule="auto"/>
      </w:pPr>
      <w:r>
        <w:t xml:space="preserve">NHS England (2019) The NHS Long Term Plan. Available at: </w:t>
      </w:r>
      <w:hyperlink r:id="rId17" w:history="1">
        <w:r w:rsidR="00A54CE4" w:rsidRPr="00771545">
          <w:rPr>
            <w:rStyle w:val="Hyperlink"/>
          </w:rPr>
          <w:t>https://www.england.nhs.uk/2019/01/long-term-plan/</w:t>
        </w:r>
      </w:hyperlink>
      <w:r w:rsidR="00A54CE4">
        <w:t xml:space="preserve"> </w:t>
      </w:r>
      <w:r>
        <w:t>(Accessed: 13 October 2026).</w:t>
      </w:r>
    </w:p>
    <w:p w14:paraId="7CF36571" w14:textId="77777777" w:rsidR="00245F87" w:rsidRDefault="008B1F14" w:rsidP="00A54CE4">
      <w:pPr>
        <w:spacing w:line="276" w:lineRule="auto"/>
      </w:pPr>
      <w:r>
        <w:t xml:space="preserve">Nursing and Midwifery Council (NMC) (2018) The Code: Professional standards of practice and </w:t>
      </w:r>
      <w:proofErr w:type="spellStart"/>
      <w:r>
        <w:t>behaviour</w:t>
      </w:r>
      <w:proofErr w:type="spellEnd"/>
      <w:r>
        <w:t xml:space="preserve"> for nurses, midwives and nursing associates. London: NMC. Available at: </w:t>
      </w:r>
      <w:hyperlink r:id="rId18" w:history="1">
        <w:r w:rsidR="00A54CE4" w:rsidRPr="00771545">
          <w:rPr>
            <w:rStyle w:val="Hyperlink"/>
          </w:rPr>
          <w:t>https://www.nmc.org.uk/standards/code/</w:t>
        </w:r>
      </w:hyperlink>
      <w:r w:rsidR="00A54CE4">
        <w:t xml:space="preserve"> </w:t>
      </w:r>
      <w:r>
        <w:t xml:space="preserve"> (Accessed: 13 October 2026).</w:t>
      </w:r>
    </w:p>
    <w:p w14:paraId="20879D1C" w14:textId="77777777" w:rsidR="00245F87" w:rsidRDefault="008B1F14" w:rsidP="00A54CE4">
      <w:pPr>
        <w:spacing w:line="276" w:lineRule="auto"/>
      </w:pPr>
      <w:r>
        <w:t xml:space="preserve">National Institute for Health and Care Excellence (NICE) (2018) People’s experience in adult social care services: improving the experience of care and support for people using adult social care services. NICE guideline NG86. Available at: </w:t>
      </w:r>
      <w:hyperlink r:id="rId19" w:history="1">
        <w:r w:rsidR="00A54CE4" w:rsidRPr="00771545">
          <w:rPr>
            <w:rStyle w:val="Hyperlink"/>
          </w:rPr>
          <w:t>https://www.nice.org.uk/guidance/ng86</w:t>
        </w:r>
      </w:hyperlink>
      <w:r w:rsidR="00A54CE4">
        <w:t xml:space="preserve"> </w:t>
      </w:r>
      <w:r>
        <w:t xml:space="preserve"> (Accessed: 13 October 2026).</w:t>
      </w:r>
    </w:p>
    <w:p w14:paraId="0DA2F4CC" w14:textId="77777777" w:rsidR="00472E6F" w:rsidRDefault="00472E6F" w:rsidP="00472E6F">
      <w:pPr>
        <w:spacing w:after="120" w:line="276" w:lineRule="auto"/>
      </w:pPr>
      <w:r>
        <w:t xml:space="preserve">Skills for Care (2023) The Care Certificate standards. Available at: </w:t>
      </w:r>
      <w:hyperlink r:id="rId20" w:history="1">
        <w:r w:rsidRPr="00B15BB4">
          <w:rPr>
            <w:rStyle w:val="Hyperlink"/>
          </w:rPr>
          <w:t>https://www.skillsforcare.org.uk/Developing-your-workforce/Care-Certificate/Care-Certificate.aspx</w:t>
        </w:r>
      </w:hyperlink>
      <w:r>
        <w:t xml:space="preserve">  (Accessed: 13 October 2026).</w:t>
      </w:r>
    </w:p>
    <w:p w14:paraId="3F95DD5F" w14:textId="77777777" w:rsidR="00472E6F" w:rsidRDefault="00472E6F" w:rsidP="00472E6F">
      <w:pPr>
        <w:spacing w:after="120" w:line="276" w:lineRule="auto"/>
      </w:pPr>
      <w:r>
        <w:t xml:space="preserve">Social Care Institute for Excellence (SCIE) (2022) Co-production in social care: what it is and how to do it. Available at: </w:t>
      </w:r>
      <w:hyperlink r:id="rId21" w:history="1">
        <w:r w:rsidRPr="00B15BB4">
          <w:rPr>
            <w:rStyle w:val="Hyperlink"/>
          </w:rPr>
          <w:t>https://www.scie.org.uk/co-production/</w:t>
        </w:r>
      </w:hyperlink>
      <w:r>
        <w:t xml:space="preserve">  (Accessed: 13 October 2026).</w:t>
      </w:r>
    </w:p>
    <w:p w14:paraId="735A663E" w14:textId="77777777" w:rsidR="00245F87" w:rsidRDefault="008B1F14" w:rsidP="00A54CE4">
      <w:pPr>
        <w:spacing w:line="276" w:lineRule="auto"/>
      </w:pPr>
      <w:r>
        <w:lastRenderedPageBreak/>
        <w:t>World Health Organization (WHO) (2016) Framework on integrated, people-</w:t>
      </w:r>
      <w:proofErr w:type="spellStart"/>
      <w:r>
        <w:t>centred</w:t>
      </w:r>
      <w:proofErr w:type="spellEnd"/>
      <w:r>
        <w:t xml:space="preserve"> health services. Geneva: WHO.</w:t>
      </w:r>
      <w:r w:rsidR="00A54CE4">
        <w:t xml:space="preserve"> Available at: </w:t>
      </w:r>
      <w:hyperlink r:id="rId22" w:history="1">
        <w:r w:rsidR="00A54CE4" w:rsidRPr="00771545">
          <w:rPr>
            <w:rStyle w:val="Hyperlink"/>
          </w:rPr>
          <w:t>https://apps.who.int/gb/ebwha/pdf_files/wha69/a69_39-en.pdf</w:t>
        </w:r>
      </w:hyperlink>
      <w:r w:rsidR="00A54CE4">
        <w:t xml:space="preserve"> (Accessed: 13 October 2026).</w:t>
      </w:r>
    </w:p>
    <w:sectPr w:rsidR="00245F87" w:rsidSect="00713AE2">
      <w:footerReference w:type="default" r:id="rId23"/>
      <w:pgSz w:w="12240" w:h="15840"/>
      <w:pgMar w:top="1152" w:right="1440" w:bottom="1152"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8FB31" w14:textId="77777777" w:rsidR="000B11BD" w:rsidRDefault="000B11BD">
      <w:pPr>
        <w:spacing w:after="0" w:line="240" w:lineRule="auto"/>
      </w:pPr>
      <w:r>
        <w:separator/>
      </w:r>
    </w:p>
  </w:endnote>
  <w:endnote w:type="continuationSeparator" w:id="0">
    <w:p w14:paraId="6EF09B6C" w14:textId="77777777" w:rsidR="000B11BD" w:rsidRDefault="000B1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52135" w14:textId="77777777" w:rsidR="00713AE2" w:rsidRDefault="00713AE2">
    <w:pPr>
      <w:pStyle w:val="Footer"/>
      <w:jc w:val="center"/>
    </w:pPr>
    <w:r>
      <w:fldChar w:fldCharType="begin"/>
    </w:r>
    <w:r>
      <w:instrText xml:space="preserve"> PAGE </w:instrText>
    </w:r>
    <w:r>
      <w:fldChar w:fldCharType="separate"/>
    </w:r>
    <w:r w:rsidR="0014507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7EAE8" w14:textId="77777777" w:rsidR="000B11BD" w:rsidRDefault="000B11BD">
      <w:pPr>
        <w:spacing w:after="0" w:line="240" w:lineRule="auto"/>
      </w:pPr>
      <w:r>
        <w:separator/>
      </w:r>
    </w:p>
  </w:footnote>
  <w:footnote w:type="continuationSeparator" w:id="0">
    <w:p w14:paraId="6D73112F" w14:textId="77777777" w:rsidR="000B11BD" w:rsidRDefault="000B11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95379251">
    <w:abstractNumId w:val="8"/>
  </w:num>
  <w:num w:numId="2" w16cid:durableId="205022661">
    <w:abstractNumId w:val="6"/>
  </w:num>
  <w:num w:numId="3" w16cid:durableId="1588616884">
    <w:abstractNumId w:val="5"/>
  </w:num>
  <w:num w:numId="4" w16cid:durableId="2117822028">
    <w:abstractNumId w:val="4"/>
  </w:num>
  <w:num w:numId="5" w16cid:durableId="1897083773">
    <w:abstractNumId w:val="7"/>
  </w:num>
  <w:num w:numId="6" w16cid:durableId="1055741670">
    <w:abstractNumId w:val="3"/>
  </w:num>
  <w:num w:numId="7" w16cid:durableId="414326316">
    <w:abstractNumId w:val="2"/>
  </w:num>
  <w:num w:numId="8" w16cid:durableId="1716277403">
    <w:abstractNumId w:val="1"/>
  </w:num>
  <w:num w:numId="9" w16cid:durableId="1808625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B11BD"/>
    <w:rsid w:val="00145075"/>
    <w:rsid w:val="0015074B"/>
    <w:rsid w:val="00245F87"/>
    <w:rsid w:val="0029639D"/>
    <w:rsid w:val="00326F90"/>
    <w:rsid w:val="00420179"/>
    <w:rsid w:val="00472E6F"/>
    <w:rsid w:val="00713AE2"/>
    <w:rsid w:val="007F4494"/>
    <w:rsid w:val="008B1F14"/>
    <w:rsid w:val="00A54CE4"/>
    <w:rsid w:val="00AA1D8D"/>
    <w:rsid w:val="00B47730"/>
    <w:rsid w:val="00BC0827"/>
    <w:rsid w:val="00C377F3"/>
    <w:rsid w:val="00CB0664"/>
    <w:rsid w:val="00D6219C"/>
    <w:rsid w:val="00EC5B9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2A3A4C"/>
  <w14:defaultImageDpi w14:val="300"/>
  <w15:docId w15:val="{B86CEC03-16C7-4592-9C10-32703D90C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472E6F"/>
    <w:pPr>
      <w:spacing w:after="100"/>
    </w:pPr>
  </w:style>
  <w:style w:type="character" w:styleId="Hyperlink">
    <w:name w:val="Hyperlink"/>
    <w:basedOn w:val="DefaultParagraphFont"/>
    <w:uiPriority w:val="99"/>
    <w:unhideWhenUsed/>
    <w:rsid w:val="00472E6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hyperlink" Target="https://www.nmc.org.uk/standards/code/" TargetMode="External"/><Relationship Id="rId3" Type="http://schemas.openxmlformats.org/officeDocument/2006/relationships/styles" Target="styles.xml"/><Relationship Id="rId21" Type="http://schemas.openxmlformats.org/officeDocument/2006/relationships/hyperlink" Target="https://www.scie.org.uk/co-production/" TargetMode="External"/><Relationship Id="rId7" Type="http://schemas.openxmlformats.org/officeDocument/2006/relationships/endnotes" Target="endnotes.xml"/><Relationship Id="rId12" Type="http://schemas.openxmlformats.org/officeDocument/2006/relationships/hyperlink" Target="https://www.scirp.org/reference/referencespapers?referenceid=478921" TargetMode="External"/><Relationship Id="rId17" Type="http://schemas.openxmlformats.org/officeDocument/2006/relationships/hyperlink" Target="https://www.england.nhs.uk/2019/01/long-term-pla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wp-content/uploads/2012/12/compassion-in-practice.pdf" TargetMode="External"/><Relationship Id="rId20" Type="http://schemas.openxmlformats.org/officeDocument/2006/relationships/hyperlink" Target="https://www.skillsforcare.org.uk/Developing-your-workforce/Care-Certificate/Care-Certificate.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the-nhs-constitution-for-englan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2005/9/contents" TargetMode="External"/><Relationship Id="rId23" Type="http://schemas.openxmlformats.org/officeDocument/2006/relationships/footer" Target="footer1.xml"/><Relationship Id="rId10" Type="http://schemas.openxmlformats.org/officeDocument/2006/relationships/hyperlink" Target="https://www.cqc.org.uk/about-us/fundamental-standards" TargetMode="External"/><Relationship Id="rId19" Type="http://schemas.openxmlformats.org/officeDocument/2006/relationships/hyperlink" Target="https://www.nice.org.uk/guidance/ng86" TargetMode="External"/><Relationship Id="rId4" Type="http://schemas.openxmlformats.org/officeDocument/2006/relationships/settings" Target="settings.xml"/><Relationship Id="rId9" Type="http://schemas.openxmlformats.org/officeDocument/2006/relationships/hyperlink" Target="https://www.legislation.gov.uk/ukpga/2014/23/part/1/enacted" TargetMode="External"/><Relationship Id="rId14" Type="http://schemas.openxmlformats.org/officeDocument/2006/relationships/hyperlink" Target="https://psycnet.apa.org/doiLanding?doi=10.1037%2Fh0054346" TargetMode="External"/><Relationship Id="rId22" Type="http://schemas.openxmlformats.org/officeDocument/2006/relationships/hyperlink" Target="https://apps.who.int/gb/ebwha/pdf_files/wha69/a69_39-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9535CA-7276-460A-834F-509AA62D6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2671</Words>
  <Characters>15226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17862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azhar</dc:creator>
  <cp:keywords/>
  <dc:description>generated by python-docx</dc:description>
  <cp:lastModifiedBy>Azhar Hussain (2512279)</cp:lastModifiedBy>
  <cp:revision>2</cp:revision>
  <dcterms:created xsi:type="dcterms:W3CDTF">2026-10-23T09:11:00Z</dcterms:created>
  <dcterms:modified xsi:type="dcterms:W3CDTF">2026-10-23T09:11:00Z</dcterms:modified>
  <cp:category/>
</cp:coreProperties>
</file>