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56" w:beforeLines="50" w:after="156" w:afterLines="50" w:line="360" w:lineRule="auto"/>
        <w:rPr>
          <w:rFonts w:ascii="Arial" w:hAnsi="Arial" w:cs="Arial"/>
          <w:sz w:val="22"/>
        </w:rPr>
      </w:pPr>
      <w:bookmarkStart w:id="0" w:name="_Toc9756"/>
    </w:p>
    <w:p>
      <w:pPr>
        <w:spacing w:before="156" w:beforeLines="50" w:after="156" w:afterLines="50" w:line="360" w:lineRule="auto"/>
        <w:jc w:val="center"/>
        <w:rPr>
          <w:rFonts w:ascii="Arial" w:hAnsi="Arial" w:cs="Arial"/>
          <w:sz w:val="22"/>
        </w:rPr>
      </w:pPr>
    </w:p>
    <w:p>
      <w:pPr>
        <w:spacing w:before="156" w:beforeLines="50" w:after="156" w:afterLines="50" w:line="360" w:lineRule="auto"/>
        <w:jc w:val="center"/>
        <w:rPr>
          <w:rFonts w:ascii="Arial" w:hAnsi="Arial" w:cs="Arial"/>
          <w:b/>
          <w:bCs/>
          <w:color w:val="FFC000"/>
          <w:sz w:val="36"/>
          <w:szCs w:val="36"/>
        </w:rPr>
      </w:pPr>
      <w:r>
        <w:rPr>
          <w:rFonts w:ascii="Arial" w:hAnsi="Arial" w:cs="Arial"/>
          <w:b/>
          <w:bCs/>
          <w:color w:val="FFC000"/>
          <w:sz w:val="36"/>
          <w:szCs w:val="36"/>
        </w:rPr>
        <w:tab/>
      </w:r>
      <w:r>
        <w:rPr>
          <w:rFonts w:ascii="Arial" w:hAnsi="Arial" w:cs="Arial"/>
          <w:b/>
          <w:bCs/>
          <w:color w:val="FFC000"/>
          <w:sz w:val="36"/>
          <w:szCs w:val="36"/>
        </w:rPr>
        <w:t>Research on how “I am a singer” making marketing communication by Weibo</w:t>
      </w:r>
    </w:p>
    <w:p>
      <w:pPr>
        <w:spacing w:before="156" w:beforeLines="50" w:after="156" w:afterLines="50" w:line="360" w:lineRule="auto"/>
        <w:jc w:val="center"/>
        <w:rPr>
          <w:rFonts w:ascii="Arial" w:hAnsi="Arial" w:cs="Arial"/>
          <w:sz w:val="30"/>
          <w:szCs w:val="30"/>
        </w:rPr>
      </w:pPr>
      <w:r>
        <w:rPr>
          <w:rFonts w:ascii="Arial" w:hAnsi="Arial" w:cs="Arial"/>
          <w:sz w:val="30"/>
          <w:szCs w:val="30"/>
        </w:rPr>
        <w:drawing>
          <wp:inline distT="0" distB="0" distL="0" distR="0">
            <wp:extent cx="1874520" cy="1630680"/>
            <wp:effectExtent l="0" t="0" r="0" b="7620"/>
            <wp:docPr id="15" name="图片 15" descr="C:\Users\Lenovo\Desktop\大三\综合二总\timgKRS1VF54.jpgtimgKRS1VF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C:\Users\Lenovo\Desktop\大三\综合二总\timgKRS1VF54.jpgtimgKRS1VF5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874520" cy="1630680"/>
                    </a:xfrm>
                    <a:prstGeom prst="rect">
                      <a:avLst/>
                    </a:prstGeom>
                    <a:noFill/>
                    <a:ln>
                      <a:noFill/>
                    </a:ln>
                  </pic:spPr>
                </pic:pic>
              </a:graphicData>
            </a:graphic>
          </wp:inline>
        </w:drawing>
      </w:r>
    </w:p>
    <w:p>
      <w:pPr>
        <w:spacing w:before="156" w:beforeLines="50" w:after="156" w:afterLines="50" w:line="360" w:lineRule="auto"/>
        <w:ind w:firstLine="3220" w:firstLineChars="1150"/>
        <w:rPr>
          <w:rFonts w:ascii="Arial" w:hAnsi="Arial" w:cs="Arial"/>
          <w:sz w:val="28"/>
          <w:szCs w:val="28"/>
        </w:rPr>
      </w:pPr>
      <w:r>
        <w:rPr>
          <w:rFonts w:ascii="Arial" w:hAnsi="Arial" w:cs="Arial"/>
          <w:sz w:val="28"/>
          <w:szCs w:val="28"/>
        </w:rPr>
        <w:t>Name:Chen Benyin</w:t>
      </w:r>
    </w:p>
    <w:p>
      <w:pPr>
        <w:spacing w:before="156" w:beforeLines="50" w:after="156" w:afterLines="50" w:line="360" w:lineRule="auto"/>
        <w:ind w:firstLine="3220" w:firstLineChars="1150"/>
        <w:rPr>
          <w:rFonts w:ascii="Arial" w:hAnsi="Arial" w:cs="Arial"/>
          <w:sz w:val="28"/>
          <w:szCs w:val="28"/>
        </w:rPr>
      </w:pPr>
      <w:r>
        <w:rPr>
          <w:rFonts w:ascii="Arial" w:hAnsi="Arial" w:cs="Arial"/>
          <w:sz w:val="28"/>
          <w:szCs w:val="28"/>
        </w:rPr>
        <w:t>ID: 2001404</w:t>
      </w:r>
    </w:p>
    <w:p>
      <w:pPr>
        <w:spacing w:before="156" w:beforeLines="50" w:after="156" w:afterLines="50" w:line="360" w:lineRule="auto"/>
        <w:ind w:firstLine="3220" w:firstLineChars="1150"/>
        <w:rPr>
          <w:rFonts w:hint="eastAsia" w:ascii="Arial" w:hAnsi="Arial" w:eastAsia="宋体" w:cs="Arial"/>
          <w:sz w:val="28"/>
          <w:szCs w:val="28"/>
          <w:lang w:eastAsia="zh-CN"/>
        </w:rPr>
      </w:pPr>
      <w:r>
        <w:rPr>
          <w:rFonts w:ascii="Arial" w:hAnsi="Arial" w:cs="Arial"/>
          <w:sz w:val="28"/>
          <w:szCs w:val="28"/>
        </w:rPr>
        <w:t xml:space="preserve">Submission Date: </w:t>
      </w:r>
      <w:r>
        <w:rPr>
          <w:rFonts w:hint="eastAsia" w:ascii="Arial" w:hAnsi="Arial" w:cs="Arial"/>
          <w:sz w:val="28"/>
          <w:szCs w:val="28"/>
        </w:rPr>
        <w:t>1</w:t>
      </w:r>
      <w:r>
        <w:rPr>
          <w:rFonts w:hint="eastAsia" w:ascii="Arial" w:hAnsi="Arial" w:cs="Arial"/>
          <w:sz w:val="28"/>
          <w:szCs w:val="28"/>
          <w:lang w:val="en-US" w:eastAsia="zh-CN"/>
        </w:rPr>
        <w:t>3</w:t>
      </w:r>
      <w:r>
        <w:rPr>
          <w:rFonts w:hint="eastAsia" w:ascii="Arial" w:hAnsi="Arial" w:cs="Arial"/>
          <w:sz w:val="28"/>
          <w:szCs w:val="28"/>
        </w:rPr>
        <w:t>.0</w:t>
      </w:r>
      <w:r>
        <w:rPr>
          <w:rFonts w:hint="eastAsia" w:ascii="Arial" w:hAnsi="Arial" w:cs="Arial"/>
          <w:sz w:val="28"/>
          <w:szCs w:val="28"/>
          <w:lang w:val="en-US" w:eastAsia="zh-CN"/>
        </w:rPr>
        <w:t>5</w:t>
      </w:r>
      <w:r>
        <w:rPr>
          <w:rFonts w:hint="eastAsia" w:ascii="Arial" w:hAnsi="Arial" w:cs="Arial"/>
          <w:sz w:val="28"/>
          <w:szCs w:val="28"/>
        </w:rPr>
        <w:t>.202</w:t>
      </w:r>
      <w:r>
        <w:rPr>
          <w:rFonts w:hint="eastAsia" w:ascii="Arial" w:hAnsi="Arial" w:cs="Arial"/>
          <w:sz w:val="28"/>
          <w:szCs w:val="28"/>
          <w:lang w:val="en-US" w:eastAsia="zh-CN"/>
        </w:rPr>
        <w:t>2</w:t>
      </w:r>
    </w:p>
    <w:p>
      <w:pPr>
        <w:pStyle w:val="2"/>
        <w:spacing w:before="156" w:beforeLines="50" w:after="156" w:afterLines="50" w:line="360" w:lineRule="auto"/>
        <w:rPr>
          <w:rFonts w:ascii="Arial" w:hAnsi="Arial" w:cs="Arial"/>
          <w:sz w:val="22"/>
          <w:szCs w:val="22"/>
        </w:rPr>
        <w:sectPr>
          <w:headerReference r:id="rId3" w:type="default"/>
          <w:footerReference r:id="rId4" w:type="default"/>
          <w:pgSz w:w="11906" w:h="16838"/>
          <w:pgMar w:top="1247" w:right="1247" w:bottom="1247" w:left="1247" w:header="851" w:footer="992" w:gutter="0"/>
          <w:cols w:space="720" w:num="1"/>
          <w:docGrid w:type="lines" w:linePitch="312" w:charSpace="0"/>
        </w:sectPr>
      </w:pPr>
      <w:bookmarkStart w:id="1" w:name="_Toc27629"/>
    </w:p>
    <w:p>
      <w:pPr>
        <w:pStyle w:val="2"/>
        <w:spacing w:before="156" w:beforeLines="50" w:after="156" w:afterLines="50" w:line="360" w:lineRule="auto"/>
        <w:rPr>
          <w:rFonts w:ascii="Arial" w:hAnsi="Arial" w:cs="Arial"/>
          <w:sz w:val="22"/>
          <w:szCs w:val="22"/>
        </w:rPr>
      </w:pPr>
      <w:bookmarkStart w:id="2" w:name="_Toc103303757"/>
      <w:r>
        <w:rPr>
          <w:rFonts w:ascii="Arial" w:hAnsi="Arial" w:cs="Arial"/>
          <w:sz w:val="22"/>
          <w:szCs w:val="22"/>
        </w:rPr>
        <w:t>Executive Summary</w:t>
      </w:r>
      <w:bookmarkEnd w:id="0"/>
      <w:bookmarkEnd w:id="1"/>
      <w:bookmarkEnd w:id="2"/>
    </w:p>
    <w:p>
      <w:pPr>
        <w:spacing w:before="156" w:beforeLines="50" w:after="156" w:afterLines="50" w:line="360" w:lineRule="auto"/>
        <w:rPr>
          <w:rFonts w:ascii="Arial" w:hAnsi="Arial" w:cs="Arial"/>
          <w:sz w:val="22"/>
        </w:rPr>
      </w:pPr>
      <w:r>
        <w:rPr>
          <w:rFonts w:ascii="Arial" w:hAnsi="Arial" w:cs="Arial"/>
          <w:sz w:val="22"/>
        </w:rPr>
        <w:t>With the advent of the new media era, in order to better attract the audience, TV entertainment programs have also begun to take advantage of the immediacy, interactivity, mass, and multimedia of emerging media that cannot be underestimated. Among them, the “I am a singer” TV entertainment program uses an official Weibo account to promote its programs more and more, and the two cooperate to complement each other.</w:t>
      </w:r>
    </w:p>
    <w:p>
      <w:pPr>
        <w:spacing w:before="156" w:beforeLines="50" w:after="156" w:afterLines="50" w:line="360" w:lineRule="auto"/>
        <w:rPr>
          <w:rFonts w:ascii="Arial" w:hAnsi="Arial" w:cs="Arial"/>
          <w:sz w:val="22"/>
        </w:rPr>
      </w:pPr>
      <w:r>
        <w:rPr>
          <w:rFonts w:ascii="Arial" w:hAnsi="Arial" w:cs="Arial"/>
          <w:sz w:val="22"/>
        </w:rPr>
        <w:t>This dissertation focuses on the “powerful combination” of “TV-Weibo”, using the literature research method, induction research approach and case analysis method, firstly analyzes the TV entertainment program as a genre, studies its general situation, current status; secondly, taking the official Weibo of the program “I Am a Singer” as an example to analyze the propagation characteristics of the official Weibo of TV entertainment programs in detail, and points out that the official Weibo for marketing of TV entertainment programs is creating value from multiple aspects. The marketing approach presents multi-level communication from top to bottom, multimedia extension communication, and uses the topic to create in-depth interaction, and builds a strong communication force through the construction of a media framework, combined with the network culture to narrow the distance between the audience.  A series of communication strategies have made it achieve a good communication effect. Based on a detailed analysis of its communication methods, the author points out that there are some deficiencies in the official Weibo content of current TV entertainment programs, such as consistency and depth. Finally, corresponding suggestions are put forth for these shortcomings, and provide a certain reference for the promotion of TV entertainment programs using Weibo.</w:t>
      </w:r>
    </w:p>
    <w:p>
      <w:pPr>
        <w:spacing w:before="156" w:beforeLines="50" w:after="156" w:afterLines="50" w:line="360" w:lineRule="auto"/>
        <w:rPr>
          <w:rFonts w:ascii="Arial" w:hAnsi="Arial" w:cs="Arial"/>
          <w:sz w:val="22"/>
        </w:rPr>
      </w:pPr>
    </w:p>
    <w:p>
      <w:pPr>
        <w:spacing w:before="156" w:beforeLines="50" w:after="156" w:afterLines="50" w:line="360" w:lineRule="auto"/>
        <w:rPr>
          <w:rFonts w:ascii="Arial" w:hAnsi="Arial" w:cs="Arial"/>
          <w:sz w:val="22"/>
        </w:rPr>
      </w:pPr>
    </w:p>
    <w:p>
      <w:pPr>
        <w:spacing w:before="156" w:beforeLines="50" w:after="156" w:afterLines="50" w:line="360" w:lineRule="auto"/>
        <w:rPr>
          <w:rFonts w:ascii="Arial" w:hAnsi="Arial" w:cs="Arial"/>
          <w:sz w:val="22"/>
        </w:rPr>
      </w:pPr>
    </w:p>
    <w:p>
      <w:pPr>
        <w:spacing w:before="156" w:beforeLines="50" w:after="156" w:afterLines="50" w:line="360" w:lineRule="auto"/>
        <w:rPr>
          <w:rFonts w:ascii="Arial" w:hAnsi="Arial" w:cs="Arial"/>
          <w:sz w:val="22"/>
        </w:rPr>
      </w:pPr>
    </w:p>
    <w:p>
      <w:pPr>
        <w:spacing w:before="156" w:beforeLines="50" w:after="156" w:afterLines="50" w:line="360" w:lineRule="auto"/>
        <w:rPr>
          <w:rFonts w:ascii="Arial" w:hAnsi="Arial" w:cs="Arial"/>
          <w:sz w:val="22"/>
        </w:rPr>
      </w:pPr>
    </w:p>
    <w:p>
      <w:pPr>
        <w:spacing w:before="156" w:beforeLines="50" w:after="156" w:afterLines="50" w:line="360" w:lineRule="auto"/>
        <w:rPr>
          <w:rFonts w:ascii="Arial" w:hAnsi="Arial" w:cs="Arial"/>
          <w:sz w:val="22"/>
        </w:rPr>
      </w:pPr>
    </w:p>
    <w:p>
      <w:pPr>
        <w:spacing w:before="156" w:beforeLines="50" w:after="156" w:afterLines="50" w:line="360" w:lineRule="auto"/>
        <w:jc w:val="center"/>
        <w:rPr>
          <w:rFonts w:ascii="Arial" w:hAnsi="Arial" w:cs="Arial"/>
          <w:b/>
          <w:bCs/>
          <w:sz w:val="32"/>
          <w:szCs w:val="32"/>
        </w:rPr>
      </w:pPr>
      <w:r>
        <w:rPr>
          <w:rFonts w:ascii="Arial" w:hAnsi="Arial" w:cs="Arial"/>
          <w:b/>
          <w:bCs/>
          <w:sz w:val="32"/>
          <w:szCs w:val="32"/>
        </w:rPr>
        <w:t xml:space="preserve">Table of contents </w:t>
      </w:r>
    </w:p>
    <w:sdt>
      <w:sdtPr>
        <w:rPr>
          <w:rFonts w:ascii="Times New Roman" w:hAnsi="Times New Roman" w:eastAsia="宋体" w:cs="Times New Roman"/>
          <w:color w:val="auto"/>
          <w:kern w:val="2"/>
          <w:sz w:val="21"/>
          <w:szCs w:val="22"/>
          <w:lang w:val="zh-CN"/>
        </w:rPr>
        <w:id w:val="-1498494019"/>
        <w:docPartObj>
          <w:docPartGallery w:val="Table of Contents"/>
          <w:docPartUnique/>
        </w:docPartObj>
      </w:sdtPr>
      <w:sdtEndPr>
        <w:rPr>
          <w:rFonts w:ascii="Times New Roman" w:hAnsi="Times New Roman" w:eastAsia="宋体" w:cs="Times New Roman"/>
          <w:b/>
          <w:bCs/>
          <w:color w:val="auto"/>
          <w:kern w:val="2"/>
          <w:sz w:val="21"/>
          <w:szCs w:val="22"/>
          <w:lang w:val="zh-CN"/>
        </w:rPr>
      </w:sdtEndPr>
      <w:sdtContent>
        <w:p>
          <w:pPr>
            <w:pStyle w:val="63"/>
            <w:spacing w:line="360" w:lineRule="auto"/>
          </w:pPr>
        </w:p>
        <w:p>
          <w:pPr>
            <w:pStyle w:val="11"/>
            <w:tabs>
              <w:tab w:val="right" w:leader="dot" w:pos="9402"/>
            </w:tabs>
            <w:spacing w:line="360" w:lineRule="auto"/>
            <w:rPr>
              <w:rFonts w:ascii="Arial" w:hAnsi="Arial" w:cs="Arial" w:eastAsiaTheme="minorEastAsia"/>
              <w:b/>
              <w:bCs/>
              <w:sz w:val="24"/>
              <w:szCs w:val="28"/>
            </w:rPr>
          </w:pPr>
          <w:r>
            <w:fldChar w:fldCharType="begin"/>
          </w:r>
          <w:r>
            <w:instrText xml:space="preserve"> TOC \o "1-3" \h \z \u </w:instrText>
          </w:r>
          <w:r>
            <w:fldChar w:fldCharType="separate"/>
          </w:r>
          <w:r>
            <w:fldChar w:fldCharType="begin"/>
          </w:r>
          <w:r>
            <w:instrText xml:space="preserve"> HYPERLINK \l "_Toc103303757" </w:instrText>
          </w:r>
          <w:r>
            <w:fldChar w:fldCharType="separate"/>
          </w:r>
          <w:r>
            <w:rPr>
              <w:rStyle w:val="25"/>
              <w:rFonts w:ascii="Arial" w:hAnsi="Arial" w:cs="Arial"/>
              <w:b/>
              <w:bCs/>
              <w:sz w:val="24"/>
              <w:szCs w:val="28"/>
            </w:rPr>
            <w:t>Executive Summary</w:t>
          </w:r>
          <w:r>
            <w:rPr>
              <w:rFonts w:ascii="Arial" w:hAnsi="Arial" w:cs="Arial"/>
              <w:b/>
              <w:bCs/>
              <w:sz w:val="24"/>
              <w:szCs w:val="28"/>
            </w:rPr>
            <w:tab/>
          </w:r>
          <w:r>
            <w:rPr>
              <w:rFonts w:ascii="Arial" w:hAnsi="Arial" w:cs="Arial"/>
              <w:b/>
              <w:bCs/>
              <w:sz w:val="24"/>
              <w:szCs w:val="28"/>
            </w:rPr>
            <w:fldChar w:fldCharType="begin"/>
          </w:r>
          <w:r>
            <w:rPr>
              <w:rFonts w:ascii="Arial" w:hAnsi="Arial" w:cs="Arial"/>
              <w:b/>
              <w:bCs/>
              <w:sz w:val="24"/>
              <w:szCs w:val="28"/>
            </w:rPr>
            <w:instrText xml:space="preserve"> PAGEREF _Toc103303757 \h </w:instrText>
          </w:r>
          <w:r>
            <w:rPr>
              <w:rFonts w:ascii="Arial" w:hAnsi="Arial" w:cs="Arial"/>
              <w:b/>
              <w:bCs/>
              <w:sz w:val="24"/>
              <w:szCs w:val="28"/>
            </w:rPr>
            <w:fldChar w:fldCharType="separate"/>
          </w:r>
          <w:r>
            <w:rPr>
              <w:rFonts w:ascii="Arial" w:hAnsi="Arial" w:cs="Arial"/>
              <w:b/>
              <w:bCs/>
              <w:sz w:val="24"/>
              <w:szCs w:val="28"/>
            </w:rPr>
            <w:t>I</w:t>
          </w:r>
          <w:r>
            <w:rPr>
              <w:rFonts w:ascii="Arial" w:hAnsi="Arial" w:cs="Arial"/>
              <w:b/>
              <w:bCs/>
              <w:sz w:val="24"/>
              <w:szCs w:val="28"/>
            </w:rPr>
            <w:fldChar w:fldCharType="end"/>
          </w:r>
          <w:r>
            <w:rPr>
              <w:rFonts w:ascii="Arial" w:hAnsi="Arial" w:cs="Arial"/>
              <w:b/>
              <w:bCs/>
              <w:sz w:val="24"/>
              <w:szCs w:val="28"/>
            </w:rPr>
            <w:fldChar w:fldCharType="end"/>
          </w:r>
        </w:p>
        <w:p>
          <w:pPr>
            <w:pStyle w:val="11"/>
            <w:tabs>
              <w:tab w:val="left" w:pos="420"/>
              <w:tab w:val="right" w:leader="dot" w:pos="9402"/>
            </w:tabs>
            <w:spacing w:line="360" w:lineRule="auto"/>
            <w:rPr>
              <w:rFonts w:ascii="Arial" w:hAnsi="Arial" w:cs="Arial" w:eastAsiaTheme="minorEastAsia"/>
              <w:b/>
              <w:bCs/>
              <w:sz w:val="24"/>
              <w:szCs w:val="28"/>
            </w:rPr>
          </w:pPr>
          <w:r>
            <w:fldChar w:fldCharType="begin"/>
          </w:r>
          <w:r>
            <w:instrText xml:space="preserve"> HYPERLINK \l "_Toc103303758" </w:instrText>
          </w:r>
          <w:r>
            <w:fldChar w:fldCharType="separate"/>
          </w:r>
          <w:r>
            <w:rPr>
              <w:rStyle w:val="25"/>
              <w:rFonts w:ascii="Arial" w:hAnsi="Arial" w:cs="Arial"/>
              <w:b/>
              <w:bCs/>
              <w:sz w:val="24"/>
              <w:szCs w:val="28"/>
            </w:rPr>
            <w:t>1.</w:t>
          </w:r>
          <w:r>
            <w:rPr>
              <w:rFonts w:ascii="Arial" w:hAnsi="Arial" w:cs="Arial" w:eastAsiaTheme="minorEastAsia"/>
              <w:b/>
              <w:bCs/>
              <w:sz w:val="24"/>
              <w:szCs w:val="28"/>
            </w:rPr>
            <w:tab/>
          </w:r>
          <w:r>
            <w:rPr>
              <w:rStyle w:val="25"/>
              <w:rFonts w:ascii="Arial" w:hAnsi="Arial" w:cs="Arial"/>
              <w:b/>
              <w:bCs/>
              <w:sz w:val="24"/>
              <w:szCs w:val="28"/>
            </w:rPr>
            <w:t>Introduction</w:t>
          </w:r>
          <w:r>
            <w:rPr>
              <w:rFonts w:ascii="Arial" w:hAnsi="Arial" w:cs="Arial"/>
              <w:b/>
              <w:bCs/>
              <w:sz w:val="24"/>
              <w:szCs w:val="28"/>
            </w:rPr>
            <w:tab/>
          </w:r>
          <w:r>
            <w:rPr>
              <w:rFonts w:ascii="Arial" w:hAnsi="Arial" w:cs="Arial"/>
              <w:b/>
              <w:bCs/>
              <w:sz w:val="24"/>
              <w:szCs w:val="28"/>
            </w:rPr>
            <w:fldChar w:fldCharType="begin"/>
          </w:r>
          <w:r>
            <w:rPr>
              <w:rFonts w:ascii="Arial" w:hAnsi="Arial" w:cs="Arial"/>
              <w:b/>
              <w:bCs/>
              <w:sz w:val="24"/>
              <w:szCs w:val="28"/>
            </w:rPr>
            <w:instrText xml:space="preserve"> PAGEREF _Toc103303758 \h </w:instrText>
          </w:r>
          <w:r>
            <w:rPr>
              <w:rFonts w:ascii="Arial" w:hAnsi="Arial" w:cs="Arial"/>
              <w:b/>
              <w:bCs/>
              <w:sz w:val="24"/>
              <w:szCs w:val="28"/>
            </w:rPr>
            <w:fldChar w:fldCharType="separate"/>
          </w:r>
          <w:r>
            <w:rPr>
              <w:rFonts w:ascii="Arial" w:hAnsi="Arial" w:cs="Arial"/>
              <w:b/>
              <w:bCs/>
              <w:sz w:val="24"/>
              <w:szCs w:val="28"/>
            </w:rPr>
            <w:t>1</w:t>
          </w:r>
          <w:r>
            <w:rPr>
              <w:rFonts w:ascii="Arial" w:hAnsi="Arial" w:cs="Arial"/>
              <w:b/>
              <w:bCs/>
              <w:sz w:val="24"/>
              <w:szCs w:val="28"/>
            </w:rPr>
            <w:fldChar w:fldCharType="end"/>
          </w:r>
          <w:r>
            <w:rPr>
              <w:rFonts w:ascii="Arial" w:hAnsi="Arial" w:cs="Arial"/>
              <w:b/>
              <w:bCs/>
              <w:sz w:val="24"/>
              <w:szCs w:val="28"/>
            </w:rPr>
            <w:fldChar w:fldCharType="end"/>
          </w:r>
        </w:p>
        <w:p>
          <w:pPr>
            <w:pStyle w:val="11"/>
            <w:tabs>
              <w:tab w:val="left" w:pos="420"/>
              <w:tab w:val="right" w:leader="dot" w:pos="9402"/>
            </w:tabs>
            <w:spacing w:line="360" w:lineRule="auto"/>
            <w:rPr>
              <w:rFonts w:ascii="Arial" w:hAnsi="Arial" w:cs="Arial" w:eastAsiaTheme="minorEastAsia"/>
              <w:b/>
              <w:bCs/>
              <w:sz w:val="24"/>
              <w:szCs w:val="28"/>
            </w:rPr>
          </w:pPr>
          <w:r>
            <w:fldChar w:fldCharType="begin"/>
          </w:r>
          <w:r>
            <w:instrText xml:space="preserve"> HYPERLINK \l "_Toc103303759" </w:instrText>
          </w:r>
          <w:r>
            <w:fldChar w:fldCharType="separate"/>
          </w:r>
          <w:r>
            <w:rPr>
              <w:rStyle w:val="25"/>
              <w:rFonts w:ascii="Arial" w:hAnsi="Arial" w:cs="Arial"/>
              <w:b/>
              <w:bCs/>
              <w:sz w:val="24"/>
              <w:szCs w:val="28"/>
            </w:rPr>
            <w:t>2.</w:t>
          </w:r>
          <w:r>
            <w:rPr>
              <w:rFonts w:ascii="Arial" w:hAnsi="Arial" w:cs="Arial" w:eastAsiaTheme="minorEastAsia"/>
              <w:b/>
              <w:bCs/>
              <w:sz w:val="24"/>
              <w:szCs w:val="28"/>
            </w:rPr>
            <w:tab/>
          </w:r>
          <w:r>
            <w:rPr>
              <w:rStyle w:val="25"/>
              <w:rFonts w:ascii="Arial" w:hAnsi="Arial" w:cs="Arial"/>
              <w:b/>
              <w:bCs/>
              <w:sz w:val="24"/>
              <w:szCs w:val="28"/>
            </w:rPr>
            <w:t>Literature review</w:t>
          </w:r>
          <w:r>
            <w:rPr>
              <w:rFonts w:ascii="Arial" w:hAnsi="Arial" w:cs="Arial"/>
              <w:b/>
              <w:bCs/>
              <w:sz w:val="24"/>
              <w:szCs w:val="28"/>
            </w:rPr>
            <w:tab/>
          </w:r>
          <w:r>
            <w:rPr>
              <w:rFonts w:ascii="Arial" w:hAnsi="Arial" w:cs="Arial"/>
              <w:b/>
              <w:bCs/>
              <w:sz w:val="24"/>
              <w:szCs w:val="28"/>
            </w:rPr>
            <w:fldChar w:fldCharType="begin"/>
          </w:r>
          <w:r>
            <w:rPr>
              <w:rFonts w:ascii="Arial" w:hAnsi="Arial" w:cs="Arial"/>
              <w:b/>
              <w:bCs/>
              <w:sz w:val="24"/>
              <w:szCs w:val="28"/>
            </w:rPr>
            <w:instrText xml:space="preserve"> PAGEREF _Toc103303759 \h </w:instrText>
          </w:r>
          <w:r>
            <w:rPr>
              <w:rFonts w:ascii="Arial" w:hAnsi="Arial" w:cs="Arial"/>
              <w:b/>
              <w:bCs/>
              <w:sz w:val="24"/>
              <w:szCs w:val="28"/>
            </w:rPr>
            <w:fldChar w:fldCharType="separate"/>
          </w:r>
          <w:r>
            <w:rPr>
              <w:rFonts w:ascii="Arial" w:hAnsi="Arial" w:cs="Arial"/>
              <w:b/>
              <w:bCs/>
              <w:sz w:val="24"/>
              <w:szCs w:val="28"/>
            </w:rPr>
            <w:t>3</w:t>
          </w:r>
          <w:r>
            <w:rPr>
              <w:rFonts w:ascii="Arial" w:hAnsi="Arial" w:cs="Arial"/>
              <w:b/>
              <w:bCs/>
              <w:sz w:val="24"/>
              <w:szCs w:val="28"/>
            </w:rPr>
            <w:fldChar w:fldCharType="end"/>
          </w:r>
          <w:r>
            <w:rPr>
              <w:rFonts w:ascii="Arial" w:hAnsi="Arial" w:cs="Arial"/>
              <w:b/>
              <w:bCs/>
              <w:sz w:val="24"/>
              <w:szCs w:val="28"/>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"_Toc103303760" </w:instrText>
          </w:r>
          <w:r>
            <w:fldChar w:fldCharType="separate"/>
          </w:r>
          <w:r>
            <w:rPr>
              <w:rStyle w:val="25"/>
              <w:rFonts w:ascii="Arial" w:hAnsi="Arial" w:cs="Arial"/>
            </w:rPr>
            <w:t>2.1.</w:t>
          </w:r>
          <w:r>
            <w:rPr>
              <w:rFonts w:ascii="Arial" w:hAnsi="Arial" w:cs="Arial" w:eastAsiaTheme="minorEastAsia"/>
            </w:rPr>
            <w:tab/>
          </w:r>
          <w:r>
            <w:rPr>
              <w:rStyle w:val="25"/>
              <w:rFonts w:ascii="Arial" w:hAnsi="Arial" w:cs="Arial"/>
            </w:rPr>
            <w:t>The perspective of communication science</w:t>
          </w:r>
          <w:r>
            <w:rPr>
              <w:rFonts w:ascii="Arial" w:hAnsi="Arial" w:cs="Arial"/>
            </w:rPr>
            <w:tab/>
          </w:r>
          <w:r>
            <w:rPr>
              <w:rFonts w:ascii="Arial" w:hAnsi="Arial" w:cs="Arial"/>
            </w:rPr>
            <w:fldChar w:fldCharType="begin"/>
          </w:r>
          <w:r>
            <w:rPr>
              <w:rFonts w:ascii="Arial" w:hAnsi="Arial" w:cs="Arial"/>
            </w:rPr>
            <w:instrText xml:space="preserve"> PAGEREF _Toc103303760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"_Toc103303761" </w:instrText>
          </w:r>
          <w:r>
            <w:fldChar w:fldCharType="separate"/>
          </w:r>
          <w:r>
            <w:rPr>
              <w:rStyle w:val="25"/>
              <w:rFonts w:ascii="Arial" w:hAnsi="Arial" w:cs="Arial"/>
            </w:rPr>
            <w:t>2.2.</w:t>
          </w:r>
          <w:r>
            <w:rPr>
              <w:rFonts w:ascii="Arial" w:hAnsi="Arial" w:cs="Arial" w:eastAsiaTheme="minorEastAsia"/>
            </w:rPr>
            <w:tab/>
          </w:r>
          <w:r>
            <w:rPr>
              <w:rStyle w:val="25"/>
              <w:rFonts w:ascii="Arial" w:hAnsi="Arial" w:cs="Arial"/>
            </w:rPr>
            <w:t>The perspective of audience psychology</w:t>
          </w:r>
          <w:r>
            <w:rPr>
              <w:rFonts w:ascii="Arial" w:hAnsi="Arial" w:cs="Arial"/>
            </w:rPr>
            <w:tab/>
          </w:r>
          <w:r>
            <w:rPr>
              <w:rFonts w:ascii="Arial" w:hAnsi="Arial" w:cs="Arial"/>
            </w:rPr>
            <w:fldChar w:fldCharType="begin"/>
          </w:r>
          <w:r>
            <w:rPr>
              <w:rFonts w:ascii="Arial" w:hAnsi="Arial" w:cs="Arial"/>
            </w:rPr>
            <w:instrText xml:space="preserve"> PAGEREF _Toc103303761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"_Toc103303762" </w:instrText>
          </w:r>
          <w:r>
            <w:fldChar w:fldCharType="separate"/>
          </w:r>
          <w:r>
            <w:rPr>
              <w:rStyle w:val="25"/>
              <w:rFonts w:ascii="Arial" w:hAnsi="Arial" w:cs="Arial"/>
            </w:rPr>
            <w:t>2.3.</w:t>
          </w:r>
          <w:r>
            <w:rPr>
              <w:rFonts w:ascii="Arial" w:hAnsi="Arial" w:cs="Arial" w:eastAsiaTheme="minorEastAsia"/>
            </w:rPr>
            <w:tab/>
          </w:r>
          <w:r>
            <w:rPr>
              <w:rStyle w:val="25"/>
              <w:rFonts w:ascii="Arial" w:hAnsi="Arial" w:cs="Arial"/>
            </w:rPr>
            <w:t>The perspective of media integration</w:t>
          </w:r>
          <w:r>
            <w:rPr>
              <w:rFonts w:ascii="Arial" w:hAnsi="Arial" w:cs="Arial"/>
            </w:rPr>
            <w:tab/>
          </w:r>
          <w:r>
            <w:rPr>
              <w:rFonts w:ascii="Arial" w:hAnsi="Arial" w:cs="Arial"/>
            </w:rPr>
            <w:fldChar w:fldCharType="begin"/>
          </w:r>
          <w:r>
            <w:rPr>
              <w:rFonts w:ascii="Arial" w:hAnsi="Arial" w:cs="Arial"/>
            </w:rPr>
            <w:instrText xml:space="preserve"> PAGEREF _Toc103303762 \h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fldChar w:fldCharType="end"/>
          </w:r>
        </w:p>
        <w:p>
          <w:pPr>
            <w:pStyle w:val="11"/>
            <w:tabs>
              <w:tab w:val="left" w:pos="420"/>
              <w:tab w:val="right" w:leader="dot" w:pos="9402"/>
            </w:tabs>
            <w:spacing w:line="360" w:lineRule="auto"/>
            <w:rPr>
              <w:rFonts w:ascii="Arial" w:hAnsi="Arial" w:cs="Arial" w:eastAsiaTheme="minorEastAsia"/>
              <w:b/>
              <w:bCs/>
              <w:sz w:val="24"/>
              <w:szCs w:val="28"/>
            </w:rPr>
          </w:pPr>
          <w:r>
            <w:fldChar w:fldCharType="begin"/>
          </w:r>
          <w:r>
            <w:instrText xml:space="preserve"> HYPERLINK \l "_Toc103303763" </w:instrText>
          </w:r>
          <w:r>
            <w:fldChar w:fldCharType="separate"/>
          </w:r>
          <w:r>
            <w:rPr>
              <w:rStyle w:val="25"/>
              <w:rFonts w:ascii="Arial" w:hAnsi="Arial" w:cs="Arial"/>
              <w:b/>
              <w:bCs/>
              <w:sz w:val="24"/>
              <w:szCs w:val="28"/>
            </w:rPr>
            <w:t>3.</w:t>
          </w:r>
          <w:r>
            <w:rPr>
              <w:rFonts w:ascii="Arial" w:hAnsi="Arial" w:cs="Arial" w:eastAsiaTheme="minorEastAsia"/>
              <w:b/>
              <w:bCs/>
              <w:sz w:val="24"/>
              <w:szCs w:val="28"/>
            </w:rPr>
            <w:tab/>
          </w:r>
          <w:r>
            <w:rPr>
              <w:rStyle w:val="25"/>
              <w:rFonts w:ascii="Arial" w:hAnsi="Arial" w:cs="Arial"/>
              <w:b/>
              <w:bCs/>
              <w:sz w:val="24"/>
              <w:szCs w:val="28"/>
            </w:rPr>
            <w:t>Research method</w:t>
          </w:r>
          <w:r>
            <w:rPr>
              <w:rFonts w:ascii="Arial" w:hAnsi="Arial" w:cs="Arial"/>
              <w:b/>
              <w:bCs/>
              <w:sz w:val="24"/>
              <w:szCs w:val="28"/>
            </w:rPr>
            <w:tab/>
          </w:r>
          <w:r>
            <w:rPr>
              <w:rFonts w:ascii="Arial" w:hAnsi="Arial" w:cs="Arial"/>
              <w:b/>
              <w:bCs/>
              <w:sz w:val="24"/>
              <w:szCs w:val="28"/>
            </w:rPr>
            <w:fldChar w:fldCharType="begin"/>
          </w:r>
          <w:r>
            <w:rPr>
              <w:rFonts w:ascii="Arial" w:hAnsi="Arial" w:cs="Arial"/>
              <w:b/>
              <w:bCs/>
              <w:sz w:val="24"/>
              <w:szCs w:val="28"/>
            </w:rPr>
            <w:instrText xml:space="preserve"> PAGEREF _Toc103303763 \h </w:instrText>
          </w:r>
          <w:r>
            <w:rPr>
              <w:rFonts w:ascii="Arial" w:hAnsi="Arial" w:cs="Arial"/>
              <w:b/>
              <w:bCs/>
              <w:sz w:val="24"/>
              <w:szCs w:val="28"/>
            </w:rPr>
            <w:fldChar w:fldCharType="separate"/>
          </w:r>
          <w:r>
            <w:rPr>
              <w:rFonts w:ascii="Arial" w:hAnsi="Arial" w:cs="Arial"/>
              <w:b/>
              <w:bCs/>
              <w:sz w:val="24"/>
              <w:szCs w:val="28"/>
            </w:rPr>
            <w:t>6</w:t>
          </w:r>
          <w:r>
            <w:rPr>
              <w:rFonts w:ascii="Arial" w:hAnsi="Arial" w:cs="Arial"/>
              <w:b/>
              <w:bCs/>
              <w:sz w:val="24"/>
              <w:szCs w:val="28"/>
            </w:rPr>
            <w:fldChar w:fldCharType="end"/>
          </w:r>
          <w:r>
            <w:rPr>
              <w:rFonts w:ascii="Arial" w:hAnsi="Arial" w:cs="Arial"/>
              <w:b/>
              <w:bCs/>
              <w:sz w:val="24"/>
              <w:szCs w:val="28"/>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"_Toc103303764" </w:instrText>
          </w:r>
          <w:r>
            <w:fldChar w:fldCharType="separate"/>
          </w:r>
          <w:r>
            <w:rPr>
              <w:rStyle w:val="25"/>
              <w:rFonts w:ascii="Arial" w:hAnsi="Arial" w:cs="Arial"/>
            </w:rPr>
            <w:t>3.1.</w:t>
          </w:r>
          <w:r>
            <w:rPr>
              <w:rFonts w:ascii="Arial" w:hAnsi="Arial" w:cs="Arial" w:eastAsiaTheme="minorEastAsia"/>
            </w:rPr>
            <w:tab/>
          </w:r>
          <w:r>
            <w:rPr>
              <w:rStyle w:val="25"/>
              <w:rFonts w:ascii="Arial" w:hAnsi="Arial" w:cs="Arial"/>
            </w:rPr>
            <w:t>Research philosophy</w:t>
          </w:r>
          <w:r>
            <w:rPr>
              <w:rFonts w:ascii="Arial" w:hAnsi="Arial" w:cs="Arial"/>
            </w:rPr>
            <w:tab/>
          </w:r>
          <w:r>
            <w:rPr>
              <w:rFonts w:ascii="Arial" w:hAnsi="Arial" w:cs="Arial"/>
            </w:rPr>
            <w:fldChar w:fldCharType="begin"/>
          </w:r>
          <w:r>
            <w:rPr>
              <w:rFonts w:ascii="Arial" w:hAnsi="Arial" w:cs="Arial"/>
            </w:rPr>
            <w:instrText xml:space="preserve"> PAGEREF _Toc103303764 \h </w:instrText>
          </w:r>
          <w:r>
            <w:rPr>
              <w:rFonts w:ascii="Arial" w:hAnsi="Arial" w:cs="Arial"/>
            </w:rPr>
            <w:fldChar w:fldCharType="separate"/>
          </w:r>
          <w:r>
            <w:rPr>
              <w:rFonts w:ascii="Arial" w:hAnsi="Arial" w:cs="Arial"/>
            </w:rPr>
            <w:t>6</w:t>
          </w:r>
          <w:r>
            <w:rPr>
              <w:rFonts w:ascii="Arial" w:hAnsi="Arial" w:cs="Arial"/>
            </w:rPr>
            <w:fldChar w:fldCharType="end"/>
          </w:r>
          <w:r>
            <w:rPr>
              <w:rFonts w:ascii="Arial" w:hAnsi="Arial" w:cs="Arial"/>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"_Toc103303765" </w:instrText>
          </w:r>
          <w:r>
            <w:fldChar w:fldCharType="separate"/>
          </w:r>
          <w:r>
            <w:rPr>
              <w:rStyle w:val="25"/>
              <w:rFonts w:ascii="Arial" w:hAnsi="Arial" w:cs="Arial"/>
            </w:rPr>
            <w:t>3.2.</w:t>
          </w:r>
          <w:r>
            <w:rPr>
              <w:rFonts w:ascii="Arial" w:hAnsi="Arial" w:cs="Arial" w:eastAsiaTheme="minorEastAsia"/>
            </w:rPr>
            <w:tab/>
          </w:r>
          <w:r>
            <w:rPr>
              <w:rStyle w:val="25"/>
              <w:rFonts w:ascii="Arial" w:hAnsi="Arial" w:cs="Arial"/>
            </w:rPr>
            <w:t>Research approach</w:t>
          </w:r>
          <w:r>
            <w:rPr>
              <w:rFonts w:ascii="Arial" w:hAnsi="Arial" w:cs="Arial"/>
            </w:rPr>
            <w:tab/>
          </w:r>
          <w:r>
            <w:rPr>
              <w:rFonts w:ascii="Arial" w:hAnsi="Arial" w:cs="Arial"/>
            </w:rPr>
            <w:fldChar w:fldCharType="begin"/>
          </w:r>
          <w:r>
            <w:rPr>
              <w:rFonts w:ascii="Arial" w:hAnsi="Arial" w:cs="Arial"/>
            </w:rPr>
            <w:instrText xml:space="preserve"> PAGEREF _Toc103303765 \h </w:instrText>
          </w:r>
          <w:r>
            <w:rPr>
              <w:rFonts w:ascii="Arial" w:hAnsi="Arial" w:cs="Arial"/>
            </w:rPr>
            <w:fldChar w:fldCharType="separate"/>
          </w:r>
          <w:r>
            <w:rPr>
              <w:rFonts w:ascii="Arial" w:hAnsi="Arial" w:cs="Arial"/>
            </w:rPr>
            <w:t>6</w:t>
          </w:r>
          <w:r>
            <w:rPr>
              <w:rFonts w:ascii="Arial" w:hAnsi="Arial" w:cs="Arial"/>
            </w:rPr>
            <w:fldChar w:fldCharType="end"/>
          </w:r>
          <w:r>
            <w:rPr>
              <w:rFonts w:ascii="Arial" w:hAnsi="Arial" w:cs="Arial"/>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"_Toc103303766" </w:instrText>
          </w:r>
          <w:r>
            <w:fldChar w:fldCharType="separate"/>
          </w:r>
          <w:r>
            <w:rPr>
              <w:rStyle w:val="25"/>
              <w:rFonts w:ascii="Arial" w:hAnsi="Arial" w:cs="Arial"/>
            </w:rPr>
            <w:t>3.3.</w:t>
          </w:r>
          <w:r>
            <w:rPr>
              <w:rFonts w:ascii="Arial" w:hAnsi="Arial" w:cs="Arial" w:eastAsiaTheme="minorEastAsia"/>
            </w:rPr>
            <w:tab/>
          </w:r>
          <w:r>
            <w:rPr>
              <w:rStyle w:val="25"/>
              <w:rFonts w:ascii="Arial" w:hAnsi="Arial" w:cs="Arial"/>
            </w:rPr>
            <w:t>Research strategy</w:t>
          </w:r>
          <w:r>
            <w:rPr>
              <w:rFonts w:ascii="Arial" w:hAnsi="Arial" w:cs="Arial"/>
            </w:rPr>
            <w:tab/>
          </w:r>
          <w:r>
            <w:rPr>
              <w:rFonts w:ascii="Arial" w:hAnsi="Arial" w:cs="Arial"/>
            </w:rPr>
            <w:fldChar w:fldCharType="begin"/>
          </w:r>
          <w:r>
            <w:rPr>
              <w:rFonts w:ascii="Arial" w:hAnsi="Arial" w:cs="Arial"/>
            </w:rPr>
            <w:instrText xml:space="preserve"> PAGEREF _Toc103303766 \h </w:instrText>
          </w:r>
          <w:r>
            <w:rPr>
              <w:rFonts w:ascii="Arial" w:hAnsi="Arial" w:cs="Arial"/>
            </w:rPr>
            <w:fldChar w:fldCharType="separate"/>
          </w:r>
          <w:r>
            <w:rPr>
              <w:rFonts w:ascii="Arial" w:hAnsi="Arial" w:cs="Arial"/>
            </w:rPr>
            <w:t>6</w:t>
          </w:r>
          <w:r>
            <w:rPr>
              <w:rFonts w:ascii="Arial" w:hAnsi="Arial" w:cs="Arial"/>
            </w:rPr>
            <w:fldChar w:fldCharType="end"/>
          </w:r>
          <w:r>
            <w:rPr>
              <w:rFonts w:ascii="Arial" w:hAnsi="Arial" w:cs="Arial"/>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"_Toc103303767" </w:instrText>
          </w:r>
          <w:r>
            <w:fldChar w:fldCharType="separate"/>
          </w:r>
          <w:r>
            <w:rPr>
              <w:rStyle w:val="25"/>
              <w:rFonts w:ascii="Arial" w:hAnsi="Arial" w:cs="Arial"/>
            </w:rPr>
            <w:t>3.4.</w:t>
          </w:r>
          <w:r>
            <w:rPr>
              <w:rFonts w:ascii="Arial" w:hAnsi="Arial" w:cs="Arial" w:eastAsiaTheme="minorEastAsia"/>
            </w:rPr>
            <w:tab/>
          </w:r>
          <w:r>
            <w:rPr>
              <w:rStyle w:val="25"/>
              <w:rFonts w:ascii="Arial" w:hAnsi="Arial" w:cs="Arial"/>
            </w:rPr>
            <w:t>Research techniques</w:t>
          </w:r>
          <w:r>
            <w:rPr>
              <w:rFonts w:ascii="Arial" w:hAnsi="Arial" w:cs="Arial"/>
            </w:rPr>
            <w:tab/>
          </w:r>
          <w:r>
            <w:rPr>
              <w:rFonts w:ascii="Arial" w:hAnsi="Arial" w:cs="Arial"/>
            </w:rPr>
            <w:fldChar w:fldCharType="begin"/>
          </w:r>
          <w:r>
            <w:rPr>
              <w:rFonts w:ascii="Arial" w:hAnsi="Arial" w:cs="Arial"/>
            </w:rPr>
            <w:instrText xml:space="preserve"> PAGEREF _Toc103303767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pStyle w:val="7"/>
            <w:tabs>
              <w:tab w:val="left" w:pos="1680"/>
              <w:tab w:val="right" w:leader="dot" w:pos="9402"/>
            </w:tabs>
            <w:spacing w:line="360" w:lineRule="auto"/>
            <w:rPr>
              <w:rFonts w:ascii="Arial" w:hAnsi="Arial" w:cs="Arial" w:eastAsiaTheme="minorEastAsia"/>
            </w:rPr>
          </w:pPr>
          <w:r>
            <w:fldChar w:fldCharType="begin"/>
          </w:r>
          <w:r>
            <w:instrText xml:space="preserve"> HYPERLINK \l "_Toc103303768" </w:instrText>
          </w:r>
          <w:r>
            <w:fldChar w:fldCharType="separate"/>
          </w:r>
          <w:r>
            <w:rPr>
              <w:rStyle w:val="25"/>
              <w:rFonts w:ascii="Arial" w:hAnsi="Arial" w:cs="Arial"/>
            </w:rPr>
            <w:t>3.4.1.</w:t>
          </w:r>
          <w:r>
            <w:rPr>
              <w:rFonts w:ascii="Arial" w:hAnsi="Arial" w:cs="Arial" w:eastAsiaTheme="minorEastAsia"/>
            </w:rPr>
            <w:tab/>
          </w:r>
          <w:r>
            <w:rPr>
              <w:rStyle w:val="25"/>
              <w:rFonts w:ascii="Arial" w:hAnsi="Arial" w:cs="Arial"/>
            </w:rPr>
            <w:t>Questionnaire</w:t>
          </w:r>
          <w:r>
            <w:rPr>
              <w:rFonts w:ascii="Arial" w:hAnsi="Arial" w:cs="Arial"/>
            </w:rPr>
            <w:tab/>
          </w:r>
          <w:r>
            <w:rPr>
              <w:rFonts w:ascii="Arial" w:hAnsi="Arial" w:cs="Arial"/>
            </w:rPr>
            <w:fldChar w:fldCharType="begin"/>
          </w:r>
          <w:r>
            <w:rPr>
              <w:rFonts w:ascii="Arial" w:hAnsi="Arial" w:cs="Arial"/>
            </w:rPr>
            <w:instrText xml:space="preserve"> PAGEREF _Toc103303768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pStyle w:val="7"/>
            <w:tabs>
              <w:tab w:val="left" w:pos="1680"/>
              <w:tab w:val="right" w:leader="dot" w:pos="9402"/>
            </w:tabs>
            <w:spacing w:line="360" w:lineRule="auto"/>
            <w:rPr>
              <w:rFonts w:ascii="Arial" w:hAnsi="Arial" w:cs="Arial" w:eastAsiaTheme="minorEastAsia"/>
            </w:rPr>
          </w:pPr>
          <w:r>
            <w:fldChar w:fldCharType="begin"/>
          </w:r>
          <w:r>
            <w:instrText xml:space="preserve"> HYPERLINK \l "_Toc103303769" </w:instrText>
          </w:r>
          <w:r>
            <w:fldChar w:fldCharType="separate"/>
          </w:r>
          <w:r>
            <w:rPr>
              <w:rStyle w:val="25"/>
              <w:rFonts w:ascii="Arial" w:hAnsi="Arial" w:cs="Arial"/>
            </w:rPr>
            <w:t>3.4.2.</w:t>
          </w:r>
          <w:r>
            <w:rPr>
              <w:rFonts w:ascii="Arial" w:hAnsi="Arial" w:cs="Arial" w:eastAsiaTheme="minorEastAsia"/>
            </w:rPr>
            <w:tab/>
          </w:r>
          <w:r>
            <w:rPr>
              <w:rStyle w:val="25"/>
              <w:rFonts w:ascii="Arial" w:hAnsi="Arial" w:cs="Arial"/>
            </w:rPr>
            <w:t>Survey targets</w:t>
          </w:r>
          <w:r>
            <w:rPr>
              <w:rFonts w:ascii="Arial" w:hAnsi="Arial" w:cs="Arial"/>
            </w:rPr>
            <w:tab/>
          </w:r>
          <w:r>
            <w:rPr>
              <w:rFonts w:ascii="Arial" w:hAnsi="Arial" w:cs="Arial"/>
            </w:rPr>
            <w:fldChar w:fldCharType="begin"/>
          </w:r>
          <w:r>
            <w:rPr>
              <w:rFonts w:ascii="Arial" w:hAnsi="Arial" w:cs="Arial"/>
            </w:rPr>
            <w:instrText xml:space="preserve"> PAGEREF _Toc103303769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pStyle w:val="11"/>
            <w:tabs>
              <w:tab w:val="left" w:pos="420"/>
              <w:tab w:val="right" w:leader="dot" w:pos="9402"/>
            </w:tabs>
            <w:spacing w:line="360" w:lineRule="auto"/>
            <w:rPr>
              <w:rFonts w:ascii="Arial" w:hAnsi="Arial" w:cs="Arial" w:eastAsiaTheme="minorEastAsia"/>
              <w:b/>
              <w:bCs/>
              <w:sz w:val="24"/>
              <w:szCs w:val="28"/>
            </w:rPr>
          </w:pPr>
          <w:r>
            <w:fldChar w:fldCharType="begin"/>
          </w:r>
          <w:r>
            <w:instrText xml:space="preserve"> HYPERLINK \l "_Toc103303770" </w:instrText>
          </w:r>
          <w:r>
            <w:fldChar w:fldCharType="separate"/>
          </w:r>
          <w:r>
            <w:rPr>
              <w:rStyle w:val="25"/>
              <w:rFonts w:ascii="Arial" w:hAnsi="Arial" w:cs="Arial"/>
              <w:b/>
              <w:bCs/>
              <w:sz w:val="24"/>
              <w:szCs w:val="28"/>
            </w:rPr>
            <w:t>4.</w:t>
          </w:r>
          <w:r>
            <w:rPr>
              <w:rFonts w:ascii="Arial" w:hAnsi="Arial" w:cs="Arial" w:eastAsiaTheme="minorEastAsia"/>
              <w:b/>
              <w:bCs/>
              <w:sz w:val="24"/>
              <w:szCs w:val="28"/>
            </w:rPr>
            <w:tab/>
          </w:r>
          <w:r>
            <w:rPr>
              <w:rStyle w:val="25"/>
              <w:rFonts w:ascii="Arial" w:hAnsi="Arial" w:cs="Arial"/>
              <w:b/>
              <w:bCs/>
              <w:sz w:val="24"/>
              <w:szCs w:val="28"/>
            </w:rPr>
            <w:t>TV entertainment program official Weibo communication strategy adopted by Hunan Television</w:t>
          </w:r>
          <w:r>
            <w:rPr>
              <w:rFonts w:ascii="Arial" w:hAnsi="Arial" w:cs="Arial"/>
              <w:b/>
              <w:bCs/>
              <w:sz w:val="24"/>
              <w:szCs w:val="28"/>
            </w:rPr>
            <w:tab/>
          </w:r>
          <w:r>
            <w:rPr>
              <w:rFonts w:ascii="Arial" w:hAnsi="Arial" w:cs="Arial"/>
              <w:b/>
              <w:bCs/>
              <w:sz w:val="24"/>
              <w:szCs w:val="28"/>
            </w:rPr>
            <w:fldChar w:fldCharType="begin"/>
          </w:r>
          <w:r>
            <w:rPr>
              <w:rFonts w:ascii="Arial" w:hAnsi="Arial" w:cs="Arial"/>
              <w:b/>
              <w:bCs/>
              <w:sz w:val="24"/>
              <w:szCs w:val="28"/>
            </w:rPr>
            <w:instrText xml:space="preserve"> PAGEREF _Toc103303770 \h </w:instrText>
          </w:r>
          <w:r>
            <w:rPr>
              <w:rFonts w:ascii="Arial" w:hAnsi="Arial" w:cs="Arial"/>
              <w:b/>
              <w:bCs/>
              <w:sz w:val="24"/>
              <w:szCs w:val="28"/>
            </w:rPr>
            <w:fldChar w:fldCharType="separate"/>
          </w:r>
          <w:r>
            <w:rPr>
              <w:rFonts w:ascii="Arial" w:hAnsi="Arial" w:cs="Arial"/>
              <w:b/>
              <w:bCs/>
              <w:sz w:val="24"/>
              <w:szCs w:val="28"/>
            </w:rPr>
            <w:t>8</w:t>
          </w:r>
          <w:r>
            <w:rPr>
              <w:rFonts w:ascii="Arial" w:hAnsi="Arial" w:cs="Arial"/>
              <w:b/>
              <w:bCs/>
              <w:sz w:val="24"/>
              <w:szCs w:val="28"/>
            </w:rPr>
            <w:fldChar w:fldCharType="end"/>
          </w:r>
          <w:r>
            <w:rPr>
              <w:rFonts w:ascii="Arial" w:hAnsi="Arial" w:cs="Arial"/>
              <w:b/>
              <w:bCs/>
              <w:sz w:val="24"/>
              <w:szCs w:val="28"/>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"_Toc103303771" </w:instrText>
          </w:r>
          <w:r>
            <w:fldChar w:fldCharType="separate"/>
          </w:r>
          <w:r>
            <w:rPr>
              <w:rStyle w:val="25"/>
              <w:rFonts w:ascii="Arial" w:hAnsi="Arial" w:cs="Arial"/>
            </w:rPr>
            <w:t>4.1.</w:t>
          </w:r>
          <w:r>
            <w:rPr>
              <w:rFonts w:ascii="Arial" w:hAnsi="Arial" w:cs="Arial" w:eastAsiaTheme="minorEastAsia"/>
            </w:rPr>
            <w:tab/>
          </w:r>
          <w:r>
            <w:rPr>
              <w:rStyle w:val="25"/>
              <w:rFonts w:ascii="Arial" w:hAnsi="Arial" w:cs="Arial"/>
            </w:rPr>
            <w:t>New media dissemination of TV entertainment</w:t>
          </w:r>
          <w:r>
            <w:rPr>
              <w:rFonts w:ascii="Arial" w:hAnsi="Arial" w:cs="Arial"/>
            </w:rPr>
            <w:tab/>
          </w:r>
          <w:r>
            <w:rPr>
              <w:rFonts w:ascii="Arial" w:hAnsi="Arial" w:cs="Arial"/>
            </w:rPr>
            <w:fldChar w:fldCharType="begin"/>
          </w:r>
          <w:r>
            <w:rPr>
              <w:rFonts w:ascii="Arial" w:hAnsi="Arial" w:cs="Arial"/>
            </w:rPr>
            <w:instrText xml:space="preserve"> PAGEREF _Toc103303771 \h </w:instrText>
          </w:r>
          <w:r>
            <w:rPr>
              <w:rFonts w:ascii="Arial" w:hAnsi="Arial" w:cs="Arial"/>
            </w:rPr>
            <w:fldChar w:fldCharType="separate"/>
          </w:r>
          <w:r>
            <w:rPr>
              <w:rFonts w:ascii="Arial" w:hAnsi="Arial" w:cs="Arial"/>
            </w:rPr>
            <w:t>8</w:t>
          </w:r>
          <w:r>
            <w:rPr>
              <w:rFonts w:ascii="Arial" w:hAnsi="Arial" w:cs="Arial"/>
            </w:rPr>
            <w:fldChar w:fldCharType="end"/>
          </w:r>
          <w:r>
            <w:rPr>
              <w:rFonts w:ascii="Arial" w:hAnsi="Arial" w:cs="Arial"/>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"_Toc103303772" </w:instrText>
          </w:r>
          <w:r>
            <w:fldChar w:fldCharType="separate"/>
          </w:r>
          <w:r>
            <w:rPr>
              <w:rStyle w:val="25"/>
              <w:rFonts w:ascii="Arial" w:hAnsi="Arial" w:cs="Arial"/>
            </w:rPr>
            <w:t>4.2.</w:t>
          </w:r>
          <w:r>
            <w:rPr>
              <w:rFonts w:ascii="Arial" w:hAnsi="Arial" w:cs="Arial" w:eastAsiaTheme="minorEastAsia"/>
            </w:rPr>
            <w:tab/>
          </w:r>
          <w:r>
            <w:rPr>
              <w:rStyle w:val="25"/>
              <w:rFonts w:ascii="Arial" w:hAnsi="Arial" w:cs="Arial"/>
            </w:rPr>
            <w:t>Multi-level propagation from top to bottom</w:t>
          </w:r>
          <w:r>
            <w:rPr>
              <w:rFonts w:ascii="Arial" w:hAnsi="Arial" w:cs="Arial"/>
            </w:rPr>
            <w:tab/>
          </w:r>
          <w:r>
            <w:rPr>
              <w:rFonts w:ascii="Arial" w:hAnsi="Arial" w:cs="Arial"/>
            </w:rPr>
            <w:fldChar w:fldCharType="begin"/>
          </w:r>
          <w:r>
            <w:rPr>
              <w:rFonts w:ascii="Arial" w:hAnsi="Arial" w:cs="Arial"/>
            </w:rPr>
            <w:instrText xml:space="preserve"> PAGEREF _Toc103303772 \h </w:instrText>
          </w:r>
          <w:r>
            <w:rPr>
              <w:rFonts w:ascii="Arial" w:hAnsi="Arial" w:cs="Arial"/>
            </w:rPr>
            <w:fldChar w:fldCharType="separate"/>
          </w:r>
          <w:r>
            <w:rPr>
              <w:rFonts w:ascii="Arial" w:hAnsi="Arial" w:cs="Arial"/>
            </w:rPr>
            <w:t>9</w:t>
          </w:r>
          <w:r>
            <w:rPr>
              <w:rFonts w:ascii="Arial" w:hAnsi="Arial" w:cs="Arial"/>
            </w:rPr>
            <w:fldChar w:fldCharType="end"/>
          </w:r>
          <w:r>
            <w:rPr>
              <w:rFonts w:ascii="Arial" w:hAnsi="Arial" w:cs="Arial"/>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"_Toc103303773" </w:instrText>
          </w:r>
          <w:r>
            <w:fldChar w:fldCharType="separate"/>
          </w:r>
          <w:r>
            <w:rPr>
              <w:rStyle w:val="25"/>
              <w:rFonts w:ascii="Arial" w:hAnsi="Arial" w:cs="Arial"/>
            </w:rPr>
            <w:t>4.3.</w:t>
          </w:r>
          <w:r>
            <w:rPr>
              <w:rFonts w:ascii="Arial" w:hAnsi="Arial" w:cs="Arial" w:eastAsiaTheme="minorEastAsia"/>
            </w:rPr>
            <w:tab/>
          </w:r>
          <w:r>
            <w:rPr>
              <w:rStyle w:val="25"/>
              <w:rFonts w:ascii="Arial" w:hAnsi="Arial" w:cs="Arial"/>
            </w:rPr>
            <w:t>Cross-media communication</w:t>
          </w:r>
          <w:r>
            <w:rPr>
              <w:rFonts w:ascii="Arial" w:hAnsi="Arial" w:cs="Arial"/>
            </w:rPr>
            <w:tab/>
          </w:r>
          <w:r>
            <w:rPr>
              <w:rFonts w:ascii="Arial" w:hAnsi="Arial" w:cs="Arial"/>
            </w:rPr>
            <w:fldChar w:fldCharType="begin"/>
          </w:r>
          <w:r>
            <w:rPr>
              <w:rFonts w:ascii="Arial" w:hAnsi="Arial" w:cs="Arial"/>
            </w:rPr>
            <w:instrText xml:space="preserve"> PAGEREF _Toc103303773 \h </w:instrText>
          </w:r>
          <w:r>
            <w:rPr>
              <w:rFonts w:ascii="Arial" w:hAnsi="Arial" w:cs="Arial"/>
            </w:rPr>
            <w:fldChar w:fldCharType="separate"/>
          </w:r>
          <w:r>
            <w:rPr>
              <w:rFonts w:ascii="Arial" w:hAnsi="Arial" w:cs="Arial"/>
            </w:rPr>
            <w:t>9</w:t>
          </w:r>
          <w:r>
            <w:rPr>
              <w:rFonts w:ascii="Arial" w:hAnsi="Arial" w:cs="Arial"/>
            </w:rPr>
            <w:fldChar w:fldCharType="end"/>
          </w:r>
          <w:r>
            <w:rPr>
              <w:rFonts w:ascii="Arial" w:hAnsi="Arial" w:cs="Arial"/>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"_Toc103303774" </w:instrText>
          </w:r>
          <w:r>
            <w:fldChar w:fldCharType="separate"/>
          </w:r>
          <w:r>
            <w:rPr>
              <w:rStyle w:val="25"/>
              <w:rFonts w:ascii="Arial" w:hAnsi="Arial" w:cs="Arial"/>
            </w:rPr>
            <w:t>4.4.</w:t>
          </w:r>
          <w:r>
            <w:rPr>
              <w:rFonts w:ascii="Arial" w:hAnsi="Arial" w:cs="Arial" w:eastAsiaTheme="minorEastAsia"/>
            </w:rPr>
            <w:tab/>
          </w:r>
          <w:r>
            <w:rPr>
              <w:rStyle w:val="25"/>
              <w:rFonts w:ascii="Arial" w:hAnsi="Arial" w:cs="Arial"/>
            </w:rPr>
            <w:t>Topic making in-depth interaction</w:t>
          </w:r>
          <w:r>
            <w:rPr>
              <w:rFonts w:ascii="Arial" w:hAnsi="Arial" w:cs="Arial"/>
            </w:rPr>
            <w:tab/>
          </w:r>
          <w:r>
            <w:rPr>
              <w:rFonts w:ascii="Arial" w:hAnsi="Arial" w:cs="Arial"/>
            </w:rPr>
            <w:fldChar w:fldCharType="begin"/>
          </w:r>
          <w:r>
            <w:rPr>
              <w:rFonts w:ascii="Arial" w:hAnsi="Arial" w:cs="Arial"/>
            </w:rPr>
            <w:instrText xml:space="preserve"> PAGEREF _Toc103303774 \h </w:instrText>
          </w:r>
          <w:r>
            <w:rPr>
              <w:rFonts w:ascii="Arial" w:hAnsi="Arial" w:cs="Arial"/>
            </w:rPr>
            <w:fldChar w:fldCharType="separate"/>
          </w:r>
          <w:r>
            <w:rPr>
              <w:rFonts w:ascii="Arial" w:hAnsi="Arial" w:cs="Arial"/>
            </w:rPr>
            <w:t>10</w:t>
          </w:r>
          <w:r>
            <w:rPr>
              <w:rFonts w:ascii="Arial" w:hAnsi="Arial" w:cs="Arial"/>
            </w:rPr>
            <w:fldChar w:fldCharType="end"/>
          </w:r>
          <w:r>
            <w:rPr>
              <w:rFonts w:ascii="Arial" w:hAnsi="Arial" w:cs="Arial"/>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"_Toc103303775" </w:instrText>
          </w:r>
          <w:r>
            <w:fldChar w:fldCharType="separate"/>
          </w:r>
          <w:r>
            <w:rPr>
              <w:rStyle w:val="25"/>
              <w:rFonts w:ascii="Arial" w:hAnsi="Arial" w:cs="Arial"/>
            </w:rPr>
            <w:t>4.5.</w:t>
          </w:r>
          <w:r>
            <w:rPr>
              <w:rFonts w:ascii="Arial" w:hAnsi="Arial" w:cs="Arial" w:eastAsiaTheme="minorEastAsia"/>
            </w:rPr>
            <w:tab/>
          </w:r>
          <w:r>
            <w:rPr>
              <w:rStyle w:val="25"/>
              <w:rFonts w:ascii="Arial" w:hAnsi="Arial" w:cs="Arial"/>
            </w:rPr>
            <w:t>Build a variety of media frameworks to form a strong communication force</w:t>
          </w:r>
          <w:r>
            <w:rPr>
              <w:rFonts w:ascii="Arial" w:hAnsi="Arial" w:cs="Arial"/>
            </w:rPr>
            <w:tab/>
          </w:r>
          <w:r>
            <w:rPr>
              <w:rFonts w:ascii="Arial" w:hAnsi="Arial" w:cs="Arial"/>
            </w:rPr>
            <w:fldChar w:fldCharType="begin"/>
          </w:r>
          <w:r>
            <w:rPr>
              <w:rFonts w:ascii="Arial" w:hAnsi="Arial" w:cs="Arial"/>
            </w:rPr>
            <w:instrText xml:space="preserve"> PAGEREF _Toc103303775 \h </w:instrText>
          </w:r>
          <w:r>
            <w:rPr>
              <w:rFonts w:ascii="Arial" w:hAnsi="Arial" w:cs="Arial"/>
            </w:rPr>
            <w:fldChar w:fldCharType="separate"/>
          </w:r>
          <w:r>
            <w:rPr>
              <w:rFonts w:ascii="Arial" w:hAnsi="Arial" w:cs="Arial"/>
            </w:rPr>
            <w:t>11</w:t>
          </w:r>
          <w:r>
            <w:rPr>
              <w:rFonts w:ascii="Arial" w:hAnsi="Arial" w:cs="Arial"/>
            </w:rPr>
            <w:fldChar w:fldCharType="end"/>
          </w:r>
          <w:r>
            <w:rPr>
              <w:rFonts w:ascii="Arial" w:hAnsi="Arial" w:cs="Arial"/>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"_Toc103303776" </w:instrText>
          </w:r>
          <w:r>
            <w:fldChar w:fldCharType="separate"/>
          </w:r>
          <w:r>
            <w:rPr>
              <w:rStyle w:val="25"/>
              <w:rFonts w:ascii="Arial" w:hAnsi="Arial" w:cs="Arial"/>
            </w:rPr>
            <w:t>4.6.</w:t>
          </w:r>
          <w:r>
            <w:rPr>
              <w:rFonts w:ascii="Arial" w:hAnsi="Arial" w:cs="Arial" w:eastAsiaTheme="minorEastAsia"/>
            </w:rPr>
            <w:tab/>
          </w:r>
          <w:r>
            <w:rPr>
              <w:rStyle w:val="25"/>
              <w:rFonts w:ascii="Arial" w:hAnsi="Arial" w:cs="Arial"/>
            </w:rPr>
            <w:t>Combining Internet Culture to Close the Audience</w:t>
          </w:r>
          <w:r>
            <w:rPr>
              <w:rFonts w:ascii="Arial" w:hAnsi="Arial" w:cs="Arial"/>
            </w:rPr>
            <w:tab/>
          </w:r>
          <w:r>
            <w:rPr>
              <w:rFonts w:ascii="Arial" w:hAnsi="Arial" w:cs="Arial"/>
            </w:rPr>
            <w:fldChar w:fldCharType="begin"/>
          </w:r>
          <w:r>
            <w:rPr>
              <w:rFonts w:ascii="Arial" w:hAnsi="Arial" w:cs="Arial"/>
            </w:rPr>
            <w:instrText xml:space="preserve"> PAGEREF _Toc103303776 \h </w:instrText>
          </w:r>
          <w:r>
            <w:rPr>
              <w:rFonts w:ascii="Arial" w:hAnsi="Arial" w:cs="Arial"/>
            </w:rPr>
            <w:fldChar w:fldCharType="separate"/>
          </w:r>
          <w:r>
            <w:rPr>
              <w:rFonts w:ascii="Arial" w:hAnsi="Arial" w:cs="Arial"/>
            </w:rPr>
            <w:t>12</w:t>
          </w:r>
          <w:r>
            <w:rPr>
              <w:rFonts w:ascii="Arial" w:hAnsi="Arial" w:cs="Arial"/>
            </w:rPr>
            <w:fldChar w:fldCharType="end"/>
          </w:r>
          <w:r>
            <w:rPr>
              <w:rFonts w:ascii="Arial" w:hAnsi="Arial" w:cs="Arial"/>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"_Toc103303777" </w:instrText>
          </w:r>
          <w:r>
            <w:fldChar w:fldCharType="separate"/>
          </w:r>
          <w:r>
            <w:rPr>
              <w:rStyle w:val="25"/>
              <w:rFonts w:ascii="Arial" w:hAnsi="Arial" w:cs="Arial"/>
            </w:rPr>
            <w:t>4.7.</w:t>
          </w:r>
          <w:r>
            <w:rPr>
              <w:rFonts w:ascii="Arial" w:hAnsi="Arial" w:cs="Arial" w:eastAsiaTheme="minorEastAsia"/>
            </w:rPr>
            <w:tab/>
          </w:r>
          <w:r>
            <w:rPr>
              <w:rStyle w:val="25"/>
              <w:rFonts w:ascii="Arial" w:hAnsi="Arial" w:cs="Arial"/>
            </w:rPr>
            <w:t>Effect of the Weibo marketing</w:t>
          </w:r>
          <w:r>
            <w:rPr>
              <w:rFonts w:ascii="Arial" w:hAnsi="Arial" w:cs="Arial"/>
            </w:rPr>
            <w:tab/>
          </w:r>
          <w:r>
            <w:rPr>
              <w:rFonts w:ascii="Arial" w:hAnsi="Arial" w:cs="Arial"/>
            </w:rPr>
            <w:fldChar w:fldCharType="begin"/>
          </w:r>
          <w:r>
            <w:rPr>
              <w:rFonts w:ascii="Arial" w:hAnsi="Arial" w:cs="Arial"/>
            </w:rPr>
            <w:instrText xml:space="preserve"> PAGEREF _Toc103303777 \h </w:instrText>
          </w:r>
          <w:r>
            <w:rPr>
              <w:rFonts w:ascii="Arial" w:hAnsi="Arial" w:cs="Arial"/>
            </w:rPr>
            <w:fldChar w:fldCharType="separate"/>
          </w:r>
          <w:r>
            <w:rPr>
              <w:rFonts w:ascii="Arial" w:hAnsi="Arial" w:cs="Arial"/>
            </w:rPr>
            <w:t>13</w:t>
          </w:r>
          <w:r>
            <w:rPr>
              <w:rFonts w:ascii="Arial" w:hAnsi="Arial" w:cs="Arial"/>
            </w:rPr>
            <w:fldChar w:fldCharType="end"/>
          </w:r>
          <w:r>
            <w:rPr>
              <w:rFonts w:ascii="Arial" w:hAnsi="Arial" w:cs="Arial"/>
            </w:rPr>
            <w:fldChar w:fldCharType="end"/>
          </w:r>
        </w:p>
        <w:p>
          <w:pPr>
            <w:pStyle w:val="11"/>
            <w:tabs>
              <w:tab w:val="left" w:pos="420"/>
              <w:tab w:val="right" w:leader="dot" w:pos="9402"/>
            </w:tabs>
            <w:spacing w:line="360" w:lineRule="auto"/>
            <w:rPr>
              <w:rStyle w:val="25"/>
              <w:sz w:val="24"/>
              <w:szCs w:val="28"/>
            </w:rPr>
          </w:pPr>
          <w:r>
            <w:fldChar w:fldCharType="begin"/>
          </w:r>
          <w:r>
            <w:instrText xml:space="preserve"> HYPERLINK \l "_Toc103303778" </w:instrText>
          </w:r>
          <w:r>
            <w:fldChar w:fldCharType="separate"/>
          </w:r>
          <w:r>
            <w:rPr>
              <w:rStyle w:val="25"/>
              <w:rFonts w:ascii="Arial" w:hAnsi="Arial" w:cs="Arial"/>
              <w:b/>
              <w:bCs/>
              <w:sz w:val="24"/>
              <w:szCs w:val="28"/>
            </w:rPr>
            <w:t>5.</w:t>
          </w:r>
          <w:r>
            <w:rPr>
              <w:rStyle w:val="25"/>
              <w:sz w:val="24"/>
              <w:szCs w:val="28"/>
            </w:rPr>
            <w:tab/>
          </w:r>
          <w:r>
            <w:rPr>
              <w:rStyle w:val="25"/>
              <w:rFonts w:ascii="Arial" w:hAnsi="Arial" w:cs="Arial"/>
              <w:b/>
              <w:bCs/>
              <w:sz w:val="24"/>
              <w:szCs w:val="28"/>
            </w:rPr>
            <w:t>Discussions on the effect of the social media marketing of the “I am a singer” TV show</w:t>
          </w:r>
          <w:r>
            <w:rPr>
              <w:rStyle w:val="25"/>
              <w:sz w:val="24"/>
              <w:szCs w:val="28"/>
            </w:rPr>
            <w:tab/>
          </w:r>
          <w:r>
            <w:rPr>
              <w:rStyle w:val="25"/>
              <w:sz w:val="24"/>
              <w:szCs w:val="28"/>
            </w:rPr>
            <w:fldChar w:fldCharType="begin"/>
          </w:r>
          <w:r>
            <w:rPr>
              <w:rStyle w:val="25"/>
              <w:sz w:val="24"/>
              <w:szCs w:val="28"/>
            </w:rPr>
            <w:instrText xml:space="preserve"> PAGEREF _Toc103303778 \h </w:instrText>
          </w:r>
          <w:r>
            <w:rPr>
              <w:rStyle w:val="25"/>
              <w:sz w:val="24"/>
              <w:szCs w:val="28"/>
            </w:rPr>
            <w:fldChar w:fldCharType="separate"/>
          </w:r>
          <w:r>
            <w:rPr>
              <w:rStyle w:val="25"/>
              <w:sz w:val="24"/>
              <w:szCs w:val="28"/>
            </w:rPr>
            <w:t>15</w:t>
          </w:r>
          <w:r>
            <w:rPr>
              <w:rStyle w:val="25"/>
              <w:sz w:val="24"/>
              <w:szCs w:val="28"/>
            </w:rPr>
            <w:fldChar w:fldCharType="end"/>
          </w:r>
          <w:r>
            <w:rPr>
              <w:rStyle w:val="25"/>
              <w:sz w:val="24"/>
              <w:szCs w:val="28"/>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"_Toc103303779" </w:instrText>
          </w:r>
          <w:r>
            <w:fldChar w:fldCharType="separate"/>
          </w:r>
          <w:r>
            <w:rPr>
              <w:rStyle w:val="25"/>
              <w:rFonts w:ascii="Arial" w:hAnsi="Arial" w:cs="Arial"/>
            </w:rPr>
            <w:t>5.1.</w:t>
          </w:r>
          <w:r>
            <w:rPr>
              <w:rFonts w:ascii="Arial" w:hAnsi="Arial" w:cs="Arial" w:eastAsiaTheme="minorEastAsia"/>
            </w:rPr>
            <w:tab/>
          </w:r>
          <w:r>
            <w:rPr>
              <w:rStyle w:val="25"/>
              <w:rFonts w:ascii="Arial" w:hAnsi="Arial" w:cs="Arial"/>
            </w:rPr>
            <w:t>Advantage</w:t>
          </w:r>
          <w:r>
            <w:rPr>
              <w:rFonts w:ascii="Arial" w:hAnsi="Arial" w:cs="Arial"/>
            </w:rPr>
            <w:tab/>
          </w:r>
          <w:r>
            <w:rPr>
              <w:rFonts w:ascii="Arial" w:hAnsi="Arial" w:cs="Arial"/>
            </w:rPr>
            <w:fldChar w:fldCharType="begin"/>
          </w:r>
          <w:r>
            <w:rPr>
              <w:rFonts w:ascii="Arial" w:hAnsi="Arial" w:cs="Arial"/>
            </w:rPr>
            <w:instrText xml:space="preserve"> PAGEREF _Toc103303779 \h </w:instrText>
          </w:r>
          <w:r>
            <w:rPr>
              <w:rFonts w:ascii="Arial" w:hAnsi="Arial" w:cs="Arial"/>
            </w:rPr>
            <w:fldChar w:fldCharType="separate"/>
          </w:r>
          <w:r>
            <w:rPr>
              <w:rFonts w:ascii="Arial" w:hAnsi="Arial" w:cs="Arial"/>
            </w:rPr>
            <w:t>15</w:t>
          </w:r>
          <w:r>
            <w:rPr>
              <w:rFonts w:ascii="Arial" w:hAnsi="Arial" w:cs="Arial"/>
            </w:rPr>
            <w:fldChar w:fldCharType="end"/>
          </w:r>
          <w:r>
            <w:rPr>
              <w:rFonts w:ascii="Arial" w:hAnsi="Arial" w:cs="Arial"/>
            </w:rPr>
            <w:fldChar w:fldCharType="end"/>
          </w:r>
        </w:p>
        <w:p>
          <w:pPr>
            <w:pStyle w:val="7"/>
            <w:tabs>
              <w:tab w:val="left" w:pos="1680"/>
              <w:tab w:val="right" w:leader="dot" w:pos="9402"/>
            </w:tabs>
            <w:spacing w:line="360" w:lineRule="auto"/>
            <w:rPr>
              <w:rFonts w:ascii="Arial" w:hAnsi="Arial" w:cs="Arial" w:eastAsiaTheme="minorEastAsia"/>
            </w:rPr>
          </w:pPr>
          <w:r>
            <w:fldChar w:fldCharType="begin"/>
          </w:r>
          <w:r>
            <w:instrText xml:space="preserve"> HYPERLINK \l "_Toc103303780" </w:instrText>
          </w:r>
          <w:r>
            <w:fldChar w:fldCharType="separate"/>
          </w:r>
          <w:r>
            <w:rPr>
              <w:rStyle w:val="25"/>
              <w:rFonts w:ascii="Arial" w:hAnsi="Arial" w:cs="Arial"/>
            </w:rPr>
            <w:t>5.1.1.</w:t>
          </w:r>
          <w:r>
            <w:rPr>
              <w:rFonts w:ascii="Arial" w:hAnsi="Arial" w:cs="Arial" w:eastAsiaTheme="minorEastAsia"/>
            </w:rPr>
            <w:tab/>
          </w:r>
          <w:r>
            <w:rPr>
              <w:rStyle w:val="25"/>
              <w:rFonts w:ascii="Arial" w:hAnsi="Arial" w:cs="Arial"/>
            </w:rPr>
            <w:t>Spreaded influence</w:t>
          </w:r>
          <w:r>
            <w:rPr>
              <w:rFonts w:ascii="Arial" w:hAnsi="Arial" w:cs="Arial"/>
            </w:rPr>
            <w:tab/>
          </w:r>
          <w:r>
            <w:rPr>
              <w:rFonts w:ascii="Arial" w:hAnsi="Arial" w:cs="Arial"/>
            </w:rPr>
            <w:fldChar w:fldCharType="begin"/>
          </w:r>
          <w:r>
            <w:rPr>
              <w:rFonts w:ascii="Arial" w:hAnsi="Arial" w:cs="Arial"/>
            </w:rPr>
            <w:instrText xml:space="preserve"> PAGEREF _Toc103303780 \h </w:instrText>
          </w:r>
          <w:r>
            <w:rPr>
              <w:rFonts w:ascii="Arial" w:hAnsi="Arial" w:cs="Arial"/>
            </w:rPr>
            <w:fldChar w:fldCharType="separate"/>
          </w:r>
          <w:r>
            <w:rPr>
              <w:rFonts w:ascii="Arial" w:hAnsi="Arial" w:cs="Arial"/>
            </w:rPr>
            <w:t>15</w:t>
          </w:r>
          <w:r>
            <w:rPr>
              <w:rFonts w:ascii="Arial" w:hAnsi="Arial" w:cs="Arial"/>
            </w:rPr>
            <w:fldChar w:fldCharType="end"/>
          </w:r>
          <w:r>
            <w:rPr>
              <w:rFonts w:ascii="Arial" w:hAnsi="Arial" w:cs="Arial"/>
            </w:rPr>
            <w:fldChar w:fldCharType="end"/>
          </w:r>
        </w:p>
        <w:p>
          <w:pPr>
            <w:pStyle w:val="7"/>
            <w:tabs>
              <w:tab w:val="left" w:pos="1680"/>
              <w:tab w:val="right" w:leader="dot" w:pos="9402"/>
            </w:tabs>
            <w:spacing w:line="360" w:lineRule="auto"/>
            <w:rPr>
              <w:rFonts w:ascii="Arial" w:hAnsi="Arial" w:cs="Arial" w:eastAsiaTheme="minorEastAsia"/>
            </w:rPr>
          </w:pPr>
          <w:r>
            <w:fldChar w:fldCharType="begin"/>
          </w:r>
          <w:r>
            <w:instrText xml:space="preserve"> HYPERLINK \l "_Toc103303781" </w:instrText>
          </w:r>
          <w:r>
            <w:fldChar w:fldCharType="separate"/>
          </w:r>
          <w:r>
            <w:rPr>
              <w:rStyle w:val="25"/>
              <w:rFonts w:ascii="Arial" w:hAnsi="Arial" w:cs="Arial"/>
            </w:rPr>
            <w:t>5.1.2.</w:t>
          </w:r>
          <w:r>
            <w:rPr>
              <w:rFonts w:ascii="Arial" w:hAnsi="Arial" w:cs="Arial" w:eastAsiaTheme="minorEastAsia"/>
            </w:rPr>
            <w:tab/>
          </w:r>
          <w:r>
            <w:rPr>
              <w:rStyle w:val="25"/>
              <w:rFonts w:ascii="Arial" w:hAnsi="Arial" w:cs="Arial"/>
            </w:rPr>
            <w:t>High economic benefits</w:t>
          </w:r>
          <w:r>
            <w:rPr>
              <w:rFonts w:ascii="Arial" w:hAnsi="Arial" w:cs="Arial"/>
            </w:rPr>
            <w:tab/>
          </w:r>
          <w:r>
            <w:rPr>
              <w:rFonts w:ascii="Arial" w:hAnsi="Arial" w:cs="Arial"/>
            </w:rPr>
            <w:fldChar w:fldCharType="begin"/>
          </w:r>
          <w:r>
            <w:rPr>
              <w:rFonts w:ascii="Arial" w:hAnsi="Arial" w:cs="Arial"/>
            </w:rPr>
            <w:instrText xml:space="preserve"> PAGEREF _Toc103303781 \h </w:instrText>
          </w:r>
          <w:r>
            <w:rPr>
              <w:rFonts w:ascii="Arial" w:hAnsi="Arial" w:cs="Arial"/>
            </w:rPr>
            <w:fldChar w:fldCharType="separate"/>
          </w:r>
          <w:r>
            <w:rPr>
              <w:rFonts w:ascii="Arial" w:hAnsi="Arial" w:cs="Arial"/>
            </w:rPr>
            <w:t>16</w:t>
          </w:r>
          <w:r>
            <w:rPr>
              <w:rFonts w:ascii="Arial" w:hAnsi="Arial" w:cs="Arial"/>
            </w:rPr>
            <w:fldChar w:fldCharType="end"/>
          </w:r>
          <w:r>
            <w:rPr>
              <w:rFonts w:ascii="Arial" w:hAnsi="Arial" w:cs="Arial"/>
            </w:rPr>
            <w:fldChar w:fldCharType="end"/>
          </w:r>
        </w:p>
        <w:p>
          <w:pPr>
            <w:pStyle w:val="7"/>
            <w:tabs>
              <w:tab w:val="left" w:pos="1680"/>
              <w:tab w:val="right" w:leader="dot" w:pos="9402"/>
            </w:tabs>
            <w:spacing w:line="360" w:lineRule="auto"/>
            <w:rPr>
              <w:rFonts w:ascii="Arial" w:hAnsi="Arial" w:cs="Arial" w:eastAsiaTheme="minorEastAsia"/>
            </w:rPr>
          </w:pPr>
          <w:r>
            <w:fldChar w:fldCharType="begin"/>
          </w:r>
          <w:r>
            <w:instrText xml:space="preserve"> HYPERLINK \l "_Toc103303782" </w:instrText>
          </w:r>
          <w:r>
            <w:fldChar w:fldCharType="separate"/>
          </w:r>
          <w:r>
            <w:rPr>
              <w:rStyle w:val="25"/>
              <w:rFonts w:ascii="Arial" w:hAnsi="Arial" w:cs="Arial"/>
            </w:rPr>
            <w:t>5.1.3.</w:t>
          </w:r>
          <w:r>
            <w:rPr>
              <w:rFonts w:ascii="Arial" w:hAnsi="Arial" w:cs="Arial" w:eastAsiaTheme="minorEastAsia"/>
            </w:rPr>
            <w:tab/>
          </w:r>
          <w:r>
            <w:rPr>
              <w:rStyle w:val="25"/>
              <w:rFonts w:ascii="Arial" w:hAnsi="Arial" w:cs="Arial"/>
            </w:rPr>
            <w:t>Increased awareness</w:t>
          </w:r>
          <w:r>
            <w:rPr>
              <w:rFonts w:ascii="Arial" w:hAnsi="Arial" w:cs="Arial"/>
            </w:rPr>
            <w:tab/>
          </w:r>
          <w:r>
            <w:rPr>
              <w:rFonts w:ascii="Arial" w:hAnsi="Arial" w:cs="Arial"/>
            </w:rPr>
            <w:fldChar w:fldCharType="begin"/>
          </w:r>
          <w:r>
            <w:rPr>
              <w:rFonts w:ascii="Arial" w:hAnsi="Arial" w:cs="Arial"/>
            </w:rPr>
            <w:instrText xml:space="preserve"> PAGEREF _Toc103303782 \h </w:instrText>
          </w:r>
          <w:r>
            <w:rPr>
              <w:rFonts w:ascii="Arial" w:hAnsi="Arial" w:cs="Arial"/>
            </w:rPr>
            <w:fldChar w:fldCharType="separate"/>
          </w:r>
          <w:r>
            <w:rPr>
              <w:rFonts w:ascii="Arial" w:hAnsi="Arial" w:cs="Arial"/>
            </w:rPr>
            <w:t>17</w:t>
          </w:r>
          <w:r>
            <w:rPr>
              <w:rFonts w:ascii="Arial" w:hAnsi="Arial" w:cs="Arial"/>
            </w:rPr>
            <w:fldChar w:fldCharType="end"/>
          </w:r>
          <w:r>
            <w:rPr>
              <w:rFonts w:ascii="Arial" w:hAnsi="Arial" w:cs="Arial"/>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"_Toc103303783" </w:instrText>
          </w:r>
          <w:r>
            <w:fldChar w:fldCharType="separate"/>
          </w:r>
          <w:r>
            <w:rPr>
              <w:rStyle w:val="25"/>
              <w:rFonts w:ascii="Arial" w:hAnsi="Arial" w:cs="Arial"/>
            </w:rPr>
            <w:t>5.2.</w:t>
          </w:r>
          <w:r>
            <w:rPr>
              <w:rFonts w:ascii="Arial" w:hAnsi="Arial" w:cs="Arial" w:eastAsiaTheme="minorEastAsia"/>
            </w:rPr>
            <w:tab/>
          </w:r>
          <w:r>
            <w:rPr>
              <w:rStyle w:val="25"/>
              <w:rFonts w:ascii="Arial" w:hAnsi="Arial" w:cs="Arial"/>
            </w:rPr>
            <w:t>Disadvantage</w:t>
          </w:r>
          <w:r>
            <w:rPr>
              <w:rFonts w:ascii="Arial" w:hAnsi="Arial" w:cs="Arial"/>
            </w:rPr>
            <w:tab/>
          </w:r>
          <w:r>
            <w:rPr>
              <w:rFonts w:ascii="Arial" w:hAnsi="Arial" w:cs="Arial"/>
            </w:rPr>
            <w:fldChar w:fldCharType="begin"/>
          </w:r>
          <w:r>
            <w:rPr>
              <w:rFonts w:ascii="Arial" w:hAnsi="Arial" w:cs="Arial"/>
            </w:rPr>
            <w:instrText xml:space="preserve"> PAGEREF _Toc103303783 \h </w:instrText>
          </w:r>
          <w:r>
            <w:rPr>
              <w:rFonts w:ascii="Arial" w:hAnsi="Arial" w:cs="Arial"/>
            </w:rPr>
            <w:fldChar w:fldCharType="separate"/>
          </w:r>
          <w:r>
            <w:rPr>
              <w:rFonts w:ascii="Arial" w:hAnsi="Arial" w:cs="Arial"/>
            </w:rPr>
            <w:t>18</w:t>
          </w:r>
          <w:r>
            <w:rPr>
              <w:rFonts w:ascii="Arial" w:hAnsi="Arial" w:cs="Arial"/>
            </w:rPr>
            <w:fldChar w:fldCharType="end"/>
          </w:r>
          <w:r>
            <w:rPr>
              <w:rFonts w:ascii="Arial" w:hAnsi="Arial" w:cs="Arial"/>
            </w:rPr>
            <w:fldChar w:fldCharType="end"/>
          </w:r>
        </w:p>
        <w:p>
          <w:pPr>
            <w:pStyle w:val="7"/>
            <w:tabs>
              <w:tab w:val="left" w:pos="1680"/>
              <w:tab w:val="right" w:leader="dot" w:pos="9402"/>
            </w:tabs>
            <w:spacing w:line="360" w:lineRule="auto"/>
            <w:rPr>
              <w:rFonts w:ascii="Arial" w:hAnsi="Arial" w:cs="Arial" w:eastAsiaTheme="minorEastAsia"/>
            </w:rPr>
          </w:pPr>
          <w:r>
            <w:fldChar w:fldCharType="begin"/>
          </w:r>
          <w:r>
            <w:instrText xml:space="preserve"> HYPERLINK \l "_Toc103303784" </w:instrText>
          </w:r>
          <w:r>
            <w:fldChar w:fldCharType="separate"/>
          </w:r>
          <w:r>
            <w:rPr>
              <w:rStyle w:val="25"/>
              <w:rFonts w:ascii="Arial" w:hAnsi="Arial" w:cs="Arial"/>
            </w:rPr>
            <w:t>5.2.1.</w:t>
          </w:r>
          <w:r>
            <w:rPr>
              <w:rFonts w:ascii="Arial" w:hAnsi="Arial" w:cs="Arial" w:eastAsiaTheme="minorEastAsia"/>
            </w:rPr>
            <w:tab/>
          </w:r>
          <w:r>
            <w:rPr>
              <w:rStyle w:val="25"/>
              <w:rFonts w:ascii="Arial" w:hAnsi="Arial" w:cs="Arial"/>
            </w:rPr>
            <w:t>Lack of coherence in content</w:t>
          </w:r>
          <w:r>
            <w:rPr>
              <w:rFonts w:ascii="Arial" w:hAnsi="Arial" w:cs="Arial"/>
            </w:rPr>
            <w:tab/>
          </w:r>
          <w:r>
            <w:rPr>
              <w:rFonts w:ascii="Arial" w:hAnsi="Arial" w:cs="Arial"/>
            </w:rPr>
            <w:fldChar w:fldCharType="begin"/>
          </w:r>
          <w:r>
            <w:rPr>
              <w:rFonts w:ascii="Arial" w:hAnsi="Arial" w:cs="Arial"/>
            </w:rPr>
            <w:instrText xml:space="preserve"> PAGEREF _Toc103303784 \h </w:instrText>
          </w:r>
          <w:r>
            <w:rPr>
              <w:rFonts w:ascii="Arial" w:hAnsi="Arial" w:cs="Arial"/>
            </w:rPr>
            <w:fldChar w:fldCharType="separate"/>
          </w:r>
          <w:r>
            <w:rPr>
              <w:rFonts w:ascii="Arial" w:hAnsi="Arial" w:cs="Arial"/>
            </w:rPr>
            <w:t>18</w:t>
          </w:r>
          <w:r>
            <w:rPr>
              <w:rFonts w:ascii="Arial" w:hAnsi="Arial" w:cs="Arial"/>
            </w:rPr>
            <w:fldChar w:fldCharType="end"/>
          </w:r>
          <w:r>
            <w:rPr>
              <w:rFonts w:ascii="Arial" w:hAnsi="Arial" w:cs="Arial"/>
            </w:rPr>
            <w:fldChar w:fldCharType="end"/>
          </w:r>
        </w:p>
        <w:p>
          <w:pPr>
            <w:pStyle w:val="7"/>
            <w:tabs>
              <w:tab w:val="left" w:pos="1680"/>
              <w:tab w:val="right" w:leader="dot" w:pos="9402"/>
            </w:tabs>
            <w:spacing w:line="360" w:lineRule="auto"/>
            <w:rPr>
              <w:rFonts w:ascii="Arial" w:hAnsi="Arial" w:cs="Arial" w:eastAsiaTheme="minorEastAsia"/>
            </w:rPr>
          </w:pPr>
          <w:r>
            <w:fldChar w:fldCharType="begin"/>
          </w:r>
          <w:r>
            <w:instrText xml:space="preserve"> HYPERLINK \l "_Toc103303785" </w:instrText>
          </w:r>
          <w:r>
            <w:fldChar w:fldCharType="separate"/>
          </w:r>
          <w:r>
            <w:rPr>
              <w:rStyle w:val="25"/>
              <w:rFonts w:ascii="Arial" w:hAnsi="Arial" w:cs="Arial"/>
            </w:rPr>
            <w:t>5.2.2.</w:t>
          </w:r>
          <w:r>
            <w:rPr>
              <w:rFonts w:ascii="Arial" w:hAnsi="Arial" w:cs="Arial" w:eastAsiaTheme="minorEastAsia"/>
            </w:rPr>
            <w:tab/>
          </w:r>
          <w:r>
            <w:rPr>
              <w:rStyle w:val="25"/>
              <w:rFonts w:ascii="Arial" w:hAnsi="Arial" w:cs="Arial"/>
            </w:rPr>
            <w:t>Lack of depth in Weibo content</w:t>
          </w:r>
          <w:r>
            <w:rPr>
              <w:rFonts w:ascii="Arial" w:hAnsi="Arial" w:cs="Arial"/>
            </w:rPr>
            <w:tab/>
          </w:r>
          <w:r>
            <w:rPr>
              <w:rFonts w:ascii="Arial" w:hAnsi="Arial" w:cs="Arial"/>
            </w:rPr>
            <w:fldChar w:fldCharType="begin"/>
          </w:r>
          <w:r>
            <w:rPr>
              <w:rFonts w:ascii="Arial" w:hAnsi="Arial" w:cs="Arial"/>
            </w:rPr>
            <w:instrText xml:space="preserve"> PAGEREF _Toc103303785 \h </w:instrText>
          </w:r>
          <w:r>
            <w:rPr>
              <w:rFonts w:ascii="Arial" w:hAnsi="Arial" w:cs="Arial"/>
            </w:rPr>
            <w:fldChar w:fldCharType="separate"/>
          </w:r>
          <w:r>
            <w:rPr>
              <w:rFonts w:ascii="Arial" w:hAnsi="Arial" w:cs="Arial"/>
            </w:rPr>
            <w:t>19</w:t>
          </w:r>
          <w:r>
            <w:rPr>
              <w:rFonts w:ascii="Arial" w:hAnsi="Arial" w:cs="Arial"/>
            </w:rPr>
            <w:fldChar w:fldCharType="end"/>
          </w:r>
          <w:r>
            <w:rPr>
              <w:rFonts w:ascii="Arial" w:hAnsi="Arial" w:cs="Arial"/>
            </w:rPr>
            <w:fldChar w:fldCharType="end"/>
          </w:r>
        </w:p>
        <w:p>
          <w:pPr>
            <w:pStyle w:val="7"/>
            <w:tabs>
              <w:tab w:val="left" w:pos="1680"/>
              <w:tab w:val="right" w:leader="dot" w:pos="9402"/>
            </w:tabs>
            <w:spacing w:line="360" w:lineRule="auto"/>
            <w:rPr>
              <w:rFonts w:ascii="Arial" w:hAnsi="Arial" w:cs="Arial" w:eastAsiaTheme="minorEastAsia"/>
            </w:rPr>
          </w:pPr>
          <w:r>
            <w:fldChar w:fldCharType="begin"/>
          </w:r>
          <w:r>
            <w:instrText xml:space="preserve"> HYPERLINK \l "_Toc103303786" </w:instrText>
          </w:r>
          <w:r>
            <w:fldChar w:fldCharType="separate"/>
          </w:r>
          <w:r>
            <w:rPr>
              <w:rStyle w:val="25"/>
              <w:rFonts w:ascii="Arial" w:hAnsi="Arial" w:cs="Arial"/>
            </w:rPr>
            <w:t>5.2.3.</w:t>
          </w:r>
          <w:r>
            <w:rPr>
              <w:rFonts w:ascii="Arial" w:hAnsi="Arial" w:cs="Arial" w:eastAsiaTheme="minorEastAsia"/>
            </w:rPr>
            <w:tab/>
          </w:r>
          <w:r>
            <w:rPr>
              <w:rStyle w:val="25"/>
              <w:rFonts w:ascii="Arial" w:hAnsi="Arial" w:cs="Arial"/>
            </w:rPr>
            <w:t>Insufficient influence before and after the show starts</w:t>
          </w:r>
          <w:r>
            <w:rPr>
              <w:rFonts w:ascii="Arial" w:hAnsi="Arial" w:cs="Arial"/>
            </w:rPr>
            <w:tab/>
          </w:r>
          <w:r>
            <w:rPr>
              <w:rFonts w:ascii="Arial" w:hAnsi="Arial" w:cs="Arial"/>
            </w:rPr>
            <w:fldChar w:fldCharType="begin"/>
          </w:r>
          <w:r>
            <w:rPr>
              <w:rFonts w:ascii="Arial" w:hAnsi="Arial" w:cs="Arial"/>
            </w:rPr>
            <w:instrText xml:space="preserve"> PAGEREF _Toc103303786 \h </w:instrText>
          </w:r>
          <w:r>
            <w:rPr>
              <w:rFonts w:ascii="Arial" w:hAnsi="Arial" w:cs="Arial"/>
            </w:rPr>
            <w:fldChar w:fldCharType="separate"/>
          </w:r>
          <w:r>
            <w:rPr>
              <w:rFonts w:ascii="Arial" w:hAnsi="Arial" w:cs="Arial"/>
            </w:rPr>
            <w:t>20</w:t>
          </w:r>
          <w:r>
            <w:rPr>
              <w:rFonts w:ascii="Arial" w:hAnsi="Arial" w:cs="Arial"/>
            </w:rPr>
            <w:fldChar w:fldCharType="end"/>
          </w:r>
          <w:r>
            <w:rPr>
              <w:rFonts w:ascii="Arial" w:hAnsi="Arial" w:cs="Arial"/>
            </w:rPr>
            <w:fldChar w:fldCharType="end"/>
          </w:r>
        </w:p>
        <w:p>
          <w:pPr>
            <w:pStyle w:val="11"/>
            <w:tabs>
              <w:tab w:val="left" w:pos="420"/>
              <w:tab w:val="right" w:leader="dot" w:pos="9402"/>
            </w:tabs>
            <w:spacing w:line="360" w:lineRule="auto"/>
            <w:rPr>
              <w:rStyle w:val="25"/>
              <w:b/>
              <w:bCs/>
              <w:sz w:val="24"/>
              <w:szCs w:val="28"/>
            </w:rPr>
          </w:pPr>
          <w:r>
            <w:fldChar w:fldCharType="begin"/>
          </w:r>
          <w:r>
            <w:instrText xml:space="preserve"> HYPERLINK \l "_Toc103303787" </w:instrText>
          </w:r>
          <w:r>
            <w:fldChar w:fldCharType="separate"/>
          </w:r>
          <w:r>
            <w:rPr>
              <w:rStyle w:val="25"/>
              <w:rFonts w:ascii="Arial" w:hAnsi="Arial" w:cs="Arial"/>
              <w:b/>
              <w:bCs/>
              <w:sz w:val="24"/>
              <w:szCs w:val="28"/>
            </w:rPr>
            <w:t>6.</w:t>
          </w:r>
          <w:r>
            <w:rPr>
              <w:rStyle w:val="25"/>
              <w:b/>
              <w:bCs/>
              <w:sz w:val="24"/>
              <w:szCs w:val="28"/>
            </w:rPr>
            <w:tab/>
          </w:r>
          <w:r>
            <w:rPr>
              <w:rStyle w:val="25"/>
              <w:rFonts w:ascii="Arial" w:hAnsi="Arial" w:cs="Arial"/>
              <w:b/>
              <w:bCs/>
              <w:sz w:val="24"/>
              <w:szCs w:val="28"/>
            </w:rPr>
            <w:t>Conclusion</w:t>
          </w:r>
          <w:r>
            <w:rPr>
              <w:rStyle w:val="25"/>
              <w:b/>
              <w:bCs/>
              <w:sz w:val="24"/>
              <w:szCs w:val="28"/>
            </w:rPr>
            <w:tab/>
          </w:r>
          <w:r>
            <w:rPr>
              <w:rStyle w:val="25"/>
              <w:b/>
              <w:bCs/>
              <w:sz w:val="24"/>
              <w:szCs w:val="28"/>
            </w:rPr>
            <w:fldChar w:fldCharType="begin"/>
          </w:r>
          <w:r>
            <w:rPr>
              <w:rStyle w:val="25"/>
              <w:b/>
              <w:bCs/>
              <w:sz w:val="24"/>
              <w:szCs w:val="28"/>
            </w:rPr>
            <w:instrText xml:space="preserve"> PAGEREF _Toc103303787 \h </w:instrText>
          </w:r>
          <w:r>
            <w:rPr>
              <w:rStyle w:val="25"/>
              <w:b/>
              <w:bCs/>
              <w:sz w:val="24"/>
              <w:szCs w:val="28"/>
            </w:rPr>
            <w:fldChar w:fldCharType="separate"/>
          </w:r>
          <w:r>
            <w:rPr>
              <w:rStyle w:val="25"/>
              <w:b/>
              <w:bCs/>
              <w:sz w:val="24"/>
              <w:szCs w:val="28"/>
            </w:rPr>
            <w:t>21</w:t>
          </w:r>
          <w:r>
            <w:rPr>
              <w:rStyle w:val="25"/>
              <w:b/>
              <w:bCs/>
              <w:sz w:val="24"/>
              <w:szCs w:val="28"/>
            </w:rPr>
            <w:fldChar w:fldCharType="end"/>
          </w:r>
          <w:r>
            <w:rPr>
              <w:rStyle w:val="25"/>
              <w:b/>
              <w:bCs/>
              <w:sz w:val="24"/>
              <w:szCs w:val="28"/>
            </w:rPr>
            <w:fldChar w:fldCharType="end"/>
          </w:r>
        </w:p>
        <w:p>
          <w:pPr>
            <w:pStyle w:val="11"/>
            <w:tabs>
              <w:tab w:val="left" w:pos="420"/>
              <w:tab w:val="right" w:leader="dot" w:pos="9402"/>
            </w:tabs>
            <w:spacing w:line="360" w:lineRule="auto"/>
            <w:rPr>
              <w:rStyle w:val="25"/>
              <w:b/>
              <w:bCs/>
              <w:sz w:val="24"/>
              <w:szCs w:val="28"/>
            </w:rPr>
          </w:pPr>
          <w:r>
            <w:fldChar w:fldCharType="begin"/>
          </w:r>
          <w:r>
            <w:instrText xml:space="preserve"> HYPERLINK \l "_Toc103303788" </w:instrText>
          </w:r>
          <w:r>
            <w:fldChar w:fldCharType="separate"/>
          </w:r>
          <w:r>
            <w:rPr>
              <w:rStyle w:val="25"/>
              <w:rFonts w:ascii="Arial" w:hAnsi="Arial" w:cs="Arial"/>
              <w:b/>
              <w:bCs/>
              <w:sz w:val="24"/>
              <w:szCs w:val="28"/>
            </w:rPr>
            <w:t>7.</w:t>
          </w:r>
          <w:r>
            <w:rPr>
              <w:rStyle w:val="25"/>
              <w:b/>
              <w:bCs/>
              <w:sz w:val="24"/>
              <w:szCs w:val="28"/>
            </w:rPr>
            <w:tab/>
          </w:r>
          <w:r>
            <w:rPr>
              <w:rStyle w:val="25"/>
              <w:rFonts w:ascii="Arial" w:hAnsi="Arial" w:cs="Arial"/>
              <w:b/>
              <w:bCs/>
              <w:sz w:val="24"/>
              <w:szCs w:val="28"/>
            </w:rPr>
            <w:t>Recommendations</w:t>
          </w:r>
          <w:r>
            <w:rPr>
              <w:rStyle w:val="25"/>
              <w:b/>
              <w:bCs/>
              <w:sz w:val="24"/>
              <w:szCs w:val="28"/>
            </w:rPr>
            <w:tab/>
          </w:r>
          <w:r>
            <w:rPr>
              <w:rStyle w:val="25"/>
              <w:b/>
              <w:bCs/>
              <w:sz w:val="24"/>
              <w:szCs w:val="28"/>
            </w:rPr>
            <w:fldChar w:fldCharType="begin"/>
          </w:r>
          <w:r>
            <w:rPr>
              <w:rStyle w:val="25"/>
              <w:b/>
              <w:bCs/>
              <w:sz w:val="24"/>
              <w:szCs w:val="28"/>
            </w:rPr>
            <w:instrText xml:space="preserve"> PAGEREF _Toc103303788 \h </w:instrText>
          </w:r>
          <w:r>
            <w:rPr>
              <w:rStyle w:val="25"/>
              <w:b/>
              <w:bCs/>
              <w:sz w:val="24"/>
              <w:szCs w:val="28"/>
            </w:rPr>
            <w:fldChar w:fldCharType="separate"/>
          </w:r>
          <w:r>
            <w:rPr>
              <w:rStyle w:val="25"/>
              <w:b/>
              <w:bCs/>
              <w:sz w:val="24"/>
              <w:szCs w:val="28"/>
            </w:rPr>
            <w:t>22</w:t>
          </w:r>
          <w:r>
            <w:rPr>
              <w:rStyle w:val="25"/>
              <w:b/>
              <w:bCs/>
              <w:sz w:val="24"/>
              <w:szCs w:val="28"/>
            </w:rPr>
            <w:fldChar w:fldCharType="end"/>
          </w:r>
          <w:r>
            <w:rPr>
              <w:rStyle w:val="25"/>
              <w:b/>
              <w:bCs/>
              <w:sz w:val="24"/>
              <w:szCs w:val="28"/>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"_Toc103303789" </w:instrText>
          </w:r>
          <w:r>
            <w:fldChar w:fldCharType="separate"/>
          </w:r>
          <w:r>
            <w:rPr>
              <w:rStyle w:val="25"/>
              <w:rFonts w:ascii="Arial" w:hAnsi="Arial" w:cs="Arial"/>
            </w:rPr>
            <w:t>7.1.</w:t>
          </w:r>
          <w:r>
            <w:rPr>
              <w:rFonts w:ascii="Arial" w:hAnsi="Arial" w:cs="Arial" w:eastAsiaTheme="minorEastAsia"/>
            </w:rPr>
            <w:tab/>
          </w:r>
          <w:r>
            <w:rPr>
              <w:rStyle w:val="25"/>
              <w:rFonts w:ascii="Arial" w:hAnsi="Arial" w:cs="Arial"/>
            </w:rPr>
            <w:t>”Central Faction” by Time</w:t>
          </w:r>
          <w:r>
            <w:rPr>
              <w:rFonts w:ascii="Arial" w:hAnsi="Arial" w:cs="Arial"/>
            </w:rPr>
            <w:tab/>
          </w:r>
          <w:r>
            <w:rPr>
              <w:rFonts w:ascii="Arial" w:hAnsi="Arial" w:cs="Arial"/>
            </w:rPr>
            <w:fldChar w:fldCharType="begin"/>
          </w:r>
          <w:r>
            <w:rPr>
              <w:rFonts w:ascii="Arial" w:hAnsi="Arial" w:cs="Arial"/>
            </w:rPr>
            <w:instrText xml:space="preserve"> PAGEREF _Toc103303789 \h </w:instrText>
          </w:r>
          <w:r>
            <w:rPr>
              <w:rFonts w:ascii="Arial" w:hAnsi="Arial" w:cs="Arial"/>
            </w:rPr>
            <w:fldChar w:fldCharType="separate"/>
          </w:r>
          <w:r>
            <w:rPr>
              <w:rFonts w:ascii="Arial" w:hAnsi="Arial" w:cs="Arial"/>
            </w:rPr>
            <w:t>22</w:t>
          </w:r>
          <w:r>
            <w:rPr>
              <w:rFonts w:ascii="Arial" w:hAnsi="Arial" w:cs="Arial"/>
            </w:rPr>
            <w:fldChar w:fldCharType="end"/>
          </w:r>
          <w:r>
            <w:rPr>
              <w:rFonts w:ascii="Arial" w:hAnsi="Arial" w:cs="Arial"/>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"_Toc103303790" </w:instrText>
          </w:r>
          <w:r>
            <w:fldChar w:fldCharType="separate"/>
          </w:r>
          <w:r>
            <w:rPr>
              <w:rStyle w:val="25"/>
              <w:rFonts w:ascii="Arial" w:hAnsi="Arial" w:cs="Arial"/>
            </w:rPr>
            <w:t>7.2.</w:t>
          </w:r>
          <w:r>
            <w:rPr>
              <w:rFonts w:ascii="Arial" w:hAnsi="Arial" w:cs="Arial" w:eastAsiaTheme="minorEastAsia"/>
            </w:rPr>
            <w:tab/>
          </w:r>
          <w:r>
            <w:rPr>
              <w:rStyle w:val="25"/>
              <w:rFonts w:ascii="Arial" w:hAnsi="Arial" w:cs="Arial"/>
            </w:rPr>
            <w:t>Exploring the rationality of content</w:t>
          </w:r>
          <w:r>
            <w:rPr>
              <w:rFonts w:ascii="Arial" w:hAnsi="Arial" w:cs="Arial"/>
            </w:rPr>
            <w:tab/>
          </w:r>
          <w:r>
            <w:rPr>
              <w:rFonts w:ascii="Arial" w:hAnsi="Arial" w:cs="Arial"/>
            </w:rPr>
            <w:fldChar w:fldCharType="begin"/>
          </w:r>
          <w:r>
            <w:rPr>
              <w:rFonts w:ascii="Arial" w:hAnsi="Arial" w:cs="Arial"/>
            </w:rPr>
            <w:instrText xml:space="preserve"> PAGEREF _Toc103303790 \h </w:instrText>
          </w:r>
          <w:r>
            <w:rPr>
              <w:rFonts w:ascii="Arial" w:hAnsi="Arial" w:cs="Arial"/>
            </w:rPr>
            <w:fldChar w:fldCharType="separate"/>
          </w:r>
          <w:r>
            <w:rPr>
              <w:rFonts w:ascii="Arial" w:hAnsi="Arial" w:cs="Arial"/>
            </w:rPr>
            <w:t>23</w:t>
          </w:r>
          <w:r>
            <w:rPr>
              <w:rFonts w:ascii="Arial" w:hAnsi="Arial" w:cs="Arial"/>
            </w:rPr>
            <w:fldChar w:fldCharType="end"/>
          </w:r>
          <w:r>
            <w:rPr>
              <w:rFonts w:ascii="Arial" w:hAnsi="Arial" w:cs="Arial"/>
            </w:rPr>
            <w:fldChar w:fldCharType="end"/>
          </w:r>
        </w:p>
        <w:p>
          <w:pPr>
            <w:pStyle w:val="12"/>
            <w:tabs>
              <w:tab w:val="left" w:pos="1050"/>
              <w:tab w:val="right" w:leader="dot" w:pos="9402"/>
            </w:tabs>
            <w:spacing w:line="360" w:lineRule="auto"/>
            <w:rPr>
              <w:rFonts w:ascii="Arial" w:hAnsi="Arial" w:cs="Arial" w:eastAsiaTheme="minorEastAsia"/>
            </w:rPr>
          </w:pPr>
          <w:r>
            <w:fldChar w:fldCharType="begin"/>
          </w:r>
          <w:r>
            <w:instrText xml:space="preserve"> HYPERLINK \l "_Toc103303791" </w:instrText>
          </w:r>
          <w:r>
            <w:fldChar w:fldCharType="separate"/>
          </w:r>
          <w:r>
            <w:rPr>
              <w:rStyle w:val="25"/>
              <w:rFonts w:ascii="Arial" w:hAnsi="Arial" w:cs="Arial"/>
            </w:rPr>
            <w:t>7.3.</w:t>
          </w:r>
          <w:r>
            <w:rPr>
              <w:rFonts w:ascii="Arial" w:hAnsi="Arial" w:cs="Arial" w:eastAsiaTheme="minorEastAsia"/>
            </w:rPr>
            <w:tab/>
          </w:r>
          <w:r>
            <w:rPr>
              <w:rStyle w:val="25"/>
              <w:rFonts w:ascii="Arial" w:hAnsi="Arial" w:cs="Arial"/>
            </w:rPr>
            <w:t>Maximize the time and space of the show</w:t>
          </w:r>
          <w:r>
            <w:rPr>
              <w:rFonts w:ascii="Arial" w:hAnsi="Arial" w:cs="Arial"/>
            </w:rPr>
            <w:tab/>
          </w:r>
          <w:r>
            <w:rPr>
              <w:rFonts w:ascii="Arial" w:hAnsi="Arial" w:cs="Arial"/>
            </w:rPr>
            <w:fldChar w:fldCharType="begin"/>
          </w:r>
          <w:r>
            <w:rPr>
              <w:rFonts w:ascii="Arial" w:hAnsi="Arial" w:cs="Arial"/>
            </w:rPr>
            <w:instrText xml:space="preserve"> PAGEREF _Toc103303791 \h </w:instrText>
          </w:r>
          <w:r>
            <w:rPr>
              <w:rFonts w:ascii="Arial" w:hAnsi="Arial" w:cs="Arial"/>
            </w:rPr>
            <w:fldChar w:fldCharType="separate"/>
          </w:r>
          <w:r>
            <w:rPr>
              <w:rFonts w:ascii="Arial" w:hAnsi="Arial" w:cs="Arial"/>
            </w:rPr>
            <w:t>23</w:t>
          </w:r>
          <w:r>
            <w:rPr>
              <w:rFonts w:ascii="Arial" w:hAnsi="Arial" w:cs="Arial"/>
            </w:rPr>
            <w:fldChar w:fldCharType="end"/>
          </w:r>
          <w:r>
            <w:rPr>
              <w:rFonts w:ascii="Arial" w:hAnsi="Arial" w:cs="Arial"/>
            </w:rPr>
            <w:fldChar w:fldCharType="end"/>
          </w:r>
        </w:p>
        <w:p>
          <w:pPr>
            <w:pStyle w:val="11"/>
            <w:tabs>
              <w:tab w:val="left" w:pos="420"/>
              <w:tab w:val="right" w:leader="dot" w:pos="9402"/>
            </w:tabs>
            <w:spacing w:line="360" w:lineRule="auto"/>
            <w:rPr>
              <w:rStyle w:val="25"/>
              <w:b/>
              <w:bCs/>
              <w:sz w:val="24"/>
              <w:szCs w:val="28"/>
            </w:rPr>
          </w:pPr>
          <w:r>
            <w:fldChar w:fldCharType="begin"/>
          </w:r>
          <w:r>
            <w:instrText xml:space="preserve"> HYPERLINK \l "_Toc103303792" </w:instrText>
          </w:r>
          <w:r>
            <w:fldChar w:fldCharType="separate"/>
          </w:r>
          <w:r>
            <w:rPr>
              <w:rStyle w:val="25"/>
              <w:rFonts w:ascii="Arial" w:hAnsi="Arial" w:cs="Arial"/>
              <w:b/>
              <w:bCs/>
              <w:sz w:val="24"/>
              <w:szCs w:val="28"/>
            </w:rPr>
            <w:t>References</w:t>
          </w:r>
          <w:r>
            <w:rPr>
              <w:rStyle w:val="25"/>
              <w:b/>
              <w:bCs/>
              <w:sz w:val="24"/>
              <w:szCs w:val="28"/>
            </w:rPr>
            <w:tab/>
          </w:r>
          <w:r>
            <w:rPr>
              <w:rStyle w:val="25"/>
              <w:b/>
              <w:bCs/>
              <w:sz w:val="24"/>
              <w:szCs w:val="28"/>
            </w:rPr>
            <w:fldChar w:fldCharType="begin"/>
          </w:r>
          <w:r>
            <w:rPr>
              <w:rStyle w:val="25"/>
              <w:b/>
              <w:bCs/>
              <w:sz w:val="24"/>
              <w:szCs w:val="28"/>
            </w:rPr>
            <w:instrText xml:space="preserve"> PAGEREF _Toc103303792 \h </w:instrText>
          </w:r>
          <w:r>
            <w:rPr>
              <w:rStyle w:val="25"/>
              <w:b/>
              <w:bCs/>
              <w:sz w:val="24"/>
              <w:szCs w:val="28"/>
            </w:rPr>
            <w:fldChar w:fldCharType="separate"/>
          </w:r>
          <w:r>
            <w:rPr>
              <w:rStyle w:val="25"/>
              <w:b/>
              <w:bCs/>
              <w:sz w:val="24"/>
              <w:szCs w:val="28"/>
            </w:rPr>
            <w:t>24</w:t>
          </w:r>
          <w:r>
            <w:rPr>
              <w:rStyle w:val="25"/>
              <w:b/>
              <w:bCs/>
              <w:sz w:val="24"/>
              <w:szCs w:val="28"/>
            </w:rPr>
            <w:fldChar w:fldCharType="end"/>
          </w:r>
          <w:r>
            <w:rPr>
              <w:rStyle w:val="25"/>
              <w:b/>
              <w:bCs/>
              <w:sz w:val="24"/>
              <w:szCs w:val="28"/>
            </w:rPr>
            <w:fldChar w:fldCharType="end"/>
          </w:r>
        </w:p>
        <w:p>
          <w:pPr>
            <w:pStyle w:val="11"/>
            <w:tabs>
              <w:tab w:val="left" w:pos="420"/>
              <w:tab w:val="right" w:leader="dot" w:pos="9402"/>
            </w:tabs>
            <w:spacing w:line="360" w:lineRule="auto"/>
            <w:rPr>
              <w:rStyle w:val="25"/>
              <w:rFonts w:ascii="Arial" w:hAnsi="Arial" w:cs="Arial"/>
              <w:b/>
              <w:bCs/>
              <w:sz w:val="24"/>
              <w:szCs w:val="28"/>
            </w:rPr>
          </w:pPr>
          <w:r>
            <w:fldChar w:fldCharType="begin"/>
          </w:r>
          <w:r>
            <w:instrText xml:space="preserve"> HYPERLINK \l "_Toc103303793" </w:instrText>
          </w:r>
          <w:r>
            <w:fldChar w:fldCharType="separate"/>
          </w:r>
          <w:r>
            <w:rPr>
              <w:rStyle w:val="25"/>
              <w:rFonts w:ascii="Arial" w:hAnsi="Arial" w:cs="Arial"/>
              <w:b/>
              <w:bCs/>
              <w:sz w:val="24"/>
              <w:szCs w:val="28"/>
            </w:rPr>
            <w:t>Appendices</w:t>
          </w:r>
          <w:r>
            <w:rPr>
              <w:rStyle w:val="25"/>
              <w:b/>
              <w:bCs/>
              <w:sz w:val="24"/>
              <w:szCs w:val="28"/>
            </w:rPr>
            <w:tab/>
          </w:r>
          <w:r>
            <w:rPr>
              <w:rStyle w:val="25"/>
              <w:b/>
              <w:bCs/>
              <w:sz w:val="24"/>
              <w:szCs w:val="28"/>
            </w:rPr>
            <w:fldChar w:fldCharType="begin"/>
          </w:r>
          <w:r>
            <w:rPr>
              <w:rStyle w:val="25"/>
              <w:b/>
              <w:bCs/>
              <w:sz w:val="24"/>
              <w:szCs w:val="28"/>
            </w:rPr>
            <w:instrText xml:space="preserve"> PAGEREF _Toc103303793 \h </w:instrText>
          </w:r>
          <w:r>
            <w:rPr>
              <w:rStyle w:val="25"/>
              <w:b/>
              <w:bCs/>
              <w:sz w:val="24"/>
              <w:szCs w:val="28"/>
            </w:rPr>
            <w:fldChar w:fldCharType="separate"/>
          </w:r>
          <w:r>
            <w:rPr>
              <w:rStyle w:val="25"/>
              <w:b/>
              <w:bCs/>
              <w:sz w:val="24"/>
              <w:szCs w:val="28"/>
            </w:rPr>
            <w:t>28</w:t>
          </w:r>
          <w:r>
            <w:rPr>
              <w:rStyle w:val="25"/>
              <w:b/>
              <w:bCs/>
              <w:sz w:val="24"/>
              <w:szCs w:val="28"/>
            </w:rPr>
            <w:fldChar w:fldCharType="end"/>
          </w:r>
          <w:r>
            <w:rPr>
              <w:rStyle w:val="25"/>
              <w:b/>
              <w:bCs/>
              <w:sz w:val="24"/>
              <w:szCs w:val="28"/>
            </w:rPr>
            <w:fldChar w:fldCharType="end"/>
          </w:r>
        </w:p>
        <w:p>
          <w:pPr>
            <w:spacing w:line="360" w:lineRule="auto"/>
          </w:pPr>
          <w:r>
            <w:rPr>
              <w:lang w:val="zh-CN"/>
            </w:rPr>
            <w:fldChar w:fldCharType="end"/>
          </w:r>
        </w:p>
      </w:sdtContent>
    </w:sdt>
    <w:p>
      <w:pPr>
        <w:spacing w:before="156" w:beforeLines="50" w:after="156" w:afterLines="50" w:line="360" w:lineRule="auto"/>
        <w:rPr>
          <w:rFonts w:ascii="Arial" w:hAnsi="Arial" w:cs="Arial"/>
          <w:bCs/>
          <w:sz w:val="22"/>
        </w:rPr>
      </w:pPr>
    </w:p>
    <w:p>
      <w:pPr>
        <w:pStyle w:val="2"/>
        <w:spacing w:before="156" w:beforeLines="50" w:after="156" w:afterLines="50" w:line="360" w:lineRule="auto"/>
        <w:rPr>
          <w:rFonts w:ascii="Arial" w:hAnsi="Arial" w:cs="Arial"/>
          <w:sz w:val="32"/>
          <w:szCs w:val="32"/>
        </w:rPr>
        <w:sectPr>
          <w:footerReference r:id="rId5" w:type="default"/>
          <w:pgSz w:w="11906" w:h="16838"/>
          <w:pgMar w:top="1247" w:right="1247" w:bottom="1247" w:left="1247" w:header="851" w:footer="992" w:gutter="0"/>
          <w:pgNumType w:fmt="upperRoman" w:start="1"/>
          <w:cols w:space="720" w:num="1"/>
          <w:docGrid w:type="lines" w:linePitch="312" w:charSpace="0"/>
        </w:sectPr>
      </w:pPr>
      <w:bookmarkStart w:id="131" w:name="_GoBack"/>
      <w:bookmarkEnd w:id="131"/>
      <w:bookmarkStart w:id="3" w:name="_Toc20463"/>
      <w:bookmarkStart w:id="4" w:name="_Toc3236"/>
      <w:bookmarkStart w:id="5" w:name="_Toc25080"/>
      <w:bookmarkStart w:id="6" w:name="OLE_LINK1"/>
    </w:p>
    <w:p>
      <w:pPr>
        <w:pStyle w:val="2"/>
        <w:numPr>
          <w:ilvl w:val="0"/>
          <w:numId w:val="1"/>
        </w:numPr>
        <w:spacing w:before="156" w:beforeLines="50" w:after="156" w:afterLines="50" w:line="360" w:lineRule="auto"/>
        <w:rPr>
          <w:rFonts w:ascii="Arial" w:hAnsi="Arial" w:cs="Arial"/>
          <w:sz w:val="32"/>
          <w:szCs w:val="32"/>
        </w:rPr>
      </w:pPr>
      <w:bookmarkStart w:id="7" w:name="_Toc103303758"/>
      <w:r>
        <w:rPr>
          <w:rFonts w:ascii="Arial" w:hAnsi="Arial" w:cs="Arial"/>
          <w:sz w:val="32"/>
          <w:szCs w:val="32"/>
        </w:rPr>
        <w:t>Introduction</w:t>
      </w:r>
      <w:bookmarkEnd w:id="3"/>
      <w:bookmarkEnd w:id="4"/>
      <w:bookmarkEnd w:id="5"/>
      <w:bookmarkEnd w:id="7"/>
    </w:p>
    <w:p>
      <w:pPr>
        <w:spacing w:before="156" w:beforeLines="50" w:after="156" w:afterLines="50" w:line="360" w:lineRule="auto"/>
        <w:rPr>
          <w:rFonts w:ascii="Arial" w:hAnsi="Arial" w:cs="Arial"/>
          <w:sz w:val="22"/>
        </w:rPr>
      </w:pPr>
      <w:r>
        <w:rPr>
          <w:rFonts w:ascii="Arial" w:hAnsi="Arial" w:cs="Arial"/>
          <w:sz w:val="22"/>
        </w:rPr>
        <w:t xml:space="preserve">“I am a Singer” is imported by the Hunan Television from South Korea based on the Korean singing TV show “I am a Singer”. In each season of the show, seven famous singers are selected by the show production team from the Mandarin-speaking markets including mainland China, Hong Kong, Taiwan, Singapore and Malaysia. Five on-site judges are pre-selected for the show from external communities such as fan groups, and experts in the music industry, who have passed the assessments by Hunan Television. In later seasons of the show, not only mandarin singers but also singers from the general east Asian markets, such as South Korea and Japan are included in the show. A typical singer portfolio of one season of the “I am a singer” includes singers who used to be famous, singers who are currently famous and singers who are not yet famous. The one criteria for screening the singers is their singing and performing capability and nothing else </w:t>
      </w:r>
      <w:r>
        <w:rPr>
          <w:rFonts w:ascii="Arial" w:hAnsi="Arial" w:cs="Arial"/>
          <w:sz w:val="22"/>
        </w:rPr>
        <w:fldChar w:fldCharType="begin" w:fldLock="1"/>
      </w:r>
      <w:r>
        <w:rPr>
          <w:rFonts w:ascii="Arial" w:hAnsi="Arial" w:cs="Arial"/>
          <w:sz w:val="22"/>
        </w:rPr>
        <w:instrText xml:space="preserve">ADDIN CSL_CITATION {"citationItems":[{"id":"ITEM-1","itemData":{"author":[{"dropping-particle":"","family":"Wang","given":"Qian","non-dropping-particle":"","parse-names":false,"suffix":""},{"dropping-particle":"","family":"Kloet","given":"Jeroen","non-dropping-particle":"De","parse-names":false,"suffix":""}],"container-title":"Handbook of cultural and creative industries in China","id":"ITEM-1","issued":{"date-parts":[["2016"]]},"publisher":"Edward Elgar Publishing","title":"From ‘nothing to my name’to ‘I am a singer’: Market, capital, and politics in the Chinese music industry","type":"chapter"},"uris":["http://www.mendeley.com/documents/?uuid=397f97d1-fbe8-41e4-bfa3-569a63acf010"]}],"mendeley":{"formattedCitation":"(Wang &amp; De Kloet, 2016)","plainTextFormattedCitation":"(Wang &amp; De Kloet, 2016)","previouslyFormattedCitation":"(Wang &amp; De Kloet, 2016)"},"properties":{"noteIndex":0},"schema":"https://github.com/citation-style-language/schema/raw/master/csl-citation.json"}</w:instrText>
      </w:r>
      <w:r>
        <w:rPr>
          <w:rFonts w:ascii="Arial" w:hAnsi="Arial" w:cs="Arial"/>
          <w:sz w:val="22"/>
        </w:rPr>
        <w:fldChar w:fldCharType="separate"/>
      </w:r>
      <w:r>
        <w:rPr>
          <w:rFonts w:ascii="Arial" w:hAnsi="Arial" w:cs="Arial"/>
          <w:sz w:val="22"/>
        </w:rPr>
        <w:t>(Wang &amp; De Kloet, 2016)</w:t>
      </w:r>
      <w:r>
        <w:rPr>
          <w:rFonts w:ascii="Arial" w:hAnsi="Arial" w:cs="Arial"/>
          <w:sz w:val="22"/>
        </w:rPr>
        <w:fldChar w:fldCharType="end"/>
      </w:r>
      <w:r>
        <w:rPr>
          <w:rFonts w:ascii="Arial" w:hAnsi="Arial" w:cs="Arial"/>
          <w:sz w:val="22"/>
        </w:rPr>
        <w:t xml:space="preserve">. </w:t>
      </w:r>
    </w:p>
    <w:p>
      <w:pPr>
        <w:spacing w:before="156" w:beforeLines="50" w:after="156" w:afterLines="50" w:line="360" w:lineRule="auto"/>
        <w:rPr>
          <w:rFonts w:ascii="Arial" w:hAnsi="Arial" w:cs="Arial"/>
          <w:sz w:val="22"/>
        </w:rPr>
      </w:pPr>
      <w:r>
        <w:rPr>
          <w:rFonts w:ascii="Arial" w:hAnsi="Arial" w:cs="Arial"/>
          <w:sz w:val="22"/>
        </w:rPr>
        <w:t xml:space="preserve">No shows like the “I am a singer” have ever been put on the Chinese music market with an exceptionally high-standard stage and a uniform scoring mechanism for singers in one contest. The results were obvious, the show has made phenomenal outcomes. The show has maintained to be one of the most welcomed and watched TV shows in the mainland China market. The outcomes are not only on the show itself but also for singers participating in the show. Several singers who have long been disappearing from the market regained their momentum after joining the show </w:t>
      </w:r>
      <w:r>
        <w:rPr>
          <w:rFonts w:ascii="Arial" w:hAnsi="Arial" w:cs="Arial"/>
          <w:sz w:val="22"/>
        </w:rPr>
        <w:fldChar w:fldCharType="begin" w:fldLock="1"/>
      </w:r>
      <w:r>
        <w:rPr>
          <w:rFonts w:ascii="Arial" w:hAnsi="Arial" w:cs="Arial"/>
          <w:sz w:val="22"/>
        </w:rPr>
        <w:instrText xml:space="preserve">ADDIN CSL_CITATION {"citationItems":[{"id":"ITEM-1","itemData":{"ISSN":"1329-878X","author":[{"dropping-particle":"","family":"Zhao","given":"Elaine Jing","non-dropping-particle":"","parse-names":false,"suffix":""}],"container-title":"Media International Australia","id":"ITEM-1","issue":"1","issued":{"date-parts":[["2016"]]},"page":"53-62","publisher":"SAGE Publications Sage UK: London, England","title":"Collaboration reconfigured: The evolving landscape of entertainment TV markets between Taiwan and Mainland China","type":"article-journal","volume":"159"},"uris":["http://www.mendeley.com/documents/?uuid=2bad2909-a2f5-4167-be88-ae987b92ce8c"]},{"id":"ITEM-2","itemData":{"ISSN":"1748-0485","author":[{"dropping-particle":"","family":"Park","given":"Ji Hoon","non-dropping-particle":"","parse-names":false,"suffix":""},{"dropping-particle":"","family":"Lee","given":"Yong Suk","non-dropping-particle":"","parse-names":false,"suffix":""},{"dropping-particle":"","family":"Seo","given":"Hogeun","non-dropping-particle":"","parse-names":false,"suffix":""}],"container-title":"International Communication Gazette","id":"ITEM-2","issue":"2","issued":{"date-parts":[["2019"]]},"page":"139-157","publisher":"SAGE Publications Sage UK: London, England","title":"The rise and fall of Korean drama export to China: The history of state regulation of Korean dramas in China","type":"article-journal","volume":"81"},"uris":["http://www.mendeley.com/documents/?uuid=62977a0f-c2e4-44d1-835f-f9a4586202f0"]},{"id":"ITEM-3","itemData":{"ISSN":"0747-5632","author":[{"dropping-particle":"","family":"Yang","given":"Qinghua","non-dropping-particle":"","parse-names":false,"suffix":""},{"dropping-particle":"","family":"Liu","given":"Yu","non-dropping-particle":"","parse-names":false,"suffix":""}],"container-title":"Computers in human behavior","id":"ITEM-3","issued":{"date-parts":[["2014"]]},"page":"249-257","publisher":"Elsevier","title":"What’s on the other side of the great firewall? Chinese Web users’ motivations for bypassing the Internet censorship","type":"article-journal","volume":"37"},"uris":["http://www.mendeley.com/documents/?uuid=7cd6cdbf-20d4-4626-92e0-8d160b5ac73e"]}],"mendeley":{"formattedCitation":"(Park et al., 2019; Yang &amp; Liu, 2014; Zhao, 2016)","plainTextFormattedCitation":"(Park et al., 2019; Yang &amp; Liu, 2014; Zhao, 2016)","previouslyFormattedCitation":"(Park et al., 2019; Yang &amp; Liu, 2014; Zhao, 2016)"},"properties":{"noteIndex":0},"schema":"https://github.com/citation-style-language/schema/raw/master/csl-citation.json"}</w:instrText>
      </w:r>
      <w:r>
        <w:rPr>
          <w:rFonts w:ascii="Arial" w:hAnsi="Arial" w:cs="Arial"/>
          <w:sz w:val="22"/>
        </w:rPr>
        <w:fldChar w:fldCharType="separate"/>
      </w:r>
      <w:r>
        <w:rPr>
          <w:rFonts w:ascii="Arial" w:hAnsi="Arial" w:cs="Arial"/>
          <w:sz w:val="22"/>
        </w:rPr>
        <w:t>(Park et al., 2019; Yang &amp; Liu, 2014; Zhao, 2016)</w:t>
      </w:r>
      <w:r>
        <w:rPr>
          <w:rFonts w:ascii="Arial" w:hAnsi="Arial" w:cs="Arial"/>
          <w:sz w:val="22"/>
        </w:rPr>
        <w:fldChar w:fldCharType="end"/>
      </w:r>
      <w:r>
        <w:rPr>
          <w:rFonts w:ascii="Arial" w:hAnsi="Arial" w:cs="Arial"/>
          <w:sz w:val="22"/>
        </w:rPr>
        <w:t xml:space="preserve">. </w:t>
      </w:r>
    </w:p>
    <w:p>
      <w:pPr>
        <w:spacing w:before="156" w:beforeLines="50" w:after="156" w:afterLines="50" w:line="360" w:lineRule="auto"/>
        <w:rPr>
          <w:rFonts w:ascii="Arial" w:hAnsi="Arial" w:cs="Arial"/>
          <w:sz w:val="22"/>
        </w:rPr>
      </w:pPr>
      <w:r>
        <w:rPr>
          <w:rFonts w:ascii="Arial" w:hAnsi="Arial" w:cs="Arial"/>
          <w:sz w:val="22"/>
        </w:rPr>
        <w:t xml:space="preserve">The research object of this article is the official Weibo of TV entertainment programs. It is a typical emerging form of communication combining traditional media with new media, and it has received increasing attention and attention </w:t>
      </w:r>
      <w:r>
        <w:rPr>
          <w:rFonts w:ascii="Arial" w:hAnsi="Arial" w:cs="Arial"/>
          <w:sz w:val="22"/>
        </w:rPr>
        <w:fldChar w:fldCharType="begin" w:fldLock="1"/>
      </w:r>
      <w:r>
        <w:rPr>
          <w:rFonts w:ascii="Arial" w:hAnsi="Arial" w:cs="Arial"/>
          <w:sz w:val="22"/>
        </w:rPr>
        <w:instrText xml:space="preserve">ADDIN CSL_CITATION {"citationItems":[{"id":"ITEM-1","itemData":{"ISSN":"1757-5818","author":[{"dropping-particle":"","family":"Viswanathan","given":"Vijay","non-dropping-particle":"","parse-names":false,"suffix":""},{"dropping-particle":"","family":"Malthouse","given":"Edward C","non-dropping-particle":"","parse-names":false,"suffix":""},{"dropping-particle":"","family":"Maslowska","given":"Ewa","non-dropping-particle":"","parse-names":false,"suffix":""},{"dropping-particle":"","family":"Hoornaert","given":"Steven","non-dropping-particle":"","parse-names":false,"suffix":""},{"dropping-particle":"","family":"Poel","given":"Dirk","non-dropping-particle":"Van den","parse-names":false,"suffix":""}],"container-title":"Journal of Service Management","id":"ITEM-1","issued":{"date-parts":[["2018"]]},"publisher":"Emerald Publishing Limited","title":"Dynamics between social media engagement, firm-generated content, and live and time-shifted TV viewing","type":"article-journal"},"uris":["http://www.mendeley.com/documents/?uuid=7265e87a-72d1-44c3-aeb9-afaeeb42304b"]},{"id":"ITEM-2","itemData":{"ISBN":"1479918326","author":[{"dropping-particle":"","family":"Min","given":"Junghwan","non-dropping-particle":"","parse-names":false,"suffix":""},{"dropping-particle":"","family":"Zang","given":"Qi","non-dropping-particle":"","parse-names":false,"suffix":""},{"dropping-particle":"","family":"Liu","given":"Yaxin","non-dropping-particle":"","parse-names":false,"suffix":""}],"container-title":"2015 Systems and information engineering design symposium","id":"ITEM-2","issued":{"date-parts":[["2015"]]},"page":"283-288","publisher":"IEEE","title":"The influence of social media engagement on TV program ratings","type":"paper-conference"},"uris":["http://www.mendeley.com/documents/?uuid=6a3b6475-4c70-4ec0-816a-cba7261a736c"]},{"id":"ITEM-3","itemData":{"author":[{"dropping-particle":"","family":"Taneja","given":"Girish","non-dropping-particle":"","parse-names":false,"suffix":""},{"dropping-particle":"","family":"Bala","given":"Anu","non-dropping-particle":"","parse-names":false,"suffix":""}],"container-title":"Proceedings of 10th International Conference on Digital Strategies for Organizational Success","id":"ITEM-3","issued":{"date-parts":[["2019"]]},"title":"Current scenario of social media marketing","type":"paper-conference"},"uris":["http://www.mendeley.com/documents/?uuid=d75f5de3-ef06-4502-bbd9-800b043d6fce"]}],"mendeley":{"formattedCitation":"(Min et al., 2015; Taneja &amp; Bala, 2019; Viswanathan et al., 2018)","plainTextFormattedCitation":"(Min et al., 2015; Taneja &amp; Bala, 2019; Viswanathan et al., 2018)","previouslyFormattedCitation":"(Min et al., 2015; Taneja &amp; Bala, 2019; Viswanathan et al., 2018)"},"properties":{"noteIndex":0},"schema":"https://github.com/citation-style-language/schema/raw/master/csl-citation.json"}</w:instrText>
      </w:r>
      <w:r>
        <w:rPr>
          <w:rFonts w:ascii="Arial" w:hAnsi="Arial" w:cs="Arial"/>
          <w:sz w:val="22"/>
        </w:rPr>
        <w:fldChar w:fldCharType="separate"/>
      </w:r>
      <w:r>
        <w:rPr>
          <w:rFonts w:ascii="Arial" w:hAnsi="Arial" w:cs="Arial"/>
          <w:sz w:val="22"/>
        </w:rPr>
        <w:t>(Min et al., 2015; Taneja &amp; Bala, 2019; Viswanathan et al., 2018)</w:t>
      </w:r>
      <w:r>
        <w:rPr>
          <w:rFonts w:ascii="Arial" w:hAnsi="Arial" w:cs="Arial"/>
          <w:sz w:val="22"/>
        </w:rPr>
        <w:fldChar w:fldCharType="end"/>
      </w:r>
      <w:r>
        <w:rPr>
          <w:rFonts w:ascii="Arial" w:hAnsi="Arial" w:cs="Arial"/>
          <w:sz w:val="22"/>
        </w:rPr>
        <w:t xml:space="preserve">. As a form of expression of new media, it is highly interactive and not limited by time and space. Social media content, which is generated by their users, can be accessed at any time so long it’s not deleted from anywhere in the vast virtual community </w:t>
      </w:r>
      <w:r>
        <w:rPr>
          <w:rFonts w:ascii="Arial" w:hAnsi="Arial" w:cs="Arial"/>
          <w:sz w:val="22"/>
        </w:rPr>
        <w:fldChar w:fldCharType="begin" w:fldLock="1"/>
      </w:r>
      <w:r>
        <w:rPr>
          <w:rFonts w:ascii="Arial" w:hAnsi="Arial" w:cs="Arial"/>
          <w:sz w:val="22"/>
        </w:rPr>
        <w:instrText xml:space="preserve">ADDIN CSL_CITATION {"citationItems":[{"id":"ITEM-1","itemData":{"DOI":"10.1007/s11747-019-00695-1","ISSN":"15527824","abstract":"Social media allows people to freely interact with others and offers multiple ways for marketers to reach and engage with consumers. Considering the numerous ways social media affects individuals and businesses alike, in this article, the authors focus on where they believe the future of social media lies when considering marketing-related topics and issues. Drawing on academic research, discussions with industry leaders, and popular discourse, the authors identify nine themes, organized by predicted imminence (i.e., the immediate, near, and far futures), that they believe will meaningfully shape the future of social media through three lenses: consumer, industry, and public policy. Within each theme, the authors describe the digital landscape, present and discuss their predictions, and identify relevant future research directions for academics and practitioners.","author":[{"dropping-particle":"","family":"Appel","given":"Gil","non-dropping-particle":"","parse-names":false,"suffix":""},{"dropping-particle":"","family":"Grewal","given":"Lauren","non-dropping-particle":"","parse-names":false,"suffix":""},{"dropping-particle":"","family":"Hadi","given":"Rhonda","non-dropping-particle":"","parse-names":false,"suffix":""},{"dropping-particle":"","family":"Stephen","given":"Andrew T.","non-dropping-particle":"","parse-names":false,"suffix":""}],"container-title":"Journal of the Academy of Marketing Science","id":"ITEM-1","issue":"1","issued":{"date-parts":[["2020"]]},"page":"79-95","title":"The future of social media in marketing","type":"article-journal","volume":"48"},"uris":["http://www.mendeley.com/documents/?uuid=d870e0b9-eb93-42b1-b5aa-67b395c321b2"]}],"mendeley":{"formattedCitation":"(Appel et al., 2020)","plainTextFormattedCitation":"(Appel et al., 2020)","previouslyFormattedCitation":"(Appel et al., 2020)"},"properties":{"noteIndex":0},"schema":"https://github.com/citation-style-language/schema/raw/master/csl-citation.json"}</w:instrText>
      </w:r>
      <w:r>
        <w:rPr>
          <w:rFonts w:ascii="Arial" w:hAnsi="Arial" w:cs="Arial"/>
          <w:sz w:val="22"/>
        </w:rPr>
        <w:fldChar w:fldCharType="separate"/>
      </w:r>
      <w:r>
        <w:rPr>
          <w:rFonts w:ascii="Arial" w:hAnsi="Arial" w:cs="Arial"/>
          <w:sz w:val="22"/>
        </w:rPr>
        <w:t>(Appel et al., 2020)</w:t>
      </w:r>
      <w:r>
        <w:rPr>
          <w:rFonts w:ascii="Arial" w:hAnsi="Arial" w:cs="Arial"/>
          <w:sz w:val="22"/>
        </w:rPr>
        <w:fldChar w:fldCharType="end"/>
      </w:r>
      <w:r>
        <w:rPr>
          <w:rFonts w:ascii="Arial" w:hAnsi="Arial" w:cs="Arial"/>
          <w:sz w:val="22"/>
        </w:rPr>
        <w:t xml:space="preserve">. It also has an unlimited capacity and rich and colourful multimedia, which highlights the advantages of new media from all aspects. According to the importance of TV entertainment programs and the popularity on the Internet, the use-value of official Weibo has been affirmed in many ways, which also makes it of great research significance </w:t>
      </w:r>
      <w:r>
        <w:rPr>
          <w:rFonts w:ascii="Arial" w:hAnsi="Arial" w:cs="Arial"/>
          <w:sz w:val="22"/>
        </w:rPr>
        <w:fldChar w:fldCharType="begin" w:fldLock="1"/>
      </w:r>
      <w:r>
        <w:rPr>
          <w:rFonts w:ascii="Arial" w:hAnsi="Arial" w:cs="Arial"/>
          <w:sz w:val="22"/>
        </w:rPr>
        <w:instrText xml:space="preserve">ADDIN CSL_CITATION {"citationItems":[{"id":"ITEM-1","itemData":{"DOI":"10.1007/s11747-018-0621-6","ISSN":"00920703","abstract":"Online interactions have emerged as a dominant exchange mode for companies and customers. Cultivating online relationships—defined as relational exchanges that are mediated by Internet-based channels—presents firms with challenges and opportunities. In lockstep with exponential advancements in computing technology, a rich and ever-evolving toolbox is available to relationship marketers to manage customer relationships online, in settings including e-commerce, social media, online communities, mobile, big data, artificial intelligence, and augmented reality. To advance academic knowledge and guide managerial decision making, this study offers a comprehensive analysis of online relationship marketing in terms of its conceptual foundations, evolution in business practice, and empirical insights from academic research. The authors propose an evolving theory of online relationship marketing, characterizing online relationships as uniquely seamless, networked, omnichannel, personalized, and anthropomorphized. Based on these five essential features, six tenets and 11 corresponding propositions parsimoniously predict the performance effects of the manifold online relationship marketing strategies.","author":[{"dropping-particle":"","family":"Steinhoff","given":"Lena","non-dropping-particle":"","parse-names":false,"suffix":""},{"dropping-particle":"","family":"Arli","given":"Denni","non-dropping-particle":"","parse-names":false,"suffix":""},{"dropping-particle":"","family":"Weaven","given":"Scott","non-dropping-particle":"","parse-names":false,"suffix":""},{"dropping-particle":"V.","family":"Kozlenkova","given":"Irina","non-dropping-particle":"","parse-names":false,"suffix":""}],"container-title":"Journal of the Academy of Marketing Science","id":"ITEM-1","issue":"3","issued":{"date-parts":[["2019"]]},"page":"369-393","publisher":"Springer","title":"Online relationship marketing","type":"article-journal","volume":"47"},"uris":["http://www.mendeley.com/documents/?uuid=d5792593-540a-4001-b7d7-5c000f253b54"]}],"mendeley":{"formattedCitation":"(Steinhoff et al., 2019)","plainTextFormattedCitation":"(Steinhoff et al., 2019)","previouslyFormattedCitation":"(Steinhoff et al., 2019)"},"properties":{"noteIndex":0},"schema":"https://github.com/citation-style-language/schema/raw/master/csl-citation.json"}</w:instrText>
      </w:r>
      <w:r>
        <w:rPr>
          <w:rFonts w:ascii="Arial" w:hAnsi="Arial" w:cs="Arial"/>
          <w:sz w:val="22"/>
        </w:rPr>
        <w:fldChar w:fldCharType="separate"/>
      </w:r>
      <w:r>
        <w:rPr>
          <w:rFonts w:ascii="Arial" w:hAnsi="Arial" w:cs="Arial"/>
          <w:sz w:val="22"/>
        </w:rPr>
        <w:t>(Steinhoff et al., 2019)</w:t>
      </w:r>
      <w:r>
        <w:rPr>
          <w:rFonts w:ascii="Arial" w:hAnsi="Arial" w:cs="Arial"/>
          <w:sz w:val="22"/>
        </w:rPr>
        <w:fldChar w:fldCharType="end"/>
      </w:r>
      <w:r>
        <w:rPr>
          <w:rFonts w:ascii="Arial" w:hAnsi="Arial" w:cs="Arial"/>
          <w:sz w:val="22"/>
        </w:rPr>
        <w:t xml:space="preserve">. </w:t>
      </w:r>
    </w:p>
    <w:p>
      <w:pPr>
        <w:spacing w:before="156" w:beforeLines="50" w:after="156" w:afterLines="50" w:line="360" w:lineRule="auto"/>
        <w:rPr>
          <w:rFonts w:ascii="Arial" w:hAnsi="Arial" w:cs="Arial"/>
          <w:sz w:val="22"/>
        </w:rPr>
      </w:pPr>
      <w:r>
        <w:rPr>
          <w:rFonts w:ascii="Arial" w:hAnsi="Arial" w:cs="Arial"/>
          <w:sz w:val="22"/>
        </w:rPr>
        <w:t>The overall aim of this dissertation is to establish the understanding of how the phenomenal TV show in China, “I am a singer”, has adopted the social media platform in China, the Weibo platform, for marketing. Three objectives are set out for this dissertation. This dissertation first aims to sort out and analyze the TV entertainment program form, summarize its characteristics, states its mode of transmission in the traditional media era, and studies the unique value and significance of its use of emerging media for communication (Zhang, 2014). Secondly, this dissertation will take the official Weibo of “I’m a Singer” as an example to analyze and research the social media marketing of television entertainment programs, on Weibo, and analyze its communication strategies from the perspective of communication science (Yang, 2010). Finally, this dissertation will put forward some shortcomings in the official Weibo for marketing of TV entertainment programs, analyze and explore this, and put forward suggestions for its development. The significance of this paper is divided into theoretical and practical aspects. Theoretically, this dissertation helps summarize various aspects of this new fusion of traditional media and emerging media. From a practical point of view, this article provides some reference for traditional media to use the emerging media as a platform to promote their programs. The main research direction of this dissertation is the marketing strategy of “I am a singer”. These include “I am a singer” Weibo marketing and public account marketing. Through the study of communication science, from the perspective of audience psychology, and the perspective of media integration, the research of combining television entertainment programs with official Weibo.</w:t>
      </w:r>
    </w:p>
    <w:p>
      <w:pPr>
        <w:widowControl/>
        <w:spacing w:before="156" w:beforeLines="50" w:after="156" w:afterLines="50" w:line="360" w:lineRule="auto"/>
        <w:jc w:val="left"/>
        <w:rPr>
          <w:rFonts w:ascii="Arial" w:hAnsi="Arial" w:cs="Arial"/>
          <w:sz w:val="22"/>
        </w:rPr>
      </w:pPr>
      <w:r>
        <w:rPr>
          <w:rFonts w:ascii="Arial" w:hAnsi="Arial" w:cs="Arial"/>
          <w:sz w:val="22"/>
        </w:rPr>
        <w:br w:type="page"/>
      </w:r>
    </w:p>
    <w:bookmarkEnd w:id="6"/>
    <w:p>
      <w:pPr>
        <w:pStyle w:val="2"/>
        <w:numPr>
          <w:ilvl w:val="0"/>
          <w:numId w:val="1"/>
        </w:numPr>
        <w:spacing w:before="156" w:beforeLines="50" w:after="156" w:afterLines="50" w:line="360" w:lineRule="auto"/>
        <w:rPr>
          <w:rFonts w:ascii="Arial" w:hAnsi="Arial" w:cs="Arial"/>
          <w:sz w:val="32"/>
          <w:szCs w:val="32"/>
        </w:rPr>
      </w:pPr>
      <w:bookmarkStart w:id="8" w:name="_Toc103303759"/>
      <w:r>
        <w:rPr>
          <w:rFonts w:ascii="Arial" w:hAnsi="Arial" w:cs="Arial"/>
          <w:sz w:val="32"/>
          <w:szCs w:val="32"/>
        </w:rPr>
        <w:t>Literature review</w:t>
      </w:r>
      <w:bookmarkEnd w:id="8"/>
      <w:r>
        <w:rPr>
          <w:rFonts w:ascii="Arial" w:hAnsi="Arial" w:cs="Arial"/>
          <w:sz w:val="32"/>
          <w:szCs w:val="32"/>
        </w:rPr>
        <w:t xml:space="preserve"> </w:t>
      </w:r>
    </w:p>
    <w:p>
      <w:pPr>
        <w:spacing w:before="156" w:beforeLines="50" w:after="156" w:afterLines="50" w:line="360" w:lineRule="auto"/>
        <w:rPr>
          <w:rFonts w:ascii="Arial" w:hAnsi="Arial" w:cs="Arial"/>
          <w:sz w:val="22"/>
        </w:rPr>
      </w:pPr>
      <w:bookmarkStart w:id="9" w:name="_Toc16442"/>
      <w:bookmarkStart w:id="10" w:name="_Toc10124"/>
      <w:bookmarkStart w:id="11" w:name="_Toc11933"/>
      <w:r>
        <w:rPr>
          <w:rFonts w:ascii="Arial" w:hAnsi="Arial" w:cs="Arial"/>
          <w:sz w:val="22"/>
        </w:rPr>
        <w:t xml:space="preserve">The literature review in this chapter aims to, based on previous practices of the adoption of social media marketing by TV entertainment programs, explore the theoretical underpinnings of the adoption of social media marketing in TV shows from the perspectives of communication science, audience psychological processes and media integration. </w:t>
      </w:r>
    </w:p>
    <w:p>
      <w:pPr>
        <w:pStyle w:val="3"/>
        <w:numPr>
          <w:ilvl w:val="1"/>
          <w:numId w:val="1"/>
        </w:numPr>
        <w:spacing w:before="156" w:beforeLines="50" w:after="156" w:afterLines="50" w:line="360" w:lineRule="auto"/>
        <w:rPr>
          <w:rFonts w:ascii="Arial" w:hAnsi="Arial" w:cs="Arial"/>
          <w:sz w:val="28"/>
          <w:szCs w:val="28"/>
        </w:rPr>
      </w:pPr>
      <w:bookmarkStart w:id="12" w:name="_Toc103303760"/>
      <w:r>
        <w:rPr>
          <w:rFonts w:ascii="Arial" w:hAnsi="Arial" w:cs="Arial"/>
          <w:sz w:val="28"/>
          <w:szCs w:val="28"/>
        </w:rPr>
        <w:t>The perspective of communication science</w:t>
      </w:r>
      <w:bookmarkEnd w:id="9"/>
      <w:bookmarkEnd w:id="10"/>
      <w:bookmarkEnd w:id="11"/>
      <w:bookmarkEnd w:id="12"/>
    </w:p>
    <w:p>
      <w:pPr>
        <w:spacing w:before="156" w:beforeLines="50" w:after="156" w:afterLines="50" w:line="360" w:lineRule="auto"/>
        <w:rPr>
          <w:rFonts w:ascii="Arial" w:hAnsi="Arial" w:cs="Arial"/>
          <w:sz w:val="22"/>
        </w:rPr>
      </w:pPr>
      <w:r>
        <w:rPr>
          <w:rFonts w:ascii="Arial" w:hAnsi="Arial" w:cs="Arial"/>
          <w:sz w:val="22"/>
        </w:rPr>
        <w:t>Taking ”The Voice of China “as an Example”, Zhu Tian (2013) pointed out that the emergence of the new media environment has brought traditional media both challenges, and opportunities, to analyze the elements successfully propagated by the specific program “China good voice” and to explore how to use the program for their new media campaign to succeed. And traditional TV media should be made based on consolidating the traditional media platform on the full use of new media resources to meet the challenges in the new media era to the traditional television programming brings (Li, 2015).</w:t>
      </w:r>
    </w:p>
    <w:p>
      <w:pPr>
        <w:spacing w:before="156" w:beforeLines="50" w:after="156" w:afterLines="50" w:line="360" w:lineRule="auto"/>
        <w:rPr>
          <w:rFonts w:ascii="Arial" w:hAnsi="Arial" w:cs="Arial"/>
          <w:sz w:val="22"/>
        </w:rPr>
      </w:pPr>
      <w:r>
        <w:rPr>
          <w:rFonts w:ascii="Arial" w:hAnsi="Arial" w:cs="Arial"/>
          <w:sz w:val="22"/>
        </w:rPr>
        <w:t>From the perspective of communication, this type of research focuses on analyzing a new communication mode formed by the combination of TV programs and official Weibo formed in the new media era and focuses on the typical communication samples. While summarizing the predecessors’ views, this dissertation will also on the perspective of communication, and from this level, this dissertation will analyze and discuss the official Weibo of TV entertainment programs.</w:t>
      </w:r>
    </w:p>
    <w:p>
      <w:pPr>
        <w:pStyle w:val="3"/>
        <w:numPr>
          <w:ilvl w:val="1"/>
          <w:numId w:val="1"/>
        </w:numPr>
        <w:spacing w:before="156" w:beforeLines="50" w:after="156" w:afterLines="50" w:line="360" w:lineRule="auto"/>
        <w:rPr>
          <w:rFonts w:ascii="Arial" w:hAnsi="Arial" w:cs="Arial"/>
          <w:sz w:val="28"/>
          <w:szCs w:val="28"/>
        </w:rPr>
      </w:pPr>
      <w:bookmarkStart w:id="13" w:name="_Toc14139"/>
      <w:bookmarkStart w:id="14" w:name="_Toc103303761"/>
      <w:bookmarkStart w:id="15" w:name="_Toc22166"/>
      <w:bookmarkStart w:id="16" w:name="_Toc23839"/>
      <w:r>
        <w:rPr>
          <w:rFonts w:ascii="Arial" w:hAnsi="Arial" w:cs="Arial"/>
          <w:sz w:val="28"/>
          <w:szCs w:val="28"/>
        </w:rPr>
        <w:t>The perspective of audience psychology</w:t>
      </w:r>
      <w:bookmarkEnd w:id="13"/>
      <w:bookmarkEnd w:id="14"/>
      <w:bookmarkEnd w:id="15"/>
      <w:bookmarkEnd w:id="16"/>
    </w:p>
    <w:p>
      <w:pPr>
        <w:spacing w:before="156" w:beforeLines="50" w:after="156" w:afterLines="50" w:line="360" w:lineRule="auto"/>
        <w:rPr>
          <w:rFonts w:ascii="Arial" w:hAnsi="Arial" w:cs="Arial"/>
          <w:sz w:val="22"/>
        </w:rPr>
      </w:pPr>
      <w:r>
        <w:rPr>
          <w:rFonts w:ascii="Arial" w:hAnsi="Arial" w:cs="Arial"/>
          <w:sz w:val="22"/>
        </w:rPr>
        <w:t>Taking the official Weibo audience of TV entertainment programs as the main research object, using demand motivation theory, use and satisfaction theory, and attitude function theory to conduct detailed research on the composition of research objects, motivations, behaviours and attitudes, it is found that, the use of an official Weibo account for TV show marketing is in line with the needs of the audience, and achieve a great harvest of social and economic benefits (Wang Yanru, 2013).</w:t>
      </w:r>
    </w:p>
    <w:p>
      <w:pPr>
        <w:spacing w:before="156" w:beforeLines="50" w:after="156" w:afterLines="50" w:line="360" w:lineRule="auto"/>
        <w:rPr>
          <w:rFonts w:ascii="Arial" w:hAnsi="Arial" w:cs="Arial"/>
          <w:sz w:val="22"/>
        </w:rPr>
      </w:pPr>
      <w:r>
        <w:rPr>
          <w:rFonts w:ascii="Arial" w:hAnsi="Arial" w:cs="Arial"/>
          <w:sz w:val="22"/>
        </w:rPr>
        <w:t>This type of research focuses on the audience, the audience, and uses a variety of communication theories to focus on exploring the value and significance of audiences on official Weibo. As a combination of television entertainment programs and official microblogs, the audience should be an important focus, but it is not only the only concern. In the fusion of television entertainment programs and official microblogs, there are many worthies of our research and discussion.</w:t>
      </w:r>
    </w:p>
    <w:p>
      <w:pPr>
        <w:pStyle w:val="3"/>
        <w:numPr>
          <w:ilvl w:val="1"/>
          <w:numId w:val="1"/>
        </w:numPr>
        <w:spacing w:before="156" w:beforeLines="50" w:after="156" w:afterLines="50" w:line="360" w:lineRule="auto"/>
        <w:rPr>
          <w:rFonts w:ascii="Arial" w:hAnsi="Arial" w:cs="Arial"/>
          <w:sz w:val="28"/>
          <w:szCs w:val="28"/>
        </w:rPr>
      </w:pPr>
      <w:bookmarkStart w:id="17" w:name="_Toc103303762"/>
      <w:bookmarkStart w:id="18" w:name="_Toc6309"/>
      <w:bookmarkStart w:id="19" w:name="_Toc16678"/>
      <w:bookmarkStart w:id="20" w:name="_Toc5221"/>
      <w:r>
        <w:rPr>
          <w:rFonts w:ascii="Arial" w:hAnsi="Arial" w:cs="Arial"/>
          <w:sz w:val="28"/>
          <w:szCs w:val="28"/>
        </w:rPr>
        <w:t>The perspective of media integration</w:t>
      </w:r>
      <w:bookmarkEnd w:id="17"/>
      <w:bookmarkEnd w:id="18"/>
      <w:bookmarkEnd w:id="19"/>
      <w:bookmarkEnd w:id="20"/>
    </w:p>
    <w:p>
      <w:pPr>
        <w:spacing w:before="156" w:beforeLines="50" w:after="156" w:afterLines="50" w:line="360" w:lineRule="auto"/>
        <w:rPr>
          <w:rFonts w:ascii="Arial" w:hAnsi="Arial" w:cs="Arial"/>
          <w:sz w:val="22"/>
        </w:rPr>
      </w:pPr>
      <w:r>
        <w:rPr>
          <w:rFonts w:ascii="Arial" w:hAnsi="Arial" w:cs="Arial"/>
          <w:sz w:val="22"/>
        </w:rPr>
        <w:t>With the development of media technology, the original independent TV, network, and various mobile technologies have been integrated to reconstruct the media ecological environment. TV programs conformed to this general trend, broke the previous single-line transmission mode of television transmission, and began to try to integrate the single-line transmission mode with the emerging communication mode. “The Voice of China” program integrates communication and interactive practice and specific analysis (Zhang Yiting, 2014).</w:t>
      </w:r>
    </w:p>
    <w:p>
      <w:pPr>
        <w:spacing w:before="156" w:beforeLines="50" w:after="156" w:afterLines="50" w:line="360" w:lineRule="auto"/>
        <w:rPr>
          <w:rFonts w:ascii="Arial" w:hAnsi="Arial" w:cs="Arial"/>
          <w:sz w:val="22"/>
        </w:rPr>
      </w:pPr>
      <w:r>
        <w:rPr>
          <w:rFonts w:ascii="Arial" w:hAnsi="Arial" w:cs="Arial"/>
          <w:sz w:val="22"/>
        </w:rPr>
        <w:t>Wang Wenting and Li Huimin pointed out in the journal article “Research on All-Media Interactive Channel Models of TV Entertainment Programs” published in the “Lanzhou Academic Journal” in April 2014 that TV entertainment programs have gradually shifted from being “focused on communicators” to “focused on audiences” “Centre”, while constantly changing and developing, has formed a new interactive channel model. To achieve better development of TV entertainment programs, we must fully combine the advantages and characteristics of the whole media and “seek common ground while shelving differences” in the great convergence (Wang Wenting, 2014).</w:t>
      </w:r>
    </w:p>
    <w:p>
      <w:pPr>
        <w:spacing w:before="156" w:beforeLines="50" w:after="156" w:afterLines="50" w:line="360" w:lineRule="auto"/>
        <w:rPr>
          <w:rFonts w:ascii="Arial" w:hAnsi="Arial" w:cs="Arial"/>
          <w:sz w:val="22"/>
        </w:rPr>
      </w:pPr>
      <w:r>
        <w:rPr>
          <w:rFonts w:ascii="Arial" w:hAnsi="Arial" w:cs="Arial"/>
          <w:sz w:val="22"/>
        </w:rPr>
        <w:t>In such media-integrated articles, the research focuses on the word “fusion”. In addition to the papers by Shi Lei, Guo Sichen, Wang Wenting, Li Huimin, and Yang Miao, the integration of TV entertainment and official Weibo There is not much communication research. This research focus will be on the official Weibo communication strategies, content deficiencies, and recommended measures of TV entertainment programs, which have certain significance and value.</w:t>
      </w:r>
    </w:p>
    <w:p>
      <w:pPr>
        <w:spacing w:before="156" w:beforeLines="50" w:after="156" w:afterLines="50" w:line="360" w:lineRule="auto"/>
        <w:rPr>
          <w:rFonts w:ascii="Arial" w:hAnsi="Arial" w:cs="Arial"/>
          <w:sz w:val="22"/>
        </w:rPr>
      </w:pPr>
      <w:r>
        <w:rPr>
          <w:rFonts w:ascii="Arial" w:hAnsi="Arial" w:cs="Arial"/>
          <w:sz w:val="22"/>
        </w:rPr>
        <w:t xml:space="preserve">Social media marketing is simply the use of social media as a platform and tool for product promotion, to smoothly realize the process of increasing product awareness and reputation and developing more consumers. Social media marketing is essentially a model of corporate marketing, making use of the advantages of a wide social media audience and good communication results </w:t>
      </w:r>
      <w:r>
        <w:rPr>
          <w:rFonts w:ascii="Arial" w:hAnsi="Arial" w:cs="Arial"/>
          <w:sz w:val="22"/>
        </w:rPr>
        <w:fldChar w:fldCharType="begin" w:fldLock="1"/>
      </w:r>
      <w:r>
        <w:rPr>
          <w:rFonts w:ascii="Arial" w:hAnsi="Arial" w:cs="Arial"/>
          <w:sz w:val="22"/>
        </w:rPr>
        <w:instrText xml:space="preserve">ADDIN CSL_CITATION {"citationItems":[{"id":"ITEM-1","itemData":{"DOI":"10.1016/j.techfore.2018.11.025","ISSN":"00401625","abstract":"With the prevalence of Internet, social media has become an important means for online marketing events. Individuals and companies both create fan pages on online platforms and develop business opportunities using social media. While many past studies have investigated social media, few have mentioned the effects of social media marketing activities. This study proposed the effects of social media marketing activities on continuance intention, participation intention and purchase intention via the mediation of social identification, perceived value, and satisfaction. To empirically test the effects of social media marketing activities, this study conducted an online survey on 502 social media users for data analysis. The analytical results indicated that social media marketing activities indirectly affect satisfaction through social identification and perceived value. At the same time, social identification and perceived value directly affect satisfaction that then influences continuance intention, participation intention and purchase intention. Finally, the academic and management implications based on the empirical results of this study are provided as references for the improvement of social media marketing.","author":[{"dropping-particle":"","family":"Chen","given":"Shih Chih","non-dropping-particle":"","parse-names":false,"suffix":""},{"dropping-particle":"","family":"Lin","given":"Chieh Peng","non-dropping-particle":"","parse-names":false,"suffix":""}],"container-title":"Technological Forecasting and Social Change","id":"ITEM-1","issued":{"date-parts":[["2019"]]},"page":"22-32","publisher":"Elsevier","title":"Understanding the effect of social media marketing activities: The mediation of social identification, perceived value, and satisfaction","type":"article-journal","volume":"140"},"uris":["http://www.mendeley.com/documents/?uuid=d5d06730-8f99-4c72-ab2e-e9f090f67492"]}],"mendeley":{"formattedCitation":"(Chen &amp; Lin, 2019)","plainTextFormattedCitation":"(Chen &amp; Lin, 2019)","previouslyFormattedCitation":"(Chen &amp; Lin, 2019)"},"properties":{"noteIndex":0},"schema":"https://github.com/citation-style-language/schema/raw/master/csl-citation.json"}</w:instrText>
      </w:r>
      <w:r>
        <w:rPr>
          <w:rFonts w:ascii="Arial" w:hAnsi="Arial" w:cs="Arial"/>
          <w:sz w:val="22"/>
        </w:rPr>
        <w:fldChar w:fldCharType="separate"/>
      </w:r>
      <w:r>
        <w:rPr>
          <w:rFonts w:ascii="Arial" w:hAnsi="Arial" w:cs="Arial"/>
          <w:sz w:val="22"/>
        </w:rPr>
        <w:t>(Chen &amp; Lin, 2019)</w:t>
      </w:r>
      <w:r>
        <w:rPr>
          <w:rFonts w:ascii="Arial" w:hAnsi="Arial" w:cs="Arial"/>
          <w:sz w:val="22"/>
        </w:rPr>
        <w:fldChar w:fldCharType="end"/>
      </w:r>
      <w:r>
        <w:rPr>
          <w:rFonts w:ascii="Arial" w:hAnsi="Arial" w:cs="Arial"/>
          <w:sz w:val="22"/>
        </w:rPr>
        <w:t xml:space="preserve">. Social media marketing itself has the characteristics of being measurable, fast, low cost, and highly interactive. Measurable refers to the use of network information technology to accurately see how many people have seen a company’s marketing advertisements; fast means social media The real-time nature of marketing communication allows every netizen to obtain marketing content on social media promptly; low cost means that compared to traditional media, single-person advertising costs are lower; strong interactivity means that all netizens on social media Interactive communication can be carried out, which leads to enhanced marketing interactivity </w:t>
      </w:r>
      <w:r>
        <w:rPr>
          <w:rFonts w:ascii="Arial" w:hAnsi="Arial" w:cs="Arial"/>
          <w:sz w:val="22"/>
        </w:rPr>
        <w:fldChar w:fldCharType="begin" w:fldLock="1"/>
      </w:r>
      <w:r>
        <w:rPr>
          <w:rFonts w:ascii="Arial" w:hAnsi="Arial" w:cs="Arial"/>
          <w:sz w:val="22"/>
        </w:rPr>
        <w:instrText xml:space="preserve">ADDIN CSL_CITATION {"citationItems":[{"id":"ITEM-1","itemData":{"DOI":"10.1108/20426761211243955","ISSN":"20426763","abstract":"Purpose: The purpose of this paper is to explore the field of social marketing. The field needs to evaluate what works, and more importantly for it to prosper and remain relevant, it must discover and incorporate concepts and techniques from other disciplines that are aligned around core ideas of people-centered and socially oriented. Design/methodology/approach: The paper reviews new insights and understandings from modern social marketing practice, social innovation, design thinking and service design, social media, transformative consumer research, marketing theory and advertising practice and develops a model for transforming social marketing thought, research and practice. Findings: A three dimensional model is presented that includes: scope - co-creation, conversations, communities and markets; design - honoring people, radiating value, engaging service and enhancing experiences; value space - dignity, hope, love and trust. Originality/value: The presentation weaves together a set of ideas from different disciplines that together strengthen the social marketing approach and provide a broader set of outcomes and perspectives that can be incorporated into work in this field. © Emerald Group Publishing Limited.","author":[{"dropping-particle":"","family":"Lefebvre","given":"R. Craig","non-dropping-particle":"","parse-names":false,"suffix":""}],"container-title":"Journal of Social Marketing","id":"ITEM-1","issue":"2","issued":{"date-parts":[["2012"]]},"page":"118-129","publisher":"Emerald Group Publishing Limited","title":"Transformative social marketing: Co-creating the social marketing discipline and brand","type":"article-journal","volume":"2"},"uris":["http://www.mendeley.com/documents/?uuid=e782027e-63df-4e1b-b025-918a0286478d"]}],"mendeley":{"formattedCitation":"(Lefebvre, 2012)","plainTextFormattedCitation":"(Lefebvre, 2012)","previouslyFormattedCitation":"(Lefebvre, 2012)"},"properties":{"noteIndex":0},"schema":"https://github.com/citation-style-language/schema/raw/master/csl-citation.json"}</w:instrText>
      </w:r>
      <w:r>
        <w:rPr>
          <w:rFonts w:ascii="Arial" w:hAnsi="Arial" w:cs="Arial"/>
          <w:sz w:val="22"/>
        </w:rPr>
        <w:fldChar w:fldCharType="separate"/>
      </w:r>
      <w:r>
        <w:rPr>
          <w:rFonts w:ascii="Arial" w:hAnsi="Arial" w:cs="Arial"/>
          <w:sz w:val="22"/>
        </w:rPr>
        <w:t>(Lefebvre, 2012)</w:t>
      </w:r>
      <w:r>
        <w:rPr>
          <w:rFonts w:ascii="Arial" w:hAnsi="Arial" w:cs="Arial"/>
          <w:sz w:val="22"/>
        </w:rPr>
        <w:fldChar w:fldCharType="end"/>
      </w:r>
      <w:r>
        <w:rPr>
          <w:rFonts w:ascii="Arial" w:hAnsi="Arial" w:cs="Arial"/>
          <w:sz w:val="22"/>
        </w:rPr>
        <w:t>.</w:t>
      </w:r>
    </w:p>
    <w:p>
      <w:pPr>
        <w:spacing w:before="156" w:beforeLines="50" w:after="156" w:afterLines="50" w:line="360" w:lineRule="auto"/>
        <w:rPr>
          <w:rFonts w:ascii="Arial" w:hAnsi="Arial" w:cs="Arial"/>
          <w:sz w:val="22"/>
        </w:rPr>
      </w:pPr>
      <w:r>
        <w:rPr>
          <w:rFonts w:ascii="Arial" w:hAnsi="Arial" w:cs="Arial"/>
          <w:sz w:val="22"/>
        </w:rPr>
        <w:t>Weibo marketing refers to a marketing method that is executed by the Weibo platform to create value for businesses, individuals, etc., and refers to the business behaviour of businesses or individuals using the Weibo platform to discover and meet the various needs of users. Weibo Marketing uses Weibo as a marketing platform. Every audience (fan) is a potential marketing object. The company uses its updated micro-blog to disseminate corporate information and product information to netizens and establish a good corporate image and product image. Update the content every day to communicate with everyone, or to publish topics that everyone is interested in, to achieve the purpose of marketing. This way is the newly launched Weibo marketing on the Internet.</w:t>
      </w:r>
      <w:bookmarkStart w:id="21" w:name="_Toc7349_WPSOffice_Level1"/>
    </w:p>
    <w:p>
      <w:pPr>
        <w:widowControl/>
        <w:spacing w:line="360" w:lineRule="auto"/>
        <w:jc w:val="left"/>
        <w:rPr>
          <w:rFonts w:ascii="Arial" w:hAnsi="Arial" w:cs="Arial"/>
          <w:sz w:val="22"/>
        </w:rPr>
      </w:pPr>
      <w:r>
        <w:rPr>
          <w:rFonts w:ascii="Arial" w:hAnsi="Arial" w:cs="Arial"/>
          <w:sz w:val="22"/>
        </w:rPr>
        <w:br w:type="page"/>
      </w:r>
    </w:p>
    <w:bookmarkEnd w:id="21"/>
    <w:p>
      <w:pPr>
        <w:pStyle w:val="2"/>
        <w:numPr>
          <w:ilvl w:val="0"/>
          <w:numId w:val="1"/>
        </w:numPr>
        <w:spacing w:before="156" w:beforeLines="50" w:after="156" w:afterLines="50" w:line="360" w:lineRule="auto"/>
        <w:rPr>
          <w:rFonts w:ascii="Arial" w:hAnsi="Arial" w:cs="Arial"/>
          <w:sz w:val="32"/>
          <w:szCs w:val="32"/>
        </w:rPr>
      </w:pPr>
      <w:bookmarkStart w:id="22" w:name="_Toc921"/>
      <w:bookmarkStart w:id="23" w:name="_Toc103303763"/>
      <w:bookmarkStart w:id="24" w:name="_Toc28936"/>
      <w:bookmarkStart w:id="25" w:name="_Toc31459"/>
      <w:r>
        <w:rPr>
          <w:rFonts w:ascii="Arial" w:hAnsi="Arial" w:cs="Arial"/>
          <w:sz w:val="32"/>
          <w:szCs w:val="32"/>
        </w:rPr>
        <w:t>Research method</w:t>
      </w:r>
      <w:bookmarkEnd w:id="22"/>
      <w:bookmarkEnd w:id="23"/>
      <w:bookmarkEnd w:id="24"/>
      <w:bookmarkEnd w:id="25"/>
    </w:p>
    <w:p>
      <w:pPr>
        <w:spacing w:before="156" w:beforeLines="50" w:after="156" w:afterLines="50" w:line="360" w:lineRule="auto"/>
        <w:rPr>
          <w:rFonts w:ascii="Arial" w:hAnsi="Arial" w:cs="Arial"/>
          <w:sz w:val="22"/>
        </w:rPr>
      </w:pPr>
      <w:r>
        <w:rPr>
          <w:rFonts w:ascii="Arial" w:hAnsi="Arial" w:cs="Arial"/>
          <w:sz w:val="22"/>
        </w:rPr>
        <w:t xml:space="preserve">This chapter offers the methodological underpinnings of this dissertation. The research method adopted in this study is formulated based on the research onion proposed by Saunders </w:t>
      </w:r>
      <w:r>
        <w:rPr>
          <w:rFonts w:ascii="Arial" w:hAnsi="Arial" w:cs="Arial"/>
          <w:sz w:val="22"/>
        </w:rPr>
        <w:fldChar w:fldCharType="begin" w:fldLock="1"/>
      </w:r>
      <w:r>
        <w:rPr>
          <w:rFonts w:ascii="Arial" w:hAnsi="Arial" w:cs="Arial"/>
          <w:sz w:val="22"/>
        </w:rPr>
        <w:instrText xml:space="preserve">ADDIN CSL_CITATION {"citationItems":[{"id":"ITEM-1","itemData":{"DOI":"10.1108/qmr.2000.3.4.215.2","ISSN":"13522752","author":[{"dropping-particle":"","family":"Saunders","given":"Mark","non-dropping-particle":"","parse-names":false,"suffix":""}],"container-title":"Qualitative Market Research: An International Journal","id":"ITEM-1","issued":{"date-parts":[["2000"]]},"title":"Research Methods for Business Students","type":"book"},"uris":["http://www.mendeley.com/documents/?uuid=f0666f4d-dace-4b80-ab08-f83deefd2706"]}],"mendeley":{"formattedCitation":"(Saunders, 2000)","manualFormatting":"(2000)","plainTextFormattedCitation":"(Saunders, 2000)","previouslyFormattedCitation":"(Saunders, 2000)"},"properties":{"noteIndex":0},"schema":"https://github.com/citation-style-language/schema/raw/master/csl-citation.json"}</w:instrText>
      </w:r>
      <w:r>
        <w:rPr>
          <w:rFonts w:ascii="Arial" w:hAnsi="Arial" w:cs="Arial"/>
          <w:sz w:val="22"/>
        </w:rPr>
        <w:fldChar w:fldCharType="separate"/>
      </w:r>
      <w:r>
        <w:rPr>
          <w:rFonts w:ascii="Arial" w:hAnsi="Arial" w:cs="Arial"/>
          <w:sz w:val="22"/>
        </w:rPr>
        <w:t>(2000)</w:t>
      </w:r>
      <w:r>
        <w:rPr>
          <w:rFonts w:ascii="Arial" w:hAnsi="Arial" w:cs="Arial"/>
          <w:sz w:val="22"/>
        </w:rPr>
        <w:fldChar w:fldCharType="end"/>
      </w:r>
      <w:r>
        <w:rPr>
          <w:rFonts w:ascii="Arial" w:hAnsi="Arial" w:cs="Arial"/>
          <w:sz w:val="22"/>
        </w:rPr>
        <w:t xml:space="preserve">. </w:t>
      </w:r>
    </w:p>
    <w:p>
      <w:pPr>
        <w:pStyle w:val="3"/>
        <w:numPr>
          <w:ilvl w:val="1"/>
          <w:numId w:val="1"/>
        </w:numPr>
        <w:spacing w:before="156" w:beforeLines="50" w:after="156" w:afterLines="50" w:line="360" w:lineRule="auto"/>
        <w:rPr>
          <w:rFonts w:ascii="Arial" w:hAnsi="Arial" w:cs="Arial"/>
          <w:sz w:val="28"/>
          <w:szCs w:val="28"/>
        </w:rPr>
      </w:pPr>
      <w:bookmarkStart w:id="26" w:name="_Toc103303764"/>
      <w:r>
        <w:rPr>
          <w:rFonts w:ascii="Arial" w:hAnsi="Arial" w:cs="Arial"/>
          <w:sz w:val="28"/>
          <w:szCs w:val="28"/>
        </w:rPr>
        <w:t>Research philosophy</w:t>
      </w:r>
      <w:bookmarkEnd w:id="26"/>
      <w:r>
        <w:rPr>
          <w:rFonts w:ascii="Arial" w:hAnsi="Arial" w:cs="Arial"/>
          <w:sz w:val="28"/>
          <w:szCs w:val="28"/>
        </w:rPr>
        <w:t xml:space="preserve"> </w:t>
      </w:r>
    </w:p>
    <w:p>
      <w:pPr>
        <w:spacing w:before="156" w:beforeLines="50" w:after="156" w:afterLines="50" w:line="360" w:lineRule="auto"/>
        <w:rPr>
          <w:rFonts w:ascii="Arial" w:hAnsi="Arial" w:cs="Arial"/>
          <w:sz w:val="22"/>
        </w:rPr>
      </w:pPr>
      <w:r>
        <w:rPr>
          <w:rFonts w:ascii="Arial" w:hAnsi="Arial" w:cs="Arial"/>
          <w:sz w:val="22"/>
        </w:rPr>
        <w:t xml:space="preserve">The research philosophical stance adopted in this study is based on the idea that knowledge should be constructed based on the objective interpretation of the social phenomenon observed, such as the social media marketing of the TV show in this dissertation. The author of this dissertation believes that the knowledge constructed from social phenomenon is isolated from the researcher and should be reproducible by other research. In this regard, the positivism philosophy is adopted in this dissertation focusing on that a single truth can be identified for the social phenomenon under study </w:t>
      </w:r>
      <w:r>
        <w:rPr>
          <w:rFonts w:ascii="Arial" w:hAnsi="Arial" w:cs="Arial"/>
          <w:sz w:val="22"/>
        </w:rPr>
        <w:fldChar w:fldCharType="begin" w:fldLock="1"/>
      </w:r>
      <w:r>
        <w:rPr>
          <w:rFonts w:ascii="Arial" w:hAnsi="Arial" w:cs="Arial"/>
          <w:sz w:val="22"/>
        </w:rPr>
        <w:instrText xml:space="preserve">ADDIN CSL_CITATION {"citationItems":[{"id":"ITEM-1","itemData":{"DOI":"10.1108/qmr.2000.3.4.215.2","ISSN":"13522752","author":[{"dropping-particle":"","family":"Saunders","given":"Mark","non-dropping-particle":"","parse-names":false,"suffix":""}],"container-title":"Qualitative Market Research: An International Journal","id":"ITEM-1","issued":{"date-parts":[["2000"]]},"title":"Research Methods for Business Students","type":"book"},"uris":["http://www.mendeley.com/documents/?uuid=f0666f4d-dace-4b80-ab08-f83deefd2706"]}],"mendeley":{"formattedCitation":"(Saunders, 2000)","plainTextFormattedCitation":"(Saunders, 2000)","previouslyFormattedCitation":"(Saunders, 2000)"},"properties":{"noteIndex":0},"schema":"https://github.com/citation-style-language/schema/raw/master/csl-citation.json"}</w:instrText>
      </w:r>
      <w:r>
        <w:rPr>
          <w:rFonts w:ascii="Arial" w:hAnsi="Arial" w:cs="Arial"/>
          <w:sz w:val="22"/>
        </w:rPr>
        <w:fldChar w:fldCharType="separate"/>
      </w:r>
      <w:r>
        <w:rPr>
          <w:rFonts w:ascii="Arial" w:hAnsi="Arial" w:cs="Arial"/>
          <w:sz w:val="22"/>
        </w:rPr>
        <w:t>(Saunders, 2000)</w:t>
      </w:r>
      <w:r>
        <w:rPr>
          <w:rFonts w:ascii="Arial" w:hAnsi="Arial" w:cs="Arial"/>
          <w:sz w:val="22"/>
        </w:rPr>
        <w:fldChar w:fldCharType="end"/>
      </w:r>
      <w:r>
        <w:rPr>
          <w:rFonts w:ascii="Arial" w:hAnsi="Arial" w:cs="Arial"/>
          <w:sz w:val="22"/>
        </w:rPr>
        <w:t xml:space="preserve">. </w:t>
      </w:r>
    </w:p>
    <w:p>
      <w:pPr>
        <w:pStyle w:val="3"/>
        <w:numPr>
          <w:ilvl w:val="1"/>
          <w:numId w:val="1"/>
        </w:numPr>
        <w:spacing w:before="156" w:beforeLines="50" w:after="156" w:afterLines="50" w:line="360" w:lineRule="auto"/>
        <w:rPr>
          <w:rFonts w:ascii="Arial" w:hAnsi="Arial" w:cs="Arial"/>
          <w:sz w:val="28"/>
          <w:szCs w:val="28"/>
        </w:rPr>
      </w:pPr>
      <w:bookmarkStart w:id="27" w:name="_Toc103303765"/>
      <w:r>
        <w:rPr>
          <w:rFonts w:ascii="Arial" w:hAnsi="Arial" w:cs="Arial"/>
          <w:sz w:val="28"/>
          <w:szCs w:val="28"/>
        </w:rPr>
        <w:t>Research approach</w:t>
      </w:r>
      <w:bookmarkEnd w:id="27"/>
      <w:r>
        <w:rPr>
          <w:rFonts w:ascii="Arial" w:hAnsi="Arial" w:cs="Arial"/>
          <w:sz w:val="28"/>
          <w:szCs w:val="28"/>
        </w:rPr>
        <w:t xml:space="preserve"> </w:t>
      </w:r>
    </w:p>
    <w:p>
      <w:pPr>
        <w:spacing w:before="156" w:beforeLines="50" w:after="156" w:afterLines="50" w:line="360" w:lineRule="auto"/>
        <w:rPr>
          <w:rFonts w:ascii="Arial" w:hAnsi="Arial" w:cs="Arial"/>
          <w:sz w:val="22"/>
        </w:rPr>
      </w:pPr>
      <w:r>
        <w:rPr>
          <w:rFonts w:ascii="Arial" w:hAnsi="Arial" w:cs="Arial"/>
          <w:sz w:val="22"/>
        </w:rPr>
        <w:t xml:space="preserve">The research approach adopted in this study is inductive as no theoretical frameworks can be readily adopted based on the literature review. This dissertation employs a holistic analytical framework as identified from previous studies for the analysis of the collected data in this study. It should be pointed out that the proposal of a new theoretical framework is not the purpose of this study. This dissertation rather focuses on the identification of patterns from collected data. </w:t>
      </w:r>
    </w:p>
    <w:p>
      <w:pPr>
        <w:pStyle w:val="3"/>
        <w:numPr>
          <w:ilvl w:val="1"/>
          <w:numId w:val="1"/>
        </w:numPr>
        <w:spacing w:before="156" w:beforeLines="50" w:after="156" w:afterLines="50" w:line="360" w:lineRule="auto"/>
        <w:rPr>
          <w:rFonts w:ascii="Arial" w:hAnsi="Arial" w:cs="Arial"/>
          <w:sz w:val="28"/>
          <w:szCs w:val="28"/>
        </w:rPr>
      </w:pPr>
      <w:bookmarkStart w:id="28" w:name="_Toc103303766"/>
      <w:r>
        <w:rPr>
          <w:rFonts w:ascii="Arial" w:hAnsi="Arial" w:cs="Arial"/>
          <w:sz w:val="28"/>
          <w:szCs w:val="28"/>
        </w:rPr>
        <w:t>Research strategy</w:t>
      </w:r>
      <w:bookmarkEnd w:id="28"/>
    </w:p>
    <w:p>
      <w:pPr>
        <w:spacing w:before="156" w:beforeLines="50" w:after="156" w:afterLines="50" w:line="360" w:lineRule="auto"/>
        <w:rPr>
          <w:rFonts w:ascii="Arial" w:hAnsi="Arial" w:cs="Arial"/>
          <w:sz w:val="22"/>
        </w:rPr>
      </w:pPr>
      <w:r>
        <w:rPr>
          <w:rFonts w:ascii="Arial" w:hAnsi="Arial" w:cs="Arial"/>
          <w:sz w:val="22"/>
        </w:rPr>
        <w:t>The research strategy adopted in this study is the case analysis. Using the case analysis method, mainly in the first quarter to the third season of “I am a singer” program for specific research objects, starting from the portal, satellite official website, Weibo, WeChat and other platforms, collecting programs in brand promotion The case is to analyze how the program successfully uses event marketing, word-of-mouth marketing and emotional marketing to promote the brand, and also to explore the problems in the brand promotion.</w:t>
      </w:r>
    </w:p>
    <w:p>
      <w:pPr>
        <w:pStyle w:val="3"/>
        <w:numPr>
          <w:ilvl w:val="1"/>
          <w:numId w:val="1"/>
        </w:numPr>
        <w:spacing w:before="156" w:beforeLines="50" w:after="156" w:afterLines="50" w:line="360" w:lineRule="auto"/>
        <w:rPr>
          <w:rFonts w:ascii="Arial" w:hAnsi="Arial" w:cs="Arial"/>
          <w:sz w:val="28"/>
          <w:szCs w:val="28"/>
        </w:rPr>
      </w:pPr>
      <w:bookmarkStart w:id="29" w:name="_Toc103303767"/>
      <w:r>
        <w:rPr>
          <w:rFonts w:ascii="Arial" w:hAnsi="Arial" w:cs="Arial"/>
          <w:sz w:val="28"/>
          <w:szCs w:val="28"/>
        </w:rPr>
        <w:t>Research techniques</w:t>
      </w:r>
      <w:bookmarkEnd w:id="29"/>
      <w:r>
        <w:rPr>
          <w:rFonts w:ascii="Arial" w:hAnsi="Arial" w:cs="Arial"/>
          <w:sz w:val="28"/>
          <w:szCs w:val="28"/>
        </w:rPr>
        <w:t xml:space="preserve">  </w:t>
      </w:r>
    </w:p>
    <w:p>
      <w:pPr>
        <w:spacing w:before="156" w:beforeLines="50" w:after="156" w:afterLines="50" w:line="360" w:lineRule="auto"/>
        <w:rPr>
          <w:rFonts w:ascii="Arial" w:hAnsi="Arial" w:cs="Arial"/>
          <w:sz w:val="22"/>
        </w:rPr>
      </w:pPr>
      <w:bookmarkStart w:id="30" w:name="_Toc3589_WPSOffice_Level2"/>
      <w:bookmarkStart w:id="31" w:name="_Toc27942"/>
      <w:bookmarkStart w:id="32" w:name="_Toc4043"/>
      <w:bookmarkStart w:id="33" w:name="_Toc18888"/>
      <w:r>
        <w:rPr>
          <w:rFonts w:ascii="Arial" w:hAnsi="Arial" w:cs="Arial"/>
          <w:sz w:val="22"/>
        </w:rPr>
        <w:t>The research technique includes the data collection and analysis methods including the data types to be collected and the analytical approaches to be adopted. Based on the preliminary research proposal and the literature review, the data employed in this study is primarily first-hand data collected from the audience of the “I am a singer” TV show with complementary secondary data from previous studies and other reports from reliable sources. The primary data is collected using the questionnaire survey approach. The analytical approach is primarily the qualitative analysis of the surveyed data</w:t>
      </w:r>
    </w:p>
    <w:bookmarkEnd w:id="30"/>
    <w:p>
      <w:pPr>
        <w:pStyle w:val="55"/>
        <w:numPr>
          <w:ilvl w:val="2"/>
          <w:numId w:val="1"/>
        </w:numPr>
        <w:spacing w:line="360" w:lineRule="auto"/>
        <w:ind w:firstLineChars="0"/>
        <w:outlineLvl w:val="2"/>
        <w:rPr>
          <w:rFonts w:ascii="Arial" w:hAnsi="Arial" w:cs="Arial"/>
          <w:b/>
          <w:bCs/>
          <w:sz w:val="24"/>
          <w:szCs w:val="24"/>
        </w:rPr>
      </w:pPr>
      <w:bookmarkStart w:id="34" w:name="_Toc103303768"/>
      <w:r>
        <w:rPr>
          <w:rFonts w:ascii="Arial" w:hAnsi="Arial" w:cs="Arial"/>
          <w:b/>
          <w:bCs/>
          <w:sz w:val="24"/>
          <w:szCs w:val="24"/>
        </w:rPr>
        <w:t>Questionnaire</w:t>
      </w:r>
      <w:bookmarkEnd w:id="31"/>
      <w:bookmarkEnd w:id="32"/>
      <w:bookmarkEnd w:id="33"/>
      <w:bookmarkEnd w:id="34"/>
    </w:p>
    <w:p>
      <w:pPr>
        <w:spacing w:before="156" w:beforeLines="50" w:after="156" w:afterLines="50" w:line="360" w:lineRule="auto"/>
        <w:rPr>
          <w:rFonts w:ascii="Arial" w:hAnsi="Arial" w:cs="Arial"/>
          <w:sz w:val="22"/>
        </w:rPr>
      </w:pPr>
      <w:r>
        <w:rPr>
          <w:rFonts w:ascii="Arial" w:hAnsi="Arial" w:cs="Arial"/>
          <w:sz w:val="22"/>
        </w:rPr>
        <w:t>Questionnaire survey refers to a method of collecting detailed information by formulating a detailed and thorough questionnaire and asking the respondent to respond accordingly. The so-called questionnaire is a group of questions related to the research objectives, or a question form prepared for surveys, also called a questionnaire. It is a common tool that people use to collect information in social research activities. Investigators use this tool to make accurate and specific measurements of social processes, and use sociological statistical methods for quantitative description and analysis to obtain the required survey data</w:t>
      </w:r>
      <w:r>
        <w:t xml:space="preserve"> </w:t>
      </w:r>
      <w:r>
        <w:rPr>
          <w:rFonts w:ascii="Arial" w:hAnsi="Arial" w:cs="Arial"/>
          <w:sz w:val="22"/>
        </w:rPr>
        <w:t>(Oppenheim, 2000).</w:t>
      </w:r>
    </w:p>
    <w:p>
      <w:pPr>
        <w:pStyle w:val="55"/>
        <w:numPr>
          <w:ilvl w:val="2"/>
          <w:numId w:val="1"/>
        </w:numPr>
        <w:spacing w:line="360" w:lineRule="auto"/>
        <w:ind w:firstLineChars="0"/>
        <w:outlineLvl w:val="2"/>
        <w:rPr>
          <w:rFonts w:ascii="Arial" w:hAnsi="Arial" w:cs="Arial"/>
          <w:b/>
          <w:bCs/>
          <w:sz w:val="24"/>
          <w:szCs w:val="24"/>
        </w:rPr>
      </w:pPr>
      <w:bookmarkStart w:id="35" w:name="_Toc103303769"/>
      <w:r>
        <w:rPr>
          <w:rFonts w:ascii="Arial" w:hAnsi="Arial" w:cs="Arial"/>
          <w:b/>
          <w:bCs/>
          <w:sz w:val="24"/>
          <w:szCs w:val="24"/>
        </w:rPr>
        <w:t>Survey targets</w:t>
      </w:r>
      <w:bookmarkEnd w:id="35"/>
      <w:r>
        <w:rPr>
          <w:rFonts w:ascii="Arial" w:hAnsi="Arial" w:cs="Arial"/>
          <w:b/>
          <w:bCs/>
          <w:sz w:val="24"/>
          <w:szCs w:val="24"/>
        </w:rPr>
        <w:t xml:space="preserve"> </w:t>
      </w:r>
    </w:p>
    <w:p>
      <w:pPr>
        <w:spacing w:before="156" w:beforeLines="50" w:after="156" w:afterLines="50" w:line="360" w:lineRule="auto"/>
        <w:rPr>
          <w:rFonts w:ascii="Arial" w:hAnsi="Arial" w:cs="Arial"/>
          <w:sz w:val="22"/>
        </w:rPr>
      </w:pPr>
      <w:bookmarkStart w:id="36" w:name="_Toc28399_WPSOffice_Level3"/>
      <w:r>
        <w:rPr>
          <w:rFonts w:ascii="Arial" w:hAnsi="Arial" w:cs="Arial"/>
          <w:sz w:val="22"/>
        </w:rPr>
        <w:t>In “I’m Singer 1”, the show team invited old talented singers such as Yu Quan, Qi Qin and Lin Zhixuan, as well as new and popular singers like Shang Wenjie and Yang Zongwei. In “I’m a Singer 2”, the program team invited Han Lei, Wei Wei and other established singers, as well as new singers such as Sheila and Deng Ziqi. In the competition, there is a</w:t>
      </w:r>
      <w:r>
        <w:rPr>
          <w:rFonts w:hint="eastAsia" w:ascii="Arial" w:hAnsi="Arial" w:cs="Arial"/>
          <w:sz w:val="22"/>
        </w:rPr>
        <w:t xml:space="preserve"> Chinese style</w:t>
      </w:r>
      <w:r>
        <w:rPr>
          <w:rFonts w:ascii="Helvetica" w:hAnsi="Helvetica" w:eastAsia="Helvetica" w:cs="Helvetica"/>
          <w:color w:val="000000"/>
          <w:sz w:val="18"/>
          <w:szCs w:val="18"/>
          <w:shd w:val="clear" w:color="auto" w:fill="F5F5F5"/>
        </w:rPr>
        <w:t xml:space="preserve"> </w:t>
      </w:r>
      <w:r>
        <w:rPr>
          <w:rFonts w:ascii="Arial" w:hAnsi="Arial" w:cs="Arial"/>
          <w:sz w:val="22"/>
        </w:rPr>
        <w:t xml:space="preserve">, a loud voice, a heart-warming freshness, a sad love song, and a positive energy song. </w:t>
      </w:r>
      <w:bookmarkEnd w:id="36"/>
      <w:bookmarkStart w:id="37" w:name="_Toc20081_WPSOffice_Level3"/>
      <w:bookmarkStart w:id="38" w:name="_Toc8498"/>
      <w:bookmarkStart w:id="39" w:name="_Toc14089"/>
      <w:r>
        <w:rPr>
          <w:rFonts w:ascii="Arial" w:hAnsi="Arial" w:cs="Arial"/>
          <w:sz w:val="22"/>
        </w:rPr>
        <w:t>As a result, the program group can target customers who like different styles of songs:</w:t>
      </w:r>
    </w:p>
    <w:p>
      <w:pPr>
        <w:spacing w:before="156" w:beforeLines="50" w:after="156" w:afterLines="50" w:line="360" w:lineRule="auto"/>
        <w:rPr>
          <w:rFonts w:ascii="Arial" w:hAnsi="Arial" w:cs="Arial"/>
          <w:sz w:val="22"/>
        </w:rPr>
      </w:pPr>
      <w:r>
        <w:rPr>
          <w:rFonts w:hint="eastAsia" w:ascii="Arial" w:hAnsi="Arial" w:cs="Arial"/>
          <w:sz w:val="22"/>
        </w:rPr>
        <w:t>1. People aged 20-60 who like traditional Chinese folk songs.</w:t>
      </w:r>
    </w:p>
    <w:p>
      <w:pPr>
        <w:spacing w:before="156" w:beforeLines="50" w:after="156" w:afterLines="50" w:line="360" w:lineRule="auto"/>
        <w:rPr>
          <w:rFonts w:ascii="Arial" w:hAnsi="Arial" w:cs="Arial"/>
          <w:sz w:val="22"/>
        </w:rPr>
      </w:pPr>
      <w:r>
        <w:rPr>
          <w:rFonts w:hint="eastAsia" w:ascii="Arial" w:hAnsi="Arial" w:cs="Arial"/>
          <w:sz w:val="22"/>
        </w:rPr>
        <w:t>2. Young people who like passionate style and heavy metal music.</w:t>
      </w:r>
    </w:p>
    <w:p>
      <w:pPr>
        <w:spacing w:before="156" w:beforeLines="50" w:after="156" w:afterLines="50" w:line="360" w:lineRule="auto"/>
        <w:rPr>
          <w:rFonts w:ascii="Arial" w:hAnsi="Arial" w:cs="Arial"/>
          <w:sz w:val="22"/>
        </w:rPr>
      </w:pPr>
      <w:r>
        <w:rPr>
          <w:rFonts w:hint="eastAsia" w:ascii="Arial" w:hAnsi="Arial" w:cs="Arial"/>
          <w:sz w:val="22"/>
        </w:rPr>
        <w:t>3. Suitable for all ages who like sentimentality.</w:t>
      </w:r>
    </w:p>
    <w:p>
      <w:pPr>
        <w:spacing w:before="156" w:beforeLines="50" w:after="156" w:afterLines="50" w:line="360" w:lineRule="auto"/>
        <w:rPr>
          <w:rFonts w:ascii="Arial" w:hAnsi="Arial" w:cs="Arial"/>
          <w:sz w:val="22"/>
        </w:rPr>
      </w:pPr>
      <w:r>
        <w:rPr>
          <w:rFonts w:hint="eastAsia" w:ascii="Arial" w:hAnsi="Arial" w:cs="Arial"/>
          <w:sz w:val="22"/>
        </w:rPr>
        <w:t>4. People of all ages like songs with a positive energy style.</w:t>
      </w:r>
    </w:p>
    <w:bookmarkEnd w:id="37"/>
    <w:p>
      <w:pPr>
        <w:pStyle w:val="2"/>
        <w:numPr>
          <w:ilvl w:val="0"/>
          <w:numId w:val="1"/>
        </w:numPr>
        <w:spacing w:before="156" w:beforeLines="50" w:after="156" w:afterLines="50" w:line="360" w:lineRule="auto"/>
        <w:rPr>
          <w:rFonts w:ascii="Arial" w:hAnsi="Arial" w:cs="Arial"/>
          <w:sz w:val="32"/>
          <w:szCs w:val="32"/>
        </w:rPr>
      </w:pPr>
      <w:bookmarkStart w:id="40" w:name="_Toc3147"/>
      <w:bookmarkStart w:id="41" w:name="_Toc103303770"/>
      <w:r>
        <w:rPr>
          <w:rFonts w:ascii="Arial" w:hAnsi="Arial" w:cs="Arial"/>
          <w:sz w:val="32"/>
          <w:szCs w:val="32"/>
        </w:rPr>
        <w:t>TV entertainment program official Weibo communication strategy</w:t>
      </w:r>
      <w:bookmarkEnd w:id="38"/>
      <w:bookmarkEnd w:id="39"/>
      <w:bookmarkEnd w:id="40"/>
      <w:r>
        <w:rPr>
          <w:rFonts w:ascii="Arial" w:hAnsi="Arial" w:cs="Arial"/>
          <w:sz w:val="32"/>
          <w:szCs w:val="32"/>
        </w:rPr>
        <w:t xml:space="preserve"> adopted by Hunan Television</w:t>
      </w:r>
      <w:bookmarkEnd w:id="41"/>
      <w:r>
        <w:rPr>
          <w:rFonts w:ascii="Arial" w:hAnsi="Arial" w:cs="Arial"/>
          <w:sz w:val="32"/>
          <w:szCs w:val="32"/>
        </w:rPr>
        <w:t xml:space="preserve"> </w:t>
      </w:r>
    </w:p>
    <w:p>
      <w:pPr>
        <w:pStyle w:val="3"/>
        <w:numPr>
          <w:ilvl w:val="1"/>
          <w:numId w:val="1"/>
        </w:numPr>
        <w:spacing w:before="156" w:beforeLines="50" w:after="156" w:afterLines="50" w:line="360" w:lineRule="auto"/>
        <w:rPr>
          <w:rFonts w:ascii="Arial" w:hAnsi="Arial" w:cs="Arial"/>
          <w:sz w:val="28"/>
          <w:szCs w:val="28"/>
        </w:rPr>
      </w:pPr>
      <w:bookmarkStart w:id="42" w:name="_Toc259"/>
      <w:bookmarkStart w:id="43" w:name="_Toc18930"/>
      <w:bookmarkStart w:id="44" w:name="_Toc28345"/>
      <w:bookmarkStart w:id="45" w:name="_Toc103303771"/>
      <w:r>
        <w:rPr>
          <w:rFonts w:ascii="Arial" w:hAnsi="Arial" w:cs="Arial"/>
          <w:sz w:val="28"/>
          <w:szCs w:val="28"/>
        </w:rPr>
        <w:t>New media dissemination of TV entertainment</w:t>
      </w:r>
      <w:bookmarkEnd w:id="42"/>
      <w:bookmarkEnd w:id="43"/>
      <w:bookmarkEnd w:id="44"/>
      <w:bookmarkEnd w:id="45"/>
    </w:p>
    <w:p>
      <w:pPr>
        <w:spacing w:before="156" w:beforeLines="50" w:after="156" w:afterLines="50" w:line="360" w:lineRule="auto"/>
        <w:rPr>
          <w:rFonts w:ascii="Arial" w:hAnsi="Arial" w:cs="Arial"/>
          <w:sz w:val="22"/>
        </w:rPr>
      </w:pPr>
      <w:r>
        <w:rPr>
          <w:rFonts w:ascii="Arial" w:hAnsi="Arial" w:cs="Arial"/>
          <w:sz w:val="22"/>
        </w:rPr>
        <w:t xml:space="preserve">With the advent of the new media era, the state of the media environment has changed dramatically. In the past, the traditional media-centric communication environment has changed. Emerging media have sprung up, grown, and developed. In such an ecological environment and the background of the times, due to the needs of the audience and the characteristics of the program itself, TV entertainment programs need to conform to the trend of the times and combine with the emerging media to change the single and traditional way of communication </w:t>
      </w:r>
      <w:r>
        <w:rPr>
          <w:rFonts w:ascii="Arial" w:hAnsi="Arial" w:cs="Arial"/>
          <w:sz w:val="22"/>
        </w:rPr>
        <w:fldChar w:fldCharType="begin" w:fldLock="1"/>
      </w:r>
      <w:r>
        <w:rPr>
          <w:rFonts w:ascii="Arial" w:hAnsi="Arial" w:cs="Arial"/>
          <w:sz w:val="22"/>
        </w:rPr>
        <w:instrText xml:space="preserve">ADDIN CSL_CITATION {"citationItems":[{"id":"ITEM-1","itemData":{"ISSN":"1996-4617","author":[{"dropping-particle":"","family":"Li","given":"Tian","non-dropping-particle":"","parse-names":false,"suffix":""}],"container-title":"China Perspectives","id":"ITEM-1","issue":"2019-3","issued":{"date-parts":[["2019"]]},"page":"37-45","publisher":"French Centre for Research on Contemporary China","title":"“Bang Bang Bang”–Nonsense or an Alternative Language? The Lingualscape in the Chinese Remake of I Am a Singer","type":"article-journal","volume":"2019"},"uris":["http://www.mendeley.com/documents/?uuid=6099da19-62e1-47c3-982f-99a2368c6e02"]}],"mendeley":{"formattedCitation":"(Li, 2019)","plainTextFormattedCitation":"(Li, 2019)","previouslyFormattedCitation":"(Li, 2019)"},"properties":{"noteIndex":0},"schema":"https://github.com/citation-style-language/schema/raw/master/csl-citation.json"}</w:instrText>
      </w:r>
      <w:r>
        <w:rPr>
          <w:rFonts w:ascii="Arial" w:hAnsi="Arial" w:cs="Arial"/>
          <w:sz w:val="22"/>
        </w:rPr>
        <w:fldChar w:fldCharType="separate"/>
      </w:r>
      <w:r>
        <w:rPr>
          <w:rFonts w:ascii="Arial" w:hAnsi="Arial" w:cs="Arial"/>
          <w:sz w:val="22"/>
        </w:rPr>
        <w:t>(Li, 2019)</w:t>
      </w:r>
      <w:r>
        <w:rPr>
          <w:rFonts w:ascii="Arial" w:hAnsi="Arial" w:cs="Arial"/>
          <w:sz w:val="22"/>
        </w:rPr>
        <w:fldChar w:fldCharType="end"/>
      </w:r>
      <w:r>
        <w:rPr>
          <w:rFonts w:ascii="Arial" w:hAnsi="Arial" w:cs="Arial"/>
          <w:sz w:val="22"/>
        </w:rPr>
        <w:t xml:space="preserve">. </w:t>
      </w:r>
    </w:p>
    <w:p>
      <w:pPr>
        <w:spacing w:before="156" w:beforeLines="50" w:after="156" w:afterLines="50" w:line="360" w:lineRule="auto"/>
        <w:rPr>
          <w:rFonts w:ascii="Arial" w:hAnsi="Arial" w:cs="Arial"/>
          <w:sz w:val="22"/>
        </w:rPr>
      </w:pPr>
      <w:r>
        <w:rPr>
          <w:rFonts w:ascii="Arial" w:hAnsi="Arial" w:cs="Arial"/>
          <w:sz w:val="22"/>
        </w:rPr>
        <w:t xml:space="preserve">Take “I am a singer” as an example. In addition to the ratings of traditional media, “I am a singer” still achieved good results on the new media platform. From the show’s launch to the finals, the show reached over 120 million on Weibo. With the amount of topic discussion, it can be seen that its influence on emerging media platforms cannot be underestimated. On January 2, 2015, the third season aired. Under the attraction of various factors, the third season still achieved good results. According to Kuyun Interactive ‘s “I am a Singer” third-quarter big data analysis report, The 13th episode of the program has won the first attention and market share of satellite TV at the same time, and both continued to be at a very high level, the attention remained basically above 1.40%, and the market share was above 25% </w:t>
      </w:r>
      <w:r>
        <w:rPr>
          <w:rFonts w:ascii="Arial" w:hAnsi="Arial" w:cs="Arial"/>
          <w:sz w:val="22"/>
        </w:rPr>
        <w:fldChar w:fldCharType="begin" w:fldLock="1"/>
      </w:r>
      <w:r>
        <w:rPr>
          <w:rFonts w:ascii="Arial" w:hAnsi="Arial" w:cs="Arial"/>
          <w:sz w:val="22"/>
        </w:rPr>
        <w:instrText xml:space="preserve">ADDIN CSL_CITATION {"citationItems":[{"id":"ITEM-1","itemData":{"URL":"https://www.wsj.com/articles/BL-CJB-29000","accessed":{"date-parts":[["2022","5","13"]]},"author":[{"dropping-particle":"","family":"The Wallstreet Journal","given":"","non-dropping-particle":"","parse-names":false,"suffix":""}],"id":"ITEM-1","issued":{"date-parts":[["2017"]]},"title":"Alibaba’s ‘Ai’ Predicts Winners of China’s Hit TV Show ‘I Am a Singer’ - WSJ","type":"webpage"},"uris":["http://www.mendeley.com/documents/?uuid=690d1763-66ed-329b-bc49-448c7e370ddc"]}],"mendeley":{"formattedCitation":"(The Wallstreet Journal, 2017)","plainTextFormattedCitation":"(The Wallstreet Journal, 2017)","previouslyFormattedCitation":"(The Wallstreet Journal, 2017)"},"properties":{"noteIndex":0},"schema":"https://github.com/citation-style-language/schema/raw/master/csl-citation.json"}</w:instrText>
      </w:r>
      <w:r>
        <w:rPr>
          <w:rFonts w:ascii="Arial" w:hAnsi="Arial" w:cs="Arial"/>
          <w:sz w:val="22"/>
        </w:rPr>
        <w:fldChar w:fldCharType="separate"/>
      </w:r>
      <w:r>
        <w:rPr>
          <w:rFonts w:ascii="Arial" w:hAnsi="Arial" w:cs="Arial"/>
          <w:sz w:val="22"/>
        </w:rPr>
        <w:t>(The Wallstreet Journal, 2017)</w:t>
      </w:r>
      <w:r>
        <w:rPr>
          <w:rFonts w:ascii="Arial" w:hAnsi="Arial" w:cs="Arial"/>
          <w:sz w:val="22"/>
        </w:rPr>
        <w:fldChar w:fldCharType="end"/>
      </w:r>
      <w:r>
        <w:rPr>
          <w:rFonts w:ascii="Arial" w:hAnsi="Arial" w:cs="Arial"/>
          <w:sz w:val="22"/>
        </w:rPr>
        <w:t xml:space="preserve">. The number of users on the site is also quite large, and the single period of the whole season is basically higher than 600,000 people. On the last March 27th, the song king night reached the highest value of the single period-115,300 people. By 2016, the fourth season is also on the air. As a “star show” of the TV entertainment show of star singers in China, “I am a singer” was very successful, and its success factors are many. In addition, it uses the official Weibo of emerging media to promote its own programs and build momentum for the programs, which is also an important factor </w:t>
      </w:r>
      <w:r>
        <w:rPr>
          <w:rFonts w:ascii="Arial" w:hAnsi="Arial" w:cs="Arial"/>
          <w:sz w:val="22"/>
        </w:rPr>
        <w:fldChar w:fldCharType="begin" w:fldLock="1"/>
      </w:r>
      <w:r>
        <w:rPr>
          <w:rFonts w:ascii="Arial" w:hAnsi="Arial" w:cs="Arial"/>
          <w:sz w:val="22"/>
        </w:rPr>
        <w:instrText xml:space="preserve">ADDIN CSL_CITATION {"citationItems":[{"id":"ITEM-1","itemData":{"author":[{"dropping-particle":"","family":"Wang","given":"Qian","non-dropping-particle":"","parse-names":false,"suffix":""},{"dropping-particle":"","family":"Kloet","given":"Jeroen","non-dropping-particle":"De","parse-names":false,"suffix":""}],"container-title":"Handbook of cultural and creative industries in China","id":"ITEM-1","issued":{"date-parts":[["2016"]]},"publisher":"Edward Elgar Publishing","title":"From ‘nothing to my name’to ‘I am a singer’: Market, capital, and politics in the Chinese music industry","type":"chapter"},"uris":["http://www.mendeley.com/documents/?uuid=397f97d1-fbe8-41e4-bfa3-569a63acf010"]}],"mendeley":{"formattedCitation":"(Wang &amp; De Kloet, 2016)","plainTextFormattedCitation":"(Wang &amp; De Kloet, 2016)","previouslyFormattedCitation":"(Wang &amp; De Kloet, 2016)"},"properties":{"noteIndex":0},"schema":"https://github.com/citation-style-language/schema/raw/master/csl-citation.json"}</w:instrText>
      </w:r>
      <w:r>
        <w:rPr>
          <w:rFonts w:ascii="Arial" w:hAnsi="Arial" w:cs="Arial"/>
          <w:sz w:val="22"/>
        </w:rPr>
        <w:fldChar w:fldCharType="separate"/>
      </w:r>
      <w:r>
        <w:rPr>
          <w:rFonts w:ascii="Arial" w:hAnsi="Arial" w:cs="Arial"/>
          <w:sz w:val="22"/>
        </w:rPr>
        <w:t>(Wang &amp; De Kloet, 2016)</w:t>
      </w:r>
      <w:r>
        <w:rPr>
          <w:rFonts w:ascii="Arial" w:hAnsi="Arial" w:cs="Arial"/>
          <w:sz w:val="22"/>
        </w:rPr>
        <w:fldChar w:fldCharType="end"/>
      </w:r>
      <w:r>
        <w:rPr>
          <w:rFonts w:ascii="Arial" w:hAnsi="Arial" w:cs="Arial"/>
          <w:sz w:val="22"/>
        </w:rPr>
        <w:t>.</w:t>
      </w:r>
    </w:p>
    <w:p>
      <w:pPr>
        <w:spacing w:before="156" w:beforeLines="50" w:after="156" w:afterLines="50" w:line="360" w:lineRule="auto"/>
        <w:rPr>
          <w:rFonts w:ascii="Arial" w:hAnsi="Arial" w:cs="Arial"/>
          <w:sz w:val="22"/>
        </w:rPr>
      </w:pPr>
      <w:r>
        <w:rPr>
          <w:rFonts w:ascii="Arial" w:hAnsi="Arial" w:cs="Arial"/>
          <w:sz w:val="22"/>
        </w:rPr>
        <w:t>The official Weibo of “I am a singer” on Sina Weibo platform, as of March 5, 2016, the number of Weibo posts has reached 6,751, and its number of followers has reached 3,491,601, which means that every time it posts a With Weibo, more than three million people can see it, and the spread is obvious. It can be seen that since “I Am a Singer” has a high audience rating and high popularity since its launch, its official Weibo has a strong influence and strong dissemination power. Therefore, it was selected as a typical case study object of TV entertainment programs for further research. Discussion and analysis have certain representative significance.</w:t>
      </w:r>
    </w:p>
    <w:p>
      <w:pPr>
        <w:pStyle w:val="3"/>
        <w:numPr>
          <w:ilvl w:val="1"/>
          <w:numId w:val="1"/>
        </w:numPr>
        <w:spacing w:before="156" w:beforeLines="50" w:after="156" w:afterLines="50" w:line="360" w:lineRule="auto"/>
        <w:rPr>
          <w:rFonts w:ascii="Arial" w:hAnsi="Arial" w:cs="Arial"/>
          <w:sz w:val="28"/>
          <w:szCs w:val="28"/>
        </w:rPr>
      </w:pPr>
      <w:bookmarkStart w:id="46" w:name="_Toc5708"/>
      <w:bookmarkStart w:id="47" w:name="_Toc103303772"/>
      <w:bookmarkStart w:id="48" w:name="_Toc16849"/>
      <w:bookmarkStart w:id="49" w:name="_Toc13835"/>
      <w:r>
        <w:rPr>
          <w:rFonts w:ascii="Arial" w:hAnsi="Arial" w:cs="Arial"/>
          <w:sz w:val="28"/>
          <w:szCs w:val="28"/>
        </w:rPr>
        <w:t>Multi-level propagation from top to bottom</w:t>
      </w:r>
      <w:bookmarkEnd w:id="46"/>
      <w:bookmarkEnd w:id="47"/>
      <w:bookmarkEnd w:id="48"/>
      <w:bookmarkEnd w:id="49"/>
    </w:p>
    <w:p>
      <w:pPr>
        <w:spacing w:before="156" w:beforeLines="50" w:after="156" w:afterLines="50" w:line="360" w:lineRule="auto"/>
        <w:rPr>
          <w:rFonts w:ascii="Arial" w:hAnsi="Arial" w:cs="Arial"/>
          <w:sz w:val="22"/>
        </w:rPr>
      </w:pPr>
      <w:r>
        <w:rPr>
          <w:rFonts w:ascii="Arial" w:hAnsi="Arial" w:cs="Arial"/>
          <w:sz w:val="22"/>
        </w:rPr>
        <w:t xml:space="preserve">The emergence of Weibo makes the communication context appear fragmented. As a new media, Weibo integrates various forms of communication. On Weibo, interpersonal communication, human-machine communication, group communication, and mass communication coexist. This shows that Weibo “has formed a disseminated network-like communication structure on the whole. In this type of communication structure, any network node can produce and publish information, and all network nodes produce and publish information that can into the network in a linear fashion </w:t>
      </w:r>
      <w:r>
        <w:rPr>
          <w:rFonts w:ascii="Arial" w:hAnsi="Arial" w:cs="Arial"/>
          <w:sz w:val="22"/>
        </w:rPr>
        <w:fldChar w:fldCharType="begin" w:fldLock="1"/>
      </w:r>
      <w:r>
        <w:rPr>
          <w:rFonts w:ascii="Arial" w:hAnsi="Arial" w:cs="Arial"/>
          <w:sz w:val="22"/>
        </w:rPr>
        <w:instrText xml:space="preserve">ADDIN CSL_CITATION {"citationItems":[{"id":"ITEM-1","itemData":{"DOI":"10.1002/mar.20936","ISSN":"15206793","abstract":"This study carries out content analysis and systemizes articles on social media marketing in the Web of Science database. Forty-four studies were analyzed in accordance with a variation on the systematic review approach, involving synthesis- and interpretation-based assessment. The results demonstrate how most of the studies analyzed focus on the consumer perspective in terms of usage, share, and influence of social media on consumer decisions, and perceptions. The studies focusing on the firm's perspective centered not only on the usage of social media, but also on their implementation, optimization, and measurement of results. The majority of studies are quantitative and published in recent years. This study not only reached certain conclusions for both theory and practice, but also defined future lines of research according to the gaps detected by the study's results.","author":[{"dropping-particle":"","family":"Alves","given":"Helena","non-dropping-particle":"","parse-names":false,"suffix":""},{"dropping-particle":"","family":"Fernandes","given":"Cristina","non-dropping-particle":"","parse-names":false,"suffix":""},{"dropping-particle":"","family":"Raposo","given":"Mário","non-dropping-particle":"","parse-names":false,"suffix":""}],"container-title":"Psychology and Marketing","id":"ITEM-1","issue":"12","issued":{"date-parts":[["2016"]]},"page":"1029-1038","publisher":"Wiley Online Library","title":"Social Media Marketing: A Literature Review and Implications","type":"article-journal","volume":"33"},"uris":["http://www.mendeley.com/documents/?uuid=e35398fd-e4ed-472b-b1b4-ac9d873b36b0"]}],"mendeley":{"formattedCitation":"(Alves et al., 2016)","plainTextFormattedCitation":"(Alves et al., 2016)","previouslyFormattedCitation":"(Alves et al., 2016)"},"properties":{"noteIndex":0},"schema":"https://github.com/citation-style-language/schema/raw/master/csl-citation.json"}</w:instrText>
      </w:r>
      <w:r>
        <w:rPr>
          <w:rFonts w:ascii="Arial" w:hAnsi="Arial" w:cs="Arial"/>
          <w:sz w:val="22"/>
        </w:rPr>
        <w:fldChar w:fldCharType="separate"/>
      </w:r>
      <w:r>
        <w:rPr>
          <w:rFonts w:ascii="Arial" w:hAnsi="Arial" w:cs="Arial"/>
          <w:sz w:val="22"/>
        </w:rPr>
        <w:t>(Alves et al., 2016)</w:t>
      </w:r>
      <w:r>
        <w:rPr>
          <w:rFonts w:ascii="Arial" w:hAnsi="Arial" w:cs="Arial"/>
          <w:sz w:val="22"/>
        </w:rPr>
        <w:fldChar w:fldCharType="end"/>
      </w:r>
      <w:r>
        <w:rPr>
          <w:rFonts w:ascii="Arial" w:hAnsi="Arial" w:cs="Arial"/>
          <w:sz w:val="22"/>
        </w:rPr>
        <w:t xml:space="preserve">. </w:t>
      </w:r>
    </w:p>
    <w:p>
      <w:pPr>
        <w:spacing w:before="156" w:beforeLines="50" w:after="156" w:afterLines="50" w:line="360" w:lineRule="auto"/>
        <w:rPr>
          <w:rFonts w:ascii="Arial" w:hAnsi="Arial" w:cs="Arial"/>
          <w:sz w:val="22"/>
        </w:rPr>
      </w:pPr>
      <w:r>
        <w:rPr>
          <w:rFonts w:ascii="Arial" w:hAnsi="Arial" w:cs="Arial"/>
          <w:sz w:val="22"/>
        </w:rPr>
        <w:t xml:space="preserve">Through the agenda-setting and the formation of the central field, multi-dimensional reconstruction, integration and cohesion of scattered and fragmented information”. For example, “I am a singer” on official Weibo on April 23, 2015, about live broadcast Weibo, this Weibo reposted close to 15,000, more than 4,000 comments, received nearly two Ten thousand likes, showing its powerful communication. As another example of an interactive voting on Weibo, the official Weibo of “I am a singer” was released such a Weibo on March 4, 2016. 7 top singers, who do you want to stay with the most? Please vote to poke: “tonight to support your favourite singers!”, The number of reposts of this Weibo is close to 10,000, and the number of comments is over 9,000 Strip, its spreading power is evident </w:t>
      </w:r>
      <w:r>
        <w:rPr>
          <w:rFonts w:ascii="Arial" w:hAnsi="Arial" w:cs="Arial"/>
          <w:sz w:val="22"/>
        </w:rPr>
        <w:fldChar w:fldCharType="begin" w:fldLock="1"/>
      </w:r>
      <w:r>
        <w:rPr>
          <w:rFonts w:ascii="Arial" w:hAnsi="Arial" w:cs="Arial"/>
          <w:sz w:val="22"/>
        </w:rPr>
        <w:instrText xml:space="preserve">ADDIN CSL_CITATION {"citationItems":[{"id":"ITEM-1","itemData":{"URL":"https://www.wsj.com/articles/BL-CJB-29000","accessed":{"date-parts":[["2022","5","13"]]},"author":[{"dropping-particle":"","family":"The Wallstreet Journal","given":"","non-dropping-particle":"","parse-names":false,"suffix":""}],"id":"ITEM-1","issued":{"date-parts":[["2017"]]},"title":"Alibaba’s ‘Ai’ Predicts Winners of China’s Hit TV Show ‘I Am a Singer’ - WSJ","type":"webpage"},"uris":["http://www.mendeley.com/documents/?uuid=690d1763-66ed-329b-bc49-448c7e370ddc"]}],"mendeley":{"formattedCitation":"(The Wallstreet Journal, 2017)","plainTextFormattedCitation":"(The Wallstreet Journal, 2017)","previouslyFormattedCitation":"(The Wallstreet Journal, 2017)"},"properties":{"noteIndex":0},"schema":"https://github.com/citation-style-language/schema/raw/master/csl-citation.json"}</w:instrText>
      </w:r>
      <w:r>
        <w:rPr>
          <w:rFonts w:ascii="Arial" w:hAnsi="Arial" w:cs="Arial"/>
          <w:sz w:val="22"/>
        </w:rPr>
        <w:fldChar w:fldCharType="separate"/>
      </w:r>
      <w:r>
        <w:rPr>
          <w:rFonts w:ascii="Arial" w:hAnsi="Arial" w:cs="Arial"/>
          <w:sz w:val="22"/>
        </w:rPr>
        <w:t>(The Wallstreet Journal, 2017)</w:t>
      </w:r>
      <w:r>
        <w:rPr>
          <w:rFonts w:ascii="Arial" w:hAnsi="Arial" w:cs="Arial"/>
          <w:sz w:val="22"/>
        </w:rPr>
        <w:fldChar w:fldCharType="end"/>
      </w:r>
      <w:r>
        <w:rPr>
          <w:rFonts w:ascii="Arial" w:hAnsi="Arial" w:cs="Arial"/>
          <w:sz w:val="22"/>
        </w:rPr>
        <w:t>. The official Weibo was used as the opinion leader to publish Weibo to publicize and build momentum for his own program, forming a two-level communication, and the fans’ responses and reposts, as well as their interactive retransmissions, formed a multi-level spread. The official Weibo has constructed such two-level and multi-level communication to maximize the power of communication, and the program itself has been excellently transmitted.</w:t>
      </w:r>
    </w:p>
    <w:p>
      <w:pPr>
        <w:pStyle w:val="3"/>
        <w:numPr>
          <w:ilvl w:val="1"/>
          <w:numId w:val="1"/>
        </w:numPr>
        <w:spacing w:before="156" w:beforeLines="50" w:after="156" w:afterLines="50" w:line="360" w:lineRule="auto"/>
        <w:rPr>
          <w:rFonts w:ascii="Arial" w:hAnsi="Arial" w:cs="Arial"/>
          <w:sz w:val="28"/>
          <w:szCs w:val="28"/>
        </w:rPr>
      </w:pPr>
      <w:bookmarkStart w:id="50" w:name="_Toc25975"/>
      <w:bookmarkStart w:id="51" w:name="_Toc28619"/>
      <w:bookmarkStart w:id="52" w:name="_Toc103303773"/>
      <w:bookmarkStart w:id="53" w:name="_Toc11959"/>
      <w:r>
        <w:rPr>
          <w:rFonts w:ascii="Arial" w:hAnsi="Arial" w:cs="Arial"/>
          <w:sz w:val="28"/>
          <w:szCs w:val="28"/>
        </w:rPr>
        <w:t>Cross-media communication</w:t>
      </w:r>
      <w:bookmarkEnd w:id="50"/>
      <w:bookmarkEnd w:id="51"/>
      <w:bookmarkEnd w:id="52"/>
      <w:bookmarkEnd w:id="53"/>
    </w:p>
    <w:p>
      <w:pPr>
        <w:spacing w:before="156" w:beforeLines="50" w:after="156" w:afterLines="50" w:line="360" w:lineRule="auto"/>
        <w:rPr>
          <w:rFonts w:ascii="Arial" w:hAnsi="Arial" w:cs="Arial"/>
          <w:sz w:val="22"/>
        </w:rPr>
      </w:pPr>
      <w:r>
        <w:rPr>
          <w:rFonts w:ascii="Arial" w:hAnsi="Arial" w:cs="Arial"/>
          <w:sz w:val="22"/>
        </w:rPr>
        <w:t xml:space="preserve">Compared with TV media, the advantages of emerging media are also reflected in multimedia and hypertext. The content of an entertainment program can be displayed in various ways in the emerging media in front of the audience. Compared with a single TV platform, it appears to be richer. “I am a singer” official Weibo released such a message on January 5, 2014, “What to watch today: less than two days after the premiere of the show, congratulations to the # 1 singer and beauty list. The official Weibo of “I’m a Singer” was released such a Weibo on January 16, 2016. “The Platinum Album is selected based on the top 10 songs on the Platinum List. Each account has 10 voting opportunities per day. For specific rules, please poke the link: I support Zhang Xinzhe in the platinum album “I Am a Singer”. It is the first to vote for your favourite song! “, Click the URL attached to Weibo, and the page will automatically jump to the official platinum voting platform. In addition, the program” I am a singer “also opened official WeChat, and the official Weibo meeting Interaction to maximize audience coverage as much as possible </w:t>
      </w:r>
      <w:r>
        <w:rPr>
          <w:rFonts w:ascii="Arial" w:hAnsi="Arial" w:cs="Arial"/>
          <w:sz w:val="22"/>
        </w:rPr>
        <w:fldChar w:fldCharType="begin" w:fldLock="1"/>
      </w:r>
      <w:r>
        <w:rPr>
          <w:rFonts w:ascii="Arial" w:hAnsi="Arial" w:cs="Arial"/>
          <w:sz w:val="22"/>
        </w:rPr>
        <w:instrText xml:space="preserve">ADDIN CSL_CITATION {"citationItems":[{"id":"ITEM-1","itemData":{"URL":"https://www.wsj.com/articles/BL-CJB-29000","accessed":{"date-parts":[["2022","5","13"]]},"author":[{"dropping-particle":"","family":"The Wallstreet Journal","given":"","non-dropping-particle":"","parse-names":false,"suffix":""}],"id":"ITEM-1","issued":{"date-parts":[["2017"]]},"title":"Alibaba’s ‘Ai’ Predicts Winners of China’s Hit TV Show ‘I Am a Singer’ - WSJ","type":"webpage"},"uris":["http://www.mendeley.com/documents/?uuid=690d1763-66ed-329b-bc49-448c7e370ddc"]},{"id":"ITEM-2","itemData":{"author":[{"dropping-particle":"","family":"Wang","given":"Qian","non-dropping-particle":"","parse-names":false,"suffix":""},{"dropping-particle":"","family":"Kloet","given":"Jeroen","non-dropping-particle":"De","parse-names":false,"suffix":""}],"container-title":"Handbook of cultural and creative industries in China","id":"ITEM-2","issued":{"date-parts":[["2016"]]},"publisher":"Edward Elgar Publishing","title":"From ‘nothing to my name’to ‘I am a singer’: Market, capital, and politics in the Chinese music industry","type":"chapter"},"uris":["http://www.mendeley.com/documents/?uuid=397f97d1-fbe8-41e4-bfa3-569a63acf010"]}],"mendeley":{"formattedCitation":"(The Wallstreet Journal, 2017; Wang &amp; De Kloet, 2016)","plainTextFormattedCitation":"(The Wallstreet Journal, 2017; Wang &amp; De Kloet, 2016)","previouslyFormattedCitation":"(The Wallstreet Journal, 2017; Wang &amp; De Kloet, 2016)"},"properties":{"noteIndex":0},"schema":"https://github.com/citation-style-language/schema/raw/master/csl-citation.json"}</w:instrText>
      </w:r>
      <w:r>
        <w:rPr>
          <w:rFonts w:ascii="Arial" w:hAnsi="Arial" w:cs="Arial"/>
          <w:sz w:val="22"/>
        </w:rPr>
        <w:fldChar w:fldCharType="separate"/>
      </w:r>
      <w:r>
        <w:rPr>
          <w:rFonts w:ascii="Arial" w:hAnsi="Arial" w:cs="Arial"/>
          <w:sz w:val="22"/>
        </w:rPr>
        <w:t>(The Wallstreet Journal, 2017; Wang &amp; De Kloet, 2016)</w:t>
      </w:r>
      <w:r>
        <w:rPr>
          <w:rFonts w:ascii="Arial" w:hAnsi="Arial" w:cs="Arial"/>
          <w:sz w:val="22"/>
        </w:rPr>
        <w:fldChar w:fldCharType="end"/>
      </w:r>
      <w:r>
        <w:rPr>
          <w:rFonts w:ascii="Arial" w:hAnsi="Arial" w:cs="Arial"/>
          <w:sz w:val="22"/>
        </w:rPr>
        <w:t>.</w:t>
      </w:r>
    </w:p>
    <w:p>
      <w:pPr>
        <w:spacing w:before="156" w:beforeLines="50" w:after="156" w:afterLines="50" w:line="360" w:lineRule="auto"/>
        <w:rPr>
          <w:rFonts w:ascii="Arial" w:hAnsi="Arial" w:cs="Arial"/>
          <w:sz w:val="24"/>
          <w:szCs w:val="24"/>
        </w:rPr>
      </w:pPr>
      <w:r>
        <w:rPr>
          <w:rFonts w:ascii="Arial" w:hAnsi="Arial" w:cs="Arial"/>
          <w:sz w:val="22"/>
        </w:rPr>
        <w:t>The “I am a singer” official Weibo maximizes the coverage of various social platforms on emerging media platforms through the links attached when publishing its own Weibo. It covers audiences on different social platforms, achieves the desired effect of niche communication, gathers strong attention, and virtually expands the influence of the program. </w:t>
      </w:r>
    </w:p>
    <w:p>
      <w:pPr>
        <w:pStyle w:val="3"/>
        <w:numPr>
          <w:ilvl w:val="1"/>
          <w:numId w:val="1"/>
        </w:numPr>
        <w:spacing w:before="156" w:beforeLines="50" w:after="156" w:afterLines="50" w:line="360" w:lineRule="auto"/>
        <w:rPr>
          <w:rFonts w:ascii="Arial" w:hAnsi="Arial" w:cs="Arial"/>
          <w:sz w:val="28"/>
          <w:szCs w:val="28"/>
        </w:rPr>
      </w:pPr>
      <w:bookmarkStart w:id="54" w:name="_Toc30084"/>
      <w:bookmarkStart w:id="55" w:name="_Toc12443"/>
      <w:bookmarkStart w:id="56" w:name="_Toc5498"/>
      <w:bookmarkStart w:id="57" w:name="_Toc103303774"/>
      <w:r>
        <w:rPr>
          <w:rFonts w:ascii="Arial" w:hAnsi="Arial" w:cs="Arial"/>
          <w:sz w:val="28"/>
          <w:szCs w:val="28"/>
        </w:rPr>
        <w:t>Topic making in-depth interaction</w:t>
      </w:r>
      <w:bookmarkEnd w:id="54"/>
      <w:bookmarkEnd w:id="55"/>
      <w:bookmarkEnd w:id="56"/>
      <w:bookmarkEnd w:id="57"/>
    </w:p>
    <w:p>
      <w:pPr>
        <w:spacing w:before="156" w:beforeLines="50" w:after="156" w:afterLines="50" w:line="360" w:lineRule="auto"/>
        <w:rPr>
          <w:rFonts w:ascii="Arial" w:hAnsi="Arial" w:cs="Arial"/>
          <w:sz w:val="22"/>
        </w:rPr>
      </w:pPr>
      <w:r>
        <w:rPr>
          <w:rFonts w:ascii="Arial" w:hAnsi="Arial" w:cs="Arial"/>
          <w:sz w:val="22"/>
        </w:rPr>
        <w:t xml:space="preserve">“In a truly interactive environment, information is no longer dependent on one party to send, but is formed in the process of communication between the two parties.” (Wu, 2010). In the past, due to the narrowness and occlusion of traditional media channels, audiences can only accept One side, and passively accepts information from the mass media. In the era of new media, due to the immediacy, interaction, and mass of the Internet, the audience is no longer satisfied with simply watching the program, and is eager to participate in the generation of program information (Qin, 2010). The platform of Weibo just meets the needs of the audience . Therefore, the official Weibo of the TV entertainment program has set many exclusive topics for interaction with netizens, so that the broad audience can participate in the discussion of the program. In this way, the theme center of the program is no longer limited to the TV media, but began to diverge and diverge, thus forming two “center camps” online and offline. </w:t>
      </w:r>
    </w:p>
    <w:p>
      <w:pPr>
        <w:spacing w:before="156" w:beforeLines="50" w:after="156" w:afterLines="50" w:line="360" w:lineRule="auto"/>
        <w:rPr>
          <w:rFonts w:ascii="Arial" w:hAnsi="Arial" w:cs="Arial"/>
          <w:sz w:val="22"/>
        </w:rPr>
      </w:pPr>
      <w:r>
        <w:rPr>
          <w:rFonts w:ascii="Arial" w:hAnsi="Arial" w:cs="Arial"/>
          <w:sz w:val="22"/>
        </w:rPr>
        <w:t xml:space="preserve">The first is a program broadcast on TV media. The audience ‘s love and timely viewing made it the first program centre. At the same time, during the broadcast of the program, the program itself will create some topics about the content of the program. The official Weibo of “I am a singer” often constructs topics based on the material in the program and encourages viewers to answer on Weibo when watching the program. It’s discussed. “A new” Weibo sign-in “TV program viewing mode is taking shape. Many viewers will watch TV in parallel with Weibo posting, and share the experience of watching TV with Weibo friends. The discussion of Weibo in turn may affect After the television program is broadcast, the official Weibo will use the characteristics of the network to dig deeper into the content of the program, find various hotspots that can attract the audience, and perform some editing and processing to form a network (Ye, 2010). </w:t>
      </w:r>
    </w:p>
    <w:p>
      <w:pPr>
        <w:spacing w:before="156" w:beforeLines="50" w:after="156" w:afterLines="50" w:line="360" w:lineRule="auto"/>
        <w:rPr>
          <w:rFonts w:ascii="Arial" w:hAnsi="Arial" w:cs="Arial"/>
          <w:sz w:val="22"/>
        </w:rPr>
      </w:pPr>
      <w:r>
        <w:rPr>
          <w:rFonts w:ascii="Arial" w:hAnsi="Arial" w:cs="Arial"/>
          <w:sz w:val="22"/>
        </w:rPr>
        <w:t xml:space="preserve">The topic made the broadcasted programs shine again on the Internet, thus successfully forming another program center, and reuniting the lost attention after the program was broadcasted on the TV media in the emerging media. Take the fourth season of “I’m a Singer” as an example. At the beginning of the show, singer Jin Zhiwen received the attention and love of the audience due to her outstanding appearance and good voice. During the match, Jin Zhiwen came to “kick the hall” as the last substitute kicker singer, performed well, but still failed. </w:t>
      </w:r>
    </w:p>
    <w:p>
      <w:pPr>
        <w:spacing w:before="156" w:beforeLines="50" w:after="156" w:afterLines="50" w:line="360" w:lineRule="auto"/>
        <w:rPr>
          <w:rFonts w:ascii="Arial" w:hAnsi="Arial" w:cs="Arial"/>
          <w:sz w:val="22"/>
        </w:rPr>
      </w:pPr>
      <w:r>
        <w:rPr>
          <w:rFonts w:ascii="Arial" w:hAnsi="Arial" w:cs="Arial"/>
          <w:sz w:val="22"/>
        </w:rPr>
        <w:t>The official Weibo of “I’m a Singer” released such a Weibo on March 14, 2016, “Interview with GT: If you have a dream, you must go after it! When you stand on this stage, you will find that everything is paid like that It’s worth it! Poke link: Interview with Jin Zhiwen: “Singer” There is no regret for the failure of kicking off the museum. If you have a dream, you must follow (website), and attach a video link to Man Zhi TV’s interview with Jin Zhiwen. The followers have left comments and discussions on Weibo, making this show once again attract the attention of the audience on the online platform after its completion, and regained the attention.</w:t>
      </w:r>
    </w:p>
    <w:p>
      <w:pPr>
        <w:pStyle w:val="3"/>
        <w:numPr>
          <w:ilvl w:val="1"/>
          <w:numId w:val="1"/>
        </w:numPr>
        <w:spacing w:before="156" w:beforeLines="50" w:after="156" w:afterLines="50" w:line="360" w:lineRule="auto"/>
        <w:rPr>
          <w:rFonts w:ascii="Arial" w:hAnsi="Arial" w:cs="Arial"/>
          <w:sz w:val="28"/>
          <w:szCs w:val="28"/>
        </w:rPr>
      </w:pPr>
      <w:bookmarkStart w:id="58" w:name="_Toc103303775"/>
      <w:bookmarkStart w:id="59" w:name="_Toc15942"/>
      <w:bookmarkStart w:id="60" w:name="_Toc3190"/>
      <w:bookmarkStart w:id="61" w:name="_Toc26190"/>
      <w:r>
        <w:rPr>
          <w:rFonts w:ascii="Arial" w:hAnsi="Arial" w:cs="Arial"/>
          <w:sz w:val="28"/>
          <w:szCs w:val="28"/>
        </w:rPr>
        <w:t>Build a variety of media frameworks to form a strong communication force</w:t>
      </w:r>
      <w:bookmarkEnd w:id="58"/>
      <w:bookmarkEnd w:id="59"/>
      <w:bookmarkEnd w:id="60"/>
      <w:bookmarkEnd w:id="61"/>
    </w:p>
    <w:p>
      <w:pPr>
        <w:spacing w:before="156" w:beforeLines="50" w:after="156" w:afterLines="50" w:line="360" w:lineRule="auto"/>
        <w:rPr>
          <w:rFonts w:ascii="Arial" w:hAnsi="Arial" w:cs="Arial"/>
          <w:sz w:val="22"/>
        </w:rPr>
      </w:pPr>
      <w:r>
        <w:rPr>
          <w:rFonts w:ascii="Arial" w:hAnsi="Arial" w:cs="Arial"/>
          <w:sz w:val="22"/>
        </w:rPr>
        <w:t>“The concept of the framework originated from Bateson (1955). Goffman (1974) introduced this concept into cultural sociology and later it was introduced into the study of mass communication, which became an important point in qualitative research.” In Goffman’s point of view, the important ideological background of people is derived from real events experienced in daily life, and this series of processes is called the framework, which comes from two aspects. From an individual’s perspective, this It is closely related to the events that people experience in daily life; from a broad background, the social environment and social-cultural awareness will also have a certain impact on the framework.” Gammson further believes that the definition of a framework can be divided into two categories. One category refers to the limit, that is, it contains the meaning of choice and represents the scope of the material. The other category is the architecture-people use this to explain the external World. “A clear and accurate Weibo positioning is helpful for Weibo to build a media framework and establish its own media image. In terms of Weibo issues, “Using Gam</w:t>
      </w:r>
      <w:r>
        <w:rPr>
          <w:rFonts w:hint="eastAsia" w:ascii="Arial" w:hAnsi="Arial" w:cs="Arial"/>
          <w:sz w:val="22"/>
        </w:rPr>
        <w:t>mson</w:t>
      </w:r>
      <w:r>
        <w:rPr>
          <w:rFonts w:ascii="Arial" w:hAnsi="Arial" w:cs="Arial"/>
          <w:sz w:val="22"/>
        </w:rPr>
        <w:t>’s view that the media framework is based on materials to form ‘boundaries and ‘architecture’ social phenomena, the official Weibo of the TV media has chosen to build its own media image by choosing issues to disseminate. The influence of the audience to form communication power “TV entertainment programs are characterized by relaxed and lively content, colorful forms, and overall style tends to be entertaining and playful. Therefore, its official Weibo positioning is also tending to be entertaining and relaxing. It is through the dissemination of selective issues to form its own media framework (Guo, 2006).</w:t>
      </w:r>
    </w:p>
    <w:p>
      <w:pPr>
        <w:spacing w:before="156" w:beforeLines="50" w:after="156" w:afterLines="50" w:line="360" w:lineRule="auto"/>
        <w:rPr>
          <w:rFonts w:ascii="Arial" w:hAnsi="Arial" w:cs="Arial"/>
          <w:sz w:val="22"/>
        </w:rPr>
      </w:pPr>
      <w:r>
        <w:rPr>
          <w:rFonts w:ascii="Arial" w:hAnsi="Arial" w:cs="Arial"/>
          <w:sz w:val="22"/>
        </w:rPr>
        <w:t>Here is an example of the official Weibo of Hunan TV ‘s TV entertainment programs. Hunan TV holds the banner of “Happy China”, and its positioning is entertainment. Therefore, the official Weibo positioning of Hunan TV ‘s TV entertainment programs is also very clear. Generally speaking, the official Weibo of “I’m a Singer” is the official media of the Hunan TV program that holds the banner of “Happy China” (Nicita, Olarreaga and da Silva, 2018). From all the Weibo posts it published, both in terms of content selection and content expression, it seemed to be relaxed and lively, humorous and humorous, and always consistent with the overall positioning of Hunan TV “Happy China”. It is beneficial to enhance the influence of Weibo, and thus form a powerful communication force for the audience (Han, 2006).</w:t>
      </w:r>
    </w:p>
    <w:p>
      <w:pPr>
        <w:pStyle w:val="3"/>
        <w:numPr>
          <w:ilvl w:val="1"/>
          <w:numId w:val="1"/>
        </w:numPr>
        <w:spacing w:before="156" w:beforeLines="50" w:after="156" w:afterLines="50" w:line="360" w:lineRule="auto"/>
        <w:rPr>
          <w:rFonts w:ascii="Arial" w:hAnsi="Arial" w:cs="Arial"/>
          <w:sz w:val="28"/>
          <w:szCs w:val="28"/>
        </w:rPr>
      </w:pPr>
      <w:bookmarkStart w:id="62" w:name="_Toc103303776"/>
      <w:bookmarkStart w:id="63" w:name="_Toc15183"/>
      <w:bookmarkStart w:id="64" w:name="_Toc32341"/>
      <w:bookmarkStart w:id="65" w:name="_Toc19311"/>
      <w:r>
        <w:rPr>
          <w:rFonts w:ascii="Arial" w:hAnsi="Arial" w:cs="Arial"/>
          <w:sz w:val="28"/>
          <w:szCs w:val="28"/>
        </w:rPr>
        <w:t>Combining Internet Culture to Close the Audience</w:t>
      </w:r>
      <w:bookmarkEnd w:id="62"/>
      <w:bookmarkEnd w:id="63"/>
      <w:bookmarkEnd w:id="64"/>
      <w:bookmarkEnd w:id="65"/>
    </w:p>
    <w:p>
      <w:pPr>
        <w:spacing w:before="156" w:beforeLines="50" w:after="156" w:afterLines="50" w:line="360" w:lineRule="auto"/>
        <w:rPr>
          <w:rFonts w:ascii="Arial" w:hAnsi="Arial" w:cs="Arial"/>
          <w:sz w:val="22"/>
        </w:rPr>
      </w:pPr>
      <w:r>
        <w:rPr>
          <w:rFonts w:ascii="Arial" w:hAnsi="Arial" w:cs="Arial"/>
          <w:sz w:val="22"/>
        </w:rPr>
        <w:t>The right to speak, as the name implies, is the right and qualification to speak. In this sense, the right to speak is inseparable from people’s daily life. People are fighting for certain rights and expressions, such as culture, economy, and politics. In a sense, they are fighting for the right to speak with them. For example, people’s explanations and definitions of certain things, people’s complaints in the face of a situation to fight for their own interests, or people’s complaints in the face of oppression Resistance, etc., these are the right to speak (Erskine, 2004).</w:t>
      </w:r>
    </w:p>
    <w:p>
      <w:pPr>
        <w:spacing w:before="156" w:beforeLines="50" w:after="156" w:afterLines="50" w:line="360" w:lineRule="auto"/>
        <w:rPr>
          <w:rFonts w:ascii="Arial" w:hAnsi="Arial" w:cs="Arial"/>
          <w:sz w:val="22"/>
        </w:rPr>
      </w:pPr>
      <w:r>
        <w:rPr>
          <w:rFonts w:ascii="Arial" w:hAnsi="Arial" w:cs="Arial"/>
          <w:sz w:val="22"/>
        </w:rPr>
        <w:t>For example, in the second season of “I’m a Singer”, although the player Han Lei is the oldest of all the players, he has a young heart. He not only likes to communicate with young people, but also often meets with young people. People affectionately call him “Brother Han”.The two words here are online buzzwords with rich meanings on the Internet today, and the content culture they represent is not limited to “cute” and “cute” in the traditional context. “Older”, and was given a new online meaning (Tomz, Goldstein and Rivers, 2007). Therefore, the official Weibo of “I’m a Singer” follows the steps of netizens, often calling Han Lei “uncle Meng” in the Weibo posted by him, and combined with his funny performance in the program, it has attracted a lot of attention from the audience. Another example is when the third season of the show began, “Tsinghua male god” Li Jian attracted much attention. The official Weibo Weibo released on May 22, 2015: “Singing the ending song” For You “</w:t>
      </w:r>
      <w:r>
        <w:rPr>
          <w:rFonts w:hint="eastAsia" w:ascii="Arial" w:hAnsi="Arial" w:cs="Arial"/>
          <w:sz w:val="22"/>
        </w:rPr>
        <w:t>.</w:t>
      </w:r>
      <w:r>
        <w:rPr>
          <w:rFonts w:ascii="Arial" w:hAnsi="Arial" w:cs="Arial"/>
          <w:sz w:val="22"/>
        </w:rPr>
        <w:t xml:space="preserve">For another example, in the fourth quarter of 2016, Korean singer Huang Zhilie participated in the show and was very popular (Harvey, 2013). </w:t>
      </w:r>
    </w:p>
    <w:p>
      <w:pPr>
        <w:spacing w:before="156" w:beforeLines="50" w:after="156" w:afterLines="50" w:line="360" w:lineRule="auto"/>
        <w:rPr>
          <w:rFonts w:ascii="Arial" w:hAnsi="Arial" w:cs="Arial"/>
          <w:sz w:val="22"/>
        </w:rPr>
      </w:pPr>
      <w:r>
        <w:rPr>
          <w:rFonts w:ascii="Arial" w:hAnsi="Arial" w:cs="Arial"/>
          <w:sz w:val="22"/>
        </w:rPr>
        <w:t>The Weibo reposted on March 4, 2016: “You are just playing with fire guys, but girlfriends said they like it very much. Would you please make persistent efforts? Would you agree to Xiaobian like Erkang promised Ziwei! (PS: Please also add more observation diaries for this serial version, agree to transfer!) “，The “sister-in-law”, “girlfriends”, and “erkang ziwei” here are all popular Internet terms that netizens usually use on the Internet platform. Official blogs use this language to release program-related information. Easy and lively, it makes netizens feel a sense of intimacy, which indirectly shortens the distance with netizens.</w:t>
      </w:r>
    </w:p>
    <w:p>
      <w:pPr>
        <w:pStyle w:val="3"/>
        <w:numPr>
          <w:ilvl w:val="1"/>
          <w:numId w:val="1"/>
        </w:numPr>
        <w:spacing w:before="156" w:beforeLines="50" w:after="156" w:afterLines="50" w:line="360" w:lineRule="auto"/>
        <w:rPr>
          <w:rFonts w:ascii="Arial" w:hAnsi="Arial" w:cs="Arial"/>
          <w:sz w:val="28"/>
          <w:szCs w:val="28"/>
        </w:rPr>
      </w:pPr>
      <w:bookmarkStart w:id="66" w:name="_Toc8548"/>
      <w:bookmarkStart w:id="67" w:name="_Toc20116"/>
      <w:bookmarkStart w:id="68" w:name="_Toc8194"/>
      <w:bookmarkStart w:id="69" w:name="_Toc103303777"/>
      <w:r>
        <w:rPr>
          <w:rFonts w:ascii="Arial" w:hAnsi="Arial" w:cs="Arial"/>
          <w:sz w:val="28"/>
          <w:szCs w:val="28"/>
        </w:rPr>
        <w:t>Effect</w:t>
      </w:r>
      <w:bookmarkEnd w:id="66"/>
      <w:bookmarkEnd w:id="67"/>
      <w:bookmarkEnd w:id="68"/>
      <w:r>
        <w:rPr>
          <w:rFonts w:ascii="Arial" w:hAnsi="Arial" w:cs="Arial"/>
          <w:sz w:val="28"/>
          <w:szCs w:val="28"/>
        </w:rPr>
        <w:t xml:space="preserve"> of the Weibo marketing</w:t>
      </w:r>
      <w:bookmarkEnd w:id="69"/>
      <w:r>
        <w:rPr>
          <w:rFonts w:ascii="Arial" w:hAnsi="Arial" w:cs="Arial"/>
          <w:sz w:val="28"/>
          <w:szCs w:val="28"/>
        </w:rPr>
        <w:t xml:space="preserve"> </w:t>
      </w:r>
    </w:p>
    <w:p>
      <w:pPr>
        <w:spacing w:before="156" w:beforeLines="50" w:after="156" w:afterLines="50" w:line="360" w:lineRule="auto"/>
        <w:rPr>
          <w:rFonts w:ascii="Arial" w:hAnsi="Arial" w:cs="Arial"/>
          <w:sz w:val="22"/>
        </w:rPr>
      </w:pPr>
      <w:r>
        <w:rPr>
          <w:rFonts w:ascii="Arial" w:hAnsi="Arial" w:cs="Arial"/>
          <w:sz w:val="22"/>
        </w:rPr>
        <w:t xml:space="preserve">According to statistics, the total broadcast volume of all 13 episodes of “I Am a Singer” uploaded by the top three video sites in the market totaled nearly 700 million times; the hot topic of “I am a Singer” on Weibo exceeded 100 million times on the night of the finals; Searching for “I am a singer” through the Baidu index shows that user attention and media attention have reached an astonishing 1.2 million and 4,000 respectively, setting a new record for similar programs; the first TV-based social application “Hula” launched by Hunan Satellite TV (Fergusson, 2008). </w:t>
      </w:r>
    </w:p>
    <w:p>
      <w:pPr>
        <w:spacing w:before="156" w:beforeLines="50" w:after="156" w:afterLines="50" w:line="360" w:lineRule="auto"/>
        <w:rPr>
          <w:rFonts w:ascii="Arial" w:hAnsi="Arial" w:cs="Arial"/>
          <w:sz w:val="22"/>
        </w:rPr>
      </w:pPr>
      <w:r>
        <w:rPr>
          <w:rFonts w:ascii="Arial" w:hAnsi="Arial" w:cs="Arial"/>
          <w:sz w:val="22"/>
        </w:rPr>
        <w:t>For the first time to achieve multi-screen interactive activities, the innovative launch of “I am the singer finals cinema line grab event” with the participation of more than 600,000 netizens, instantly “seckill”.All these data can prove that the “I am a singer” Weibo promotion model is a successful case (Nicita, Olarreaga and da Silva, 2018). In the final analysis, entertainment programs rely on stars, manufacturing stars and consumer stars. In the past, draft programs used SMS voting to gather popularity, but now they are gaining attention through “microblogging and screen consumption”. Whether it’s “I’m a singer” or “Star Diving Cube”, both are adopting this social marketing method. When the “Hot Weibo” entertainment list is occupied by the star anchors “He Ye” and “Xie Na” all the time, when the hot topic is constantly occupied by a certain program, when your Weibo timeline keeps talking about a certain program at the time of the blog, the show had an unprecedented influence in the hearts of social networks and netizens. This influence will undoubtedly translate into “ratings” and will also generate huge commercial value (Clemens and Kremer, 2016).</w:t>
      </w:r>
    </w:p>
    <w:p>
      <w:pPr>
        <w:spacing w:before="156" w:beforeLines="50" w:after="156" w:afterLines="50" w:line="360" w:lineRule="auto"/>
        <w:rPr>
          <w:rFonts w:ascii="Arial" w:hAnsi="Arial" w:cs="Arial"/>
          <w:sz w:val="22"/>
        </w:rPr>
      </w:pPr>
    </w:p>
    <w:p>
      <w:pPr>
        <w:spacing w:before="156" w:beforeLines="50" w:after="156" w:afterLines="50" w:line="360" w:lineRule="auto"/>
        <w:rPr>
          <w:rFonts w:ascii="Arial" w:hAnsi="Arial" w:cs="Arial"/>
          <w:sz w:val="22"/>
        </w:rPr>
      </w:pPr>
      <w:r>
        <w:rPr>
          <w:rFonts w:ascii="Arial" w:hAnsi="Arial" w:cs="Arial"/>
          <w:sz w:val="22"/>
        </w:rPr>
        <w:drawing>
          <wp:inline distT="0" distB="0" distL="0" distR="0">
            <wp:extent cx="5265420" cy="2552700"/>
            <wp:effectExtent l="0" t="0" r="0" b="0"/>
            <wp:docPr id="14" name="图片 14" descr="C:\Users\Lenovo\Desktop\d42e85f374c2d0467b15e42a30cb1cf.jpgd42e85f374c2d0467b15e42a30cb1c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C:\Users\Lenovo\Desktop\d42e85f374c2d0467b15e42a30cb1cf.jpgd42e85f374c2d0467b15e42a30cb1c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265420" cy="2552700"/>
                    </a:xfrm>
                    <a:prstGeom prst="rect">
                      <a:avLst/>
                    </a:prstGeom>
                    <a:noFill/>
                    <a:ln>
                      <a:noFill/>
                    </a:ln>
                    <a:effectLst/>
                  </pic:spPr>
                </pic:pic>
              </a:graphicData>
            </a:graphic>
          </wp:inline>
        </w:drawing>
      </w:r>
    </w:p>
    <w:p>
      <w:pPr>
        <w:spacing w:before="156" w:beforeLines="50" w:after="156" w:afterLines="50" w:line="360" w:lineRule="auto"/>
        <w:rPr>
          <w:rFonts w:ascii="Arial" w:hAnsi="Arial" w:cs="Arial"/>
          <w:i/>
          <w:iCs/>
          <w:sz w:val="22"/>
        </w:rPr>
      </w:pPr>
      <w:bookmarkStart w:id="70" w:name="_Toc19451_WPSOffice_Level3"/>
      <w:r>
        <w:rPr>
          <w:rFonts w:ascii="Arial" w:hAnsi="Arial" w:cs="Arial"/>
          <w:i/>
          <w:iCs/>
          <w:sz w:val="22"/>
        </w:rPr>
        <w:t xml:space="preserve">Data source: &lt;I am a singer&gt; official website; </w:t>
      </w:r>
      <w:r>
        <w:rPr>
          <w:rFonts w:hint="eastAsia" w:ascii="Arial" w:hAnsi="Arial" w:cs="Arial"/>
          <w:i/>
          <w:iCs/>
          <w:sz w:val="22"/>
        </w:rPr>
        <w:t>04.18.2021</w:t>
      </w:r>
    </w:p>
    <w:p>
      <w:pPr>
        <w:widowControl/>
        <w:jc w:val="left"/>
        <w:rPr>
          <w:rFonts w:ascii="Arial" w:hAnsi="Arial" w:cs="Arial"/>
          <w:sz w:val="22"/>
        </w:rPr>
      </w:pPr>
      <w:r>
        <w:rPr>
          <w:rFonts w:ascii="Arial" w:hAnsi="Arial" w:cs="Arial"/>
          <w:sz w:val="22"/>
        </w:rPr>
        <w:br w:type="page"/>
      </w:r>
    </w:p>
    <w:bookmarkEnd w:id="70"/>
    <w:p>
      <w:pPr>
        <w:pStyle w:val="2"/>
        <w:numPr>
          <w:ilvl w:val="0"/>
          <w:numId w:val="1"/>
        </w:numPr>
        <w:spacing w:before="156" w:beforeLines="50" w:after="156" w:afterLines="50" w:line="360" w:lineRule="auto"/>
        <w:rPr>
          <w:rFonts w:ascii="Arial" w:hAnsi="Arial" w:cs="Arial"/>
          <w:sz w:val="32"/>
          <w:szCs w:val="32"/>
        </w:rPr>
      </w:pPr>
      <w:bookmarkStart w:id="71" w:name="_Toc103303778"/>
      <w:r>
        <w:rPr>
          <w:rFonts w:ascii="Arial" w:hAnsi="Arial" w:cs="Arial"/>
          <w:sz w:val="32"/>
          <w:szCs w:val="32"/>
        </w:rPr>
        <w:t>Discussions on the effect of the social media marketing of the “I am a singer” TV show</w:t>
      </w:r>
      <w:bookmarkEnd w:id="71"/>
    </w:p>
    <w:p>
      <w:pPr>
        <w:spacing w:line="360" w:lineRule="auto"/>
      </w:pPr>
    </w:p>
    <w:p>
      <w:pPr>
        <w:spacing w:before="156" w:beforeLines="50" w:after="156" w:afterLines="50" w:line="360" w:lineRule="auto"/>
        <w:rPr>
          <w:rFonts w:ascii="Arial" w:hAnsi="Arial" w:cs="Arial"/>
          <w:sz w:val="22"/>
        </w:rPr>
      </w:pPr>
      <w:r>
        <w:rPr>
          <w:rFonts w:ascii="Arial" w:hAnsi="Arial" w:cs="Arial"/>
          <w:sz w:val="22"/>
        </w:rPr>
        <w:t xml:space="preserve">The discussions in this chapter are based on the previous discussions in Chapters 4 and 5 with the questionnaire data analysis presented in the appendices. The data analyses exhibited in the appendices are provided primarily in the form of descriptive analysis using Excel on the data obtained. </w:t>
      </w:r>
    </w:p>
    <w:p>
      <w:pPr>
        <w:pStyle w:val="3"/>
        <w:numPr>
          <w:ilvl w:val="1"/>
          <w:numId w:val="1"/>
        </w:numPr>
        <w:spacing w:before="156" w:beforeLines="50" w:after="156" w:afterLines="50" w:line="360" w:lineRule="auto"/>
        <w:rPr>
          <w:rFonts w:ascii="Arial" w:hAnsi="Arial" w:cs="Arial"/>
          <w:sz w:val="28"/>
          <w:szCs w:val="28"/>
        </w:rPr>
      </w:pPr>
      <w:bookmarkStart w:id="72" w:name="_Toc6905"/>
      <w:bookmarkStart w:id="73" w:name="_Toc103303779"/>
      <w:bookmarkStart w:id="74" w:name="_Toc16086"/>
      <w:bookmarkStart w:id="75" w:name="_Toc572"/>
      <w:r>
        <w:rPr>
          <w:rFonts w:ascii="Arial" w:hAnsi="Arial" w:cs="Arial"/>
          <w:sz w:val="28"/>
          <w:szCs w:val="28"/>
        </w:rPr>
        <w:t>Advantage</w:t>
      </w:r>
      <w:bookmarkEnd w:id="72"/>
      <w:bookmarkEnd w:id="73"/>
      <w:bookmarkEnd w:id="74"/>
      <w:bookmarkEnd w:id="75"/>
    </w:p>
    <w:p>
      <w:pPr>
        <w:pStyle w:val="55"/>
        <w:numPr>
          <w:ilvl w:val="2"/>
          <w:numId w:val="1"/>
        </w:numPr>
        <w:spacing w:line="360" w:lineRule="auto"/>
        <w:ind w:firstLineChars="0"/>
        <w:outlineLvl w:val="2"/>
        <w:rPr>
          <w:rFonts w:ascii="Arial" w:hAnsi="Arial" w:cs="Arial"/>
          <w:b/>
          <w:bCs/>
          <w:sz w:val="24"/>
          <w:szCs w:val="24"/>
        </w:rPr>
      </w:pPr>
      <w:bookmarkStart w:id="76" w:name="_Toc17193"/>
      <w:bookmarkStart w:id="77" w:name="_Toc18790"/>
      <w:bookmarkStart w:id="78" w:name="_Toc103303780"/>
      <w:r>
        <w:rPr>
          <w:rFonts w:ascii="Arial" w:hAnsi="Arial" w:cs="Arial"/>
          <w:b/>
          <w:bCs/>
          <w:sz w:val="24"/>
          <w:szCs w:val="24"/>
        </w:rPr>
        <w:t>Dissemination of social influence</w:t>
      </w:r>
      <w:bookmarkEnd w:id="76"/>
      <w:bookmarkEnd w:id="77"/>
      <w:bookmarkEnd w:id="78"/>
    </w:p>
    <w:p>
      <w:pPr>
        <w:spacing w:before="156" w:beforeLines="50" w:after="156" w:afterLines="50" w:line="360" w:lineRule="auto"/>
        <w:rPr>
          <w:rFonts w:ascii="Arial" w:hAnsi="Arial" w:cs="Arial"/>
          <w:sz w:val="22"/>
        </w:rPr>
      </w:pPr>
      <w:r>
        <w:rPr>
          <w:rFonts w:ascii="Arial" w:hAnsi="Arial" w:cs="Arial"/>
          <w:sz w:val="22"/>
        </w:rPr>
        <w:t>The emergence and development of new media have broadened the breadth and depth of communication and has broken the boundaries of various forms of information dissemination in the past. It can achieve both face-to-face and point-to-point transmission. New media combines interpersonal communication with mass communication. This new and special method of transmission maximizes the spread of information (Walker, 2013).</w:t>
      </w:r>
    </w:p>
    <w:p>
      <w:pPr>
        <w:spacing w:before="156" w:beforeLines="50" w:after="156" w:afterLines="50" w:line="360" w:lineRule="auto"/>
        <w:rPr>
          <w:rFonts w:ascii="Arial" w:hAnsi="Arial" w:cs="Arial"/>
          <w:sz w:val="22"/>
        </w:rPr>
      </w:pPr>
      <w:r>
        <w:rPr>
          <w:rFonts w:ascii="Arial" w:hAnsi="Arial" w:cs="Arial"/>
          <w:sz w:val="22"/>
        </w:rPr>
        <w:t>The first season of “I’m a Singer” was broadcast by Hunan Satellite TV at 10 o’clock on January 18, 2013. Once the program was broadcast, it got a good response. Relevant network data shows that the premiere of “I Am a Singer” has a rating of 1.06 and a score of 6.07%, ranking first in the country in the same period (Harvey, 2013). The third season of “I Am a Singer” being broadcast on the day of January 2, 2015, the first broadcast surpassed the previous two seasons, the share exceeded ten, the national rating was 1.7, the share was 10.17%, and the first time, the share was over The first season of 67.5% premiered, the same day “Everyday Up” in the same period first, the documentary “our singer” share 8.53%, the same period first.</w:t>
      </w:r>
    </w:p>
    <w:p>
      <w:pPr>
        <w:spacing w:before="156" w:beforeLines="50" w:after="156" w:afterLines="50" w:line="360" w:lineRule="auto"/>
        <w:rPr>
          <w:rFonts w:ascii="Arial" w:hAnsi="Arial" w:cs="Arial"/>
          <w:sz w:val="22"/>
        </w:rPr>
      </w:pPr>
      <w:r>
        <w:rPr>
          <w:rFonts w:ascii="Arial" w:hAnsi="Arial" w:cs="Arial"/>
          <w:sz w:val="22"/>
        </w:rPr>
        <w:t>As of 00:00 on March 10, the total number of articles published by “I Am a Singer” on the websites of major households has reached nearly one, and major mainstream print media have also published a large number of reports on the program (The World Bank, 2015). The search volume of “I am a singer” in search engines such as Baidu and Google have also been increasing and the search volume related to the content is not included in the rush. From the beginning of the show to the end of the show, for nearly four months, whether it is traditional media or new media, the degree of relevance of the program has been continuously improved, which has never been seen in previous programs. The show created a new record and set a new benchmark show.</w:t>
      </w:r>
    </w:p>
    <w:p>
      <w:pPr>
        <w:spacing w:before="156" w:beforeLines="50" w:after="156" w:afterLines="50" w:line="360" w:lineRule="auto"/>
        <w:rPr>
          <w:rFonts w:ascii="Arial" w:hAnsi="Arial" w:cs="Arial"/>
          <w:sz w:val="22"/>
        </w:rPr>
      </w:pPr>
      <w:r>
        <w:rPr>
          <w:rFonts w:ascii="Arial" w:hAnsi="Arial" w:cs="Arial"/>
          <w:sz w:val="22"/>
        </w:rPr>
        <w:t>These communication influences are reflected in the transformation of the audience. They have a lot of discussion and communication about sending a program. There are a lot of fans of the program. Fans will discuss this program after tea and dinner and will spread it to those around them. When you go to watch the show because of the influence of people around you, the influence circle will always be expanded, the influence of communication will continue to expand, and the ratings will continue to increase, which will also drive advertising revenue.</w:t>
      </w:r>
    </w:p>
    <w:p>
      <w:pPr>
        <w:pStyle w:val="55"/>
        <w:numPr>
          <w:ilvl w:val="2"/>
          <w:numId w:val="1"/>
        </w:numPr>
        <w:spacing w:line="360" w:lineRule="auto"/>
        <w:ind w:firstLineChars="0"/>
        <w:outlineLvl w:val="2"/>
        <w:rPr>
          <w:rFonts w:ascii="Arial" w:hAnsi="Arial" w:cs="Arial"/>
          <w:b/>
          <w:bCs/>
          <w:sz w:val="24"/>
          <w:szCs w:val="24"/>
        </w:rPr>
      </w:pPr>
      <w:bookmarkStart w:id="79" w:name="_Toc3923"/>
      <w:bookmarkStart w:id="80" w:name="_Toc2784"/>
      <w:bookmarkStart w:id="81" w:name="_Toc103303781"/>
      <w:r>
        <w:rPr>
          <w:rFonts w:ascii="Arial" w:hAnsi="Arial" w:cs="Arial"/>
          <w:b/>
          <w:bCs/>
          <w:sz w:val="24"/>
          <w:szCs w:val="24"/>
        </w:rPr>
        <w:t>High economic benefits</w:t>
      </w:r>
      <w:bookmarkEnd w:id="79"/>
      <w:bookmarkEnd w:id="80"/>
      <w:bookmarkEnd w:id="81"/>
    </w:p>
    <w:p>
      <w:pPr>
        <w:spacing w:before="156" w:beforeLines="50" w:after="156" w:afterLines="50" w:line="360" w:lineRule="auto"/>
        <w:rPr>
          <w:rFonts w:ascii="Arial" w:hAnsi="Arial" w:cs="Arial"/>
          <w:sz w:val="22"/>
        </w:rPr>
      </w:pPr>
      <w:r>
        <w:rPr>
          <w:rFonts w:ascii="Arial" w:hAnsi="Arial" w:cs="Arial"/>
          <w:sz w:val="22"/>
        </w:rPr>
        <w:t xml:space="preserve">New media marketing has a fast dissemination speed, high timeliness, and can cover a large area at the same time. It is more versatile, more efficient, and lower cost than traditional media communications </w:t>
      </w:r>
      <w:r>
        <w:rPr>
          <w:rFonts w:ascii="Arial" w:hAnsi="Arial" w:cs="Arial"/>
          <w:sz w:val="22"/>
        </w:rPr>
        <w:fldChar w:fldCharType="begin" w:fldLock="1"/>
      </w:r>
      <w:r>
        <w:rPr>
          <w:rFonts w:ascii="Arial" w:hAnsi="Arial" w:cs="Arial"/>
          <w:sz w:val="22"/>
        </w:rPr>
        <w:instrText xml:space="preserve">ADDIN CSL_CITATION {"citationItems":[{"id":"ITEM-1","itemData":{"DOI":"10.5937/straman1801011k","ISSN":"1821-3448","abstract":"The purpose of this article is to examine the contemporary developments of the global digital trends and inves- tigate the most perspective digital technologies crucial for international companies. The relevance of foresight methodology application is justified. The paper’s focus is on future trends of digital technologies by providing a brief literature review in the fields of digital technologies and relevant marketing resources. Key assumptions, expectations and uncertainties about the future are re-evaluated. It is justified that long-term thinking is crucial to frame future strategies not only for governments and citizens but also for both small and international com- panies. Three global trends within the field of digital technologies are investigated: artificial intelligence, block chain and big data. The marketing resources which are currently arising and developing with the highest po- tential of dominating and revolutionizing the future of marketing are described: internet of things, social media, virtual and augmented reality. The author used the example of augmented reality expansion and development as one of the most promising global trends. Survey methodology was applied to evaluate the potential of augmented reality (AR) application using one of the most promising international industry adopters: the tour- ism industry. The AR mobile apps generated $ 2 billion in revenue as of the end of 2016 and according to the investigations the AR market could grow to $120 billion by 2020. The research results have shown that 84% to 100% of generation Y &amp; Z consumers, whose consumption patterns would shape future demand, see clear benefits in using augmented reality applications in tourism industry.","author":[{"dropping-particle":"","family":"Kostin","given":"Konstantin","non-dropping-particle":"","parse-names":false,"suffix":""}],"container-title":"Strategic Management","id":"ITEM-1","issue":"2","issued":{"date-parts":[["2018"]]},"page":"11-19","title":"Foresight of the global digital trends","type":"article-journal","volume":"23"},"uris":["http://www.mendeley.com/documents/?uuid=5203cb5e-a7f1-4a30-8680-dbe989cdb6b3"]}],"mendeley":{"formattedCitation":"(Kostin, 2018)","plainTextFormattedCitation":"(Kostin, 2018)","previouslyFormattedCitation":"(Kostin, 2018)"},"properties":{"noteIndex":0},"schema":"https://github.com/citation-style-language/schema/raw/master/csl-citation.json"}</w:instrText>
      </w:r>
      <w:r>
        <w:rPr>
          <w:rFonts w:ascii="Arial" w:hAnsi="Arial" w:cs="Arial"/>
          <w:sz w:val="22"/>
        </w:rPr>
        <w:fldChar w:fldCharType="separate"/>
      </w:r>
      <w:r>
        <w:rPr>
          <w:rFonts w:ascii="Arial" w:hAnsi="Arial" w:cs="Arial"/>
          <w:sz w:val="22"/>
        </w:rPr>
        <w:t>(Kostin, 2018)</w:t>
      </w:r>
      <w:r>
        <w:rPr>
          <w:rFonts w:ascii="Arial" w:hAnsi="Arial" w:cs="Arial"/>
          <w:sz w:val="22"/>
        </w:rPr>
        <w:fldChar w:fldCharType="end"/>
      </w:r>
      <w:r>
        <w:rPr>
          <w:rFonts w:ascii="Arial" w:hAnsi="Arial" w:cs="Arial"/>
          <w:sz w:val="22"/>
        </w:rPr>
        <w:t>.</w:t>
      </w:r>
    </w:p>
    <w:p>
      <w:pPr>
        <w:spacing w:before="156" w:beforeLines="50" w:after="156" w:afterLines="50" w:line="360" w:lineRule="auto"/>
        <w:rPr>
          <w:rFonts w:ascii="Arial" w:hAnsi="Arial" w:cs="Arial"/>
          <w:sz w:val="22"/>
        </w:rPr>
      </w:pPr>
      <w:r>
        <w:rPr>
          <w:rFonts w:ascii="Arial" w:hAnsi="Arial" w:cs="Arial"/>
          <w:sz w:val="22"/>
        </w:rPr>
        <w:t xml:space="preserve">When advertisers choose media for advertising, they must first consider whether the price is appropriate and whether they can accept it, but compared to the price, the program quality and brand value of the program are more important. Since the first season of the show has had a huge response, the advertisers in the first season have not made the wrong choice, and have greatly promoted it in the name of the show. The show brought many advertisers, and they also hope to use the show’s brand communication effect to enhance their influence </w:t>
      </w:r>
      <w:r>
        <w:rPr>
          <w:rFonts w:ascii="Arial" w:hAnsi="Arial" w:cs="Arial"/>
          <w:sz w:val="22"/>
        </w:rPr>
        <w:fldChar w:fldCharType="begin" w:fldLock="1"/>
      </w:r>
      <w:r>
        <w:rPr>
          <w:rFonts w:ascii="Arial" w:hAnsi="Arial" w:cs="Arial"/>
          <w:sz w:val="22"/>
        </w:rPr>
        <w:instrText xml:space="preserve">ADDIN CSL_CITATION {"citationItems":[{"id":"ITEM-1","itemData":{"author":[{"dropping-particle":"","family":"Wang","given":"Qian","non-dropping-particle":"","parse-names":false,"suffix":""},{"dropping-particle":"","family":"Kloet","given":"Jeroen","non-dropping-particle":"De","parse-names":false,"suffix":""}],"container-title":"Handbook of cultural and creative industries in China","id":"ITEM-1","issued":{"date-parts":[["2016"]]},"publisher":"Edward Elgar Publishing","title":"From ‘nothing to my name’to ‘I am a singer’: Market, capital, and politics in the Chinese music industry","type":"chapter"},"uris":["http://www.mendeley.com/documents/?uuid=397f97d1-fbe8-41e4-bfa3-569a63acf010"]}],"mendeley":{"formattedCitation":"(Wang &amp; De Kloet, 2016)","plainTextFormattedCitation":"(Wang &amp; De Kloet, 2016)"},"properties":{"noteIndex":0},"schema":"https://github.com/citation-style-language/schema/raw/master/csl-citation.json"}</w:instrText>
      </w:r>
      <w:r>
        <w:rPr>
          <w:rFonts w:ascii="Arial" w:hAnsi="Arial" w:cs="Arial"/>
          <w:sz w:val="22"/>
        </w:rPr>
        <w:fldChar w:fldCharType="separate"/>
      </w:r>
      <w:r>
        <w:rPr>
          <w:rFonts w:ascii="Arial" w:hAnsi="Arial" w:cs="Arial"/>
          <w:sz w:val="22"/>
        </w:rPr>
        <w:t>(Wang &amp; De Kloet, 2016)</w:t>
      </w:r>
      <w:r>
        <w:rPr>
          <w:rFonts w:ascii="Arial" w:hAnsi="Arial" w:cs="Arial"/>
          <w:sz w:val="22"/>
        </w:rPr>
        <w:fldChar w:fldCharType="end"/>
      </w:r>
      <w:r>
        <w:rPr>
          <w:rFonts w:ascii="Arial" w:hAnsi="Arial" w:cs="Arial"/>
          <w:sz w:val="22"/>
        </w:rPr>
        <w:t>.</w:t>
      </w:r>
    </w:p>
    <w:p>
      <w:pPr>
        <w:spacing w:before="156" w:beforeLines="50" w:after="156" w:afterLines="50" w:line="360" w:lineRule="auto"/>
        <w:rPr>
          <w:rFonts w:ascii="Arial" w:hAnsi="Arial" w:cs="Arial"/>
          <w:sz w:val="22"/>
        </w:rPr>
      </w:pPr>
      <w:r>
        <w:rPr>
          <w:rFonts w:ascii="Arial" w:hAnsi="Arial" w:cs="Arial"/>
          <w:sz w:val="22"/>
        </w:rPr>
        <w:t>The advertising revenue of “I am a singer” is mainly divided into king categories: title advertising revenue, embedded advertising revenue, and interstitial advertising revenue. The title advertisement for the first season of the show was Libai Laundry Detergent, with a title fee of nearly 6,000 yuan; the implanted advertisement was captured by Wahaha, Tianyi mobile phone and WeChat. “I am a singer” in the second quarter of some advertising resources also made huge gains, the naming rights finally won 2.35 billion yuan (Klaas, Mahony and Wheeler, 2006). Advertisers saw the development potential of the “I Am a Singer” program. At the beginning of the program’s broadcast, there was an advertiser’s title advertising revenue from competing programs. Insane competition is embedded in ads and in-stream ads. Program ratings and program quality are criteria that advertisers use to determine whether it is worth investing in advertising, and they are also important elements.</w:t>
      </w:r>
    </w:p>
    <w:p>
      <w:pPr>
        <w:spacing w:before="156" w:beforeLines="50" w:after="156" w:afterLines="50" w:line="360" w:lineRule="auto"/>
        <w:rPr>
          <w:rFonts w:ascii="Arial" w:hAnsi="Arial" w:cs="Arial"/>
          <w:sz w:val="22"/>
        </w:rPr>
      </w:pPr>
      <w:r>
        <w:rPr>
          <w:rFonts w:ascii="Arial" w:hAnsi="Arial" w:cs="Arial"/>
          <w:sz w:val="22"/>
        </w:rPr>
        <w:t>If advertising revenue is the criterion for judging the success or failure of the show, then “I am a singer” will undoubtedly become the biggest winner. In addition to the advertising revenue, the singers on the show also received huge profits.The singer Huang Qishan and Huang Ma, who we did not know and understand, have seen a rise in the price of commercial performances. Since the post-90s singer Deng Ziqi has participated in the show, her popularity has risen all the way, and she has therefore entered the stage of the Spring Festival Gala. In the third season, the performance of the singer Li Ronghao in the music rankings was high, which also attracted many businesses. The show even promoted the host ‘s fame. For example, in the third season finals, Wang Han, as the host’s emergency response, caused his price to skyrocket. Many commercials invited him to be the host.</w:t>
      </w:r>
    </w:p>
    <w:p>
      <w:pPr>
        <w:pStyle w:val="55"/>
        <w:numPr>
          <w:ilvl w:val="2"/>
          <w:numId w:val="1"/>
        </w:numPr>
        <w:spacing w:line="360" w:lineRule="auto"/>
        <w:ind w:firstLineChars="0"/>
        <w:outlineLvl w:val="2"/>
        <w:rPr>
          <w:rFonts w:ascii="Arial" w:hAnsi="Arial" w:cs="Arial"/>
          <w:b/>
          <w:bCs/>
          <w:sz w:val="24"/>
          <w:szCs w:val="24"/>
        </w:rPr>
      </w:pPr>
      <w:bookmarkStart w:id="82" w:name="_Toc22228"/>
      <w:bookmarkStart w:id="83" w:name="_Toc15907"/>
      <w:bookmarkStart w:id="84" w:name="_Toc103303782"/>
      <w:r>
        <w:rPr>
          <w:rFonts w:ascii="Arial" w:hAnsi="Arial" w:cs="Arial"/>
          <w:b/>
          <w:bCs/>
          <w:sz w:val="24"/>
          <w:szCs w:val="24"/>
        </w:rPr>
        <w:t xml:space="preserve">Increased </w:t>
      </w:r>
      <w:bookmarkEnd w:id="82"/>
      <w:bookmarkEnd w:id="83"/>
      <w:r>
        <w:rPr>
          <w:rFonts w:ascii="Arial" w:hAnsi="Arial" w:cs="Arial"/>
          <w:b/>
          <w:bCs/>
          <w:sz w:val="24"/>
          <w:szCs w:val="24"/>
        </w:rPr>
        <w:t>awareness</w:t>
      </w:r>
      <w:bookmarkEnd w:id="84"/>
      <w:r>
        <w:rPr>
          <w:rFonts w:ascii="Arial" w:hAnsi="Arial" w:cs="Arial"/>
          <w:b/>
          <w:bCs/>
          <w:sz w:val="24"/>
          <w:szCs w:val="24"/>
        </w:rPr>
        <w:t xml:space="preserve"> </w:t>
      </w:r>
    </w:p>
    <w:p>
      <w:pPr>
        <w:spacing w:before="156" w:beforeLines="50" w:after="156" w:afterLines="50" w:line="360" w:lineRule="auto"/>
        <w:rPr>
          <w:rFonts w:ascii="Arial" w:hAnsi="Arial" w:cs="Arial"/>
          <w:sz w:val="22"/>
        </w:rPr>
      </w:pPr>
      <w:r>
        <w:rPr>
          <w:rFonts w:ascii="Arial" w:hAnsi="Arial" w:cs="Arial"/>
          <w:sz w:val="22"/>
        </w:rPr>
        <w:t>The birth of new media technology is the integration of the boring, delayed, non-interactive aspects of the acquisition of print media information. The use of digital technology, wireless technology, and the Internet has improved the audience ‘s lack of information and the disadvantage of the damaged information quality makes the information more able to enable multiple audiences to get timely communication and feedback based on a guaranteed amount, and has reached a good cycle of the market, audience, and market feedback. When the group gets the information they want in time, this will increase the group’s praise for the information issuer</w:t>
      </w:r>
      <w:r>
        <w:t xml:space="preserve"> </w:t>
      </w:r>
      <w:r>
        <w:rPr>
          <w:rFonts w:ascii="Arial" w:hAnsi="Arial" w:cs="Arial"/>
          <w:sz w:val="22"/>
        </w:rPr>
        <w:t>(Erskine, 2004).</w:t>
      </w:r>
    </w:p>
    <w:p>
      <w:pPr>
        <w:spacing w:before="156" w:beforeLines="50" w:after="156" w:afterLines="50" w:line="360" w:lineRule="auto"/>
        <w:rPr>
          <w:rFonts w:ascii="Arial" w:hAnsi="Arial" w:cs="Arial"/>
          <w:sz w:val="22"/>
        </w:rPr>
      </w:pPr>
      <w:r>
        <w:rPr>
          <w:rFonts w:ascii="Arial" w:hAnsi="Arial" w:cs="Arial"/>
          <w:sz w:val="22"/>
        </w:rPr>
        <w:t>“I am a singer” has received unanimous praise from the audience or industry professionals, both in the content of the program and in the promotion of integrated marketing. In addition to gaining a good reputation in real life, it has been well received on the Internet. Both professionals in the music field, the media field, and public intellectuals have spoken and said that the program is used and done. A rare good show (Oppenheim, 2000)</w:t>
      </w:r>
      <w:r>
        <w:rPr>
          <w:rFonts w:hint="eastAsia" w:ascii="Arial" w:hAnsi="Arial" w:cs="Arial"/>
          <w:sz w:val="22"/>
        </w:rPr>
        <w:t>.</w:t>
      </w:r>
    </w:p>
    <w:p>
      <w:pPr>
        <w:spacing w:before="156" w:beforeLines="50" w:after="156" w:afterLines="50" w:line="360" w:lineRule="auto"/>
        <w:rPr>
          <w:rFonts w:ascii="Arial" w:hAnsi="Arial" w:cs="Arial"/>
          <w:sz w:val="22"/>
        </w:rPr>
      </w:pPr>
      <w:r>
        <w:rPr>
          <w:rFonts w:ascii="Arial" w:hAnsi="Arial" w:cs="Arial"/>
          <w:sz w:val="22"/>
        </w:rPr>
        <w:t>A senior CCTV program planner and producer said after watching the first season of “I Am a Singer”: “The show’s hardware facilities and band are so luxuriously equipped, but they have not taken the singer’s limelight. Not ordinary, Hunan Satellite TV “I am a singer”, people will have respect. “ Wang Huaming, a former spokesman for the Ministry of Education, said: “The highlight of this show is that it can make the singers who are usually not known to many people or the singers whose reputation is declining gradually shine on this stage again, showing the unique charm again. Let art bring shock, happiness and moving to life”. Xu Wenguang, director of CCTV’s integrated channel program department, said “Hunan Satellite TV has always led various local TV stations and dares to innovate. The production of each program is a requirement for the program team and professional quality. The requirements of team values and creative attitudes are requirements for around ability. “The speeches of professionals in these professional fields brought greater credibility and popularity to the show and made the show more noticeable.</w:t>
      </w:r>
    </w:p>
    <w:p>
      <w:pPr>
        <w:pStyle w:val="3"/>
        <w:numPr>
          <w:ilvl w:val="1"/>
          <w:numId w:val="1"/>
        </w:numPr>
        <w:spacing w:before="156" w:beforeLines="50" w:after="156" w:afterLines="50" w:line="360" w:lineRule="auto"/>
        <w:rPr>
          <w:rFonts w:ascii="Arial" w:hAnsi="Arial" w:cs="Arial"/>
          <w:sz w:val="28"/>
          <w:szCs w:val="28"/>
        </w:rPr>
      </w:pPr>
      <w:bookmarkStart w:id="85" w:name="_Toc7650"/>
      <w:bookmarkStart w:id="86" w:name="_Toc103303783"/>
      <w:bookmarkStart w:id="87" w:name="_Toc23453"/>
      <w:bookmarkStart w:id="88" w:name="_Toc7980"/>
      <w:r>
        <w:rPr>
          <w:rFonts w:ascii="Arial" w:hAnsi="Arial" w:cs="Arial"/>
          <w:sz w:val="28"/>
          <w:szCs w:val="28"/>
        </w:rPr>
        <w:t>Disadvantage</w:t>
      </w:r>
      <w:bookmarkEnd w:id="85"/>
      <w:bookmarkEnd w:id="86"/>
      <w:bookmarkEnd w:id="87"/>
      <w:bookmarkEnd w:id="88"/>
    </w:p>
    <w:p>
      <w:pPr>
        <w:pStyle w:val="55"/>
        <w:numPr>
          <w:ilvl w:val="2"/>
          <w:numId w:val="1"/>
        </w:numPr>
        <w:spacing w:line="360" w:lineRule="auto"/>
        <w:ind w:firstLineChars="0"/>
        <w:outlineLvl w:val="2"/>
        <w:rPr>
          <w:rFonts w:ascii="Arial" w:hAnsi="Arial" w:cs="Arial"/>
          <w:b/>
          <w:bCs/>
          <w:sz w:val="24"/>
          <w:szCs w:val="24"/>
        </w:rPr>
      </w:pPr>
      <w:bookmarkStart w:id="89" w:name="_Toc19306"/>
      <w:bookmarkStart w:id="90" w:name="_Toc16991"/>
      <w:bookmarkStart w:id="91" w:name="_Toc103303784"/>
      <w:r>
        <w:rPr>
          <w:rFonts w:ascii="Arial" w:hAnsi="Arial" w:cs="Arial"/>
          <w:b/>
          <w:bCs/>
          <w:sz w:val="24"/>
          <w:szCs w:val="24"/>
        </w:rPr>
        <w:t>Lack of coherence in content</w:t>
      </w:r>
      <w:bookmarkEnd w:id="89"/>
      <w:bookmarkEnd w:id="90"/>
      <w:bookmarkEnd w:id="91"/>
    </w:p>
    <w:p>
      <w:pPr>
        <w:spacing w:before="156" w:beforeLines="50" w:after="156" w:afterLines="50" w:line="360" w:lineRule="auto"/>
        <w:rPr>
          <w:rFonts w:ascii="Arial" w:hAnsi="Arial" w:cs="Arial"/>
          <w:sz w:val="22"/>
        </w:rPr>
      </w:pPr>
      <w:r>
        <w:rPr>
          <w:rFonts w:ascii="Arial" w:hAnsi="Arial" w:cs="Arial"/>
          <w:sz w:val="22"/>
        </w:rPr>
        <w:t>With the advent of the new media era, due to the mass and sharing characteristics of the network, the information on the network is all-encompassing. Compared with the limitations of traditional media in terms of layout capacity and broadcast time, the amount of information on the network In theory, it can reach infinity. The emergence of the Internet has changed the previous media ecological environment (Erskine, 2004). “The openness of the network media space has led to global coverage in the area of network dissemination. The openness of time and space has led to the massive storage of information, which can accommodate information from all over the world. The convenience of the network provides” unprecedented “convenience for people to obtain and output information. Massive and shared features have caused the expansion and explosion of information, and masses of information flood people’s senses every day. However, everyone’s energy and time are limited. In this context of communication, the phenomenon of “fragmentation” has begun to occur.</w:t>
      </w:r>
    </w:p>
    <w:p>
      <w:pPr>
        <w:spacing w:before="156" w:beforeLines="50" w:after="156" w:afterLines="50" w:line="360" w:lineRule="auto"/>
        <w:rPr>
          <w:rFonts w:ascii="Arial" w:hAnsi="Arial" w:cs="Arial"/>
          <w:sz w:val="22"/>
        </w:rPr>
      </w:pPr>
      <w:r>
        <w:rPr>
          <w:rFonts w:ascii="Arial" w:hAnsi="Arial" w:cs="Arial"/>
          <w:sz w:val="22"/>
        </w:rPr>
        <w:t>Taking the official Weibo of “I’m a Singer” as an example when the program was broadcast, the official Weibo posted many Weibo, but the content was more complicated, sometimes it was a preview of the content of the program, sometimes it was an interaction with the player, sometimes it was released. The content has nothing to do with the program. Although topics are used to highlight the theme of the program, Weibo’s daily content is lacking inconsistency. For example, April 3, 2015, I am a singer third season came to an end, and the official Weibo released information about the successful ending of the program on the early morning of April 4. Since then, the Weibo has still released some information about the program, such as “documentaries”, “ “Posters”, “HD stills” and other information, in addition to the program-related content, the official Weibo also reposted some other program information, so the incoherent content makes the fragmented information appear more fragmented, making Audiences that would otherwise be difficult to attract are more easily lost.</w:t>
      </w:r>
    </w:p>
    <w:p>
      <w:pPr>
        <w:pStyle w:val="55"/>
        <w:numPr>
          <w:ilvl w:val="2"/>
          <w:numId w:val="1"/>
        </w:numPr>
        <w:spacing w:line="360" w:lineRule="auto"/>
        <w:ind w:firstLineChars="0"/>
        <w:outlineLvl w:val="2"/>
        <w:rPr>
          <w:rFonts w:ascii="Arial" w:hAnsi="Arial" w:cs="Arial"/>
          <w:b/>
          <w:bCs/>
          <w:sz w:val="24"/>
          <w:szCs w:val="24"/>
        </w:rPr>
      </w:pPr>
      <w:bookmarkStart w:id="92" w:name="_Toc103303785"/>
      <w:bookmarkStart w:id="93" w:name="_Toc28780"/>
      <w:bookmarkStart w:id="94" w:name="_Toc22967"/>
      <w:r>
        <w:rPr>
          <w:rFonts w:ascii="Arial" w:hAnsi="Arial" w:cs="Arial"/>
          <w:b/>
          <w:bCs/>
          <w:sz w:val="24"/>
          <w:szCs w:val="24"/>
        </w:rPr>
        <w:t>Lack of depth in Weibo content</w:t>
      </w:r>
      <w:bookmarkEnd w:id="92"/>
      <w:bookmarkEnd w:id="93"/>
      <w:bookmarkEnd w:id="94"/>
    </w:p>
    <w:p>
      <w:pPr>
        <w:spacing w:before="156" w:beforeLines="50" w:after="156" w:afterLines="50" w:line="360" w:lineRule="auto"/>
        <w:rPr>
          <w:rFonts w:ascii="Arial" w:hAnsi="Arial" w:cs="Arial"/>
          <w:sz w:val="22"/>
        </w:rPr>
      </w:pPr>
      <w:r>
        <w:rPr>
          <w:rFonts w:ascii="Arial" w:hAnsi="Arial" w:cs="Arial"/>
          <w:sz w:val="22"/>
        </w:rPr>
        <w:t xml:space="preserve">Affected by various factors, the TV entertainment program itself has certain shortcomings in the depth of content, which has led to the official Weibo of TV entertainment programs as its most important official representative on emerging media platforms (Novak, 1996). Influence, there is a lack of a certain depth of content. However, unlike traditional media, the massive advantages of emerging media determine its unlimited content. The official Weibo of TV entertainment programs is no longer limited by time and space. Therefore, the in-depth excavation and educational significance of TV entertainment content It fell on the shoulder of the official Weibo. A TV entertainment program is not only about making a fuss from the entertainment, but also digging into the content in depth, so that TV entertainment programs can be “educational and entertaining” so that a program can have real vitality. </w:t>
      </w:r>
    </w:p>
    <w:p>
      <w:pPr>
        <w:spacing w:before="156" w:beforeLines="50" w:after="156" w:afterLines="50" w:line="360" w:lineRule="auto"/>
        <w:rPr>
          <w:rFonts w:ascii="Arial" w:hAnsi="Arial" w:cs="Arial"/>
          <w:sz w:val="22"/>
        </w:rPr>
      </w:pPr>
      <w:r>
        <w:rPr>
          <w:rFonts w:ascii="Arial" w:hAnsi="Arial" w:cs="Arial"/>
          <w:sz w:val="22"/>
        </w:rPr>
        <w:t xml:space="preserve">In today’s media-converged ecological environment, traditional media and emerging media should be combined to give play to their respective advantages. As far as TV entertainment programs are concerned, if TV media focuses on providing entertainment, then the educational and aesthetic functions of entertainment programs More official Weibo is needed to dig deeper. Although many entertainment programs are mainly entertainment, the educational significance contained in them is actually quite a lot. Although “I am a singer” is an entertainment program, the behind it is There are many points that can be dug deep, such as competitions and friendships. </w:t>
      </w:r>
    </w:p>
    <w:p>
      <w:pPr>
        <w:spacing w:before="156" w:beforeLines="50" w:after="156" w:afterLines="50" w:line="360" w:lineRule="auto"/>
        <w:rPr>
          <w:rFonts w:ascii="Arial" w:hAnsi="Arial" w:cs="Arial"/>
          <w:sz w:val="22"/>
        </w:rPr>
      </w:pPr>
      <w:r>
        <w:rPr>
          <w:rFonts w:ascii="Arial" w:hAnsi="Arial" w:cs="Arial"/>
          <w:sz w:val="22"/>
        </w:rPr>
        <w:t>After each episode is broadcast, there are still many stories that can be deeply analyzed and educational. For example, in the third quarter finals of 2015, the famous singer Sun Nan was at Announcing his retirement without warning, the host Wang Han successfully saved the field under great pressure. This incident was very hot at the time, and the “I am a singer” official Weibo digging for this was obviously not enough. The deep meaning behind this incident has not been grasped, and in this regard, official Weibo appears to be lacking.</w:t>
      </w:r>
    </w:p>
    <w:p>
      <w:pPr>
        <w:pStyle w:val="55"/>
        <w:numPr>
          <w:ilvl w:val="2"/>
          <w:numId w:val="1"/>
        </w:numPr>
        <w:spacing w:line="360" w:lineRule="auto"/>
        <w:ind w:firstLineChars="0"/>
        <w:outlineLvl w:val="2"/>
        <w:rPr>
          <w:rFonts w:ascii="Arial" w:hAnsi="Arial" w:cs="Arial"/>
          <w:b/>
          <w:bCs/>
          <w:sz w:val="24"/>
          <w:szCs w:val="24"/>
        </w:rPr>
      </w:pPr>
      <w:bookmarkStart w:id="95" w:name="_Toc103303786"/>
      <w:bookmarkStart w:id="96" w:name="_Toc6021"/>
      <w:bookmarkStart w:id="97" w:name="_Toc21829"/>
      <w:r>
        <w:rPr>
          <w:rFonts w:ascii="Arial" w:hAnsi="Arial" w:cs="Arial"/>
          <w:b/>
          <w:bCs/>
          <w:sz w:val="24"/>
          <w:szCs w:val="24"/>
        </w:rPr>
        <w:t>Insufficient influence before and after the show starts</w:t>
      </w:r>
      <w:bookmarkEnd w:id="95"/>
      <w:bookmarkEnd w:id="96"/>
      <w:bookmarkEnd w:id="97"/>
    </w:p>
    <w:p>
      <w:pPr>
        <w:spacing w:before="156" w:beforeLines="50" w:after="156" w:afterLines="50" w:line="360" w:lineRule="auto"/>
        <w:rPr>
          <w:rFonts w:ascii="Arial" w:hAnsi="Arial" w:cs="Arial"/>
          <w:sz w:val="22"/>
        </w:rPr>
      </w:pPr>
      <w:r>
        <w:rPr>
          <w:rFonts w:ascii="Arial" w:hAnsi="Arial" w:cs="Arial"/>
          <w:sz w:val="22"/>
        </w:rPr>
        <w:t xml:space="preserve">The characteristics of new media make official Weibo an advantage unmatched by traditional media. Official Weibo of TV entertainment programs use these advantages to make outstanding contributions to the promotion and momentum of the show itself. “Social media represented by Weibo It has become an important means for self-promotion, brand promotion and influence building of traditional media. It is also a key platform for attracting young audiences, reorganizing, sharing, and returning to the audience. “However, because many TV entertainment programs are now broadcasted quarterly. For example, “I’m a Singer” is a season-broadcast program (similar to this program in the form of Hunan TV’s “Where’s Dad?”, Zhejiang TV’s “Run, Brother”, etc.). </w:t>
      </w:r>
    </w:p>
    <w:p>
      <w:pPr>
        <w:spacing w:before="156" w:beforeLines="50" w:after="156" w:afterLines="50" w:line="360" w:lineRule="auto"/>
        <w:rPr>
          <w:rFonts w:ascii="Arial" w:hAnsi="Arial" w:cs="Arial"/>
          <w:sz w:val="22"/>
        </w:rPr>
      </w:pPr>
      <w:r>
        <w:rPr>
          <w:rFonts w:ascii="Arial" w:hAnsi="Arial" w:cs="Arial"/>
          <w:sz w:val="22"/>
        </w:rPr>
        <w:t>During the broadcast of one season of TV entertainment programs, official Weibo combines program content, digs program information, creates program topics, and maximizes the program ‘s transmission. However, after the end of this season’s program and before the start of the next season’s program, due to the lack of support for the program content, many official Weibo posts have significantly reduced the number of Weibo posts, the topics are slightly pale, and their influence has decreased significantly. The result of this is that the audience ‘s attention to the show decreases, and their enthusiasm decreases, eventually leading to the loss of the audience’s attention.</w:t>
      </w:r>
    </w:p>
    <w:p>
      <w:pPr>
        <w:spacing w:before="156" w:beforeLines="50" w:after="156" w:afterLines="50" w:line="360" w:lineRule="auto"/>
        <w:rPr>
          <w:rFonts w:ascii="Arial" w:hAnsi="Arial" w:cs="Arial"/>
          <w:sz w:val="22"/>
        </w:rPr>
      </w:pPr>
      <w:r>
        <w:rPr>
          <w:rFonts w:ascii="Arial" w:hAnsi="Arial" w:cs="Arial"/>
          <w:sz w:val="22"/>
        </w:rPr>
        <w:t>Take the “I am a singer” official Weibo as an example. After the end of the third quarter on April 4, 2015, as of 15:18 on December 15, 2015, this official Weibo will last for more than 8 months. A total of only 60 Weibo posts were posted, which is in stark contrast to the nearly 170 Weibo posts published in a week when the program aired. In addition, the contents of these sixty microblogs are complicated, some interact with other programs, some interact with high-profile stars, and the number of microblogs related to the content of the program has diminished over time, and it is released when the program is broadcast Compared to Weibo, these Weibo also received fewer comments, reposts and likes</w:t>
      </w:r>
      <w:r>
        <w:t xml:space="preserve"> </w:t>
      </w:r>
      <w:r>
        <w:rPr>
          <w:rFonts w:ascii="Arial" w:hAnsi="Arial" w:cs="Arial"/>
          <w:sz w:val="22"/>
        </w:rPr>
        <w:t>(Gao, 2015).</w:t>
      </w:r>
    </w:p>
    <w:p>
      <w:pPr>
        <w:pStyle w:val="2"/>
        <w:numPr>
          <w:ilvl w:val="0"/>
          <w:numId w:val="1"/>
        </w:numPr>
        <w:spacing w:before="156" w:beforeLines="50" w:after="156" w:afterLines="50" w:line="360" w:lineRule="auto"/>
        <w:rPr>
          <w:rFonts w:ascii="Arial" w:hAnsi="Arial" w:cs="Arial"/>
          <w:sz w:val="32"/>
          <w:szCs w:val="32"/>
        </w:rPr>
      </w:pPr>
      <w:bookmarkStart w:id="98" w:name="_Toc32400"/>
      <w:bookmarkStart w:id="99" w:name="_Toc17165"/>
      <w:bookmarkStart w:id="100" w:name="_Toc28812"/>
      <w:bookmarkStart w:id="101" w:name="_Toc103303787"/>
      <w:r>
        <w:rPr>
          <w:rFonts w:ascii="Arial" w:hAnsi="Arial" w:cs="Arial"/>
          <w:sz w:val="32"/>
          <w:szCs w:val="32"/>
        </w:rPr>
        <w:t>Conclusion</w:t>
      </w:r>
      <w:bookmarkEnd w:id="98"/>
      <w:bookmarkEnd w:id="99"/>
      <w:bookmarkEnd w:id="100"/>
      <w:bookmarkEnd w:id="101"/>
    </w:p>
    <w:p>
      <w:pPr>
        <w:spacing w:before="156" w:beforeLines="50" w:after="156" w:afterLines="50" w:line="360" w:lineRule="auto"/>
        <w:rPr>
          <w:rFonts w:ascii="Arial" w:hAnsi="Arial" w:cs="Arial"/>
          <w:sz w:val="22"/>
        </w:rPr>
      </w:pPr>
      <w:bookmarkStart w:id="102" w:name="_Toc26271_WPSOffice_Level3"/>
      <w:bookmarkStart w:id="103" w:name="_Toc29805"/>
      <w:bookmarkStart w:id="104" w:name="_Toc11574"/>
      <w:r>
        <w:rPr>
          <w:rFonts w:ascii="Arial" w:hAnsi="Arial" w:cs="Arial"/>
          <w:sz w:val="22"/>
        </w:rPr>
        <w:t xml:space="preserve">Since 2005, the State Administration of Radio, Film and Television has tightened supervision on provincial satellite TV, and the rapid development of new online media has also caused a huge impact on traditional media. Competition is becoming increasingly fierce, and the competition of variety shows has entered the quality era: in the era of blockbuster movies, high quality, and rich details, in addition to first-class content as the core support, also requires systematic and effective brand promotion. To increase the attention, ratings, and reputation of the program, thereby enhancing the brand influence and marketing value of the TV channel. As today’s most popular reality TV show “I Am a Singer” when faced with factors such as lack of media resources, limited project funds, and short broadcast time, it relies on the integration of media resources, emphasizes content marketing, and strictly controls public relations activities, etc. </w:t>
      </w:r>
    </w:p>
    <w:p>
      <w:pPr>
        <w:spacing w:before="156" w:beforeLines="50" w:after="156" w:afterLines="50" w:line="360" w:lineRule="auto"/>
        <w:rPr>
          <w:rFonts w:ascii="Arial" w:hAnsi="Arial" w:cs="Arial"/>
          <w:sz w:val="22"/>
        </w:rPr>
      </w:pPr>
      <w:r>
        <w:rPr>
          <w:rFonts w:ascii="Arial" w:hAnsi="Arial" w:cs="Arial"/>
          <w:sz w:val="22"/>
        </w:rPr>
        <w:t>The measures helped the program gain higher ratings and reputation, as well as good social influence and economic benefits. However, from the long-term development of program brands, in terms of brand promotion to advertisers and systems such as the division of labour, the brand promotion of “I Am a Singer” has exposed many problems that have not yet erupted but need to be improved. This article combines marketing communication and other theories, starting from the actual background of the “I am a singer” brand promotion, and through the analysis of the “I am a singer” brand media strategy and content marketing strategy, the promotion experience of “I am a singer” is systematically summarized and sorted out. On the basis of affirming the many innovative measures of “I Am a Singer” brand promotion, it also puts forward specific strategies and thinking directions for various fields that need to be improved from the perspective of long-term development. The brand promotion of variety shows has certain guiding significance and reference value (Hu, 2014).</w:t>
      </w:r>
    </w:p>
    <w:p>
      <w:pPr>
        <w:widowControl/>
        <w:spacing w:line="360" w:lineRule="auto"/>
        <w:jc w:val="left"/>
        <w:rPr>
          <w:rFonts w:ascii="Arial" w:hAnsi="Arial" w:cs="Arial"/>
          <w:sz w:val="22"/>
        </w:rPr>
      </w:pPr>
      <w:r>
        <w:rPr>
          <w:rFonts w:ascii="Arial" w:hAnsi="Arial" w:cs="Arial"/>
          <w:sz w:val="22"/>
        </w:rPr>
        <w:br w:type="page"/>
      </w:r>
    </w:p>
    <w:bookmarkEnd w:id="102"/>
    <w:bookmarkEnd w:id="103"/>
    <w:bookmarkEnd w:id="104"/>
    <w:p>
      <w:pPr>
        <w:pStyle w:val="2"/>
        <w:numPr>
          <w:ilvl w:val="0"/>
          <w:numId w:val="1"/>
        </w:numPr>
        <w:spacing w:before="156" w:beforeLines="50" w:after="156" w:afterLines="50" w:line="360" w:lineRule="auto"/>
        <w:rPr>
          <w:rFonts w:ascii="Arial" w:hAnsi="Arial" w:cs="Arial"/>
          <w:sz w:val="32"/>
          <w:szCs w:val="32"/>
        </w:rPr>
      </w:pPr>
      <w:bookmarkStart w:id="105" w:name="_Toc103303788"/>
      <w:r>
        <w:rPr>
          <w:rFonts w:ascii="Arial" w:hAnsi="Arial" w:cs="Arial"/>
          <w:sz w:val="32"/>
          <w:szCs w:val="32"/>
        </w:rPr>
        <w:t>Recommendations</w:t>
      </w:r>
      <w:bookmarkEnd w:id="105"/>
      <w:r>
        <w:rPr>
          <w:rFonts w:ascii="Arial" w:hAnsi="Arial" w:cs="Arial"/>
          <w:sz w:val="32"/>
          <w:szCs w:val="32"/>
        </w:rPr>
        <w:t xml:space="preserve">  </w:t>
      </w:r>
    </w:p>
    <w:p>
      <w:pPr>
        <w:pStyle w:val="3"/>
        <w:numPr>
          <w:ilvl w:val="1"/>
          <w:numId w:val="1"/>
        </w:numPr>
        <w:spacing w:before="156" w:beforeLines="50" w:after="156" w:afterLines="50" w:line="360" w:lineRule="auto"/>
        <w:rPr>
          <w:rFonts w:ascii="Arial" w:hAnsi="Arial" w:cs="Arial"/>
          <w:sz w:val="28"/>
          <w:szCs w:val="28"/>
        </w:rPr>
      </w:pPr>
      <w:bookmarkStart w:id="106" w:name="_Toc26075"/>
      <w:bookmarkStart w:id="107" w:name="_Toc16663"/>
      <w:bookmarkStart w:id="108" w:name="_Toc103303789"/>
      <w:bookmarkStart w:id="109" w:name="_Toc11395"/>
      <w:r>
        <w:rPr>
          <w:rFonts w:ascii="Arial" w:hAnsi="Arial" w:cs="Arial"/>
          <w:sz w:val="28"/>
          <w:szCs w:val="28"/>
        </w:rPr>
        <w:t>”Central Faction” by time</w:t>
      </w:r>
      <w:bookmarkEnd w:id="106"/>
      <w:bookmarkEnd w:id="107"/>
      <w:bookmarkEnd w:id="108"/>
      <w:bookmarkEnd w:id="109"/>
    </w:p>
    <w:p>
      <w:pPr>
        <w:spacing w:before="156" w:beforeLines="50" w:after="156" w:afterLines="50" w:line="360" w:lineRule="auto"/>
        <w:rPr>
          <w:rFonts w:ascii="Arial" w:hAnsi="Arial" w:cs="Arial"/>
          <w:sz w:val="22"/>
        </w:rPr>
      </w:pPr>
      <w:r>
        <w:rPr>
          <w:rFonts w:ascii="Arial" w:hAnsi="Arial" w:cs="Arial"/>
          <w:sz w:val="22"/>
        </w:rPr>
        <w:t xml:space="preserve">The official Weibo of “I Am a Singer” should select the appropriate theme according to the content of the program, build the integrity of the Weibo and the story of the Weibo, attract the attention of the audience, and improve the effectiveness of Weibo promotion. Before the program is broadcast, you can plan and edit the content that was not broadcast during the recording of the program according to the content of the previous period, or create some suspense based on the notice of the next period, and edit the content according to a certain logic. </w:t>
      </w:r>
    </w:p>
    <w:p>
      <w:pPr>
        <w:spacing w:before="156" w:beforeLines="50" w:after="156" w:afterLines="50" w:line="360" w:lineRule="auto"/>
        <w:rPr>
          <w:rFonts w:ascii="Arial" w:hAnsi="Arial" w:cs="Arial"/>
          <w:sz w:val="22"/>
        </w:rPr>
      </w:pPr>
      <w:r>
        <w:rPr>
          <w:rFonts w:ascii="Arial" w:hAnsi="Arial" w:cs="Arial"/>
          <w:sz w:val="22"/>
        </w:rPr>
        <w:t>The release of one article makes Weibo relevant and coherent, and easily attracts the attention of the audience. When the program is broadcast, you can publish the program content in a story-based manner according to a certain theme based on the content of the program broadcast at the time and the feedback received by the audience on Weibo.</w:t>
      </w:r>
    </w:p>
    <w:p>
      <w:pPr>
        <w:spacing w:before="156" w:beforeLines="50" w:after="156" w:afterLines="50" w:line="360" w:lineRule="auto"/>
        <w:rPr>
          <w:rFonts w:ascii="Arial" w:hAnsi="Arial" w:cs="Arial"/>
          <w:sz w:val="22"/>
        </w:rPr>
      </w:pPr>
      <w:r>
        <w:rPr>
          <w:rFonts w:ascii="Arial" w:hAnsi="Arial" w:cs="Arial"/>
          <w:sz w:val="22"/>
        </w:rPr>
        <w:t xml:space="preserve">At present, the official Weibo of “I am a singer” is slightly lacking in this aspect. In most cases, the Weibo is connected with some unrelated Weibos by inserting topics. The Weibo Almost every Weibo post will insert the big topic “I am a singer”, and sometimes some sub-topics. This approach makes the scattered Weibo have a certain connection due to the topic, but from the depth See, there is still a lack of logical coherence between Weibo and Weibo. However, some official Weibos have begun to realize the lack of this problem and have started to pay attention to make up for it. For example, the official Weibo of Hunan TV ‘s other popular TV entertainment show, “Where Is Dad Going”, has the topic of “shaking head dolls” from the first season. When it is broadcast every season, the official Weibo will be based on the story is inserted into this topic. </w:t>
      </w:r>
    </w:p>
    <w:p>
      <w:pPr>
        <w:spacing w:before="156" w:beforeLines="50" w:after="156" w:afterLines="50" w:line="360" w:lineRule="auto"/>
        <w:rPr>
          <w:rFonts w:ascii="Arial" w:hAnsi="Arial" w:cs="Arial"/>
          <w:sz w:val="22"/>
        </w:rPr>
      </w:pPr>
      <w:r>
        <w:rPr>
          <w:rFonts w:ascii="Arial" w:hAnsi="Arial" w:cs="Arial"/>
          <w:sz w:val="22"/>
        </w:rPr>
        <w:t xml:space="preserve">In addition, for example, a more entertaining entertainment program such as “Where is Dad?” In each period, several pairs of father and son will complete certain tasks separately or together, except for the fixed form of completing tasks in each period. In addition, many interesting details will occur in each issue of the program. When the program is broadcast, the official Weibo should present the topical content in the program in the form of a story in the form of a story over time. After the program is broadcast, the official Weibo should present the tidbits not broadcast on the TV with a certain theme, and build a “central camp” by time period. The microblog’s communication context is fragmented and limited by the communication context. </w:t>
      </w:r>
    </w:p>
    <w:p>
      <w:pPr>
        <w:spacing w:before="156" w:beforeLines="50" w:after="156" w:afterLines="50" w:line="360" w:lineRule="auto"/>
        <w:rPr>
          <w:rFonts w:ascii="Arial" w:hAnsi="Arial" w:cs="Arial"/>
          <w:sz w:val="22"/>
        </w:rPr>
      </w:pPr>
      <w:r>
        <w:rPr>
          <w:rFonts w:ascii="Arial" w:hAnsi="Arial" w:cs="Arial"/>
          <w:sz w:val="22"/>
        </w:rPr>
        <w:t>The published microblogs also appear fragmented in form, and the shortcomings in the form need to be strengthened by the overall adhesion of the content to make up for this. To enhance the audience’s attention to Weibo and topics, the fragmented form of Weibo is presented as a whole, and the communication power of Weibo is enhanced. However, as far as the content of the official Weibo is concerned, in terms of building a “central camp” and strengthening the overall adhesion of Weibo, it needs to be further strengthened.</w:t>
      </w:r>
    </w:p>
    <w:p>
      <w:pPr>
        <w:pStyle w:val="3"/>
        <w:numPr>
          <w:ilvl w:val="1"/>
          <w:numId w:val="1"/>
        </w:numPr>
        <w:spacing w:before="156" w:beforeLines="50" w:after="156" w:afterLines="50" w:line="360" w:lineRule="auto"/>
        <w:rPr>
          <w:rFonts w:ascii="Arial" w:hAnsi="Arial" w:cs="Arial"/>
          <w:sz w:val="28"/>
          <w:szCs w:val="28"/>
        </w:rPr>
      </w:pPr>
      <w:bookmarkStart w:id="110" w:name="_Toc683"/>
      <w:bookmarkStart w:id="111" w:name="_Toc18592"/>
      <w:bookmarkStart w:id="112" w:name="_Toc30672"/>
      <w:bookmarkStart w:id="113" w:name="_Toc103303790"/>
      <w:r>
        <w:rPr>
          <w:rFonts w:ascii="Arial" w:hAnsi="Arial" w:cs="Arial"/>
          <w:sz w:val="28"/>
          <w:szCs w:val="28"/>
        </w:rPr>
        <w:t>Exploring the rationality of content</w:t>
      </w:r>
      <w:bookmarkEnd w:id="110"/>
      <w:bookmarkEnd w:id="111"/>
      <w:bookmarkEnd w:id="112"/>
      <w:bookmarkEnd w:id="113"/>
    </w:p>
    <w:p>
      <w:pPr>
        <w:spacing w:before="156" w:beforeLines="50" w:after="156" w:afterLines="50" w:line="360" w:lineRule="auto"/>
        <w:rPr>
          <w:rFonts w:ascii="Arial" w:hAnsi="Arial" w:cs="Arial"/>
          <w:sz w:val="22"/>
        </w:rPr>
      </w:pPr>
      <w:r>
        <w:rPr>
          <w:rFonts w:ascii="Arial" w:hAnsi="Arial" w:cs="Arial"/>
          <w:sz w:val="22"/>
        </w:rPr>
        <w:t>The shortcomings of the official Weibo on TV entertainment programs have been mentioned above. As the official certified Weibo of an entertainment program, the lack of a certain reasonable depth is a defect of the official Weibo of TV entertainment programs. This is related to the lack of content of TV entertainment programs. In addition to entertainment functions, certain aesthetic functions and education Function is also the responsibility that entertainment programs should bear. Due to the limitation of the broadcast time of TV media, the “heavy task” of exploring the reasonableness of content falls on the shoulders of official Weibo.</w:t>
      </w:r>
    </w:p>
    <w:p>
      <w:pPr>
        <w:pStyle w:val="3"/>
        <w:numPr>
          <w:ilvl w:val="1"/>
          <w:numId w:val="1"/>
        </w:numPr>
        <w:spacing w:before="156" w:beforeLines="50" w:after="156" w:afterLines="50" w:line="360" w:lineRule="auto"/>
        <w:rPr>
          <w:rFonts w:ascii="Arial" w:hAnsi="Arial" w:cs="Arial"/>
          <w:sz w:val="28"/>
          <w:szCs w:val="28"/>
        </w:rPr>
      </w:pPr>
      <w:bookmarkStart w:id="114" w:name="_Toc103303791"/>
      <w:bookmarkStart w:id="115" w:name="_Toc12390"/>
      <w:bookmarkStart w:id="116" w:name="_Toc10599"/>
      <w:bookmarkStart w:id="117" w:name="_Toc14712"/>
      <w:r>
        <w:rPr>
          <w:rFonts w:ascii="Arial" w:hAnsi="Arial" w:cs="Arial"/>
          <w:sz w:val="28"/>
          <w:szCs w:val="28"/>
        </w:rPr>
        <w:t>Maximizing the time and space of the show</w:t>
      </w:r>
      <w:bookmarkEnd w:id="114"/>
      <w:bookmarkEnd w:id="115"/>
      <w:bookmarkEnd w:id="116"/>
      <w:bookmarkEnd w:id="117"/>
    </w:p>
    <w:p>
      <w:pPr>
        <w:spacing w:before="156" w:beforeLines="50" w:after="156" w:afterLines="50" w:line="360" w:lineRule="auto"/>
        <w:rPr>
          <w:rFonts w:ascii="Arial" w:hAnsi="Arial" w:cs="Arial"/>
          <w:sz w:val="22"/>
        </w:rPr>
      </w:pPr>
      <w:r>
        <w:rPr>
          <w:rFonts w:ascii="Arial" w:hAnsi="Arial" w:cs="Arial"/>
          <w:sz w:val="22"/>
        </w:rPr>
        <w:t>As an emerging media, official Weibo has massive advantages that TV media does not have. Therefore, official Weibo should actively use this advantage. In response to the shortcomings of the lack of influence before and after the program mentioned above, before the program starts, the official Weibo should actively release the program-related notice information and program tidbits to maximize the organization and planning of certain topics to attract audience participation Arouse the curiosity and attention of the audience, in order to accumulate a certain amount of popularity for the program when it starts. After the broadcast of the program, the official Weibo should not slacken, and should still actively release program-related information in order to retain the audience as much as possible during the blank period of the program until the next season. Maximizing the extension of program time and space is an area where official Weibo needs to be improved.</w:t>
      </w:r>
    </w:p>
    <w:p>
      <w:pPr>
        <w:pStyle w:val="2"/>
        <w:spacing w:before="156" w:beforeLines="50" w:after="156" w:afterLines="50" w:line="360" w:lineRule="auto"/>
        <w:rPr>
          <w:rFonts w:ascii="Arial" w:hAnsi="Arial" w:cs="Arial"/>
          <w:sz w:val="32"/>
          <w:szCs w:val="32"/>
        </w:rPr>
      </w:pPr>
      <w:bookmarkStart w:id="118" w:name="_Toc3015"/>
      <w:bookmarkStart w:id="119" w:name="_Toc103303792"/>
      <w:r>
        <w:rPr>
          <w:rFonts w:ascii="Arial" w:hAnsi="Arial" w:cs="Arial"/>
          <w:sz w:val="32"/>
          <w:szCs w:val="32"/>
        </w:rPr>
        <w:t>Reference</w:t>
      </w:r>
      <w:bookmarkEnd w:id="118"/>
      <w:r>
        <w:rPr>
          <w:rFonts w:ascii="Arial" w:hAnsi="Arial" w:cs="Arial"/>
          <w:sz w:val="32"/>
          <w:szCs w:val="32"/>
        </w:rPr>
        <w:t>s</w:t>
      </w:r>
      <w:bookmarkEnd w:id="119"/>
    </w:p>
    <w:p>
      <w:pPr>
        <w:autoSpaceDE w:val="0"/>
        <w:autoSpaceDN w:val="0"/>
        <w:adjustRightInd w:val="0"/>
        <w:spacing w:before="160" w:after="160" w:line="360" w:lineRule="auto"/>
        <w:ind w:left="480" w:hanging="480"/>
        <w:jc w:val="left"/>
        <w:rPr>
          <w:rFonts w:ascii="Arial" w:hAnsi="Arial" w:cs="Arial"/>
          <w:kern w:val="0"/>
          <w:sz w:val="22"/>
          <w:szCs w:val="24"/>
        </w:rPr>
      </w:pPr>
      <w:r>
        <w:rPr>
          <w:rFonts w:ascii="Arial" w:hAnsi="Arial" w:cs="Arial"/>
          <w:kern w:val="0"/>
          <w:sz w:val="22"/>
          <w:szCs w:val="24"/>
        </w:rPr>
        <w:t xml:space="preserve">Alves, H., Fernandes, C., &amp; Raposo, M. (2016). Social Media Marketing: A Literature Review and Implications. </w:t>
      </w:r>
      <w:r>
        <w:rPr>
          <w:rFonts w:ascii="Arial" w:hAnsi="Arial" w:cs="Arial"/>
          <w:i/>
          <w:iCs/>
          <w:kern w:val="0"/>
          <w:sz w:val="22"/>
          <w:szCs w:val="24"/>
        </w:rPr>
        <w:t>Psychology and Marketing</w:t>
      </w:r>
      <w:r>
        <w:rPr>
          <w:rFonts w:ascii="Arial" w:hAnsi="Arial" w:cs="Arial"/>
          <w:kern w:val="0"/>
          <w:sz w:val="22"/>
          <w:szCs w:val="24"/>
        </w:rPr>
        <w:t xml:space="preserve">, </w:t>
      </w:r>
      <w:r>
        <w:rPr>
          <w:rFonts w:ascii="Arial" w:hAnsi="Arial" w:cs="Arial"/>
          <w:i/>
          <w:iCs/>
          <w:kern w:val="0"/>
          <w:sz w:val="22"/>
          <w:szCs w:val="24"/>
        </w:rPr>
        <w:t>33</w:t>
      </w:r>
      <w:r>
        <w:rPr>
          <w:rFonts w:ascii="Arial" w:hAnsi="Arial" w:cs="Arial"/>
          <w:kern w:val="0"/>
          <w:sz w:val="22"/>
          <w:szCs w:val="24"/>
        </w:rPr>
        <w:t>(12), 1029–1038. https://doi.org/10.1002/mar.20936</w:t>
      </w:r>
    </w:p>
    <w:p>
      <w:pPr>
        <w:autoSpaceDE w:val="0"/>
        <w:autoSpaceDN w:val="0"/>
        <w:adjustRightInd w:val="0"/>
        <w:spacing w:before="160" w:after="160" w:line="360" w:lineRule="auto"/>
        <w:ind w:left="480" w:hanging="480"/>
        <w:jc w:val="left"/>
        <w:rPr>
          <w:rFonts w:ascii="Arial" w:hAnsi="Arial" w:cs="Arial"/>
          <w:kern w:val="0"/>
          <w:sz w:val="22"/>
          <w:szCs w:val="24"/>
        </w:rPr>
      </w:pPr>
      <w:r>
        <w:rPr>
          <w:rFonts w:ascii="Arial" w:hAnsi="Arial" w:cs="Arial"/>
          <w:kern w:val="0"/>
          <w:sz w:val="22"/>
          <w:szCs w:val="24"/>
        </w:rPr>
        <w:t xml:space="preserve">Appel, G., Grewal, L., Hadi, R., &amp; Stephen, A. T. (2020). The future of social media in marketing. </w:t>
      </w:r>
      <w:r>
        <w:rPr>
          <w:rFonts w:ascii="Arial" w:hAnsi="Arial" w:cs="Arial"/>
          <w:i/>
          <w:iCs/>
          <w:kern w:val="0"/>
          <w:sz w:val="22"/>
          <w:szCs w:val="24"/>
        </w:rPr>
        <w:t>Journal of the Academy of Marketing Science</w:t>
      </w:r>
      <w:r>
        <w:rPr>
          <w:rFonts w:ascii="Arial" w:hAnsi="Arial" w:cs="Arial"/>
          <w:kern w:val="0"/>
          <w:sz w:val="22"/>
          <w:szCs w:val="24"/>
        </w:rPr>
        <w:t xml:space="preserve">, </w:t>
      </w:r>
      <w:r>
        <w:rPr>
          <w:rFonts w:ascii="Arial" w:hAnsi="Arial" w:cs="Arial"/>
          <w:i/>
          <w:iCs/>
          <w:kern w:val="0"/>
          <w:sz w:val="22"/>
          <w:szCs w:val="24"/>
        </w:rPr>
        <w:t>48</w:t>
      </w:r>
      <w:r>
        <w:rPr>
          <w:rFonts w:ascii="Arial" w:hAnsi="Arial" w:cs="Arial"/>
          <w:kern w:val="0"/>
          <w:sz w:val="22"/>
          <w:szCs w:val="24"/>
        </w:rPr>
        <w:t xml:space="preserve">(1), 79–95. </w:t>
      </w:r>
      <w:r>
        <w:fldChar w:fldCharType="begin"/>
      </w:r>
      <w:r>
        <w:instrText xml:space="preserve"> HYPERLINK "https://doi.org/10.1007/s11747-019-00695-1" </w:instrText>
      </w:r>
      <w:r>
        <w:fldChar w:fldCharType="separate"/>
      </w:r>
      <w:r>
        <w:rPr>
          <w:rStyle w:val="25"/>
          <w:rFonts w:ascii="Arial" w:hAnsi="Arial" w:cs="Arial"/>
          <w:kern w:val="0"/>
          <w:sz w:val="22"/>
          <w:szCs w:val="24"/>
        </w:rPr>
        <w:t>https://doi.org/10.1007/s11747-019-00695-1</w:t>
      </w:r>
      <w:r>
        <w:rPr>
          <w:rStyle w:val="25"/>
          <w:rFonts w:ascii="Arial" w:hAnsi="Arial" w:cs="Arial"/>
          <w:kern w:val="0"/>
          <w:sz w:val="22"/>
          <w:szCs w:val="24"/>
        </w:rPr>
        <w:fldChar w:fldCharType="end"/>
      </w:r>
    </w:p>
    <w:p>
      <w:pPr>
        <w:autoSpaceDE w:val="0"/>
        <w:autoSpaceDN w:val="0"/>
        <w:adjustRightInd w:val="0"/>
        <w:spacing w:before="160" w:after="160" w:line="360" w:lineRule="auto"/>
        <w:ind w:left="480" w:hanging="480"/>
        <w:jc w:val="left"/>
        <w:rPr>
          <w:rFonts w:ascii="Arial" w:hAnsi="Arial" w:cs="Arial"/>
          <w:kern w:val="0"/>
          <w:sz w:val="22"/>
          <w:szCs w:val="24"/>
        </w:rPr>
      </w:pPr>
      <w:r>
        <w:rPr>
          <w:rFonts w:ascii="Arial" w:hAnsi="Arial" w:cs="Arial"/>
          <w:kern w:val="0"/>
          <w:sz w:val="22"/>
          <w:szCs w:val="24"/>
        </w:rPr>
        <w:t xml:space="preserve">Chen, S. C., &amp; Lin, C. P. (2019). Understanding the effect of social media marketing activities: The mediation of social identification, perceived value, and satisfaction. </w:t>
      </w:r>
      <w:r>
        <w:rPr>
          <w:rFonts w:ascii="Arial" w:hAnsi="Arial" w:cs="Arial"/>
          <w:i/>
          <w:iCs/>
          <w:kern w:val="0"/>
          <w:sz w:val="22"/>
          <w:szCs w:val="24"/>
        </w:rPr>
        <w:t>Technological Forecasting and Social Change</w:t>
      </w:r>
      <w:r>
        <w:rPr>
          <w:rFonts w:ascii="Arial" w:hAnsi="Arial" w:cs="Arial"/>
          <w:kern w:val="0"/>
          <w:sz w:val="22"/>
          <w:szCs w:val="24"/>
        </w:rPr>
        <w:t xml:space="preserve">, </w:t>
      </w:r>
      <w:r>
        <w:rPr>
          <w:rFonts w:ascii="Arial" w:hAnsi="Arial" w:cs="Arial"/>
          <w:i/>
          <w:iCs/>
          <w:kern w:val="0"/>
          <w:sz w:val="22"/>
          <w:szCs w:val="24"/>
        </w:rPr>
        <w:t>140</w:t>
      </w:r>
      <w:r>
        <w:rPr>
          <w:rFonts w:ascii="Arial" w:hAnsi="Arial" w:cs="Arial"/>
          <w:kern w:val="0"/>
          <w:sz w:val="22"/>
          <w:szCs w:val="24"/>
        </w:rPr>
        <w:t>, 22–32. https://doi.org/10.1016/j.techfore.2018.11.025</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Clemens, M.A. and Kremer, M., 2016. The new role for the World Bank. </w:t>
      </w:r>
      <w:r>
        <w:rPr>
          <w:rFonts w:ascii="Arial" w:hAnsi="Arial" w:cs="Arial"/>
          <w:i/>
          <w:sz w:val="22"/>
        </w:rPr>
        <w:t>Journal of Economic Perspectives,</w:t>
      </w:r>
      <w:r>
        <w:rPr>
          <w:rFonts w:ascii="Arial" w:hAnsi="Arial" w:cs="Arial"/>
          <w:sz w:val="22"/>
        </w:rPr>
        <w:t xml:space="preserve"> 30(1), pp.53-76.</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Erskine, D.H., 2004. Resolving trade disputes, the mechanisms of GATT/WTO dispute resolution. </w:t>
      </w:r>
      <w:r>
        <w:rPr>
          <w:rFonts w:ascii="Arial" w:hAnsi="Arial" w:cs="Arial"/>
          <w:i/>
          <w:sz w:val="22"/>
        </w:rPr>
        <w:t>Santa Clara Journal of International Law,</w:t>
      </w:r>
      <w:r>
        <w:rPr>
          <w:rFonts w:ascii="Arial" w:hAnsi="Arial" w:cs="Arial"/>
          <w:sz w:val="22"/>
        </w:rPr>
        <w:t xml:space="preserve"> 2(1), pp.40-83.</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Fergusson, I.F., 2008. </w:t>
      </w:r>
      <w:r>
        <w:rPr>
          <w:rFonts w:ascii="Arial" w:hAnsi="Arial" w:cs="Arial"/>
          <w:i/>
          <w:sz w:val="22"/>
        </w:rPr>
        <w:t xml:space="preserve">The World Trade Organization: background and issues. </w:t>
      </w:r>
      <w:r>
        <w:rPr>
          <w:rFonts w:ascii="Arial" w:hAnsi="Arial" w:cs="Arial"/>
          <w:sz w:val="22"/>
        </w:rPr>
        <w:t>[pdf] Washington, DC: Congressional Research Service. Available at: &lt;https://www.everycrsreport.com/files/20080131_98-928_069b70c04ce0db78a664405680009635313db757.pdf&gt; [Accessed 13 July 2021].</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Gao, Y., 2015. Analysis on the communication strategy of reality show in the era of attention economy: based on the research of “audience and experience”. </w:t>
      </w:r>
      <w:r>
        <w:rPr>
          <w:rFonts w:ascii="Arial" w:hAnsi="Arial" w:cs="Arial"/>
          <w:i/>
          <w:sz w:val="22"/>
        </w:rPr>
        <w:t>Movie Review,</w:t>
      </w:r>
      <w:r>
        <w:rPr>
          <w:rFonts w:ascii="Arial" w:hAnsi="Arial" w:cs="Arial"/>
          <w:sz w:val="22"/>
        </w:rPr>
        <w:t xml:space="preserve"> (2), pp.90-92.</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Guo, B., 2006. </w:t>
      </w:r>
      <w:r>
        <w:rPr>
          <w:rFonts w:ascii="Arial" w:hAnsi="Arial" w:cs="Arial"/>
          <w:i/>
          <w:sz w:val="22"/>
        </w:rPr>
        <w:t>Analysis of consumer behavior of online games.</w:t>
      </w:r>
      <w:r>
        <w:rPr>
          <w:rFonts w:ascii="Arial" w:hAnsi="Arial" w:cs="Arial"/>
          <w:sz w:val="22"/>
        </w:rPr>
        <w:t xml:space="preserve"> MA. Zhejiang University.</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Han, H., 2006. The analysis on network games to moral of the contemporary university negative impact. </w:t>
      </w:r>
      <w:r>
        <w:rPr>
          <w:rFonts w:ascii="Arial" w:hAnsi="Arial" w:cs="Arial"/>
          <w:i/>
          <w:sz w:val="22"/>
        </w:rPr>
        <w:t>Journal of Guizhou University of Technology (Social Science Edition),</w:t>
      </w:r>
      <w:r>
        <w:rPr>
          <w:rFonts w:ascii="Arial" w:hAnsi="Arial" w:cs="Arial"/>
          <w:sz w:val="22"/>
        </w:rPr>
        <w:t xml:space="preserve"> (3), pp.103-105.</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Harvey, F., 2013.World’s poorest will feel brunt of climate change, warns World Bank. </w:t>
      </w:r>
      <w:r>
        <w:rPr>
          <w:rFonts w:ascii="Arial" w:hAnsi="Arial" w:cs="Arial"/>
          <w:i/>
          <w:sz w:val="22"/>
        </w:rPr>
        <w:t xml:space="preserve">The Guardian, </w:t>
      </w:r>
      <w:r>
        <w:rPr>
          <w:rFonts w:ascii="Arial" w:hAnsi="Arial" w:cs="Arial"/>
          <w:sz w:val="22"/>
        </w:rPr>
        <w:t>[Online] 19 June. Available at: &lt;https://www.theguardian.com/environment/2013/jun/19/climate-change-developing-countries-world-bank&gt; [Accessed 13 July 2021].</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Klaas, B.S., Mahony, D. and Wheeler, H.N., 2006. Decision-making about workplace disputes: a policy-capturing study of employment arbitrators, labor arbitrators, and jurors. </w:t>
      </w:r>
      <w:r>
        <w:rPr>
          <w:rFonts w:ascii="Arial" w:hAnsi="Arial" w:cs="Arial"/>
          <w:i/>
          <w:sz w:val="22"/>
        </w:rPr>
        <w:t>Industrial Relations: A Journal of Economy and Society,</w:t>
      </w:r>
      <w:r>
        <w:rPr>
          <w:rFonts w:ascii="Arial" w:hAnsi="Arial" w:cs="Arial"/>
          <w:sz w:val="22"/>
        </w:rPr>
        <w:t xml:space="preserve"> 45(1), pp.68-95.</w:t>
      </w:r>
    </w:p>
    <w:p>
      <w:pPr>
        <w:autoSpaceDE w:val="0"/>
        <w:autoSpaceDN w:val="0"/>
        <w:adjustRightInd w:val="0"/>
        <w:spacing w:before="160" w:after="160" w:line="360" w:lineRule="auto"/>
        <w:ind w:left="480" w:hanging="480"/>
        <w:jc w:val="left"/>
        <w:rPr>
          <w:rFonts w:ascii="Arial" w:hAnsi="Arial" w:cs="Arial"/>
          <w:kern w:val="0"/>
          <w:sz w:val="22"/>
          <w:szCs w:val="24"/>
        </w:rPr>
      </w:pPr>
      <w:r>
        <w:rPr>
          <w:rFonts w:ascii="Arial" w:hAnsi="Arial" w:cs="Arial"/>
          <w:kern w:val="0"/>
          <w:sz w:val="22"/>
          <w:szCs w:val="24"/>
        </w:rPr>
        <w:t xml:space="preserve">Kostin, K. (2018). Foresight of the global digital trends. </w:t>
      </w:r>
      <w:r>
        <w:rPr>
          <w:rFonts w:ascii="Arial" w:hAnsi="Arial" w:cs="Arial"/>
          <w:i/>
          <w:iCs/>
          <w:kern w:val="0"/>
          <w:sz w:val="22"/>
          <w:szCs w:val="24"/>
        </w:rPr>
        <w:t>Strategic Management</w:t>
      </w:r>
      <w:r>
        <w:rPr>
          <w:rFonts w:ascii="Arial" w:hAnsi="Arial" w:cs="Arial"/>
          <w:kern w:val="0"/>
          <w:sz w:val="22"/>
          <w:szCs w:val="24"/>
        </w:rPr>
        <w:t xml:space="preserve">, </w:t>
      </w:r>
      <w:r>
        <w:rPr>
          <w:rFonts w:ascii="Arial" w:hAnsi="Arial" w:cs="Arial"/>
          <w:i/>
          <w:iCs/>
          <w:kern w:val="0"/>
          <w:sz w:val="22"/>
          <w:szCs w:val="24"/>
        </w:rPr>
        <w:t>23</w:t>
      </w:r>
      <w:r>
        <w:rPr>
          <w:rFonts w:ascii="Arial" w:hAnsi="Arial" w:cs="Arial"/>
          <w:kern w:val="0"/>
          <w:sz w:val="22"/>
          <w:szCs w:val="24"/>
        </w:rPr>
        <w:t xml:space="preserve">(2), 11–19. </w:t>
      </w:r>
      <w:r>
        <w:fldChar w:fldCharType="begin"/>
      </w:r>
      <w:r>
        <w:instrText xml:space="preserve"> HYPERLINK "https://doi.org/10.5937/straman1801011k" </w:instrText>
      </w:r>
      <w:r>
        <w:fldChar w:fldCharType="separate"/>
      </w:r>
      <w:r>
        <w:rPr>
          <w:rStyle w:val="25"/>
          <w:rFonts w:ascii="Arial" w:hAnsi="Arial" w:cs="Arial"/>
          <w:kern w:val="0"/>
          <w:sz w:val="22"/>
          <w:szCs w:val="24"/>
        </w:rPr>
        <w:t>https://doi.org/10.5937/straman1801011k</w:t>
      </w:r>
      <w:r>
        <w:rPr>
          <w:rStyle w:val="25"/>
          <w:rFonts w:ascii="Arial" w:hAnsi="Arial" w:cs="Arial"/>
          <w:kern w:val="0"/>
          <w:sz w:val="22"/>
          <w:szCs w:val="24"/>
        </w:rPr>
        <w:fldChar w:fldCharType="end"/>
      </w:r>
    </w:p>
    <w:p>
      <w:pPr>
        <w:autoSpaceDE w:val="0"/>
        <w:autoSpaceDN w:val="0"/>
        <w:adjustRightInd w:val="0"/>
        <w:spacing w:before="160" w:after="160" w:line="360" w:lineRule="auto"/>
        <w:ind w:left="480" w:hanging="480"/>
        <w:jc w:val="left"/>
        <w:rPr>
          <w:rFonts w:ascii="Arial" w:hAnsi="Arial" w:cs="Arial"/>
          <w:kern w:val="0"/>
          <w:sz w:val="22"/>
          <w:szCs w:val="24"/>
        </w:rPr>
      </w:pPr>
      <w:r>
        <w:rPr>
          <w:rFonts w:ascii="Arial" w:hAnsi="Arial" w:cs="Arial"/>
          <w:kern w:val="0"/>
          <w:sz w:val="22"/>
          <w:szCs w:val="24"/>
        </w:rPr>
        <w:t xml:space="preserve">Lefebvre, R. C. (2012). Transformative social marketing: Co-creating the social marketing discipline and brand. </w:t>
      </w:r>
      <w:r>
        <w:rPr>
          <w:rFonts w:ascii="Arial" w:hAnsi="Arial" w:cs="Arial"/>
          <w:i/>
          <w:iCs/>
          <w:kern w:val="0"/>
          <w:sz w:val="22"/>
          <w:szCs w:val="24"/>
        </w:rPr>
        <w:t>Journal of Social Marketing</w:t>
      </w:r>
      <w:r>
        <w:rPr>
          <w:rFonts w:ascii="Arial" w:hAnsi="Arial" w:cs="Arial"/>
          <w:kern w:val="0"/>
          <w:sz w:val="22"/>
          <w:szCs w:val="24"/>
        </w:rPr>
        <w:t xml:space="preserve">, </w:t>
      </w:r>
      <w:r>
        <w:rPr>
          <w:rFonts w:ascii="Arial" w:hAnsi="Arial" w:cs="Arial"/>
          <w:i/>
          <w:iCs/>
          <w:kern w:val="0"/>
          <w:sz w:val="22"/>
          <w:szCs w:val="24"/>
        </w:rPr>
        <w:t>2</w:t>
      </w:r>
      <w:r>
        <w:rPr>
          <w:rFonts w:ascii="Arial" w:hAnsi="Arial" w:cs="Arial"/>
          <w:kern w:val="0"/>
          <w:sz w:val="22"/>
          <w:szCs w:val="24"/>
        </w:rPr>
        <w:t>(2), 118–129. https://doi.org/10.1108/20426761211243955</w:t>
      </w:r>
    </w:p>
    <w:p>
      <w:pPr>
        <w:autoSpaceDE w:val="0"/>
        <w:autoSpaceDN w:val="0"/>
        <w:adjustRightInd w:val="0"/>
        <w:spacing w:before="160" w:after="160" w:line="360" w:lineRule="auto"/>
        <w:ind w:left="480" w:hanging="480"/>
        <w:jc w:val="left"/>
        <w:rPr>
          <w:rFonts w:ascii="Arial" w:hAnsi="Arial" w:cs="Arial"/>
          <w:kern w:val="0"/>
          <w:sz w:val="22"/>
          <w:szCs w:val="24"/>
        </w:rPr>
      </w:pPr>
      <w:r>
        <w:rPr>
          <w:rFonts w:ascii="Arial" w:hAnsi="Arial" w:cs="Arial"/>
          <w:kern w:val="0"/>
          <w:sz w:val="22"/>
          <w:szCs w:val="24"/>
        </w:rPr>
        <w:t xml:space="preserve">Li, T. (2019). “Bang Bang Bang”–Nonsense or an Alternative Language? The Lingualscape in the Chinese Remake of I Am a Singer. </w:t>
      </w:r>
      <w:r>
        <w:rPr>
          <w:rFonts w:ascii="Arial" w:hAnsi="Arial" w:cs="Arial"/>
          <w:i/>
          <w:iCs/>
          <w:kern w:val="0"/>
          <w:sz w:val="22"/>
          <w:szCs w:val="24"/>
        </w:rPr>
        <w:t>China Perspectives</w:t>
      </w:r>
      <w:r>
        <w:rPr>
          <w:rFonts w:ascii="Arial" w:hAnsi="Arial" w:cs="Arial"/>
          <w:kern w:val="0"/>
          <w:sz w:val="22"/>
          <w:szCs w:val="24"/>
        </w:rPr>
        <w:t xml:space="preserve">, </w:t>
      </w:r>
      <w:r>
        <w:rPr>
          <w:rFonts w:ascii="Arial" w:hAnsi="Arial" w:cs="Arial"/>
          <w:i/>
          <w:iCs/>
          <w:kern w:val="0"/>
          <w:sz w:val="22"/>
          <w:szCs w:val="24"/>
        </w:rPr>
        <w:t>2019</w:t>
      </w:r>
      <w:r>
        <w:rPr>
          <w:rFonts w:ascii="Arial" w:hAnsi="Arial" w:cs="Arial"/>
          <w:kern w:val="0"/>
          <w:sz w:val="22"/>
          <w:szCs w:val="24"/>
        </w:rPr>
        <w:t>(2019–3), 37–45.</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Li, B., 2015. “Imported hot” and “cold thinking” of overseas program mode. </w:t>
      </w:r>
      <w:r>
        <w:rPr>
          <w:rFonts w:ascii="Arial" w:hAnsi="Arial" w:cs="Arial"/>
          <w:i/>
          <w:sz w:val="22"/>
        </w:rPr>
        <w:t>China Television,</w:t>
      </w:r>
      <w:r>
        <w:rPr>
          <w:rFonts w:ascii="Arial" w:hAnsi="Arial" w:cs="Arial"/>
          <w:sz w:val="22"/>
        </w:rPr>
        <w:t xml:space="preserve"> (2), pp.30-34.</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Li, L. and Zhang, Y., 2012. New opinion leaders -- on the new communication revolution research IV. </w:t>
      </w:r>
      <w:r>
        <w:rPr>
          <w:rFonts w:ascii="Arial" w:hAnsi="Arial" w:cs="Arial"/>
          <w:i/>
          <w:sz w:val="22"/>
        </w:rPr>
        <w:t>Modern Communication,</w:t>
      </w:r>
      <w:r>
        <w:rPr>
          <w:rFonts w:ascii="Arial" w:hAnsi="Arial" w:cs="Arial"/>
          <w:sz w:val="22"/>
        </w:rPr>
        <w:t xml:space="preserve"> 34(6), pp.31-33.</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Liu, J., 2014. A new study on brand connotation of TV program. </w:t>
      </w:r>
      <w:r>
        <w:rPr>
          <w:rFonts w:ascii="Arial" w:hAnsi="Arial" w:cs="Arial"/>
          <w:i/>
          <w:sz w:val="22"/>
        </w:rPr>
        <w:t>Youth Literator,</w:t>
      </w:r>
      <w:r>
        <w:rPr>
          <w:rFonts w:ascii="Arial" w:hAnsi="Arial" w:cs="Arial"/>
          <w:sz w:val="22"/>
        </w:rPr>
        <w:t xml:space="preserve"> (36), p.188.</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Liu, Y., 2013. On the good combination of content and audience psychology -- a case study of “I am a singer”. </w:t>
      </w:r>
      <w:r>
        <w:rPr>
          <w:rFonts w:ascii="Arial" w:hAnsi="Arial" w:cs="Arial"/>
          <w:i/>
          <w:sz w:val="22"/>
        </w:rPr>
        <w:t>Science &amp; Technology for China’s Mass Media,</w:t>
      </w:r>
      <w:r>
        <w:rPr>
          <w:rFonts w:ascii="Arial" w:hAnsi="Arial" w:cs="Arial"/>
          <w:sz w:val="22"/>
        </w:rPr>
        <w:t xml:space="preserve"> (6), pp.81-82.</w:t>
      </w:r>
    </w:p>
    <w:p>
      <w:pPr>
        <w:autoSpaceDE w:val="0"/>
        <w:autoSpaceDN w:val="0"/>
        <w:adjustRightInd w:val="0"/>
        <w:spacing w:before="160" w:after="160" w:line="360" w:lineRule="auto"/>
        <w:ind w:left="480" w:hanging="480"/>
        <w:jc w:val="left"/>
        <w:rPr>
          <w:rFonts w:ascii="Arial" w:hAnsi="Arial" w:cs="Arial"/>
          <w:kern w:val="0"/>
          <w:sz w:val="22"/>
          <w:szCs w:val="24"/>
        </w:rPr>
      </w:pPr>
      <w:r>
        <w:rPr>
          <w:rFonts w:ascii="Arial" w:hAnsi="Arial" w:cs="Arial"/>
          <w:kern w:val="0"/>
          <w:sz w:val="22"/>
          <w:szCs w:val="24"/>
        </w:rPr>
        <w:t xml:space="preserve">Min, J., Zang, Q., &amp; Liu, Y. (2015). The influence of social media engagement on TV program ratings. </w:t>
      </w:r>
      <w:r>
        <w:rPr>
          <w:rFonts w:ascii="Arial" w:hAnsi="Arial" w:cs="Arial"/>
          <w:i/>
          <w:iCs/>
          <w:kern w:val="0"/>
          <w:sz w:val="22"/>
          <w:szCs w:val="24"/>
        </w:rPr>
        <w:t>2015 Systems and Information Engineering Design Symposium</w:t>
      </w:r>
      <w:r>
        <w:rPr>
          <w:rFonts w:ascii="Arial" w:hAnsi="Arial" w:cs="Arial"/>
          <w:kern w:val="0"/>
          <w:sz w:val="22"/>
          <w:szCs w:val="24"/>
        </w:rPr>
        <w:t>, 283–288.</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Nicita, A., Olarreaga, M. and da Silva, P., 2018. </w:t>
      </w:r>
      <w:r>
        <w:rPr>
          <w:rFonts w:ascii="Arial" w:hAnsi="Arial" w:cs="Arial"/>
          <w:i/>
          <w:sz w:val="22"/>
        </w:rPr>
        <w:t xml:space="preserve">A trade war will increase average tariffs by 32 percentage points. </w:t>
      </w:r>
      <w:r>
        <w:rPr>
          <w:rFonts w:ascii="Arial" w:hAnsi="Arial" w:cs="Arial"/>
          <w:sz w:val="22"/>
        </w:rPr>
        <w:t>[Online] Available at: &lt;https://voxeu.org/article/trade-cold-wars-and-value-agreements-during-crises&gt; [Accessed 13 July 2021].</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Novak, T.P., 1996. </w:t>
      </w:r>
      <w:r>
        <w:rPr>
          <w:rFonts w:ascii="Arial" w:hAnsi="Arial" w:cs="Arial"/>
          <w:i/>
          <w:sz w:val="22"/>
        </w:rPr>
        <w:t xml:space="preserve">Secondary data analysis lecture notes. </w:t>
      </w:r>
      <w:r>
        <w:rPr>
          <w:rFonts w:ascii="Arial" w:hAnsi="Arial" w:cs="Arial"/>
          <w:sz w:val="22"/>
        </w:rPr>
        <w:t>[Online] Available at: &lt;http://www2000.ogsm.vanderbilt.edu/marketing&gt; [Accessed 13 July 2021].</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Oppenheim, A.N., 2000. </w:t>
      </w:r>
      <w:r>
        <w:rPr>
          <w:rFonts w:ascii="Arial" w:hAnsi="Arial" w:cs="Arial"/>
          <w:i/>
          <w:sz w:val="22"/>
        </w:rPr>
        <w:t xml:space="preserve">Questionnaire design, interviewing and attitude measurement, </w:t>
      </w:r>
      <w:r>
        <w:rPr>
          <w:rFonts w:ascii="Arial" w:hAnsi="Arial" w:cs="Arial"/>
          <w:sz w:val="22"/>
        </w:rPr>
        <w:t>London: Continuum International Publishing Group Ltd.</w:t>
      </w:r>
    </w:p>
    <w:p>
      <w:pPr>
        <w:autoSpaceDE w:val="0"/>
        <w:autoSpaceDN w:val="0"/>
        <w:adjustRightInd w:val="0"/>
        <w:spacing w:before="160" w:after="160" w:line="360" w:lineRule="auto"/>
        <w:ind w:left="480" w:hanging="480"/>
        <w:jc w:val="left"/>
        <w:rPr>
          <w:rFonts w:ascii="Arial" w:hAnsi="Arial" w:cs="Arial"/>
          <w:kern w:val="0"/>
          <w:sz w:val="22"/>
          <w:szCs w:val="24"/>
        </w:rPr>
      </w:pPr>
      <w:r>
        <w:rPr>
          <w:rFonts w:ascii="Arial" w:hAnsi="Arial" w:cs="Arial"/>
          <w:kern w:val="0"/>
          <w:sz w:val="22"/>
          <w:szCs w:val="24"/>
        </w:rPr>
        <w:t xml:space="preserve">Park, J. H., Lee, Y. S., &amp; Seo, H. (2019). The rise and fall of Korean drama export to China: The history of state regulation of Korean dramas in China. </w:t>
      </w:r>
      <w:r>
        <w:rPr>
          <w:rFonts w:ascii="Arial" w:hAnsi="Arial" w:cs="Arial"/>
          <w:i/>
          <w:iCs/>
          <w:kern w:val="0"/>
          <w:sz w:val="22"/>
          <w:szCs w:val="24"/>
        </w:rPr>
        <w:t>International Communication Gazette</w:t>
      </w:r>
      <w:r>
        <w:rPr>
          <w:rFonts w:ascii="Arial" w:hAnsi="Arial" w:cs="Arial"/>
          <w:kern w:val="0"/>
          <w:sz w:val="22"/>
          <w:szCs w:val="24"/>
        </w:rPr>
        <w:t xml:space="preserve">, </w:t>
      </w:r>
      <w:r>
        <w:rPr>
          <w:rFonts w:ascii="Arial" w:hAnsi="Arial" w:cs="Arial"/>
          <w:i/>
          <w:iCs/>
          <w:kern w:val="0"/>
          <w:sz w:val="22"/>
          <w:szCs w:val="24"/>
        </w:rPr>
        <w:t>81</w:t>
      </w:r>
      <w:r>
        <w:rPr>
          <w:rFonts w:ascii="Arial" w:hAnsi="Arial" w:cs="Arial"/>
          <w:kern w:val="0"/>
          <w:sz w:val="22"/>
          <w:szCs w:val="24"/>
        </w:rPr>
        <w:t>(2), 139–157.</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Qin, S., 2010. </w:t>
      </w:r>
      <w:r>
        <w:rPr>
          <w:rFonts w:ascii="Arial" w:hAnsi="Arial" w:cs="Arial"/>
          <w:i/>
          <w:sz w:val="22"/>
        </w:rPr>
        <w:t xml:space="preserve">Physical distribution manage, </w:t>
      </w:r>
      <w:r>
        <w:rPr>
          <w:rFonts w:ascii="Arial" w:hAnsi="Arial" w:cs="Arial"/>
          <w:sz w:val="22"/>
        </w:rPr>
        <w:t>Beijing: Mechanical Industry Press.</w:t>
      </w:r>
    </w:p>
    <w:p>
      <w:pPr>
        <w:autoSpaceDE w:val="0"/>
        <w:autoSpaceDN w:val="0"/>
        <w:adjustRightInd w:val="0"/>
        <w:spacing w:before="160" w:after="160" w:line="360" w:lineRule="auto"/>
        <w:ind w:left="480" w:hanging="480"/>
        <w:jc w:val="left"/>
        <w:rPr>
          <w:rFonts w:ascii="Arial" w:hAnsi="Arial" w:cs="Arial"/>
          <w:kern w:val="0"/>
          <w:sz w:val="22"/>
          <w:szCs w:val="24"/>
        </w:rPr>
      </w:pPr>
      <w:r>
        <w:rPr>
          <w:rFonts w:ascii="Arial" w:hAnsi="Arial" w:cs="Arial"/>
          <w:kern w:val="0"/>
          <w:sz w:val="22"/>
          <w:szCs w:val="24"/>
        </w:rPr>
        <w:t xml:space="preserve">Saunders, M. (2000). Research Methods for Business Students. In </w:t>
      </w:r>
      <w:r>
        <w:rPr>
          <w:rFonts w:ascii="Arial" w:hAnsi="Arial" w:cs="Arial"/>
          <w:i/>
          <w:iCs/>
          <w:kern w:val="0"/>
          <w:sz w:val="22"/>
          <w:szCs w:val="24"/>
        </w:rPr>
        <w:t>Qualitative Market Research: An International Journal</w:t>
      </w:r>
      <w:r>
        <w:rPr>
          <w:rFonts w:ascii="Arial" w:hAnsi="Arial" w:cs="Arial"/>
          <w:kern w:val="0"/>
          <w:sz w:val="22"/>
          <w:szCs w:val="24"/>
        </w:rPr>
        <w:t>. https://doi.org/10.1108/qmr.2000.3.4.215.2</w:t>
      </w:r>
    </w:p>
    <w:p>
      <w:pPr>
        <w:autoSpaceDE w:val="0"/>
        <w:autoSpaceDN w:val="0"/>
        <w:adjustRightInd w:val="0"/>
        <w:spacing w:before="160" w:after="160" w:line="360" w:lineRule="auto"/>
        <w:ind w:left="480" w:hanging="480"/>
        <w:jc w:val="left"/>
        <w:rPr>
          <w:rFonts w:ascii="Arial" w:hAnsi="Arial" w:cs="Arial"/>
          <w:kern w:val="0"/>
          <w:sz w:val="22"/>
          <w:szCs w:val="24"/>
        </w:rPr>
      </w:pPr>
      <w:r>
        <w:rPr>
          <w:rFonts w:ascii="Arial" w:hAnsi="Arial" w:cs="Arial"/>
          <w:kern w:val="0"/>
          <w:sz w:val="22"/>
          <w:szCs w:val="24"/>
        </w:rPr>
        <w:t xml:space="preserve">Steinhoff, L., Arli, D., Weaven, S., &amp; Kozlenkova, I. V. (2019). Online relationship marketing. </w:t>
      </w:r>
      <w:r>
        <w:rPr>
          <w:rFonts w:ascii="Arial" w:hAnsi="Arial" w:cs="Arial"/>
          <w:i/>
          <w:iCs/>
          <w:kern w:val="0"/>
          <w:sz w:val="22"/>
          <w:szCs w:val="24"/>
        </w:rPr>
        <w:t>Journal of the Academy of Marketing Science</w:t>
      </w:r>
      <w:r>
        <w:rPr>
          <w:rFonts w:ascii="Arial" w:hAnsi="Arial" w:cs="Arial"/>
          <w:kern w:val="0"/>
          <w:sz w:val="22"/>
          <w:szCs w:val="24"/>
        </w:rPr>
        <w:t xml:space="preserve">, </w:t>
      </w:r>
      <w:r>
        <w:rPr>
          <w:rFonts w:ascii="Arial" w:hAnsi="Arial" w:cs="Arial"/>
          <w:i/>
          <w:iCs/>
          <w:kern w:val="0"/>
          <w:sz w:val="22"/>
          <w:szCs w:val="24"/>
        </w:rPr>
        <w:t>47</w:t>
      </w:r>
      <w:r>
        <w:rPr>
          <w:rFonts w:ascii="Arial" w:hAnsi="Arial" w:cs="Arial"/>
          <w:kern w:val="0"/>
          <w:sz w:val="22"/>
          <w:szCs w:val="24"/>
        </w:rPr>
        <w:t xml:space="preserve">(3), 369–393. </w:t>
      </w:r>
      <w:r>
        <w:fldChar w:fldCharType="begin"/>
      </w:r>
      <w:r>
        <w:instrText xml:space="preserve"> HYPERLINK "https://doi.org/10.1007/s11747-018-0621-6" </w:instrText>
      </w:r>
      <w:r>
        <w:fldChar w:fldCharType="separate"/>
      </w:r>
      <w:r>
        <w:rPr>
          <w:rStyle w:val="25"/>
          <w:rFonts w:ascii="Arial" w:hAnsi="Arial" w:cs="Arial"/>
          <w:kern w:val="0"/>
          <w:sz w:val="22"/>
          <w:szCs w:val="24"/>
        </w:rPr>
        <w:t>https://doi.org/10.1007/s11747-018-0621-6</w:t>
      </w:r>
      <w:r>
        <w:rPr>
          <w:rStyle w:val="25"/>
          <w:rFonts w:ascii="Arial" w:hAnsi="Arial" w:cs="Arial"/>
          <w:kern w:val="0"/>
          <w:sz w:val="22"/>
          <w:szCs w:val="24"/>
        </w:rPr>
        <w:fldChar w:fldCharType="end"/>
      </w:r>
    </w:p>
    <w:p>
      <w:pPr>
        <w:autoSpaceDE w:val="0"/>
        <w:autoSpaceDN w:val="0"/>
        <w:adjustRightInd w:val="0"/>
        <w:spacing w:before="160" w:after="160" w:line="360" w:lineRule="auto"/>
        <w:ind w:left="480" w:hanging="480"/>
        <w:jc w:val="left"/>
        <w:rPr>
          <w:rFonts w:ascii="Arial" w:hAnsi="Arial" w:cs="Arial"/>
          <w:kern w:val="0"/>
          <w:sz w:val="22"/>
          <w:szCs w:val="24"/>
        </w:rPr>
      </w:pPr>
      <w:r>
        <w:rPr>
          <w:rFonts w:ascii="Arial" w:hAnsi="Arial" w:cs="Arial"/>
          <w:kern w:val="0"/>
          <w:sz w:val="22"/>
          <w:szCs w:val="24"/>
        </w:rPr>
        <w:t xml:space="preserve">Taneja, G., &amp; Bala, A. (2019). Current scenario of social media marketing. </w:t>
      </w:r>
      <w:r>
        <w:rPr>
          <w:rFonts w:ascii="Arial" w:hAnsi="Arial" w:cs="Arial"/>
          <w:i/>
          <w:iCs/>
          <w:kern w:val="0"/>
          <w:sz w:val="22"/>
          <w:szCs w:val="24"/>
        </w:rPr>
        <w:t>Proceedings of 10th International Conference on Digital Strategies for Organizational Success</w:t>
      </w:r>
      <w:r>
        <w:rPr>
          <w:rFonts w:ascii="Arial" w:hAnsi="Arial" w:cs="Arial"/>
          <w:kern w:val="0"/>
          <w:sz w:val="22"/>
          <w:szCs w:val="24"/>
        </w:rPr>
        <w:t>.</w:t>
      </w:r>
    </w:p>
    <w:p>
      <w:pPr>
        <w:autoSpaceDE w:val="0"/>
        <w:autoSpaceDN w:val="0"/>
        <w:adjustRightInd w:val="0"/>
        <w:spacing w:before="160" w:after="160" w:line="360" w:lineRule="auto"/>
        <w:ind w:left="480" w:hanging="480"/>
        <w:jc w:val="left"/>
        <w:rPr>
          <w:rFonts w:ascii="Arial" w:hAnsi="Arial" w:cs="Arial"/>
          <w:kern w:val="0"/>
          <w:sz w:val="22"/>
          <w:szCs w:val="24"/>
        </w:rPr>
      </w:pPr>
      <w:r>
        <w:rPr>
          <w:rFonts w:ascii="Arial" w:hAnsi="Arial" w:cs="Arial"/>
          <w:kern w:val="0"/>
          <w:sz w:val="22"/>
          <w:szCs w:val="24"/>
        </w:rPr>
        <w:t xml:space="preserve">The Wallstreet Journal. (2017). </w:t>
      </w:r>
      <w:r>
        <w:rPr>
          <w:rFonts w:ascii="Arial" w:hAnsi="Arial" w:cs="Arial"/>
          <w:i/>
          <w:iCs/>
          <w:kern w:val="0"/>
          <w:sz w:val="22"/>
          <w:szCs w:val="24"/>
        </w:rPr>
        <w:t>Alibaba’s ‘Ai’ Predicts Winners of China’s Hit TV Show ‘I Am a Singer’ - WSJ</w:t>
      </w:r>
      <w:r>
        <w:rPr>
          <w:rFonts w:ascii="Arial" w:hAnsi="Arial" w:cs="Arial"/>
          <w:kern w:val="0"/>
          <w:sz w:val="22"/>
          <w:szCs w:val="24"/>
        </w:rPr>
        <w:t>. https://www.wsj.com/articles/BL-CJB-29000</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The World Bank, 2015. </w:t>
      </w:r>
      <w:r>
        <w:rPr>
          <w:rFonts w:ascii="Arial" w:hAnsi="Arial" w:cs="Arial"/>
          <w:i/>
          <w:sz w:val="22"/>
        </w:rPr>
        <w:t xml:space="preserve">Financing the end of poverty. </w:t>
      </w:r>
      <w:r>
        <w:rPr>
          <w:rFonts w:ascii="Arial" w:hAnsi="Arial" w:cs="Arial"/>
          <w:sz w:val="22"/>
        </w:rPr>
        <w:t>[Online] Available at: &lt;http://www.worldbank.org/en/news/feature/2015/07/10/financing-the-end-of-poverty&gt; [Accessed 13 July 2021].</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Tomz, M., Goldstein, J.L. and Rivers, D., 2007. Do we really know that the WTO increases trade? Comment. </w:t>
      </w:r>
      <w:r>
        <w:rPr>
          <w:rFonts w:ascii="Arial" w:hAnsi="Arial" w:cs="Arial"/>
          <w:i/>
          <w:sz w:val="22"/>
        </w:rPr>
        <w:t>American Economic Review,</w:t>
      </w:r>
      <w:r>
        <w:rPr>
          <w:rFonts w:ascii="Arial" w:hAnsi="Arial" w:cs="Arial"/>
          <w:sz w:val="22"/>
        </w:rPr>
        <w:t xml:space="preserve"> 97(5), pp.2005-2018.</w:t>
      </w:r>
    </w:p>
    <w:p>
      <w:pPr>
        <w:autoSpaceDE w:val="0"/>
        <w:autoSpaceDN w:val="0"/>
        <w:adjustRightInd w:val="0"/>
        <w:spacing w:before="160" w:after="160" w:line="360" w:lineRule="auto"/>
        <w:ind w:left="480" w:hanging="480"/>
        <w:jc w:val="left"/>
        <w:rPr>
          <w:rFonts w:ascii="Arial" w:hAnsi="Arial" w:cs="Arial"/>
          <w:kern w:val="0"/>
          <w:sz w:val="22"/>
          <w:szCs w:val="24"/>
        </w:rPr>
      </w:pPr>
      <w:r>
        <w:rPr>
          <w:rFonts w:ascii="Arial" w:hAnsi="Arial" w:cs="Arial"/>
          <w:kern w:val="0"/>
          <w:sz w:val="22"/>
          <w:szCs w:val="24"/>
        </w:rPr>
        <w:t xml:space="preserve">Viswanathan, V., Malthouse, E. C., Maslowska, E., Hoornaert, S., &amp; Van den Poel, D. (2018). Dynamics between social media engagement, firm-generated content, and live and time-shifted TV viewing. </w:t>
      </w:r>
      <w:r>
        <w:rPr>
          <w:rFonts w:ascii="Arial" w:hAnsi="Arial" w:cs="Arial"/>
          <w:i/>
          <w:iCs/>
          <w:kern w:val="0"/>
          <w:sz w:val="22"/>
          <w:szCs w:val="24"/>
        </w:rPr>
        <w:t>Journal of Service Management</w:t>
      </w:r>
      <w:r>
        <w:rPr>
          <w:rFonts w:ascii="Arial" w:hAnsi="Arial" w:cs="Arial"/>
          <w:kern w:val="0"/>
          <w:sz w:val="22"/>
          <w:szCs w:val="24"/>
        </w:rPr>
        <w:t>.</w:t>
      </w:r>
    </w:p>
    <w:p>
      <w:pPr>
        <w:autoSpaceDE w:val="0"/>
        <w:autoSpaceDN w:val="0"/>
        <w:adjustRightInd w:val="0"/>
        <w:spacing w:before="160" w:after="160" w:line="360" w:lineRule="auto"/>
        <w:ind w:left="480" w:hanging="480"/>
        <w:jc w:val="left"/>
        <w:rPr>
          <w:rFonts w:ascii="Arial" w:hAnsi="Arial" w:cs="Arial"/>
          <w:kern w:val="0"/>
          <w:sz w:val="22"/>
          <w:szCs w:val="24"/>
        </w:rPr>
      </w:pPr>
      <w:r>
        <w:rPr>
          <w:rFonts w:ascii="Arial" w:hAnsi="Arial" w:cs="Arial"/>
          <w:kern w:val="0"/>
          <w:sz w:val="22"/>
          <w:szCs w:val="24"/>
        </w:rPr>
        <w:t xml:space="preserve">Wang, Q., &amp; De Kloet, J. (2016). From ‘nothing to my name’to ‘I am a singer’: Market, capital, and politics in the Chinese music industry. In </w:t>
      </w:r>
      <w:r>
        <w:rPr>
          <w:rFonts w:ascii="Arial" w:hAnsi="Arial" w:cs="Arial"/>
          <w:i/>
          <w:iCs/>
          <w:kern w:val="0"/>
          <w:sz w:val="22"/>
          <w:szCs w:val="24"/>
        </w:rPr>
        <w:t>Handbook of cultural and creative industries in China</w:t>
      </w:r>
      <w:r>
        <w:rPr>
          <w:rFonts w:ascii="Arial" w:hAnsi="Arial" w:cs="Arial"/>
          <w:kern w:val="0"/>
          <w:sz w:val="22"/>
          <w:szCs w:val="24"/>
        </w:rPr>
        <w:t>. Edward Elgar Publishing.</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Walker, A., 2013. </w:t>
      </w:r>
      <w:r>
        <w:rPr>
          <w:rFonts w:ascii="Arial" w:hAnsi="Arial" w:cs="Arial"/>
          <w:i/>
          <w:sz w:val="22"/>
        </w:rPr>
        <w:t xml:space="preserve">WTO agrees global trade deal worth $1tn. </w:t>
      </w:r>
      <w:r>
        <w:rPr>
          <w:rFonts w:ascii="Arial" w:hAnsi="Arial" w:cs="Arial"/>
          <w:sz w:val="22"/>
        </w:rPr>
        <w:t>[Online] Available at: &lt;https://www.bbc.com/news/business-25274889&gt; [Accessed 13 July 2021].</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Wu, R., 2010. </w:t>
      </w:r>
      <w:r>
        <w:rPr>
          <w:rFonts w:ascii="Arial" w:hAnsi="Arial" w:cs="Arial"/>
          <w:i/>
          <w:sz w:val="22"/>
        </w:rPr>
        <w:t xml:space="preserve">Freight forwarder, </w:t>
      </w:r>
      <w:r>
        <w:rPr>
          <w:rFonts w:ascii="Arial" w:hAnsi="Arial" w:cs="Arial"/>
          <w:sz w:val="22"/>
        </w:rPr>
        <w:t>Beijing: Mechanical Industry Press.</w:t>
      </w:r>
    </w:p>
    <w:p>
      <w:pPr>
        <w:autoSpaceDE w:val="0"/>
        <w:autoSpaceDN w:val="0"/>
        <w:adjustRightInd w:val="0"/>
        <w:spacing w:before="160" w:after="160" w:line="360" w:lineRule="auto"/>
        <w:ind w:left="480" w:hanging="480"/>
        <w:jc w:val="left"/>
        <w:rPr>
          <w:rFonts w:ascii="Arial" w:hAnsi="Arial" w:cs="Arial"/>
          <w:kern w:val="0"/>
          <w:sz w:val="22"/>
          <w:szCs w:val="24"/>
        </w:rPr>
      </w:pPr>
      <w:r>
        <w:rPr>
          <w:rFonts w:ascii="Arial" w:hAnsi="Arial" w:cs="Arial"/>
          <w:kern w:val="0"/>
          <w:sz w:val="22"/>
          <w:szCs w:val="24"/>
        </w:rPr>
        <w:t xml:space="preserve">Yang, Q., &amp; Liu, Y. (2014). What’s on the other side of the great firewall? Chinese Web users’ motivations for bypassing the Internet censorship. </w:t>
      </w:r>
      <w:r>
        <w:rPr>
          <w:rFonts w:ascii="Arial" w:hAnsi="Arial" w:cs="Arial"/>
          <w:i/>
          <w:iCs/>
          <w:kern w:val="0"/>
          <w:sz w:val="22"/>
          <w:szCs w:val="24"/>
        </w:rPr>
        <w:t>Computers in Human Behavior</w:t>
      </w:r>
      <w:r>
        <w:rPr>
          <w:rFonts w:ascii="Arial" w:hAnsi="Arial" w:cs="Arial"/>
          <w:kern w:val="0"/>
          <w:sz w:val="22"/>
          <w:szCs w:val="24"/>
        </w:rPr>
        <w:t xml:space="preserve">, </w:t>
      </w:r>
      <w:r>
        <w:rPr>
          <w:rFonts w:ascii="Arial" w:hAnsi="Arial" w:cs="Arial"/>
          <w:i/>
          <w:iCs/>
          <w:kern w:val="0"/>
          <w:sz w:val="22"/>
          <w:szCs w:val="24"/>
        </w:rPr>
        <w:t>37</w:t>
      </w:r>
      <w:r>
        <w:rPr>
          <w:rFonts w:ascii="Arial" w:hAnsi="Arial" w:cs="Arial"/>
          <w:kern w:val="0"/>
          <w:sz w:val="22"/>
          <w:szCs w:val="24"/>
        </w:rPr>
        <w:t>, 249–257.</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Yang, S., 2010. </w:t>
      </w:r>
      <w:r>
        <w:rPr>
          <w:rFonts w:ascii="Arial" w:hAnsi="Arial" w:cs="Arial"/>
          <w:i/>
          <w:sz w:val="22"/>
        </w:rPr>
        <w:t xml:space="preserve">Physical distribution manage, </w:t>
      </w:r>
      <w:r>
        <w:rPr>
          <w:rFonts w:ascii="Arial" w:hAnsi="Arial" w:cs="Arial"/>
          <w:sz w:val="22"/>
        </w:rPr>
        <w:t>Beijing: Mechanical Industry Press.</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Ye, K., 2010. </w:t>
      </w:r>
      <w:r>
        <w:rPr>
          <w:rFonts w:ascii="Arial" w:hAnsi="Arial" w:cs="Arial"/>
          <w:i/>
          <w:sz w:val="22"/>
        </w:rPr>
        <w:t xml:space="preserve">The international customs, </w:t>
      </w:r>
      <w:r>
        <w:rPr>
          <w:rFonts w:ascii="Arial" w:hAnsi="Arial" w:cs="Arial"/>
          <w:sz w:val="22"/>
        </w:rPr>
        <w:t>Beijing: Mechanical Industry Press.</w:t>
      </w:r>
    </w:p>
    <w:p>
      <w:pPr>
        <w:autoSpaceDE w:val="0"/>
        <w:autoSpaceDN w:val="0"/>
        <w:adjustRightInd w:val="0"/>
        <w:spacing w:before="160" w:after="160" w:line="360" w:lineRule="auto"/>
        <w:ind w:left="480" w:hanging="480"/>
        <w:jc w:val="left"/>
        <w:rPr>
          <w:rFonts w:ascii="Arial" w:hAnsi="Arial" w:cs="Arial"/>
          <w:sz w:val="22"/>
        </w:rPr>
      </w:pPr>
      <w:r>
        <w:rPr>
          <w:rFonts w:ascii="Arial" w:hAnsi="Arial" w:cs="Arial"/>
          <w:kern w:val="0"/>
          <w:sz w:val="22"/>
          <w:szCs w:val="24"/>
        </w:rPr>
        <w:t xml:space="preserve">Zhao, E. J. (2016). Collaboration reconfigured: The evolving landscape of entertainment TV markets between Taiwan and Mainland China. </w:t>
      </w:r>
      <w:r>
        <w:rPr>
          <w:rFonts w:ascii="Arial" w:hAnsi="Arial" w:cs="Arial"/>
          <w:i/>
          <w:iCs/>
          <w:kern w:val="0"/>
          <w:sz w:val="22"/>
          <w:szCs w:val="24"/>
        </w:rPr>
        <w:t>Media International Australia</w:t>
      </w:r>
      <w:r>
        <w:rPr>
          <w:rFonts w:ascii="Arial" w:hAnsi="Arial" w:cs="Arial"/>
          <w:kern w:val="0"/>
          <w:sz w:val="22"/>
          <w:szCs w:val="24"/>
        </w:rPr>
        <w:t xml:space="preserve">, </w:t>
      </w:r>
      <w:r>
        <w:rPr>
          <w:rFonts w:ascii="Arial" w:hAnsi="Arial" w:cs="Arial"/>
          <w:i/>
          <w:iCs/>
          <w:kern w:val="0"/>
          <w:sz w:val="22"/>
          <w:szCs w:val="24"/>
        </w:rPr>
        <w:t>159</w:t>
      </w:r>
      <w:r>
        <w:rPr>
          <w:rFonts w:ascii="Arial" w:hAnsi="Arial" w:cs="Arial"/>
          <w:kern w:val="0"/>
          <w:sz w:val="22"/>
          <w:szCs w:val="24"/>
        </w:rPr>
        <w:t>(1), 53–62.</w:t>
      </w:r>
    </w:p>
    <w:p>
      <w:pPr>
        <w:pStyle w:val="60"/>
        <w:spacing w:before="156" w:beforeLines="50" w:after="156" w:afterLines="50" w:line="360" w:lineRule="auto"/>
        <w:ind w:left="425" w:hanging="425"/>
        <w:rPr>
          <w:rFonts w:ascii="Arial" w:hAnsi="Arial" w:cs="Arial"/>
          <w:sz w:val="22"/>
        </w:rPr>
      </w:pPr>
      <w:r>
        <w:rPr>
          <w:rFonts w:ascii="Arial" w:hAnsi="Arial" w:cs="Arial"/>
          <w:sz w:val="22"/>
        </w:rPr>
        <w:t xml:space="preserve">Zhang, M., 2014. A brief analysis of the promotion concept of I am a singer. </w:t>
      </w:r>
      <w:r>
        <w:rPr>
          <w:rFonts w:ascii="Arial" w:hAnsi="Arial" w:cs="Arial"/>
          <w:i/>
          <w:sz w:val="22"/>
        </w:rPr>
        <w:t>New Media and Society,</w:t>
      </w:r>
      <w:r>
        <w:rPr>
          <w:rFonts w:ascii="Arial" w:hAnsi="Arial" w:cs="Arial"/>
          <w:sz w:val="22"/>
        </w:rPr>
        <w:t xml:space="preserve"> (2), pp.250-265.</w:t>
      </w:r>
    </w:p>
    <w:p>
      <w:pPr>
        <w:widowControl/>
        <w:spacing w:line="360" w:lineRule="auto"/>
        <w:jc w:val="left"/>
        <w:rPr>
          <w:rFonts w:ascii="Arial" w:hAnsi="Arial" w:cs="Arial"/>
          <w:sz w:val="22"/>
        </w:rPr>
      </w:pPr>
      <w:r>
        <w:rPr>
          <w:rFonts w:ascii="Arial" w:hAnsi="Arial" w:cs="Arial"/>
          <w:sz w:val="22"/>
        </w:rPr>
        <w:br w:type="page"/>
      </w:r>
    </w:p>
    <w:p>
      <w:pPr>
        <w:pStyle w:val="2"/>
        <w:spacing w:before="156" w:beforeLines="50" w:after="156" w:afterLines="50" w:line="360" w:lineRule="auto"/>
        <w:rPr>
          <w:rFonts w:ascii="Arial" w:hAnsi="Arial" w:cs="Arial"/>
          <w:sz w:val="32"/>
          <w:szCs w:val="32"/>
        </w:rPr>
      </w:pPr>
      <w:bookmarkStart w:id="120" w:name="_Toc14518"/>
      <w:bookmarkStart w:id="121" w:name="_Toc103303793"/>
      <w:r>
        <w:rPr>
          <w:rFonts w:ascii="Arial" w:hAnsi="Arial" w:cs="Arial"/>
          <w:sz w:val="32"/>
          <w:szCs w:val="32"/>
        </w:rPr>
        <w:t>Appendi</w:t>
      </w:r>
      <w:bookmarkEnd w:id="120"/>
      <w:r>
        <w:rPr>
          <w:rFonts w:ascii="Arial" w:hAnsi="Arial" w:cs="Arial"/>
          <w:sz w:val="32"/>
          <w:szCs w:val="32"/>
        </w:rPr>
        <w:t>ces</w:t>
      </w:r>
      <w:bookmarkEnd w:id="121"/>
    </w:p>
    <w:p>
      <w:pPr>
        <w:pStyle w:val="3"/>
        <w:spacing w:before="156" w:beforeLines="50" w:after="156" w:afterLines="50" w:line="360" w:lineRule="auto"/>
        <w:rPr>
          <w:rFonts w:ascii="Arial" w:hAnsi="Arial" w:cs="Arial"/>
          <w:sz w:val="28"/>
          <w:szCs w:val="28"/>
        </w:rPr>
      </w:pPr>
      <w:bookmarkStart w:id="122" w:name="_Toc20254"/>
      <w:bookmarkStart w:id="123" w:name="_Toc103303794"/>
      <w:bookmarkStart w:id="124" w:name="_Toc103303704"/>
      <w:r>
        <w:rPr>
          <w:rFonts w:ascii="Arial" w:hAnsi="Arial" w:cs="Arial"/>
          <w:sz w:val="28"/>
          <w:szCs w:val="28"/>
        </w:rPr>
        <w:t>Appendix 1</w:t>
      </w:r>
      <w:r>
        <w:rPr>
          <w:rFonts w:hint="eastAsia" w:ascii="Arial" w:hAnsi="Arial" w:cs="Arial"/>
          <w:sz w:val="28"/>
          <w:szCs w:val="28"/>
        </w:rPr>
        <w:t>:</w:t>
      </w:r>
      <w:r>
        <w:rPr>
          <w:rFonts w:ascii="Arial" w:hAnsi="Arial" w:cs="Arial"/>
          <w:sz w:val="28"/>
          <w:szCs w:val="28"/>
        </w:rPr>
        <w:t xml:space="preserve"> A comparison chart of the ratings of the first five episodes of “I Am a Singer”</w:t>
      </w:r>
      <w:bookmarkEnd w:id="122"/>
      <w:bookmarkEnd w:id="123"/>
      <w:bookmarkEnd w:id="124"/>
    </w:p>
    <w:p>
      <w:pPr>
        <w:spacing w:before="156" w:beforeLines="50" w:after="156" w:afterLines="50" w:line="360" w:lineRule="auto"/>
        <w:rPr>
          <w:rFonts w:ascii="Arial" w:hAnsi="Arial" w:cs="Arial"/>
          <w:sz w:val="22"/>
        </w:rPr>
      </w:pPr>
    </w:p>
    <w:p>
      <w:pPr>
        <w:spacing w:before="156" w:beforeLines="50" w:after="156" w:afterLines="50" w:line="360" w:lineRule="auto"/>
        <w:jc w:val="center"/>
        <w:rPr>
          <w:rFonts w:ascii="Arial" w:hAnsi="Arial" w:cs="Arial"/>
          <w:b/>
          <w:bCs/>
          <w:color w:val="333333"/>
          <w:sz w:val="22"/>
          <w:shd w:val="clear" w:color="auto" w:fill="FFFFFF"/>
        </w:rPr>
      </w:pPr>
      <w:r>
        <w:rPr>
          <w:rFonts w:ascii="Arial" w:hAnsi="Arial" w:cs="Arial"/>
          <w:sz w:val="22"/>
        </w:rPr>
        <mc:AlternateContent>
          <mc:Choice Requires="wps">
            <w:drawing>
              <wp:anchor distT="0" distB="0" distL="114300" distR="114300" simplePos="0" relativeHeight="251659264" behindDoc="0" locked="0" layoutInCell="1" allowOverlap="1">
                <wp:simplePos x="0" y="0"/>
                <wp:positionH relativeFrom="column">
                  <wp:posOffset>2134870</wp:posOffset>
                </wp:positionH>
                <wp:positionV relativeFrom="paragraph">
                  <wp:posOffset>96520</wp:posOffset>
                </wp:positionV>
                <wp:extent cx="1920875" cy="317500"/>
                <wp:effectExtent l="2540" t="0" r="635" b="0"/>
                <wp:wrapNone/>
                <wp:docPr id="16" name="文本框 16"/>
                <wp:cNvGraphicFramePr/>
                <a:graphic xmlns:a="http://schemas.openxmlformats.org/drawingml/2006/main">
                  <a:graphicData uri="http://schemas.microsoft.com/office/word/2010/wordprocessingShape">
                    <wps:wsp>
                      <wps:cNvSpPr txBox="1">
                        <a:spLocks noChangeArrowheads="1"/>
                      </wps:cNvSpPr>
                      <wps:spPr bwMode="auto">
                        <a:xfrm>
                          <a:off x="0" y="0"/>
                          <a:ext cx="1920875" cy="317500"/>
                        </a:xfrm>
                        <a:prstGeom prst="rect">
                          <a:avLst/>
                        </a:prstGeom>
                        <a:solidFill>
                          <a:srgbClr val="FFFFFF"/>
                        </a:solidFill>
                        <a:ln>
                          <a:noFill/>
                        </a:ln>
                      </wps:spPr>
                      <wps:txbx>
                        <w:txbxContent>
                          <w:p>
                            <w:r>
                              <w:rPr>
                                <w:rFonts w:hint="eastAsia"/>
                              </w:rPr>
                              <w:t>The rating of I</w:t>
                            </w:r>
                            <w:r>
                              <w:t>’</w:t>
                            </w:r>
                            <w:r>
                              <w:rPr>
                                <w:rFonts w:hint="eastAsia"/>
                              </w:rPr>
                              <w:t>m Singer</w:t>
                            </w:r>
                          </w:p>
                        </w:txbxContent>
                      </wps:txbx>
                      <wps:bodyPr rot="0" vert="horz" wrap="square" lIns="91440" tIns="45720" rIns="91440" bIns="45720" anchor="t" anchorCtr="0" upright="1">
                        <a:noAutofit/>
                      </wps:bodyPr>
                    </wps:wsp>
                  </a:graphicData>
                </a:graphic>
              </wp:anchor>
            </w:drawing>
          </mc:Choice>
          <mc:Fallback>
            <w:pict>
              <v:shape id="_x0000_s1026" o:spid="_x0000_s1026" o:spt="202" type="#_x0000_t202" style="position:absolute;left:0pt;margin-left:168.1pt;margin-top:7.6pt;height:25pt;width:151.25pt;z-index:251659264;mso-width-relative:page;mso-height-relative:page;" fillcolor="#FFFFFF" filled="t" stroked="f" coordsize="21600,21600" o:gfxdata="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04CFp1gAAAAkBAAAPAAAAAAAAAAEAIAAAACIAAABkcnMvZG93bnJldi54bWxQSwECFAAU&#10;AAAACACHTuJALll1HSwCAABABAAADgAAAAAAAAABACAAAAAlAQAAZHJzL2Uyb0RvYy54bWxQSwUG&#10;AAAAAAYABgBZAQAAwwUAAAAA&#10;">
                <v:fill on="t" focussize="0,0"/>
                <v:stroke on="f"/>
                <v:imagedata o:title=""/>
                <o:lock v:ext="edit" aspectratio="f"/>
                <v:textbox>
                  <w:txbxContent>
                    <w:p>
                      <w:r>
                        <w:rPr>
                          <w:rFonts w:hint="eastAsia"/>
                        </w:rPr>
                        <w:t>The rating of I</w:t>
                      </w:r>
                      <w:r>
                        <w:t>’</w:t>
                      </w:r>
                      <w:r>
                        <w:rPr>
                          <w:rFonts w:hint="eastAsia"/>
                        </w:rPr>
                        <w:t>m Singer</w:t>
                      </w:r>
                    </w:p>
                  </w:txbxContent>
                </v:textbox>
              </v:shape>
            </w:pict>
          </mc:Fallback>
        </mc:AlternateContent>
      </w:r>
      <w:r>
        <w:rPr>
          <w:rFonts w:ascii="Arial" w:hAnsi="Arial" w:cs="Arial"/>
          <w:b/>
          <w:bCs/>
          <w:color w:val="333333"/>
          <w:sz w:val="22"/>
          <w:shd w:val="clear" w:color="auto" w:fill="FFFFFF"/>
        </w:rPr>
        <w:drawing>
          <wp:inline distT="0" distB="0" distL="0" distR="0">
            <wp:extent cx="5219700" cy="2186940"/>
            <wp:effectExtent l="0" t="0" r="0" b="3810"/>
            <wp:docPr id="13" name="图片 13" descr="untit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untitl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219700" cy="2186940"/>
                    </a:xfrm>
                    <a:prstGeom prst="rect">
                      <a:avLst/>
                    </a:prstGeom>
                    <a:noFill/>
                    <a:ln>
                      <a:noFill/>
                    </a:ln>
                    <a:effectLst/>
                  </pic:spPr>
                </pic:pic>
              </a:graphicData>
            </a:graphic>
          </wp:inline>
        </w:drawing>
      </w:r>
    </w:p>
    <w:p>
      <w:pPr>
        <w:widowControl/>
        <w:spacing w:line="360" w:lineRule="auto"/>
        <w:jc w:val="left"/>
        <w:rPr>
          <w:rFonts w:ascii="Arial" w:hAnsi="Arial" w:cs="Arial"/>
          <w:b/>
          <w:bCs/>
          <w:sz w:val="22"/>
        </w:rPr>
      </w:pPr>
      <w:r>
        <w:rPr>
          <w:rFonts w:ascii="Arial" w:hAnsi="Arial" w:cs="Arial"/>
          <w:b/>
          <w:bCs/>
          <w:sz w:val="22"/>
        </w:rPr>
        <w:br w:type="page"/>
      </w:r>
    </w:p>
    <w:p>
      <w:pPr>
        <w:pStyle w:val="3"/>
        <w:spacing w:before="156" w:beforeLines="50" w:after="156" w:afterLines="50" w:line="360" w:lineRule="auto"/>
        <w:rPr>
          <w:rFonts w:ascii="Arial" w:hAnsi="Arial" w:cs="Arial"/>
          <w:sz w:val="28"/>
          <w:szCs w:val="28"/>
        </w:rPr>
      </w:pPr>
      <w:bookmarkStart w:id="125" w:name="_Toc25851"/>
      <w:bookmarkStart w:id="126" w:name="_Toc103303795"/>
      <w:bookmarkStart w:id="127" w:name="_Toc103303705"/>
      <w:r>
        <w:rPr>
          <w:rFonts w:ascii="Arial" w:hAnsi="Arial" w:cs="Arial"/>
          <w:sz w:val="28"/>
          <w:szCs w:val="28"/>
        </w:rPr>
        <w:t>Appendix 2</w:t>
      </w:r>
      <w:r>
        <w:rPr>
          <w:rFonts w:hint="eastAsia" w:ascii="Arial" w:hAnsi="Arial" w:cs="Arial"/>
          <w:sz w:val="28"/>
          <w:szCs w:val="28"/>
        </w:rPr>
        <w:t>:</w:t>
      </w:r>
      <w:r>
        <w:rPr>
          <w:rFonts w:ascii="Arial" w:hAnsi="Arial" w:cs="Arial"/>
          <w:sz w:val="28"/>
          <w:szCs w:val="28"/>
        </w:rPr>
        <w:t xml:space="preserve"> Questionnaire</w:t>
      </w:r>
      <w:bookmarkEnd w:id="125"/>
      <w:bookmarkEnd w:id="126"/>
      <w:bookmarkEnd w:id="127"/>
    </w:p>
    <w:p>
      <w:pPr>
        <w:spacing w:before="156" w:beforeLines="50" w:after="156" w:afterLines="50" w:line="360" w:lineRule="auto"/>
        <w:rPr>
          <w:rFonts w:ascii="Arial" w:hAnsi="Arial" w:cs="Arial"/>
          <w:sz w:val="24"/>
        </w:rPr>
      </w:pPr>
      <w:r>
        <w:rPr>
          <w:rFonts w:ascii="Arial" w:hAnsi="Arial" w:cs="Arial"/>
          <w:sz w:val="24"/>
        </w:rPr>
        <w:t xml:space="preserve">1. How often do you watch variety shows?  </w:t>
      </w:r>
    </w:p>
    <w:p>
      <w:pPr>
        <w:spacing w:before="156" w:beforeLines="50" w:after="156" w:afterLines="50" w:line="360" w:lineRule="auto"/>
        <w:rPr>
          <w:rFonts w:ascii="Arial" w:hAnsi="Arial" w:cs="Arial"/>
        </w:rPr>
      </w:pPr>
    </w:p>
    <w:p>
      <w:pPr>
        <w:spacing w:before="156" w:beforeLines="50" w:after="156" w:afterLines="50" w:line="360" w:lineRule="auto"/>
        <w:jc w:val="center"/>
        <w:rPr>
          <w:rFonts w:ascii="Arial" w:hAnsi="Arial" w:cs="Arial"/>
        </w:rPr>
      </w:pPr>
      <w:r>
        <w:rPr>
          <w:rFonts w:ascii="Arial" w:hAnsi="Arial" w:cs="Arial"/>
        </w:rPr>
        <w:drawing>
          <wp:inline distT="0" distB="0" distL="0" distR="0">
            <wp:extent cx="5715000" cy="2857500"/>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715000" cy="2857500"/>
                    </a:xfrm>
                    <a:prstGeom prst="rect">
                      <a:avLst/>
                    </a:prstGeom>
                    <a:noFill/>
                    <a:ln>
                      <a:noFill/>
                    </a:ln>
                  </pic:spPr>
                </pic:pic>
              </a:graphicData>
            </a:graphic>
          </wp:inline>
        </w:drawing>
      </w:r>
    </w:p>
    <w:p>
      <w:pPr>
        <w:spacing w:before="156" w:beforeLines="50" w:after="156" w:afterLines="50" w:line="360" w:lineRule="auto"/>
        <w:jc w:val="left"/>
        <w:rPr>
          <w:rFonts w:ascii="Arial" w:hAnsi="Arial" w:cs="Arial"/>
          <w:sz w:val="24"/>
        </w:rPr>
      </w:pPr>
      <w:r>
        <w:rPr>
          <w:rFonts w:ascii="Arial" w:hAnsi="Arial" w:cs="Arial"/>
          <w:sz w:val="24"/>
        </w:rPr>
        <w:t xml:space="preserve">2. Have you watched the Hunan TV variety show [I am a singer]?  </w:t>
      </w:r>
    </w:p>
    <w:p>
      <w:pPr>
        <w:spacing w:before="156" w:beforeLines="50" w:after="156" w:afterLines="50" w:line="360" w:lineRule="auto"/>
        <w:jc w:val="left"/>
        <w:rPr>
          <w:rFonts w:ascii="Arial" w:hAnsi="Arial" w:cs="Arial"/>
        </w:rPr>
      </w:pPr>
    </w:p>
    <w:p>
      <w:pPr>
        <w:spacing w:before="156" w:beforeLines="50" w:after="156" w:afterLines="50" w:line="360" w:lineRule="auto"/>
        <w:jc w:val="center"/>
        <w:rPr>
          <w:rFonts w:ascii="Arial" w:hAnsi="Arial" w:cs="Arial"/>
        </w:rPr>
      </w:pPr>
      <w:r>
        <w:rPr>
          <w:rFonts w:ascii="Arial" w:hAnsi="Arial" w:cs="Arial"/>
        </w:rPr>
        <w:drawing>
          <wp:inline distT="0" distB="0" distL="0" distR="0">
            <wp:extent cx="5715000" cy="2857500"/>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715000" cy="2857500"/>
                    </a:xfrm>
                    <a:prstGeom prst="rect">
                      <a:avLst/>
                    </a:prstGeom>
                    <a:noFill/>
                    <a:ln>
                      <a:noFill/>
                    </a:ln>
                  </pic:spPr>
                </pic:pic>
              </a:graphicData>
            </a:graphic>
          </wp:inline>
        </w:drawing>
      </w:r>
    </w:p>
    <w:p>
      <w:pPr>
        <w:spacing w:before="156" w:beforeLines="50" w:after="156" w:afterLines="50" w:line="360" w:lineRule="auto"/>
        <w:jc w:val="left"/>
        <w:rPr>
          <w:rFonts w:ascii="Arial" w:hAnsi="Arial" w:cs="Arial"/>
        </w:rPr>
      </w:pPr>
    </w:p>
    <w:p>
      <w:pPr>
        <w:spacing w:before="156" w:beforeLines="50" w:after="156" w:afterLines="50" w:line="360" w:lineRule="auto"/>
        <w:jc w:val="left"/>
        <w:rPr>
          <w:rFonts w:ascii="Arial" w:hAnsi="Arial" w:cs="Arial"/>
        </w:rPr>
      </w:pPr>
    </w:p>
    <w:p>
      <w:pPr>
        <w:spacing w:before="156" w:beforeLines="50" w:after="156" w:afterLines="50" w:line="360" w:lineRule="auto"/>
        <w:jc w:val="left"/>
        <w:rPr>
          <w:rFonts w:ascii="Arial" w:hAnsi="Arial" w:cs="Arial"/>
        </w:rPr>
      </w:pPr>
      <w:r>
        <w:rPr>
          <w:rFonts w:ascii="Arial" w:hAnsi="Arial" w:cs="Arial"/>
          <w:sz w:val="24"/>
        </w:rPr>
        <w:t xml:space="preserve">3. Do you like [I am a singer] this show? </w:t>
      </w:r>
    </w:p>
    <w:p>
      <w:pPr>
        <w:spacing w:before="156" w:beforeLines="50" w:after="156" w:afterLines="50" w:line="360" w:lineRule="auto"/>
        <w:jc w:val="left"/>
        <w:rPr>
          <w:rFonts w:ascii="Arial" w:hAnsi="Arial" w:cs="Arial"/>
          <w:sz w:val="24"/>
        </w:rPr>
      </w:pPr>
    </w:p>
    <w:p>
      <w:pPr>
        <w:spacing w:before="156" w:beforeLines="50" w:after="156" w:afterLines="50" w:line="360" w:lineRule="auto"/>
        <w:jc w:val="left"/>
        <w:rPr>
          <w:rFonts w:ascii="Arial" w:hAnsi="Arial" w:cs="Arial"/>
        </w:rPr>
      </w:pPr>
    </w:p>
    <w:p>
      <w:pPr>
        <w:spacing w:before="156" w:beforeLines="50" w:after="156" w:afterLines="50" w:line="360" w:lineRule="auto"/>
        <w:jc w:val="center"/>
        <w:rPr>
          <w:rFonts w:ascii="Arial" w:hAnsi="Arial" w:cs="Arial"/>
        </w:rPr>
      </w:pPr>
      <w:r>
        <w:rPr>
          <w:rFonts w:ascii="Arial" w:hAnsi="Arial" w:cs="Arial"/>
        </w:rPr>
        <w:drawing>
          <wp:inline distT="0" distB="0" distL="0" distR="0">
            <wp:extent cx="5715000" cy="285750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5715000" cy="2857500"/>
                    </a:xfrm>
                    <a:prstGeom prst="rect">
                      <a:avLst/>
                    </a:prstGeom>
                    <a:noFill/>
                    <a:ln>
                      <a:noFill/>
                    </a:ln>
                  </pic:spPr>
                </pic:pic>
              </a:graphicData>
            </a:graphic>
          </wp:inline>
        </w:drawing>
      </w:r>
    </w:p>
    <w:p>
      <w:pPr>
        <w:spacing w:before="156" w:beforeLines="50" w:after="156" w:afterLines="50" w:line="360" w:lineRule="auto"/>
        <w:jc w:val="left"/>
        <w:rPr>
          <w:rFonts w:ascii="Arial" w:hAnsi="Arial" w:cs="Arial"/>
          <w:sz w:val="24"/>
        </w:rPr>
      </w:pPr>
      <w:r>
        <w:rPr>
          <w:rFonts w:ascii="Arial" w:hAnsi="Arial" w:cs="Arial"/>
          <w:sz w:val="24"/>
        </w:rPr>
        <w:t xml:space="preserve">4. How do you feel about the advertising of [I am a singer]?   </w:t>
      </w:r>
    </w:p>
    <w:p>
      <w:pPr>
        <w:spacing w:before="156" w:beforeLines="50" w:after="156" w:afterLines="50" w:line="360" w:lineRule="auto"/>
        <w:jc w:val="left"/>
        <w:rPr>
          <w:rFonts w:ascii="Arial" w:hAnsi="Arial" w:cs="Arial"/>
        </w:rPr>
      </w:pPr>
    </w:p>
    <w:p>
      <w:pPr>
        <w:spacing w:before="156" w:beforeLines="50" w:after="156" w:afterLines="50" w:line="360" w:lineRule="auto"/>
        <w:jc w:val="center"/>
        <w:rPr>
          <w:rFonts w:ascii="Arial" w:hAnsi="Arial" w:cs="Arial"/>
        </w:rPr>
      </w:pPr>
      <w:r>
        <w:rPr>
          <w:rFonts w:ascii="Arial" w:hAnsi="Arial" w:cs="Arial"/>
        </w:rPr>
        <w:drawing>
          <wp:inline distT="0" distB="0" distL="0" distR="0">
            <wp:extent cx="5715000" cy="285750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5715000" cy="2857500"/>
                    </a:xfrm>
                    <a:prstGeom prst="rect">
                      <a:avLst/>
                    </a:prstGeom>
                    <a:noFill/>
                    <a:ln>
                      <a:noFill/>
                    </a:ln>
                  </pic:spPr>
                </pic:pic>
              </a:graphicData>
            </a:graphic>
          </wp:inline>
        </w:drawing>
      </w:r>
    </w:p>
    <w:p>
      <w:pPr>
        <w:spacing w:before="156" w:beforeLines="50" w:after="156" w:afterLines="50" w:line="360" w:lineRule="auto"/>
        <w:jc w:val="left"/>
        <w:rPr>
          <w:rFonts w:ascii="Arial" w:hAnsi="Arial" w:cs="Arial"/>
        </w:rPr>
      </w:pPr>
    </w:p>
    <w:p>
      <w:pPr>
        <w:spacing w:before="156" w:beforeLines="50" w:after="156" w:afterLines="50" w:line="360" w:lineRule="auto"/>
        <w:jc w:val="left"/>
        <w:rPr>
          <w:rFonts w:ascii="Arial" w:hAnsi="Arial" w:cs="Arial"/>
        </w:rPr>
      </w:pPr>
    </w:p>
    <w:p>
      <w:pPr>
        <w:spacing w:before="156" w:beforeLines="50" w:after="156" w:afterLines="50" w:line="360" w:lineRule="auto"/>
        <w:jc w:val="left"/>
        <w:rPr>
          <w:rFonts w:ascii="Arial" w:hAnsi="Arial" w:cs="Arial"/>
          <w:sz w:val="24"/>
        </w:rPr>
      </w:pPr>
      <w:r>
        <w:rPr>
          <w:rFonts w:ascii="Arial" w:hAnsi="Arial" w:cs="Arial"/>
          <w:sz w:val="24"/>
        </w:rPr>
        <w:t xml:space="preserve">5. What do you think of the effect of [I am a singer] official Weibo promotion strategy? </w:t>
      </w:r>
    </w:p>
    <w:p>
      <w:pPr>
        <w:spacing w:before="156" w:beforeLines="50" w:after="156" w:afterLines="50" w:line="360" w:lineRule="auto"/>
        <w:jc w:val="left"/>
        <w:rPr>
          <w:rFonts w:ascii="Arial" w:hAnsi="Arial" w:cs="Arial"/>
        </w:rPr>
      </w:pPr>
    </w:p>
    <w:p>
      <w:pPr>
        <w:spacing w:before="156" w:beforeLines="50" w:after="156" w:afterLines="50" w:line="360" w:lineRule="auto"/>
        <w:jc w:val="center"/>
        <w:rPr>
          <w:rFonts w:ascii="Arial" w:hAnsi="Arial" w:cs="Arial"/>
        </w:rPr>
      </w:pPr>
      <w:r>
        <w:rPr>
          <w:rFonts w:ascii="Arial" w:hAnsi="Arial" w:cs="Arial"/>
        </w:rPr>
        <w:drawing>
          <wp:inline distT="0" distB="0" distL="0" distR="0">
            <wp:extent cx="5715000" cy="285750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5715000" cy="2857500"/>
                    </a:xfrm>
                    <a:prstGeom prst="rect">
                      <a:avLst/>
                    </a:prstGeom>
                    <a:noFill/>
                    <a:ln>
                      <a:noFill/>
                    </a:ln>
                  </pic:spPr>
                </pic:pic>
              </a:graphicData>
            </a:graphic>
          </wp:inline>
        </w:drawing>
      </w:r>
    </w:p>
    <w:p>
      <w:pPr>
        <w:spacing w:before="156" w:beforeLines="50" w:after="156" w:afterLines="50" w:line="360" w:lineRule="auto"/>
        <w:jc w:val="left"/>
        <w:rPr>
          <w:rFonts w:ascii="Arial" w:hAnsi="Arial" w:cs="Arial"/>
        </w:rPr>
      </w:pPr>
      <w:r>
        <w:rPr>
          <w:rFonts w:ascii="Arial" w:hAnsi="Arial" w:cs="Arial"/>
          <w:sz w:val="24"/>
        </w:rPr>
        <w:t xml:space="preserve">6.Do you think the lineup of singers in the first two issues is in line with the phrase "I am a singer"? </w:t>
      </w:r>
    </w:p>
    <w:p>
      <w:pPr>
        <w:spacing w:before="156" w:beforeLines="50" w:after="156" w:afterLines="50" w:line="360" w:lineRule="auto"/>
        <w:jc w:val="left"/>
        <w:rPr>
          <w:rFonts w:ascii="Arial" w:hAnsi="Arial" w:cs="Arial"/>
          <w:sz w:val="24"/>
        </w:rPr>
      </w:pPr>
    </w:p>
    <w:p>
      <w:pPr>
        <w:spacing w:before="156" w:beforeLines="50" w:after="156" w:afterLines="50" w:line="360" w:lineRule="auto"/>
        <w:jc w:val="left"/>
        <w:rPr>
          <w:rFonts w:ascii="Arial" w:hAnsi="Arial" w:cs="Arial"/>
        </w:rPr>
      </w:pPr>
    </w:p>
    <w:p>
      <w:pPr>
        <w:spacing w:before="156" w:beforeLines="50" w:after="156" w:afterLines="50" w:line="360" w:lineRule="auto"/>
        <w:jc w:val="center"/>
        <w:rPr>
          <w:rFonts w:ascii="Arial" w:hAnsi="Arial" w:cs="Arial"/>
        </w:rPr>
      </w:pPr>
      <w:r>
        <w:rPr>
          <w:rFonts w:ascii="Arial" w:hAnsi="Arial" w:cs="Arial"/>
        </w:rPr>
        <w:drawing>
          <wp:inline distT="0" distB="0" distL="0" distR="0">
            <wp:extent cx="5715000" cy="285750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5715000" cy="2857500"/>
                    </a:xfrm>
                    <a:prstGeom prst="rect">
                      <a:avLst/>
                    </a:prstGeom>
                    <a:noFill/>
                    <a:ln>
                      <a:noFill/>
                    </a:ln>
                  </pic:spPr>
                </pic:pic>
              </a:graphicData>
            </a:graphic>
          </wp:inline>
        </w:drawing>
      </w:r>
    </w:p>
    <w:p>
      <w:pPr>
        <w:spacing w:before="156" w:beforeLines="50" w:after="156" w:afterLines="50" w:line="360" w:lineRule="auto"/>
        <w:jc w:val="left"/>
        <w:rPr>
          <w:rFonts w:ascii="Arial" w:hAnsi="Arial" w:cs="Arial"/>
        </w:rPr>
      </w:pPr>
    </w:p>
    <w:p>
      <w:pPr>
        <w:spacing w:before="156" w:beforeLines="50" w:after="156" w:afterLines="50" w:line="360" w:lineRule="auto"/>
        <w:jc w:val="left"/>
        <w:rPr>
          <w:rFonts w:ascii="Arial" w:hAnsi="Arial" w:cs="Arial"/>
        </w:rPr>
      </w:pPr>
    </w:p>
    <w:p>
      <w:pPr>
        <w:spacing w:before="156" w:beforeLines="50" w:after="156" w:afterLines="50" w:line="360" w:lineRule="auto"/>
        <w:jc w:val="left"/>
        <w:rPr>
          <w:rFonts w:ascii="Arial" w:hAnsi="Arial" w:cs="Arial"/>
        </w:rPr>
      </w:pPr>
      <w:r>
        <w:rPr>
          <w:rFonts w:ascii="Arial" w:hAnsi="Arial" w:cs="Arial"/>
          <w:sz w:val="24"/>
        </w:rPr>
        <w:t xml:space="preserve">7. Does your family like "I am a singer"?  </w:t>
      </w:r>
    </w:p>
    <w:p>
      <w:pPr>
        <w:spacing w:before="156" w:beforeLines="50" w:after="156" w:afterLines="50" w:line="360" w:lineRule="auto"/>
        <w:jc w:val="left"/>
        <w:rPr>
          <w:rFonts w:ascii="Arial" w:hAnsi="Arial" w:cs="Arial"/>
          <w:sz w:val="24"/>
        </w:rPr>
      </w:pPr>
    </w:p>
    <w:p>
      <w:pPr>
        <w:spacing w:before="156" w:beforeLines="50" w:after="156" w:afterLines="50" w:line="360" w:lineRule="auto"/>
        <w:jc w:val="left"/>
        <w:rPr>
          <w:rFonts w:ascii="Arial" w:hAnsi="Arial" w:cs="Arial"/>
        </w:rPr>
      </w:pPr>
    </w:p>
    <w:p>
      <w:pPr>
        <w:spacing w:before="156" w:beforeLines="50" w:after="156" w:afterLines="50" w:line="360" w:lineRule="auto"/>
        <w:jc w:val="center"/>
        <w:rPr>
          <w:rFonts w:ascii="Arial" w:hAnsi="Arial" w:cs="Arial"/>
        </w:rPr>
      </w:pPr>
      <w:r>
        <w:rPr>
          <w:rFonts w:ascii="Arial" w:hAnsi="Arial" w:cs="Arial"/>
        </w:rPr>
        <w:drawing>
          <wp:inline distT="0" distB="0" distL="0" distR="0">
            <wp:extent cx="5715000" cy="285750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5715000" cy="2857500"/>
                    </a:xfrm>
                    <a:prstGeom prst="rect">
                      <a:avLst/>
                    </a:prstGeom>
                    <a:noFill/>
                    <a:ln>
                      <a:noFill/>
                    </a:ln>
                  </pic:spPr>
                </pic:pic>
              </a:graphicData>
            </a:graphic>
          </wp:inline>
        </w:drawing>
      </w:r>
    </w:p>
    <w:p>
      <w:pPr>
        <w:spacing w:before="156" w:beforeLines="50" w:after="156" w:afterLines="50" w:line="360" w:lineRule="auto"/>
        <w:jc w:val="left"/>
        <w:rPr>
          <w:rFonts w:ascii="Arial" w:hAnsi="Arial" w:cs="Arial"/>
        </w:rPr>
      </w:pPr>
      <w:r>
        <w:rPr>
          <w:rFonts w:ascii="Arial" w:hAnsi="Arial" w:cs="Arial"/>
          <w:sz w:val="24"/>
        </w:rPr>
        <w:t xml:space="preserve">8. How did you learn about the variety show "I Am a Singer"?  </w:t>
      </w:r>
    </w:p>
    <w:p>
      <w:pPr>
        <w:spacing w:before="156" w:beforeLines="50" w:after="156" w:afterLines="50" w:line="360" w:lineRule="auto"/>
        <w:jc w:val="left"/>
        <w:rPr>
          <w:rFonts w:ascii="Arial" w:hAnsi="Arial" w:cs="Arial"/>
          <w:sz w:val="24"/>
        </w:rPr>
      </w:pPr>
    </w:p>
    <w:p>
      <w:pPr>
        <w:spacing w:before="156" w:beforeLines="50" w:after="156" w:afterLines="50" w:line="360" w:lineRule="auto"/>
        <w:jc w:val="left"/>
        <w:rPr>
          <w:rFonts w:ascii="Arial" w:hAnsi="Arial" w:cs="Arial"/>
        </w:rPr>
      </w:pPr>
    </w:p>
    <w:p>
      <w:pPr>
        <w:spacing w:before="156" w:beforeLines="50" w:after="156" w:afterLines="50" w:line="360" w:lineRule="auto"/>
        <w:jc w:val="center"/>
        <w:rPr>
          <w:rFonts w:ascii="Arial" w:hAnsi="Arial" w:cs="Arial"/>
        </w:rPr>
      </w:pPr>
      <w:r>
        <w:rPr>
          <w:rFonts w:ascii="Arial" w:hAnsi="Arial" w:cs="Arial"/>
        </w:rPr>
        <w:drawing>
          <wp:inline distT="0" distB="0" distL="0" distR="0">
            <wp:extent cx="5715000" cy="285750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5715000" cy="2857500"/>
                    </a:xfrm>
                    <a:prstGeom prst="rect">
                      <a:avLst/>
                    </a:prstGeom>
                    <a:noFill/>
                    <a:ln>
                      <a:noFill/>
                    </a:ln>
                  </pic:spPr>
                </pic:pic>
              </a:graphicData>
            </a:graphic>
          </wp:inline>
        </w:drawing>
      </w:r>
    </w:p>
    <w:p>
      <w:pPr>
        <w:spacing w:before="156" w:beforeLines="50" w:after="156" w:afterLines="50" w:line="360" w:lineRule="auto"/>
        <w:jc w:val="left"/>
        <w:rPr>
          <w:rFonts w:ascii="Arial" w:hAnsi="Arial" w:cs="Arial"/>
        </w:rPr>
      </w:pPr>
    </w:p>
    <w:p>
      <w:pPr>
        <w:spacing w:before="156" w:beforeLines="50" w:after="156" w:afterLines="50" w:line="360" w:lineRule="auto"/>
        <w:jc w:val="left"/>
        <w:rPr>
          <w:rFonts w:ascii="Arial" w:hAnsi="Arial" w:cs="Arial"/>
        </w:rPr>
      </w:pPr>
    </w:p>
    <w:p>
      <w:pPr>
        <w:spacing w:before="156" w:beforeLines="50" w:after="156" w:afterLines="50" w:line="360" w:lineRule="auto"/>
        <w:jc w:val="left"/>
        <w:rPr>
          <w:rFonts w:ascii="Arial" w:hAnsi="Arial" w:cs="Arial"/>
        </w:rPr>
      </w:pPr>
      <w:r>
        <w:rPr>
          <w:rFonts w:ascii="Arial" w:hAnsi="Arial" w:cs="Arial"/>
          <w:sz w:val="24"/>
        </w:rPr>
        <w:t xml:space="preserve">9. You have followed several issues of "I am a singer"  </w:t>
      </w:r>
    </w:p>
    <w:p>
      <w:pPr>
        <w:spacing w:before="156" w:beforeLines="50" w:after="156" w:afterLines="50" w:line="360" w:lineRule="auto"/>
        <w:jc w:val="left"/>
        <w:rPr>
          <w:rFonts w:ascii="Arial" w:hAnsi="Arial" w:cs="Arial"/>
          <w:sz w:val="24"/>
        </w:rPr>
      </w:pPr>
    </w:p>
    <w:p>
      <w:pPr>
        <w:spacing w:before="156" w:beforeLines="50" w:after="156" w:afterLines="50" w:line="360" w:lineRule="auto"/>
        <w:jc w:val="left"/>
        <w:rPr>
          <w:rFonts w:ascii="Arial" w:hAnsi="Arial" w:cs="Arial"/>
        </w:rPr>
      </w:pPr>
    </w:p>
    <w:p>
      <w:pPr>
        <w:spacing w:before="156" w:beforeLines="50" w:after="156" w:afterLines="50" w:line="360" w:lineRule="auto"/>
        <w:jc w:val="center"/>
        <w:rPr>
          <w:rFonts w:ascii="Arial" w:hAnsi="Arial" w:cs="Arial"/>
        </w:rPr>
      </w:pPr>
      <w:r>
        <w:rPr>
          <w:rFonts w:ascii="Arial" w:hAnsi="Arial" w:cs="Arial"/>
        </w:rPr>
        <w:drawing>
          <wp:inline distT="0" distB="0" distL="0" distR="0">
            <wp:extent cx="5715000" cy="285750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5715000" cy="2857500"/>
                    </a:xfrm>
                    <a:prstGeom prst="rect">
                      <a:avLst/>
                    </a:prstGeom>
                    <a:noFill/>
                    <a:ln>
                      <a:noFill/>
                    </a:ln>
                  </pic:spPr>
                </pic:pic>
              </a:graphicData>
            </a:graphic>
          </wp:inline>
        </w:drawing>
      </w:r>
    </w:p>
    <w:p>
      <w:pPr>
        <w:spacing w:before="156" w:beforeLines="50" w:after="156" w:afterLines="50" w:line="360" w:lineRule="auto"/>
        <w:jc w:val="left"/>
        <w:rPr>
          <w:rFonts w:ascii="Arial" w:hAnsi="Arial" w:cs="Arial"/>
          <w:sz w:val="24"/>
        </w:rPr>
      </w:pPr>
      <w:r>
        <w:rPr>
          <w:rFonts w:ascii="Arial" w:hAnsi="Arial" w:cs="Arial"/>
          <w:sz w:val="24"/>
        </w:rPr>
        <w:t xml:space="preserve">10. Do you like to hear new songs or classic old songs in "I am a singer"? </w:t>
      </w:r>
    </w:p>
    <w:p>
      <w:pPr>
        <w:spacing w:before="156" w:beforeLines="50" w:after="156" w:afterLines="50" w:line="360" w:lineRule="auto"/>
        <w:jc w:val="left"/>
        <w:rPr>
          <w:rFonts w:ascii="Arial" w:hAnsi="Arial" w:cs="Arial"/>
        </w:rPr>
      </w:pPr>
    </w:p>
    <w:p>
      <w:pPr>
        <w:spacing w:before="156" w:beforeLines="50" w:after="156" w:afterLines="50" w:line="360" w:lineRule="auto"/>
        <w:jc w:val="center"/>
        <w:rPr>
          <w:rFonts w:ascii="Arial" w:hAnsi="Arial" w:cs="Arial"/>
        </w:rPr>
      </w:pPr>
      <w:r>
        <w:rPr>
          <w:rFonts w:ascii="Arial" w:hAnsi="Arial" w:cs="Arial"/>
        </w:rPr>
        <w:drawing>
          <wp:inline distT="0" distB="0" distL="0" distR="0">
            <wp:extent cx="5715000" cy="285750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a:xfrm>
                      <a:off x="0" y="0"/>
                      <a:ext cx="5715000" cy="2857500"/>
                    </a:xfrm>
                    <a:prstGeom prst="rect">
                      <a:avLst/>
                    </a:prstGeom>
                    <a:noFill/>
                    <a:ln>
                      <a:noFill/>
                    </a:ln>
                  </pic:spPr>
                </pic:pic>
              </a:graphicData>
            </a:graphic>
          </wp:inline>
        </w:drawing>
      </w:r>
    </w:p>
    <w:p>
      <w:pPr>
        <w:spacing w:before="156" w:beforeLines="50" w:after="156" w:afterLines="50" w:line="360" w:lineRule="auto"/>
        <w:jc w:val="left"/>
        <w:rPr>
          <w:rFonts w:ascii="Arial" w:hAnsi="Arial" w:cs="Arial"/>
        </w:rPr>
      </w:pPr>
    </w:p>
    <w:p>
      <w:pPr>
        <w:spacing w:before="156" w:beforeLines="50" w:after="156" w:afterLines="50" w:line="360" w:lineRule="auto"/>
        <w:jc w:val="left"/>
        <w:rPr>
          <w:rFonts w:ascii="Arial" w:hAnsi="Arial" w:cs="Arial"/>
          <w:sz w:val="24"/>
        </w:rPr>
      </w:pPr>
      <w:r>
        <w:rPr>
          <w:rFonts w:ascii="Arial" w:hAnsi="Arial" w:cs="Arial"/>
          <w:sz w:val="24"/>
        </w:rPr>
        <w:t xml:space="preserve">11. Gender  </w:t>
      </w:r>
    </w:p>
    <w:p>
      <w:pPr>
        <w:spacing w:before="156" w:beforeLines="50" w:after="156" w:afterLines="50" w:line="360" w:lineRule="auto"/>
        <w:jc w:val="left"/>
        <w:rPr>
          <w:rFonts w:ascii="Arial" w:hAnsi="Arial" w:cs="Arial"/>
        </w:rPr>
      </w:pPr>
    </w:p>
    <w:p>
      <w:pPr>
        <w:spacing w:before="156" w:beforeLines="50" w:after="156" w:afterLines="50" w:line="360" w:lineRule="auto"/>
        <w:jc w:val="center"/>
        <w:rPr>
          <w:rFonts w:ascii="Arial" w:hAnsi="Arial" w:cs="Arial"/>
        </w:rPr>
      </w:pPr>
      <w:r>
        <w:rPr>
          <w:rFonts w:ascii="Arial" w:hAnsi="Arial" w:cs="Arial"/>
        </w:rPr>
        <w:drawing>
          <wp:inline distT="0" distB="0" distL="0" distR="0">
            <wp:extent cx="5715000" cy="28575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a:xfrm>
                      <a:off x="0" y="0"/>
                      <a:ext cx="5715000" cy="2857500"/>
                    </a:xfrm>
                    <a:prstGeom prst="rect">
                      <a:avLst/>
                    </a:prstGeom>
                    <a:noFill/>
                    <a:ln>
                      <a:noFill/>
                    </a:ln>
                  </pic:spPr>
                </pic:pic>
              </a:graphicData>
            </a:graphic>
          </wp:inline>
        </w:drawing>
      </w:r>
    </w:p>
    <w:p>
      <w:pPr>
        <w:spacing w:before="156" w:beforeLines="50" w:after="156" w:afterLines="50" w:line="360" w:lineRule="auto"/>
        <w:jc w:val="left"/>
        <w:rPr>
          <w:rFonts w:ascii="Arial" w:hAnsi="Arial" w:cs="Arial"/>
          <w:sz w:val="24"/>
        </w:rPr>
      </w:pPr>
      <w:r>
        <w:rPr>
          <w:rFonts w:ascii="Arial" w:hAnsi="Arial" w:cs="Arial"/>
          <w:sz w:val="24"/>
        </w:rPr>
        <w:t xml:space="preserve">12. Age  </w:t>
      </w:r>
    </w:p>
    <w:p>
      <w:pPr>
        <w:spacing w:before="156" w:beforeLines="50" w:after="156" w:afterLines="50" w:line="360" w:lineRule="auto"/>
        <w:jc w:val="left"/>
        <w:rPr>
          <w:rFonts w:ascii="Arial" w:hAnsi="Arial" w:cs="Arial"/>
        </w:rPr>
      </w:pPr>
    </w:p>
    <w:p>
      <w:pPr>
        <w:spacing w:before="156" w:beforeLines="50" w:after="156" w:afterLines="50" w:line="360" w:lineRule="auto"/>
        <w:jc w:val="center"/>
        <w:rPr>
          <w:rFonts w:ascii="Arial" w:hAnsi="Arial" w:cs="Arial"/>
        </w:rPr>
      </w:pPr>
      <w:r>
        <w:rPr>
          <w:rFonts w:ascii="Arial" w:hAnsi="Arial" w:cs="Arial"/>
        </w:rPr>
        <w:drawing>
          <wp:inline distT="0" distB="0" distL="0" distR="0">
            <wp:extent cx="5715000" cy="28575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a:xfrm>
                      <a:off x="0" y="0"/>
                      <a:ext cx="5715000" cy="2857500"/>
                    </a:xfrm>
                    <a:prstGeom prst="rect">
                      <a:avLst/>
                    </a:prstGeom>
                    <a:noFill/>
                    <a:ln>
                      <a:noFill/>
                    </a:ln>
                  </pic:spPr>
                </pic:pic>
              </a:graphicData>
            </a:graphic>
          </wp:inline>
        </w:drawing>
      </w:r>
    </w:p>
    <w:p>
      <w:pPr>
        <w:spacing w:before="156" w:beforeLines="50" w:after="156" w:afterLines="50" w:line="360" w:lineRule="auto"/>
        <w:rPr>
          <w:rFonts w:ascii="Arial" w:hAnsi="Arial" w:eastAsia="Tahoma" w:cs="Arial"/>
          <w:color w:val="000000"/>
          <w:sz w:val="22"/>
          <w:shd w:val="clear" w:color="auto" w:fill="FFFFFF"/>
        </w:rPr>
      </w:pPr>
    </w:p>
    <w:p>
      <w:pPr>
        <w:spacing w:before="156" w:beforeLines="50" w:after="156" w:afterLines="50" w:line="360" w:lineRule="auto"/>
        <w:rPr>
          <w:rFonts w:ascii="Arial" w:hAnsi="Arial" w:eastAsia="Tahoma" w:cs="Arial"/>
          <w:color w:val="000000"/>
          <w:sz w:val="22"/>
          <w:shd w:val="clear" w:color="auto" w:fill="FFFFFF"/>
        </w:rPr>
      </w:pPr>
    </w:p>
    <w:p>
      <w:pPr>
        <w:spacing w:before="156" w:beforeLines="50" w:after="156" w:afterLines="50" w:line="360" w:lineRule="auto"/>
        <w:rPr>
          <w:rFonts w:ascii="Arial" w:hAnsi="Arial" w:eastAsia="Tahoma" w:cs="Arial"/>
          <w:color w:val="000000"/>
          <w:sz w:val="22"/>
          <w:shd w:val="clear" w:color="auto" w:fill="FFFFFF"/>
        </w:rPr>
      </w:pPr>
    </w:p>
    <w:p>
      <w:pPr>
        <w:spacing w:before="156" w:beforeLines="50" w:after="156" w:afterLines="50" w:line="360" w:lineRule="auto"/>
        <w:rPr>
          <w:rFonts w:ascii="Arial" w:hAnsi="Arial" w:eastAsia="Tahoma" w:cs="Arial"/>
          <w:color w:val="000000"/>
          <w:sz w:val="22"/>
          <w:shd w:val="clear" w:color="auto" w:fill="FFFFFF"/>
        </w:rPr>
      </w:pPr>
    </w:p>
    <w:p>
      <w:pPr>
        <w:pStyle w:val="3"/>
        <w:spacing w:before="156" w:beforeLines="50" w:after="156" w:afterLines="50" w:line="360" w:lineRule="auto"/>
        <w:rPr>
          <w:rFonts w:ascii="Arial" w:hAnsi="Arial" w:cs="Arial"/>
          <w:sz w:val="28"/>
          <w:szCs w:val="28"/>
        </w:rPr>
      </w:pPr>
      <w:bookmarkStart w:id="128" w:name="_Toc103303796"/>
      <w:bookmarkStart w:id="129" w:name="_Toc103303706"/>
      <w:bookmarkStart w:id="130" w:name="_Toc17948"/>
      <w:r>
        <w:rPr>
          <w:rFonts w:ascii="Arial" w:hAnsi="Arial" w:cs="Arial"/>
          <w:sz w:val="28"/>
          <w:szCs w:val="28"/>
        </w:rPr>
        <w:t>Appendix 3:”I am a singer” promotion data</w:t>
      </w:r>
      <w:bookmarkEnd w:id="128"/>
      <w:bookmarkEnd w:id="129"/>
      <w:bookmarkEnd w:id="130"/>
    </w:p>
    <w:p>
      <w:pPr>
        <w:spacing w:before="156" w:beforeLines="50" w:after="156" w:afterLines="50" w:line="360" w:lineRule="auto"/>
        <w:rPr>
          <w:rFonts w:ascii="Arial" w:hAnsi="Arial" w:cs="Arial"/>
          <w:sz w:val="22"/>
        </w:rPr>
      </w:pPr>
      <w:r>
        <w:rPr>
          <w:rFonts w:ascii="Arial" w:hAnsi="Arial" w:cs="Arial"/>
          <w:sz w:val="22"/>
        </w:rPr>
        <w:t>1：Internet data analysis</w:t>
      </w:r>
    </w:p>
    <w:tbl>
      <w:tblPr>
        <w:tblStyle w:val="17"/>
        <w:tblW w:w="9378" w:type="dxa"/>
        <w:tblCellSpacing w:w="15" w:type="dxa"/>
        <w:tblInd w:w="68" w:type="dxa"/>
        <w:shd w:val="clear" w:color="auto" w:fill="FFFFFF"/>
        <w:tblLayout w:type="autofit"/>
        <w:tblCellMar>
          <w:top w:w="0" w:type="dxa"/>
          <w:left w:w="0" w:type="dxa"/>
          <w:bottom w:w="0" w:type="dxa"/>
          <w:right w:w="0" w:type="dxa"/>
        </w:tblCellMar>
      </w:tblPr>
      <w:tblGrid>
        <w:gridCol w:w="1513"/>
        <w:gridCol w:w="4351"/>
        <w:gridCol w:w="3514"/>
      </w:tblGrid>
      <w:tr>
        <w:tblPrEx>
          <w:shd w:val="clear" w:color="auto" w:fill="FFFFFF"/>
        </w:tblPrEx>
        <w:trPr>
          <w:trHeight w:val="4912" w:hRule="atLeast"/>
          <w:tblCellSpacing w:w="15" w:type="dxa"/>
        </w:trPr>
        <w:tc>
          <w:tcPr>
            <w:tcW w:w="1468"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tcPr>
          <w:p>
            <w:pPr>
              <w:spacing w:before="156" w:beforeLines="50" w:after="156" w:afterLines="50" w:line="360" w:lineRule="auto"/>
              <w:rPr>
                <w:rFonts w:ascii="Arial" w:hAnsi="Arial" w:cs="Arial"/>
                <w:sz w:val="22"/>
              </w:rPr>
            </w:pPr>
            <w:r>
              <w:rPr>
                <w:rFonts w:ascii="Arial" w:hAnsi="Arial" w:cs="Arial"/>
                <w:sz w:val="22"/>
              </w:rPr>
              <w:t xml:space="preserve">Baidu Index </w:t>
            </w:r>
          </w:p>
        </w:tc>
        <w:tc>
          <w:tcPr>
            <w:tcW w:w="4321"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tcPr>
          <w:p>
            <w:pPr>
              <w:spacing w:before="156" w:beforeLines="50" w:after="156" w:afterLines="50" w:line="360" w:lineRule="auto"/>
              <w:rPr>
                <w:rFonts w:ascii="Arial" w:hAnsi="Arial" w:cs="Arial"/>
                <w:sz w:val="22"/>
              </w:rPr>
            </w:pPr>
            <w:r>
              <w:rPr>
                <w:rFonts w:ascii="Arial" w:hAnsi="Arial" w:cs="Arial"/>
                <w:sz w:val="22"/>
              </w:rPr>
              <w:t xml:space="preserve">Overall trend (PC and mobile)： </w:t>
            </w:r>
          </w:p>
          <w:p>
            <w:pPr>
              <w:spacing w:before="156" w:beforeLines="50" w:after="156" w:afterLines="50" w:line="360" w:lineRule="auto"/>
              <w:rPr>
                <w:rFonts w:ascii="Arial" w:hAnsi="Arial" w:cs="Arial"/>
                <w:sz w:val="22"/>
              </w:rPr>
            </w:pPr>
            <w:r>
              <w:rPr>
                <w:rFonts w:ascii="Arial" w:hAnsi="Arial" w:cs="Arial"/>
                <w:sz w:val="22"/>
              </w:rPr>
              <w:t xml:space="preserve">February 15 Highest index 547430 </w:t>
            </w:r>
          </w:p>
          <w:p>
            <w:pPr>
              <w:spacing w:before="156" w:beforeLines="50" w:after="156" w:afterLines="50" w:line="360" w:lineRule="auto"/>
              <w:rPr>
                <w:rFonts w:ascii="Arial" w:hAnsi="Arial" w:cs="Arial"/>
                <w:sz w:val="22"/>
              </w:rPr>
            </w:pPr>
            <w:r>
              <w:rPr>
                <w:rFonts w:ascii="Arial" w:hAnsi="Arial" w:cs="Arial"/>
                <w:sz w:val="22"/>
              </w:rPr>
              <w:t xml:space="preserve">February 22 Highest index 875429 </w:t>
            </w:r>
          </w:p>
          <w:p>
            <w:pPr>
              <w:spacing w:before="156" w:beforeLines="50" w:after="156" w:afterLines="50" w:line="360" w:lineRule="auto"/>
              <w:rPr>
                <w:rFonts w:ascii="Arial" w:hAnsi="Arial" w:cs="Arial"/>
                <w:sz w:val="22"/>
              </w:rPr>
            </w:pPr>
            <w:r>
              <w:rPr>
                <w:rFonts w:ascii="Arial" w:hAnsi="Arial" w:cs="Arial"/>
                <w:sz w:val="22"/>
              </w:rPr>
              <w:t xml:space="preserve">March 1 Highest index 1077587 </w:t>
            </w:r>
          </w:p>
          <w:p>
            <w:pPr>
              <w:spacing w:before="156" w:beforeLines="50" w:after="156" w:afterLines="50" w:line="360" w:lineRule="auto"/>
              <w:rPr>
                <w:rFonts w:ascii="Arial" w:hAnsi="Arial" w:cs="Arial"/>
                <w:sz w:val="22"/>
              </w:rPr>
            </w:pPr>
            <w:r>
              <w:rPr>
                <w:rFonts w:ascii="Arial" w:hAnsi="Arial" w:cs="Arial"/>
                <w:sz w:val="22"/>
              </w:rPr>
              <w:t xml:space="preserve">March 8 Highest index 1344803    </w:t>
            </w:r>
          </w:p>
          <w:p>
            <w:pPr>
              <w:spacing w:before="156" w:beforeLines="50" w:after="156" w:afterLines="50" w:line="360" w:lineRule="auto"/>
              <w:rPr>
                <w:rFonts w:ascii="Arial" w:hAnsi="Arial" w:cs="Arial"/>
                <w:sz w:val="22"/>
              </w:rPr>
            </w:pPr>
            <w:r>
              <w:rPr>
                <w:rFonts w:ascii="Arial" w:hAnsi="Arial" w:cs="Arial"/>
                <w:sz w:val="22"/>
              </w:rPr>
              <w:t xml:space="preserve">March 15 Highest index 1023920 </w:t>
            </w:r>
          </w:p>
          <w:p>
            <w:pPr>
              <w:spacing w:before="156" w:beforeLines="50" w:after="156" w:afterLines="50" w:line="360" w:lineRule="auto"/>
              <w:rPr>
                <w:rFonts w:ascii="Arial" w:hAnsi="Arial" w:cs="Arial"/>
                <w:sz w:val="22"/>
              </w:rPr>
            </w:pPr>
            <w:r>
              <w:rPr>
                <w:rFonts w:ascii="Arial" w:hAnsi="Arial" w:cs="Arial"/>
                <w:sz w:val="22"/>
              </w:rPr>
              <w:t xml:space="preserve">March 22 Highest index 862877 </w:t>
            </w:r>
          </w:p>
          <w:p>
            <w:pPr>
              <w:spacing w:before="156" w:beforeLines="50" w:after="156" w:afterLines="50" w:line="360" w:lineRule="auto"/>
              <w:rPr>
                <w:rFonts w:ascii="Arial" w:hAnsi="Arial" w:cs="Arial"/>
                <w:sz w:val="22"/>
              </w:rPr>
            </w:pPr>
            <w:r>
              <w:rPr>
                <w:rFonts w:ascii="Arial" w:hAnsi="Arial" w:cs="Arial"/>
                <w:sz w:val="22"/>
              </w:rPr>
              <w:t xml:space="preserve">March 29 Highest index 1114526   </w:t>
            </w:r>
          </w:p>
          <w:p>
            <w:pPr>
              <w:spacing w:before="156" w:beforeLines="50" w:after="156" w:afterLines="50" w:line="360" w:lineRule="auto"/>
              <w:rPr>
                <w:rFonts w:ascii="Arial" w:hAnsi="Arial" w:cs="Arial"/>
                <w:sz w:val="22"/>
              </w:rPr>
            </w:pPr>
            <w:r>
              <w:rPr>
                <w:rFonts w:ascii="Arial" w:hAnsi="Arial" w:cs="Arial"/>
                <w:sz w:val="22"/>
              </w:rPr>
              <w:t xml:space="preserve">April 5 Highest index 1238364  </w:t>
            </w:r>
          </w:p>
          <w:p>
            <w:pPr>
              <w:spacing w:before="156" w:beforeLines="50" w:after="156" w:afterLines="50" w:line="360" w:lineRule="auto"/>
              <w:rPr>
                <w:rFonts w:ascii="Arial" w:hAnsi="Arial" w:cs="Arial"/>
                <w:sz w:val="22"/>
              </w:rPr>
            </w:pPr>
            <w:r>
              <w:rPr>
                <w:rFonts w:ascii="Arial" w:hAnsi="Arial" w:cs="Arial"/>
                <w:sz w:val="22"/>
              </w:rPr>
              <w:t xml:space="preserve">April 12 Highest index 267385 </w:t>
            </w:r>
          </w:p>
        </w:tc>
        <w:tc>
          <w:tcPr>
            <w:tcW w:w="3469"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tcPr>
          <w:p>
            <w:pPr>
              <w:spacing w:before="156" w:beforeLines="50" w:after="156" w:afterLines="50" w:line="360" w:lineRule="auto"/>
              <w:rPr>
                <w:rFonts w:ascii="Arial" w:hAnsi="Arial" w:cs="Arial"/>
                <w:sz w:val="22"/>
              </w:rPr>
            </w:pPr>
            <w:r>
              <w:rPr>
                <w:rFonts w:ascii="Arial" w:hAnsi="Arial" w:cs="Arial"/>
                <w:sz w:val="22"/>
              </w:rPr>
              <w:t xml:space="preserve">PC side******Highest index March 8  1090544 </w:t>
            </w:r>
          </w:p>
          <w:p>
            <w:pPr>
              <w:spacing w:before="156" w:beforeLines="50" w:after="156" w:afterLines="50" w:line="360" w:lineRule="auto"/>
              <w:rPr>
                <w:rFonts w:ascii="Arial" w:hAnsi="Arial" w:cs="Arial"/>
                <w:sz w:val="22"/>
              </w:rPr>
            </w:pPr>
            <w:r>
              <w:rPr>
                <w:rFonts w:ascii="Arial" w:hAnsi="Arial" w:cs="Arial"/>
                <w:sz w:val="22"/>
              </w:rPr>
              <w:t xml:space="preserve">Mobile******Highest index April5 419020 </w:t>
            </w:r>
          </w:p>
          <w:p>
            <w:pPr>
              <w:spacing w:before="156" w:beforeLines="50" w:after="156" w:afterLines="50" w:line="360" w:lineRule="auto"/>
              <w:rPr>
                <w:rFonts w:ascii="Arial" w:hAnsi="Arial" w:cs="Arial"/>
                <w:sz w:val="22"/>
              </w:rPr>
            </w:pPr>
            <w:r>
              <w:rPr>
                <w:rFonts w:ascii="Arial" w:hAnsi="Arial" w:cs="Arial"/>
                <w:sz w:val="22"/>
              </w:rPr>
              <w:t xml:space="preserve">  </w:t>
            </w:r>
          </w:p>
          <w:p>
            <w:pPr>
              <w:spacing w:before="156" w:beforeLines="50" w:after="156" w:afterLines="50" w:line="360" w:lineRule="auto"/>
              <w:rPr>
                <w:rFonts w:ascii="Arial" w:hAnsi="Arial" w:cs="Arial"/>
                <w:sz w:val="22"/>
              </w:rPr>
            </w:pPr>
            <w:r>
              <w:rPr>
                <w:rFonts w:ascii="Arial" w:hAnsi="Arial" w:cs="Arial"/>
                <w:sz w:val="22"/>
              </w:rPr>
              <w:t xml:space="preserve">After the promotion： </w:t>
            </w:r>
          </w:p>
          <w:p>
            <w:pPr>
              <w:spacing w:before="156" w:beforeLines="50" w:after="156" w:afterLines="50" w:line="360" w:lineRule="auto"/>
              <w:rPr>
                <w:rFonts w:ascii="Arial" w:hAnsi="Arial" w:cs="Arial"/>
                <w:sz w:val="22"/>
              </w:rPr>
            </w:pPr>
            <w:r>
              <w:rPr>
                <w:rFonts w:ascii="Arial" w:hAnsi="Arial" w:cs="Arial"/>
                <w:sz w:val="22"/>
              </w:rPr>
              <w:t xml:space="preserve">April 19******Highest index 75993. </w:t>
            </w:r>
          </w:p>
          <w:p>
            <w:pPr>
              <w:spacing w:before="156" w:beforeLines="50" w:after="156" w:afterLines="50" w:line="360" w:lineRule="auto"/>
              <w:rPr>
                <w:rFonts w:ascii="Arial" w:hAnsi="Arial" w:cs="Arial"/>
                <w:sz w:val="22"/>
              </w:rPr>
            </w:pPr>
            <w:r>
              <w:rPr>
                <w:rFonts w:ascii="Arial" w:hAnsi="Arial" w:cs="Arial"/>
                <w:sz w:val="22"/>
              </w:rPr>
              <w:t xml:space="preserve">after the end，May Conventional Maximum Index 19630. </w:t>
            </w:r>
          </w:p>
        </w:tc>
      </w:tr>
      <w:tr>
        <w:tblPrEx>
          <w:shd w:val="clear" w:color="auto" w:fill="FFFFFF"/>
          <w:tblCellMar>
            <w:top w:w="0" w:type="dxa"/>
            <w:left w:w="0" w:type="dxa"/>
            <w:bottom w:w="0" w:type="dxa"/>
            <w:right w:w="0" w:type="dxa"/>
          </w:tblCellMar>
        </w:tblPrEx>
        <w:trPr>
          <w:trHeight w:val="2124" w:hRule="atLeast"/>
          <w:tblCellSpacing w:w="15" w:type="dxa"/>
        </w:trPr>
        <w:tc>
          <w:tcPr>
            <w:tcW w:w="1468"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tcPr>
          <w:p>
            <w:pPr>
              <w:spacing w:before="156" w:beforeLines="50" w:after="156" w:afterLines="50" w:line="360" w:lineRule="auto"/>
              <w:rPr>
                <w:rFonts w:ascii="Arial" w:hAnsi="Arial" w:cs="Arial"/>
                <w:sz w:val="22"/>
              </w:rPr>
            </w:pPr>
            <w:r>
              <w:rPr>
                <w:rFonts w:ascii="Arial" w:hAnsi="Arial" w:cs="Arial"/>
                <w:sz w:val="22"/>
              </w:rPr>
              <w:t xml:space="preserve">Baidu Fengyun List </w:t>
            </w:r>
          </w:p>
        </w:tc>
        <w:tc>
          <w:tcPr>
            <w:tcW w:w="7820" w:type="dxa"/>
            <w:gridSpan w:val="2"/>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tcPr>
          <w:p>
            <w:pPr>
              <w:spacing w:before="156" w:beforeLines="50" w:after="156" w:afterLines="50" w:line="360" w:lineRule="auto"/>
              <w:rPr>
                <w:rFonts w:ascii="Arial" w:hAnsi="Arial" w:cs="Arial"/>
                <w:sz w:val="22"/>
              </w:rPr>
            </w:pPr>
            <w:r>
              <w:rPr>
                <w:rFonts w:ascii="Arial" w:hAnsi="Arial" w:cs="Arial"/>
                <w:sz w:val="22"/>
              </w:rPr>
              <w:t xml:space="preserve">1. The real-time hot spots of Fengyun List have 5 articles on the hotspot list, and 8 articles have been recommended by Baidu. </w:t>
            </w:r>
          </w:p>
          <w:p>
            <w:pPr>
              <w:spacing w:before="156" w:beforeLines="50" w:after="156" w:afterLines="50" w:line="360" w:lineRule="auto"/>
              <w:rPr>
                <w:rFonts w:ascii="Arial" w:hAnsi="Arial" w:cs="Arial"/>
                <w:sz w:val="22"/>
              </w:rPr>
            </w:pPr>
            <w:r>
              <w:rPr>
                <w:rFonts w:ascii="Arial" w:hAnsi="Arial" w:cs="Arial"/>
                <w:sz w:val="22"/>
              </w:rPr>
              <w:t>2. Fengyunbang Entertainment Variety Entertainment Variety Edition has been on the list for 3 consecutive months, and has been listed in the top three consecutively.</w:t>
            </w:r>
          </w:p>
        </w:tc>
      </w:tr>
      <w:tr>
        <w:tblPrEx>
          <w:shd w:val="clear" w:color="auto" w:fill="FFFFFF"/>
          <w:tblCellMar>
            <w:top w:w="0" w:type="dxa"/>
            <w:left w:w="0" w:type="dxa"/>
            <w:bottom w:w="0" w:type="dxa"/>
            <w:right w:w="0" w:type="dxa"/>
          </w:tblCellMar>
        </w:tblPrEx>
        <w:trPr>
          <w:trHeight w:val="2490" w:hRule="atLeast"/>
          <w:tblCellSpacing w:w="15" w:type="dxa"/>
        </w:trPr>
        <w:tc>
          <w:tcPr>
            <w:tcW w:w="1468"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tcPr>
          <w:p>
            <w:pPr>
              <w:spacing w:before="156" w:beforeLines="50" w:after="156" w:afterLines="50" w:line="360" w:lineRule="auto"/>
              <w:rPr>
                <w:rFonts w:ascii="Arial" w:hAnsi="Arial" w:cs="Arial"/>
                <w:sz w:val="22"/>
              </w:rPr>
            </w:pPr>
            <w:r>
              <w:rPr>
                <w:rFonts w:ascii="Arial" w:hAnsi="Arial" w:cs="Arial"/>
                <w:sz w:val="22"/>
              </w:rPr>
              <w:t>Baidu search</w:t>
            </w:r>
          </w:p>
        </w:tc>
        <w:tc>
          <w:tcPr>
            <w:tcW w:w="7820" w:type="dxa"/>
            <w:gridSpan w:val="2"/>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tcPr>
          <w:p>
            <w:pPr>
              <w:spacing w:before="156" w:beforeLines="50" w:after="156" w:afterLines="50" w:line="360" w:lineRule="auto"/>
              <w:rPr>
                <w:rFonts w:ascii="Arial" w:hAnsi="Arial" w:cs="Arial"/>
                <w:sz w:val="22"/>
              </w:rPr>
            </w:pPr>
            <w:r>
              <w:rPr>
                <w:rFonts w:ascii="Arial" w:hAnsi="Arial" w:cs="Arial"/>
                <w:sz w:val="22"/>
              </w:rPr>
              <w:t xml:space="preserve">1. Baidu has 7.65 million news about “I am a singer” and 136,000 news about Libai. </w:t>
            </w:r>
          </w:p>
          <w:p>
            <w:pPr>
              <w:spacing w:before="156" w:beforeLines="50" w:after="156" w:afterLines="50" w:line="360" w:lineRule="auto"/>
              <w:rPr>
                <w:rFonts w:ascii="Arial" w:hAnsi="Arial" w:cs="Arial"/>
                <w:sz w:val="22"/>
              </w:rPr>
            </w:pPr>
            <w:r>
              <w:rPr>
                <w:rFonts w:ascii="Arial" w:hAnsi="Arial" w:cs="Arial"/>
                <w:sz w:val="22"/>
              </w:rPr>
              <w:t xml:space="preserve">2. There are 85.8 million entries on Baidu’s webpage about “I am a singer”, Baidu knows that there are 7.029 million entries, Baidu’s “I am a singer” has 453,000 posts in the second season, and 168,000 Baidu pictures. </w:t>
            </w:r>
          </w:p>
        </w:tc>
      </w:tr>
      <w:tr>
        <w:tblPrEx>
          <w:shd w:val="clear" w:color="auto" w:fill="FFFFFF"/>
          <w:tblCellMar>
            <w:top w:w="0" w:type="dxa"/>
            <w:left w:w="0" w:type="dxa"/>
            <w:bottom w:w="0" w:type="dxa"/>
            <w:right w:w="0" w:type="dxa"/>
          </w:tblCellMar>
        </w:tblPrEx>
        <w:trPr>
          <w:trHeight w:val="908" w:hRule="atLeast"/>
          <w:tblCellSpacing w:w="15" w:type="dxa"/>
        </w:trPr>
        <w:tc>
          <w:tcPr>
            <w:tcW w:w="1468"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tcPr>
          <w:p>
            <w:pPr>
              <w:spacing w:before="156" w:beforeLines="50" w:after="156" w:afterLines="50" w:line="360" w:lineRule="auto"/>
              <w:rPr>
                <w:rFonts w:ascii="Arial" w:hAnsi="Arial" w:cs="Arial"/>
                <w:sz w:val="22"/>
              </w:rPr>
            </w:pPr>
            <w:r>
              <w:rPr>
                <w:rFonts w:ascii="Arial" w:hAnsi="Arial" w:cs="Arial"/>
                <w:sz w:val="22"/>
              </w:rPr>
              <w:t>360 search</w:t>
            </w:r>
          </w:p>
        </w:tc>
        <w:tc>
          <w:tcPr>
            <w:tcW w:w="7820" w:type="dxa"/>
            <w:gridSpan w:val="2"/>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tcPr>
          <w:p>
            <w:pPr>
              <w:spacing w:before="156" w:beforeLines="50" w:after="156" w:afterLines="50" w:line="360" w:lineRule="auto"/>
              <w:rPr>
                <w:rFonts w:ascii="Arial" w:hAnsi="Arial" w:cs="Arial"/>
                <w:sz w:val="22"/>
              </w:rPr>
            </w:pPr>
            <w:r>
              <w:rPr>
                <w:rFonts w:ascii="Arial" w:hAnsi="Arial" w:cs="Arial"/>
                <w:sz w:val="22"/>
              </w:rPr>
              <w:t>There are 14.91 million webpages about 360 in the second season of “I am a singer”, there are 102,000 news articles and 590,000 360 pictures.</w:t>
            </w:r>
          </w:p>
        </w:tc>
      </w:tr>
      <w:tr>
        <w:tblPrEx>
          <w:shd w:val="clear" w:color="auto" w:fill="FFFFFF"/>
          <w:tblCellMar>
            <w:top w:w="0" w:type="dxa"/>
            <w:left w:w="0" w:type="dxa"/>
            <w:bottom w:w="0" w:type="dxa"/>
            <w:right w:w="0" w:type="dxa"/>
          </w:tblCellMar>
        </w:tblPrEx>
        <w:trPr>
          <w:trHeight w:val="926" w:hRule="atLeast"/>
          <w:tblCellSpacing w:w="15" w:type="dxa"/>
        </w:trPr>
        <w:tc>
          <w:tcPr>
            <w:tcW w:w="1468"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tcPr>
          <w:p>
            <w:pPr>
              <w:spacing w:before="156" w:beforeLines="50" w:after="156" w:afterLines="50" w:line="360" w:lineRule="auto"/>
              <w:rPr>
                <w:rFonts w:ascii="Arial" w:hAnsi="Arial" w:cs="Arial"/>
                <w:sz w:val="22"/>
              </w:rPr>
            </w:pPr>
            <w:r>
              <w:rPr>
                <w:rFonts w:ascii="Arial" w:hAnsi="Arial" w:cs="Arial"/>
                <w:sz w:val="22"/>
              </w:rPr>
              <w:t xml:space="preserve">“Soso”search </w:t>
            </w:r>
          </w:p>
        </w:tc>
        <w:tc>
          <w:tcPr>
            <w:tcW w:w="7820" w:type="dxa"/>
            <w:gridSpan w:val="2"/>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tcPr>
          <w:p>
            <w:pPr>
              <w:spacing w:before="156" w:beforeLines="50" w:after="156" w:afterLines="50" w:line="360" w:lineRule="auto"/>
              <w:rPr>
                <w:rFonts w:ascii="Arial" w:hAnsi="Arial" w:cs="Arial"/>
                <w:sz w:val="22"/>
              </w:rPr>
            </w:pPr>
            <w:r>
              <w:rPr>
                <w:rFonts w:ascii="Arial" w:hAnsi="Arial" w:cs="Arial"/>
                <w:sz w:val="22"/>
              </w:rPr>
              <w:t>There are 3.13 million related pages on the second season of “Sou Sou” website about “I am a singer”.</w:t>
            </w:r>
          </w:p>
        </w:tc>
      </w:tr>
    </w:tbl>
    <w:p>
      <w:pPr>
        <w:spacing w:before="156" w:beforeLines="50" w:after="156" w:afterLines="50" w:line="360" w:lineRule="auto"/>
        <w:rPr>
          <w:rFonts w:ascii="Arial" w:hAnsi="Arial" w:cs="Arial"/>
          <w:sz w:val="22"/>
        </w:rPr>
      </w:pPr>
    </w:p>
    <w:p>
      <w:pPr>
        <w:spacing w:before="156" w:beforeLines="50" w:after="156" w:afterLines="50" w:line="360" w:lineRule="auto"/>
        <w:rPr>
          <w:rFonts w:ascii="Arial" w:hAnsi="Arial" w:cs="Arial"/>
          <w:sz w:val="22"/>
        </w:rPr>
      </w:pPr>
      <w:r>
        <w:rPr>
          <w:rFonts w:ascii="Arial" w:hAnsi="Arial" w:cs="Arial"/>
          <w:sz w:val="22"/>
        </w:rPr>
        <w:t>2.Online promotion and promotion of creative categories</w:t>
      </w:r>
    </w:p>
    <w:tbl>
      <w:tblPr>
        <w:tblStyle w:val="17"/>
        <w:tblW w:w="9518" w:type="dxa"/>
        <w:tblCellSpacing w:w="15" w:type="dxa"/>
        <w:tblInd w:w="20" w:type="dxa"/>
        <w:shd w:val="clear" w:color="auto" w:fill="FFFFFF"/>
        <w:tblLayout w:type="autofit"/>
        <w:tblCellMar>
          <w:top w:w="0" w:type="dxa"/>
          <w:left w:w="0" w:type="dxa"/>
          <w:bottom w:w="0" w:type="dxa"/>
          <w:right w:w="0" w:type="dxa"/>
        </w:tblCellMar>
      </w:tblPr>
      <w:tblGrid>
        <w:gridCol w:w="1306"/>
        <w:gridCol w:w="1907"/>
        <w:gridCol w:w="6305"/>
      </w:tblGrid>
      <w:tr>
        <w:tblPrEx>
          <w:shd w:val="clear" w:color="auto" w:fill="FFFFFF"/>
          <w:tblCellMar>
            <w:top w:w="0" w:type="dxa"/>
            <w:left w:w="0" w:type="dxa"/>
            <w:bottom w:w="0" w:type="dxa"/>
            <w:right w:w="0" w:type="dxa"/>
          </w:tblCellMar>
        </w:tblPrEx>
        <w:trPr>
          <w:trHeight w:val="538" w:hRule="atLeast"/>
          <w:tblCellSpacing w:w="15" w:type="dxa"/>
        </w:trPr>
        <w:tc>
          <w:tcPr>
            <w:tcW w:w="1261" w:type="dxa"/>
            <w:tcBorders>
              <w:top w:val="single" w:color="000000" w:sz="8" w:space="0"/>
              <w:left w:val="single" w:color="000000" w:sz="8" w:space="0"/>
              <w:bottom w:val="single" w:color="000000" w:sz="8" w:space="0"/>
              <w:right w:val="single" w:color="000000" w:sz="8"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Category</w:t>
            </w:r>
          </w:p>
        </w:tc>
        <w:tc>
          <w:tcPr>
            <w:tcW w:w="1877" w:type="dxa"/>
            <w:tcBorders>
              <w:top w:val="single" w:color="000000" w:sz="8" w:space="0"/>
              <w:left w:val="single" w:color="000000" w:sz="8" w:space="0"/>
              <w:bottom w:val="single" w:color="000000" w:sz="8" w:space="0"/>
              <w:right w:val="single" w:color="000000" w:sz="8"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Project</w:t>
            </w:r>
          </w:p>
        </w:tc>
        <w:tc>
          <w:tcPr>
            <w:tcW w:w="6260" w:type="dxa"/>
            <w:tcBorders>
              <w:top w:val="single" w:color="000000" w:sz="8" w:space="0"/>
              <w:left w:val="single" w:color="000000" w:sz="8" w:space="0"/>
              <w:bottom w:val="single" w:color="000000" w:sz="8" w:space="0"/>
              <w:right w:val="single" w:color="000000" w:sz="8"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Specific situation (relevant specific data are all hidden)</w:t>
            </w:r>
          </w:p>
        </w:tc>
      </w:tr>
      <w:tr>
        <w:tblPrEx>
          <w:shd w:val="clear" w:color="auto" w:fill="FFFFFF"/>
          <w:tblCellMar>
            <w:top w:w="0" w:type="dxa"/>
            <w:left w:w="0" w:type="dxa"/>
            <w:bottom w:w="0" w:type="dxa"/>
            <w:right w:w="0" w:type="dxa"/>
          </w:tblCellMar>
        </w:tblPrEx>
        <w:trPr>
          <w:trHeight w:val="624" w:hRule="atLeast"/>
          <w:tblCellSpacing w:w="15" w:type="dxa"/>
        </w:trPr>
        <w:tc>
          <w:tcPr>
            <w:tcW w:w="1261" w:type="dxa"/>
            <w:vMerge w:val="restart"/>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Weibo</w:t>
            </w:r>
          </w:p>
        </w:tc>
        <w:tc>
          <w:tcPr>
            <w:tcW w:w="1877" w:type="dxa"/>
            <w:vMerge w:val="restart"/>
            <w:tcBorders>
              <w:top w:val="single" w:color="000000" w:sz="4" w:space="0"/>
              <w:left w:val="single" w:color="000000" w:sz="4" w:space="0"/>
              <w:bottom w:val="single" w:color="000000" w:sz="4" w:space="0"/>
              <w:right w:val="single" w:color="000000" w:sz="4" w:space="0"/>
            </w:tcBorders>
            <w:shd w:val="clear" w:color="auto" w:fill="FFFF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activity</w:t>
            </w:r>
          </w:p>
        </w:tc>
        <w:tc>
          <w:tcPr>
            <w:tcW w:w="6260" w:type="dxa"/>
            <w:vMerge w:val="restart"/>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“I am a singer” official Weibo: 15 events have been published;</w:t>
            </w:r>
          </w:p>
        </w:tc>
      </w:tr>
      <w:tr>
        <w:tblPrEx>
          <w:shd w:val="clear" w:color="auto" w:fill="FFFFFF"/>
          <w:tblCellMar>
            <w:top w:w="0" w:type="dxa"/>
            <w:left w:w="0" w:type="dxa"/>
            <w:bottom w:w="0" w:type="dxa"/>
            <w:right w:w="0" w:type="dxa"/>
          </w:tblCellMar>
        </w:tblPrEx>
        <w:trPr>
          <w:trHeight w:val="780"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c>
          <w:tcPr>
            <w:tcW w:w="1877" w:type="dxa"/>
            <w:vMerge w:val="continue"/>
            <w:tcBorders>
              <w:top w:val="single" w:color="000000" w:sz="4" w:space="0"/>
              <w:left w:val="single" w:color="000000" w:sz="4" w:space="0"/>
              <w:bottom w:val="single" w:color="000000" w:sz="4" w:space="0"/>
              <w:right w:val="single" w:color="000000" w:sz="4" w:space="0"/>
            </w:tcBorders>
            <w:shd w:val="clear" w:color="auto" w:fill="FFFF00"/>
            <w:tcMar>
              <w:left w:w="0" w:type="dxa"/>
              <w:right w:w="0" w:type="dxa"/>
            </w:tcMar>
            <w:vAlign w:val="center"/>
          </w:tcPr>
          <w:p>
            <w:pPr>
              <w:spacing w:before="156" w:beforeLines="50" w:after="156" w:afterLines="50" w:line="360" w:lineRule="auto"/>
              <w:rPr>
                <w:rFonts w:ascii="Arial" w:hAnsi="Arial" w:cs="Arial"/>
                <w:sz w:val="22"/>
              </w:rPr>
            </w:pPr>
          </w:p>
        </w:tc>
        <w:tc>
          <w:tcPr>
            <w:tcW w:w="6260" w:type="dxa"/>
            <w:vMerge w:val="continue"/>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r>
      <w:tr>
        <w:tblPrEx>
          <w:shd w:val="clear" w:color="auto" w:fill="FFFFFF"/>
          <w:tblCellMar>
            <w:top w:w="0" w:type="dxa"/>
            <w:left w:w="0" w:type="dxa"/>
            <w:bottom w:w="0" w:type="dxa"/>
            <w:right w:w="0" w:type="dxa"/>
          </w:tblCellMar>
        </w:tblPrEx>
        <w:trPr>
          <w:trHeight w:val="500"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c>
          <w:tcPr>
            <w:tcW w:w="1877" w:type="dxa"/>
            <w:tcBorders>
              <w:top w:val="single" w:color="000000" w:sz="4" w:space="0"/>
              <w:left w:val="single" w:color="000000" w:sz="4" w:space="0"/>
              <w:bottom w:val="single" w:color="000000" w:sz="4" w:space="0"/>
              <w:right w:val="single" w:color="000000" w:sz="4" w:space="0"/>
            </w:tcBorders>
            <w:shd w:val="clear" w:color="auto" w:fill="FFFF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Weibo Large</w:t>
            </w:r>
          </w:p>
        </w:tc>
        <w:tc>
          <w:tcPr>
            <w:tcW w:w="6260"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Plan an average of 2 topics per week</w:t>
            </w:r>
          </w:p>
        </w:tc>
      </w:tr>
      <w:tr>
        <w:tblPrEx>
          <w:shd w:val="clear" w:color="auto" w:fill="FFFFFF"/>
          <w:tblCellMar>
            <w:top w:w="0" w:type="dxa"/>
            <w:left w:w="0" w:type="dxa"/>
            <w:bottom w:w="0" w:type="dxa"/>
            <w:right w:w="0" w:type="dxa"/>
          </w:tblCellMar>
        </w:tblPrEx>
        <w:trPr>
          <w:trHeight w:val="780"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c>
          <w:tcPr>
            <w:tcW w:w="1877" w:type="dxa"/>
            <w:vMerge w:val="restart"/>
            <w:tcBorders>
              <w:top w:val="single" w:color="000000" w:sz="4" w:space="0"/>
              <w:left w:val="single" w:color="000000" w:sz="4" w:space="0"/>
              <w:bottom w:val="single" w:color="000000" w:sz="4" w:space="0"/>
              <w:right w:val="single" w:color="000000" w:sz="4" w:space="0"/>
            </w:tcBorders>
            <w:shd w:val="clear" w:color="auto" w:fill="FFCC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Weibo top</w:t>
            </w:r>
          </w:p>
        </w:tc>
        <w:tc>
          <w:tcPr>
            <w:tcW w:w="6260" w:type="dxa"/>
            <w:vMerge w:val="restart"/>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“I am a singer” official Weibo: Top 15 posts</w:t>
            </w:r>
          </w:p>
        </w:tc>
      </w:tr>
      <w:tr>
        <w:tblPrEx>
          <w:shd w:val="clear" w:color="auto" w:fill="FFFFFF"/>
          <w:tblCellMar>
            <w:top w:w="0" w:type="dxa"/>
            <w:left w:w="0" w:type="dxa"/>
            <w:bottom w:w="0" w:type="dxa"/>
            <w:right w:w="0" w:type="dxa"/>
          </w:tblCellMar>
        </w:tblPrEx>
        <w:trPr>
          <w:trHeight w:val="780"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c>
          <w:tcPr>
            <w:tcW w:w="1877" w:type="dxa"/>
            <w:vMerge w:val="continue"/>
            <w:tcBorders>
              <w:top w:val="single" w:color="000000" w:sz="4" w:space="0"/>
              <w:left w:val="single" w:color="000000" w:sz="4" w:space="0"/>
              <w:bottom w:val="single" w:color="000000" w:sz="4" w:space="0"/>
              <w:right w:val="single" w:color="000000" w:sz="4" w:space="0"/>
            </w:tcBorders>
            <w:shd w:val="clear" w:color="auto" w:fill="FFCC00"/>
            <w:tcMar>
              <w:left w:w="0" w:type="dxa"/>
              <w:right w:w="0" w:type="dxa"/>
            </w:tcMar>
            <w:vAlign w:val="center"/>
          </w:tcPr>
          <w:p>
            <w:pPr>
              <w:spacing w:before="156" w:beforeLines="50" w:after="156" w:afterLines="50" w:line="360" w:lineRule="auto"/>
              <w:rPr>
                <w:rFonts w:ascii="Arial" w:hAnsi="Arial" w:cs="Arial"/>
                <w:sz w:val="22"/>
              </w:rPr>
            </w:pPr>
          </w:p>
        </w:tc>
        <w:tc>
          <w:tcPr>
            <w:tcW w:w="6260" w:type="dxa"/>
            <w:vMerge w:val="continue"/>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r>
      <w:tr>
        <w:tblPrEx>
          <w:shd w:val="clear" w:color="auto" w:fill="FFFFFF"/>
          <w:tblCellMar>
            <w:top w:w="0" w:type="dxa"/>
            <w:left w:w="0" w:type="dxa"/>
            <w:bottom w:w="0" w:type="dxa"/>
            <w:right w:w="0" w:type="dxa"/>
          </w:tblCellMar>
        </w:tblPrEx>
        <w:trPr>
          <w:trHeight w:val="780"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c>
          <w:tcPr>
            <w:tcW w:w="1877" w:type="dxa"/>
            <w:vMerge w:val="restart"/>
            <w:tcBorders>
              <w:top w:val="single" w:color="000000" w:sz="4" w:space="0"/>
              <w:left w:val="single" w:color="000000" w:sz="4" w:space="0"/>
              <w:bottom w:val="single" w:color="000000" w:sz="4" w:space="0"/>
              <w:right w:val="single" w:color="000000" w:sz="4" w:space="0"/>
            </w:tcBorders>
            <w:shd w:val="clear" w:color="auto" w:fill="FFFF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Celebrity forwarding</w:t>
            </w:r>
          </w:p>
        </w:tc>
        <w:tc>
          <w:tcPr>
            <w:tcW w:w="6260" w:type="dxa"/>
            <w:vMerge w:val="restart"/>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 Participating singers, stars, etc.</w:t>
            </w:r>
          </w:p>
        </w:tc>
      </w:tr>
      <w:tr>
        <w:tblPrEx>
          <w:shd w:val="clear" w:color="auto" w:fill="FFFFFF"/>
          <w:tblCellMar>
            <w:top w:w="0" w:type="dxa"/>
            <w:left w:w="0" w:type="dxa"/>
            <w:bottom w:w="0" w:type="dxa"/>
            <w:right w:w="0" w:type="dxa"/>
          </w:tblCellMar>
        </w:tblPrEx>
        <w:trPr>
          <w:trHeight w:val="780"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c>
          <w:tcPr>
            <w:tcW w:w="1877" w:type="dxa"/>
            <w:vMerge w:val="continue"/>
            <w:tcBorders>
              <w:top w:val="single" w:color="000000" w:sz="4" w:space="0"/>
              <w:left w:val="single" w:color="000000" w:sz="4" w:space="0"/>
              <w:bottom w:val="single" w:color="000000" w:sz="4" w:space="0"/>
              <w:right w:val="single" w:color="000000" w:sz="4" w:space="0"/>
            </w:tcBorders>
            <w:shd w:val="clear" w:color="auto" w:fill="FFFF00"/>
            <w:tcMar>
              <w:left w:w="0" w:type="dxa"/>
              <w:right w:w="0" w:type="dxa"/>
            </w:tcMar>
            <w:vAlign w:val="center"/>
          </w:tcPr>
          <w:p>
            <w:pPr>
              <w:spacing w:before="156" w:beforeLines="50" w:after="156" w:afterLines="50" w:line="360" w:lineRule="auto"/>
              <w:rPr>
                <w:rFonts w:ascii="Arial" w:hAnsi="Arial" w:cs="Arial"/>
                <w:sz w:val="22"/>
              </w:rPr>
            </w:pPr>
          </w:p>
        </w:tc>
        <w:tc>
          <w:tcPr>
            <w:tcW w:w="6260" w:type="dxa"/>
            <w:vMerge w:val="continue"/>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r>
      <w:tr>
        <w:tblPrEx>
          <w:shd w:val="clear" w:color="auto" w:fill="FFFFFF"/>
          <w:tblCellMar>
            <w:top w:w="0" w:type="dxa"/>
            <w:left w:w="0" w:type="dxa"/>
            <w:bottom w:w="0" w:type="dxa"/>
            <w:right w:w="0" w:type="dxa"/>
          </w:tblCellMar>
        </w:tblPrEx>
        <w:trPr>
          <w:trHeight w:val="500" w:hRule="atLeast"/>
          <w:tblCellSpacing w:w="15" w:type="dxa"/>
        </w:trPr>
        <w:tc>
          <w:tcPr>
            <w:tcW w:w="1261" w:type="dxa"/>
            <w:vMerge w:val="restart"/>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Hula</w:t>
            </w:r>
          </w:p>
        </w:tc>
        <w:tc>
          <w:tcPr>
            <w:tcW w:w="1877" w:type="dxa"/>
            <w:tcBorders>
              <w:top w:val="single" w:color="000000" w:sz="4" w:space="0"/>
              <w:left w:val="single" w:color="000000" w:sz="4" w:space="0"/>
              <w:bottom w:val="single" w:color="000000" w:sz="4" w:space="0"/>
              <w:right w:val="single" w:color="000000" w:sz="4" w:space="0"/>
            </w:tcBorders>
            <w:shd w:val="clear" w:color="auto" w:fill="FFFF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Hula market</w:t>
            </w:r>
          </w:p>
        </w:tc>
        <w:tc>
          <w:tcPr>
            <w:tcW w:w="6260"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Opened the Libai Laundry Liquid Market Exchange through Hula Market Exchange</w:t>
            </w:r>
          </w:p>
        </w:tc>
      </w:tr>
      <w:tr>
        <w:tblPrEx>
          <w:shd w:val="clear" w:color="auto" w:fill="FFFFFF"/>
          <w:tblCellMar>
            <w:top w:w="0" w:type="dxa"/>
            <w:left w:w="0" w:type="dxa"/>
            <w:bottom w:w="0" w:type="dxa"/>
            <w:right w:w="0" w:type="dxa"/>
          </w:tblCellMar>
        </w:tblPrEx>
        <w:trPr>
          <w:trHeight w:val="500"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c>
          <w:tcPr>
            <w:tcW w:w="1877" w:type="dxa"/>
            <w:tcBorders>
              <w:top w:val="single" w:color="000000" w:sz="4" w:space="0"/>
              <w:left w:val="single" w:color="000000" w:sz="4" w:space="0"/>
              <w:bottom w:val="single" w:color="000000" w:sz="4" w:space="0"/>
              <w:right w:val="single" w:color="000000" w:sz="4" w:space="0"/>
            </w:tcBorders>
            <w:shd w:val="clear" w:color="auto" w:fill="FFFF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Fan handshake</w:t>
            </w:r>
          </w:p>
        </w:tc>
        <w:tc>
          <w:tcPr>
            <w:tcW w:w="6260"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Libai laundry detergent prizes will be provided in the fan handshake, with text</w:t>
            </w:r>
          </w:p>
        </w:tc>
      </w:tr>
      <w:tr>
        <w:tblPrEx>
          <w:shd w:val="clear" w:color="auto" w:fill="FFFFFF"/>
          <w:tblCellMar>
            <w:top w:w="0" w:type="dxa"/>
            <w:left w:w="0" w:type="dxa"/>
            <w:bottom w:w="0" w:type="dxa"/>
            <w:right w:w="0" w:type="dxa"/>
          </w:tblCellMar>
        </w:tblPrEx>
        <w:trPr>
          <w:trHeight w:val="500" w:hRule="atLeast"/>
          <w:tblCellSpacing w:w="15" w:type="dxa"/>
        </w:trPr>
        <w:tc>
          <w:tcPr>
            <w:tcW w:w="1261" w:type="dxa"/>
            <w:vMerge w:val="restart"/>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WeChat</w:t>
            </w:r>
          </w:p>
        </w:tc>
        <w:tc>
          <w:tcPr>
            <w:tcW w:w="1877" w:type="dxa"/>
            <w:tcBorders>
              <w:top w:val="single" w:color="000000" w:sz="4" w:space="0"/>
              <w:left w:val="single" w:color="000000" w:sz="4" w:space="0"/>
              <w:bottom w:val="single" w:color="000000" w:sz="4" w:space="0"/>
              <w:right w:val="single" w:color="000000" w:sz="4" w:space="0"/>
            </w:tcBorders>
            <w:shd w:val="clear" w:color="auto" w:fill="FFCC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WeChat activity</w:t>
            </w:r>
          </w:p>
        </w:tc>
        <w:tc>
          <w:tcPr>
            <w:tcW w:w="6260"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I am the singer’s official WeChat: 5 events have been released;</w:t>
            </w:r>
          </w:p>
        </w:tc>
      </w:tr>
      <w:tr>
        <w:tblPrEx>
          <w:shd w:val="clear" w:color="auto" w:fill="FFFFFF"/>
          <w:tblCellMar>
            <w:top w:w="0" w:type="dxa"/>
            <w:left w:w="0" w:type="dxa"/>
            <w:bottom w:w="0" w:type="dxa"/>
            <w:right w:w="0" w:type="dxa"/>
          </w:tblCellMar>
        </w:tblPrEx>
        <w:trPr>
          <w:trHeight w:val="500"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c>
          <w:tcPr>
            <w:tcW w:w="1877" w:type="dxa"/>
            <w:tcBorders>
              <w:top w:val="single" w:color="000000" w:sz="4" w:space="0"/>
              <w:left w:val="single" w:color="000000" w:sz="4" w:space="0"/>
              <w:bottom w:val="single" w:color="000000" w:sz="4" w:space="0"/>
              <w:right w:val="single" w:color="000000" w:sz="4" w:space="0"/>
            </w:tcBorders>
            <w:shd w:val="clear" w:color="auto" w:fill="FFCC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Happy community topic</w:t>
            </w:r>
          </w:p>
        </w:tc>
        <w:tc>
          <w:tcPr>
            <w:tcW w:w="6260"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Happy Community publishes the topic “I am a singer” and Libai offers prizes</w:t>
            </w:r>
          </w:p>
        </w:tc>
      </w:tr>
      <w:tr>
        <w:tblPrEx>
          <w:shd w:val="clear" w:color="auto" w:fill="FFFFFF"/>
          <w:tblCellMar>
            <w:top w:w="0" w:type="dxa"/>
            <w:left w:w="0" w:type="dxa"/>
            <w:bottom w:w="0" w:type="dxa"/>
            <w:right w:w="0" w:type="dxa"/>
          </w:tblCellMar>
        </w:tblPrEx>
        <w:trPr>
          <w:trHeight w:val="839"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c>
          <w:tcPr>
            <w:tcW w:w="1877" w:type="dxa"/>
            <w:tcBorders>
              <w:top w:val="single" w:color="000000" w:sz="4" w:space="0"/>
              <w:left w:val="single" w:color="000000" w:sz="4" w:space="0"/>
              <w:bottom w:val="single" w:color="000000" w:sz="4" w:space="0"/>
              <w:right w:val="single" w:color="000000" w:sz="4" w:space="0"/>
            </w:tcBorders>
            <w:shd w:val="clear" w:color="auto" w:fill="FFCC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“I am a singer” WeChat public account</w:t>
            </w:r>
          </w:p>
        </w:tc>
        <w:tc>
          <w:tcPr>
            <w:tcW w:w="6260"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Weekly release “I am a singer” related content, including Li Bai rights</w:t>
            </w:r>
          </w:p>
        </w:tc>
      </w:tr>
      <w:tr>
        <w:tblPrEx>
          <w:shd w:val="clear" w:color="auto" w:fill="FFFFFF"/>
          <w:tblCellMar>
            <w:top w:w="0" w:type="dxa"/>
            <w:left w:w="0" w:type="dxa"/>
            <w:bottom w:w="0" w:type="dxa"/>
            <w:right w:w="0" w:type="dxa"/>
          </w:tblCellMar>
        </w:tblPrEx>
        <w:trPr>
          <w:trHeight w:val="780"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c>
          <w:tcPr>
            <w:tcW w:w="1877" w:type="dxa"/>
            <w:vMerge w:val="restart"/>
            <w:tcBorders>
              <w:top w:val="single" w:color="000000" w:sz="4" w:space="0"/>
              <w:left w:val="single" w:color="000000" w:sz="4" w:space="0"/>
              <w:bottom w:val="single" w:color="000000" w:sz="4" w:space="0"/>
              <w:right w:val="single" w:color="000000" w:sz="4" w:space="0"/>
            </w:tcBorders>
            <w:shd w:val="clear" w:color="auto" w:fill="FFCC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Hunan Satellite TV WeChat</w:t>
            </w:r>
          </w:p>
        </w:tc>
        <w:tc>
          <w:tcPr>
            <w:tcW w:w="6260" w:type="dxa"/>
            <w:vMerge w:val="restart"/>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Satellite TV official WeChat weekly news topic release, including Libai rights</w:t>
            </w:r>
          </w:p>
        </w:tc>
      </w:tr>
      <w:tr>
        <w:tblPrEx>
          <w:shd w:val="clear" w:color="auto" w:fill="FFFFFF"/>
          <w:tblCellMar>
            <w:top w:w="0" w:type="dxa"/>
            <w:left w:w="0" w:type="dxa"/>
            <w:bottom w:w="0" w:type="dxa"/>
            <w:right w:w="0" w:type="dxa"/>
          </w:tblCellMar>
        </w:tblPrEx>
        <w:trPr>
          <w:trHeight w:val="780"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c>
          <w:tcPr>
            <w:tcW w:w="1877" w:type="dxa"/>
            <w:vMerge w:val="continue"/>
            <w:tcBorders>
              <w:top w:val="single" w:color="000000" w:sz="4" w:space="0"/>
              <w:left w:val="single" w:color="000000" w:sz="4" w:space="0"/>
              <w:bottom w:val="single" w:color="000000" w:sz="4" w:space="0"/>
              <w:right w:val="single" w:color="000000" w:sz="4" w:space="0"/>
            </w:tcBorders>
            <w:shd w:val="clear" w:color="auto" w:fill="FFCC00"/>
            <w:tcMar>
              <w:left w:w="0" w:type="dxa"/>
              <w:right w:w="0" w:type="dxa"/>
            </w:tcMar>
            <w:vAlign w:val="center"/>
          </w:tcPr>
          <w:p>
            <w:pPr>
              <w:spacing w:before="156" w:beforeLines="50" w:after="156" w:afterLines="50" w:line="360" w:lineRule="auto"/>
              <w:rPr>
                <w:rFonts w:ascii="Arial" w:hAnsi="Arial" w:cs="Arial"/>
                <w:sz w:val="22"/>
              </w:rPr>
            </w:pPr>
          </w:p>
        </w:tc>
        <w:tc>
          <w:tcPr>
            <w:tcW w:w="6260" w:type="dxa"/>
            <w:vMerge w:val="continue"/>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r>
      <w:tr>
        <w:tblPrEx>
          <w:shd w:val="clear" w:color="auto" w:fill="FFFFFF"/>
          <w:tblCellMar>
            <w:top w:w="0" w:type="dxa"/>
            <w:left w:w="0" w:type="dxa"/>
            <w:bottom w:w="0" w:type="dxa"/>
            <w:right w:w="0" w:type="dxa"/>
          </w:tblCellMar>
        </w:tblPrEx>
        <w:trPr>
          <w:trHeight w:val="500" w:hRule="atLeast"/>
          <w:tblCellSpacing w:w="15" w:type="dxa"/>
        </w:trPr>
        <w:tc>
          <w:tcPr>
            <w:tcW w:w="1261" w:type="dxa"/>
            <w:vMerge w:val="restart"/>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Manuscript</w:t>
            </w:r>
          </w:p>
        </w:tc>
        <w:tc>
          <w:tcPr>
            <w:tcW w:w="1877" w:type="dxa"/>
            <w:tcBorders>
              <w:top w:val="single" w:color="000000" w:sz="4" w:space="0"/>
              <w:left w:val="single" w:color="000000" w:sz="4" w:space="0"/>
              <w:bottom w:val="single" w:color="000000" w:sz="4" w:space="0"/>
              <w:right w:val="single" w:color="000000" w:sz="4" w:space="0"/>
            </w:tcBorders>
            <w:shd w:val="clear" w:color="auto" w:fill="FFCC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 xml:space="preserve">Forum release </w:t>
            </w:r>
          </w:p>
        </w:tc>
        <w:tc>
          <w:tcPr>
            <w:tcW w:w="6260"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Manuscript publishing forums</w:t>
            </w:r>
          </w:p>
        </w:tc>
      </w:tr>
      <w:tr>
        <w:tblPrEx>
          <w:shd w:val="clear" w:color="auto" w:fill="FFFFFF"/>
          <w:tblCellMar>
            <w:top w:w="0" w:type="dxa"/>
            <w:left w:w="0" w:type="dxa"/>
            <w:bottom w:w="0" w:type="dxa"/>
            <w:right w:w="0" w:type="dxa"/>
          </w:tblCellMar>
        </w:tblPrEx>
        <w:trPr>
          <w:trHeight w:val="500"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c>
          <w:tcPr>
            <w:tcW w:w="1877" w:type="dxa"/>
            <w:tcBorders>
              <w:top w:val="single" w:color="000000" w:sz="4" w:space="0"/>
              <w:left w:val="single" w:color="000000" w:sz="4" w:space="0"/>
              <w:bottom w:val="single" w:color="000000" w:sz="4" w:space="0"/>
              <w:right w:val="single" w:color="000000" w:sz="4" w:space="0"/>
            </w:tcBorders>
            <w:shd w:val="clear" w:color="auto" w:fill="FFFF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News release</w:t>
            </w:r>
          </w:p>
        </w:tc>
        <w:tc>
          <w:tcPr>
            <w:tcW w:w="6260"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48 news articles have been written.</w:t>
            </w:r>
          </w:p>
        </w:tc>
      </w:tr>
      <w:tr>
        <w:tblPrEx>
          <w:shd w:val="clear" w:color="auto" w:fill="FFFFFF"/>
          <w:tblCellMar>
            <w:top w:w="0" w:type="dxa"/>
            <w:left w:w="0" w:type="dxa"/>
            <w:bottom w:w="0" w:type="dxa"/>
            <w:right w:w="0" w:type="dxa"/>
          </w:tblCellMar>
        </w:tblPrEx>
        <w:trPr>
          <w:trHeight w:val="500"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c>
          <w:tcPr>
            <w:tcW w:w="1877" w:type="dxa"/>
            <w:tcBorders>
              <w:top w:val="single" w:color="000000" w:sz="4" w:space="0"/>
              <w:left w:val="single" w:color="000000" w:sz="4" w:space="0"/>
              <w:bottom w:val="single" w:color="000000" w:sz="4" w:space="0"/>
              <w:right w:val="single" w:color="000000" w:sz="4" w:space="0"/>
            </w:tcBorders>
            <w:shd w:val="clear" w:color="auto" w:fill="FFFF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 xml:space="preserve">Published manuscript </w:t>
            </w:r>
          </w:p>
        </w:tc>
        <w:tc>
          <w:tcPr>
            <w:tcW w:w="6260"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The content of the manuscript contains the rights and interests of Libai</w:t>
            </w:r>
          </w:p>
        </w:tc>
      </w:tr>
      <w:tr>
        <w:tblPrEx>
          <w:shd w:val="clear" w:color="auto" w:fill="FFFFFF"/>
          <w:tblCellMar>
            <w:top w:w="0" w:type="dxa"/>
            <w:left w:w="0" w:type="dxa"/>
            <w:bottom w:w="0" w:type="dxa"/>
            <w:right w:w="0" w:type="dxa"/>
          </w:tblCellMar>
        </w:tblPrEx>
        <w:trPr>
          <w:trHeight w:val="500" w:hRule="atLeast"/>
          <w:tblCellSpacing w:w="15" w:type="dxa"/>
        </w:trPr>
        <w:tc>
          <w:tcPr>
            <w:tcW w:w="1261" w:type="dxa"/>
            <w:vMerge w:val="restart"/>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Press Releases</w:t>
            </w:r>
          </w:p>
        </w:tc>
        <w:tc>
          <w:tcPr>
            <w:tcW w:w="1877" w:type="dxa"/>
            <w:tcBorders>
              <w:top w:val="single" w:color="000000" w:sz="4" w:space="0"/>
              <w:left w:val="single" w:color="000000" w:sz="4" w:space="0"/>
              <w:bottom w:val="single" w:color="000000" w:sz="4" w:space="0"/>
              <w:right w:val="single" w:color="000000" w:sz="4" w:space="0"/>
            </w:tcBorders>
            <w:shd w:val="clear" w:color="auto" w:fill="FFFF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Home Recommendation</w:t>
            </w:r>
          </w:p>
        </w:tc>
        <w:tc>
          <w:tcPr>
            <w:tcW w:w="6260"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The content of the manuscript contains the rights and interests of Libai</w:t>
            </w:r>
          </w:p>
        </w:tc>
      </w:tr>
      <w:tr>
        <w:tblPrEx>
          <w:shd w:val="clear" w:color="auto" w:fill="FFFFFF"/>
          <w:tblCellMar>
            <w:top w:w="0" w:type="dxa"/>
            <w:left w:w="0" w:type="dxa"/>
            <w:bottom w:w="0" w:type="dxa"/>
            <w:right w:w="0" w:type="dxa"/>
          </w:tblCellMar>
        </w:tblPrEx>
        <w:trPr>
          <w:trHeight w:val="500"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c>
          <w:tcPr>
            <w:tcW w:w="1877" w:type="dxa"/>
            <w:tcBorders>
              <w:top w:val="single" w:color="000000" w:sz="4" w:space="0"/>
              <w:left w:val="single" w:color="000000" w:sz="4" w:space="0"/>
              <w:bottom w:val="single" w:color="000000" w:sz="4" w:space="0"/>
              <w:right w:val="single" w:color="000000" w:sz="4" w:space="0"/>
            </w:tcBorders>
            <w:shd w:val="clear" w:color="auto" w:fill="FFCC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Press Releases</w:t>
            </w:r>
          </w:p>
        </w:tc>
        <w:tc>
          <w:tcPr>
            <w:tcW w:w="6260"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Portal: 244; Place: 404; Reprinted 640</w:t>
            </w:r>
          </w:p>
        </w:tc>
      </w:tr>
      <w:tr>
        <w:tblPrEx>
          <w:shd w:val="clear" w:color="auto" w:fill="FFFFFF"/>
          <w:tblCellMar>
            <w:top w:w="0" w:type="dxa"/>
            <w:left w:w="0" w:type="dxa"/>
            <w:bottom w:w="0" w:type="dxa"/>
            <w:right w:w="0" w:type="dxa"/>
          </w:tblCellMar>
        </w:tblPrEx>
        <w:trPr>
          <w:trHeight w:val="500" w:hRule="atLeast"/>
          <w:tblCellSpacing w:w="15" w:type="dxa"/>
        </w:trPr>
        <w:tc>
          <w:tcPr>
            <w:tcW w:w="1261" w:type="dxa"/>
            <w:vMerge w:val="restart"/>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Post it</w:t>
            </w:r>
          </w:p>
        </w:tc>
        <w:tc>
          <w:tcPr>
            <w:tcW w:w="1877" w:type="dxa"/>
            <w:tcBorders>
              <w:top w:val="single" w:color="000000" w:sz="4" w:space="0"/>
              <w:left w:val="single" w:color="000000" w:sz="4" w:space="0"/>
              <w:bottom w:val="single" w:color="000000" w:sz="4" w:space="0"/>
              <w:right w:val="single" w:color="000000" w:sz="4" w:space="0"/>
            </w:tcBorders>
            <w:shd w:val="clear" w:color="auto" w:fill="FFCC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 xml:space="preserve">Sticky Post </w:t>
            </w:r>
          </w:p>
        </w:tc>
        <w:tc>
          <w:tcPr>
            <w:tcW w:w="6260"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I’m a singer post it, I’m a singer post it in the second season, etc.</w:t>
            </w:r>
          </w:p>
        </w:tc>
      </w:tr>
      <w:tr>
        <w:tblPrEx>
          <w:shd w:val="clear" w:color="auto" w:fill="FFFFFF"/>
          <w:tblCellMar>
            <w:top w:w="0" w:type="dxa"/>
            <w:left w:w="0" w:type="dxa"/>
            <w:bottom w:w="0" w:type="dxa"/>
            <w:right w:w="0" w:type="dxa"/>
          </w:tblCellMar>
        </w:tblPrEx>
        <w:trPr>
          <w:trHeight w:val="500"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p>
        </w:tc>
        <w:tc>
          <w:tcPr>
            <w:tcW w:w="1877" w:type="dxa"/>
            <w:tcBorders>
              <w:top w:val="single" w:color="000000" w:sz="4" w:space="0"/>
              <w:left w:val="single" w:color="000000" w:sz="4" w:space="0"/>
              <w:bottom w:val="single" w:color="000000" w:sz="4" w:space="0"/>
              <w:right w:val="single" w:color="000000" w:sz="4" w:space="0"/>
            </w:tcBorders>
            <w:shd w:val="clear" w:color="auto" w:fill="FFFF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Post it</w:t>
            </w:r>
          </w:p>
        </w:tc>
        <w:tc>
          <w:tcPr>
            <w:tcW w:w="6260"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lang w:val="nb-NO"/>
              </w:rPr>
            </w:pPr>
            <w:r>
              <w:rPr>
                <w:rFonts w:ascii="Arial" w:hAnsi="Arial" w:cs="Arial"/>
                <w:sz w:val="22"/>
                <w:lang w:val="nb-NO"/>
              </w:rPr>
              <w:t>I am a singer post, Yuquan post, Deng Ziqi post, etc.</w:t>
            </w:r>
          </w:p>
        </w:tc>
      </w:tr>
      <w:tr>
        <w:tblPrEx>
          <w:shd w:val="clear" w:color="auto" w:fill="FFFFFF"/>
          <w:tblCellMar>
            <w:top w:w="0" w:type="dxa"/>
            <w:left w:w="0" w:type="dxa"/>
            <w:bottom w:w="0" w:type="dxa"/>
            <w:right w:w="0" w:type="dxa"/>
          </w:tblCellMar>
        </w:tblPrEx>
        <w:trPr>
          <w:trHeight w:val="500" w:hRule="atLeast"/>
          <w:tblCellSpacing w:w="15" w:type="dxa"/>
        </w:trPr>
        <w:tc>
          <w:tcPr>
            <w:tcW w:w="1261" w:type="dxa"/>
            <w:vMerge w:val="continue"/>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lang w:val="nb-NO"/>
              </w:rPr>
            </w:pPr>
          </w:p>
        </w:tc>
        <w:tc>
          <w:tcPr>
            <w:tcW w:w="1877" w:type="dxa"/>
            <w:tcBorders>
              <w:top w:val="single" w:color="000000" w:sz="4" w:space="0"/>
              <w:left w:val="single" w:color="000000" w:sz="4" w:space="0"/>
              <w:bottom w:val="single" w:color="000000" w:sz="4" w:space="0"/>
              <w:right w:val="single" w:color="000000" w:sz="4" w:space="0"/>
            </w:tcBorders>
            <w:shd w:val="clear" w:color="auto" w:fill="FFCC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 xml:space="preserve">Post bar planning </w:t>
            </w:r>
          </w:p>
        </w:tc>
        <w:tc>
          <w:tcPr>
            <w:tcW w:w="6260"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“I am a singer” mobile game may be listed for up to two days</w:t>
            </w:r>
          </w:p>
        </w:tc>
      </w:tr>
      <w:tr>
        <w:tblPrEx>
          <w:shd w:val="clear" w:color="auto" w:fill="FFFFFF"/>
          <w:tblCellMar>
            <w:top w:w="0" w:type="dxa"/>
            <w:left w:w="0" w:type="dxa"/>
            <w:bottom w:w="0" w:type="dxa"/>
            <w:right w:w="0" w:type="dxa"/>
          </w:tblCellMar>
        </w:tblPrEx>
        <w:trPr>
          <w:trHeight w:val="517" w:hRule="atLeast"/>
          <w:tblCellSpacing w:w="15" w:type="dxa"/>
        </w:trPr>
        <w:tc>
          <w:tcPr>
            <w:tcW w:w="1261"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Video publishing</w:t>
            </w:r>
          </w:p>
        </w:tc>
        <w:tc>
          <w:tcPr>
            <w:tcW w:w="1877" w:type="dxa"/>
            <w:tcBorders>
              <w:top w:val="single" w:color="000000" w:sz="4" w:space="0"/>
              <w:left w:val="single" w:color="000000" w:sz="4" w:space="0"/>
              <w:bottom w:val="single" w:color="000000" w:sz="4" w:space="0"/>
              <w:right w:val="single" w:color="000000" w:sz="4" w:space="0"/>
            </w:tcBorders>
            <w:shd w:val="clear" w:color="auto" w:fill="FFFF00"/>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 xml:space="preserve">Video publishing </w:t>
            </w:r>
          </w:p>
        </w:tc>
        <w:tc>
          <w:tcPr>
            <w:tcW w:w="6260" w:type="dxa"/>
            <w:tcBorders>
              <w:top w:val="single" w:color="000000" w:sz="4" w:space="0"/>
              <w:left w:val="single" w:color="000000" w:sz="4" w:space="0"/>
              <w:bottom w:val="single" w:color="000000" w:sz="4" w:space="0"/>
              <w:right w:val="single" w:color="000000" w:sz="4" w:space="0"/>
            </w:tcBorders>
            <w:shd w:val="clear" w:color="auto" w:fill="FFFFFF"/>
            <w:tcMar>
              <w:left w:w="0" w:type="dxa"/>
              <w:right w:w="0" w:type="dxa"/>
            </w:tcMar>
            <w:vAlign w:val="center"/>
          </w:tcPr>
          <w:p>
            <w:pPr>
              <w:spacing w:before="156" w:beforeLines="50" w:after="156" w:afterLines="50" w:line="360" w:lineRule="auto"/>
              <w:rPr>
                <w:rFonts w:ascii="Arial" w:hAnsi="Arial" w:cs="Arial"/>
                <w:sz w:val="22"/>
              </w:rPr>
            </w:pPr>
            <w:r>
              <w:rPr>
                <w:rFonts w:ascii="Arial" w:hAnsi="Arial" w:cs="Arial"/>
                <w:sz w:val="22"/>
              </w:rPr>
              <w:t>Publish video containing Libai rights and interests, increase Libai Baidu search volume</w:t>
            </w:r>
          </w:p>
        </w:tc>
      </w:tr>
    </w:tbl>
    <w:p>
      <w:pPr>
        <w:spacing w:before="156" w:beforeLines="50" w:after="156" w:afterLines="50" w:line="360" w:lineRule="auto"/>
      </w:pPr>
    </w:p>
    <w:sectPr>
      <w:footerReference r:id="rId6" w:type="default"/>
      <w:pgSz w:w="11906" w:h="16838"/>
      <w:pgMar w:top="1247" w:right="1247" w:bottom="1247" w:left="1247" w:header="851" w:footer="992" w:gutter="0"/>
      <w:pgNumType w:start="1"/>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serif">
    <w:altName w:val="Segoe Print"/>
    <w:panose1 w:val="00000000000000000000"/>
    <w:charset w:val="00"/>
    <w:family w:val="auto"/>
    <w:pitch w:val="default"/>
    <w:sig w:usb0="00000000" w:usb1="00000000" w:usb2="00000000" w:usb3="00000000" w:csb0="00040001" w:csb1="00000000"/>
  </w:font>
  <w:font w:name="Segoe Print">
    <w:panose1 w:val="02000600000000000000"/>
    <w:charset w:val="00"/>
    <w:family w:val="auto"/>
    <w:pitch w:val="default"/>
    <w:sig w:usb0="0000028F" w:usb1="00000000" w:usb2="00000000" w:usb3="00000000" w:csb0="2000009F" w:csb1="47010000"/>
  </w:font>
  <w:font w:name="Palatino">
    <w:altName w:val="Palatino Linotype"/>
    <w:panose1 w:val="00000000000000000000"/>
    <w:charset w:val="00"/>
    <w:family w:val="auto"/>
    <w:pitch w:val="default"/>
    <w:sig w:usb0="00000000" w:usb1="00000000" w:usb2="14600000" w:usb3="00000000" w:csb0="00000193" w:csb1="00000000"/>
  </w:font>
  <w:font w:name="Palatino Linotype">
    <w:panose1 w:val="02040502050505030304"/>
    <w:charset w:val="00"/>
    <w:family w:val="auto"/>
    <w:pitch w:val="default"/>
    <w:sig w:usb0="E0000287" w:usb1="40000013" w:usb2="00000000" w:usb3="00000000" w:csb0="2000019F" w:csb1="00000000"/>
  </w:font>
  <w:font w:name="Helvetica">
    <w:altName w:val="Arial"/>
    <w:panose1 w:val="020B0604020202020204"/>
    <w:charset w:val="00"/>
    <w:family w:val="swiss"/>
    <w:pitch w:val="default"/>
    <w:sig w:usb0="00000000" w:usb1="00000000" w:usb2="00000009" w:usb3="00000000" w:csb0="000001F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center"/>
      <w:rPr>
        <w:b/>
        <w:bCs/>
      </w:rPr>
    </w:pPr>
  </w:p>
  <w:p>
    <w:pPr>
      <w:pStyle w:val="9"/>
      <w:rPr>
        <w:b/>
        <w:bCs/>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70718502"/>
      <w:docPartObj>
        <w:docPartGallery w:val="AutoText"/>
      </w:docPartObj>
    </w:sdtPr>
    <w:sdtEndPr>
      <w:rPr>
        <w:b/>
        <w:bCs/>
      </w:rPr>
    </w:sdtEndPr>
    <w:sdtContent>
      <w:p>
        <w:pPr>
          <w:pStyle w:val="9"/>
          <w:jc w:val="center"/>
          <w:rPr>
            <w:b/>
            <w:bCs/>
          </w:rPr>
        </w:pPr>
        <w:r>
          <w:rPr>
            <w:b/>
            <w:bCs/>
          </w:rPr>
          <w:fldChar w:fldCharType="begin"/>
        </w:r>
        <w:r>
          <w:rPr>
            <w:b/>
            <w:bCs/>
          </w:rPr>
          <w:instrText xml:space="preserve">PAGE   \* MERGEFORMAT</w:instrText>
        </w:r>
        <w:r>
          <w:rPr>
            <w:b/>
            <w:bCs/>
          </w:rPr>
          <w:fldChar w:fldCharType="separate"/>
        </w:r>
        <w:r>
          <w:rPr>
            <w:b/>
            <w:bCs/>
            <w:lang w:val="zh-CN"/>
          </w:rPr>
          <w:t>2</w:t>
        </w:r>
        <w:r>
          <w:rPr>
            <w:b/>
            <w:bCs/>
          </w:rPr>
          <w:fldChar w:fldCharType="end"/>
        </w:r>
      </w:p>
    </w:sdtContent>
  </w:sdt>
  <w:p>
    <w:pPr>
      <w:pStyle w:val="9"/>
      <w:rPr>
        <w:b/>
        <w:bCs/>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48829667"/>
      <w:docPartObj>
        <w:docPartGallery w:val="AutoText"/>
      </w:docPartObj>
    </w:sdtPr>
    <w:sdtEndPr>
      <w:rPr>
        <w:b/>
        <w:bCs/>
      </w:rPr>
    </w:sdtEndPr>
    <w:sdtContent>
      <w:p>
        <w:pPr>
          <w:pStyle w:val="9"/>
          <w:jc w:val="center"/>
          <w:rPr>
            <w:b/>
            <w:bCs/>
          </w:rPr>
        </w:pPr>
        <w:r>
          <w:rPr>
            <w:b/>
            <w:bCs/>
          </w:rPr>
          <w:fldChar w:fldCharType="begin"/>
        </w:r>
        <w:r>
          <w:rPr>
            <w:b/>
            <w:bCs/>
          </w:rPr>
          <w:instrText xml:space="preserve">PAGE   \* MERGEFORMAT</w:instrText>
        </w:r>
        <w:r>
          <w:rPr>
            <w:b/>
            <w:bCs/>
          </w:rPr>
          <w:fldChar w:fldCharType="separate"/>
        </w:r>
        <w:r>
          <w:rPr>
            <w:b/>
            <w:bCs/>
            <w:lang w:val="zh-CN"/>
          </w:rPr>
          <w:t>2</w:t>
        </w:r>
        <w:r>
          <w:rPr>
            <w:b/>
            <w:bCs/>
          </w:rPr>
          <w:fldChar w:fldCharType="end"/>
        </w:r>
      </w:p>
    </w:sdtContent>
  </w:sdt>
  <w:p>
    <w:pPr>
      <w:pStyle w:val="9"/>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jc w:val="center"/>
      <w:rPr>
        <w:rFonts w:ascii="Arial" w:hAnsi="Arial" w:cs="Arial"/>
        <w:sz w:val="18"/>
        <w:szCs w:val="18"/>
      </w:rPr>
    </w:pPr>
    <w:r>
      <w:rPr>
        <w:rFonts w:ascii="Arial" w:hAnsi="Arial" w:cs="Arial"/>
        <w:sz w:val="18"/>
        <w:szCs w:val="18"/>
      </w:rPr>
      <w:t>Research on how "I am a singer" making marketing communication by Weibo</w:t>
    </w:r>
  </w:p>
  <w:p>
    <w:pPr>
      <w:pStyle w:val="10"/>
      <w:pBdr>
        <w:bottom w:val="single" w:color="auto" w:sz="4" w:space="1"/>
      </w:pBdr>
      <w:jc w:val="both"/>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0CA23B2"/>
    <w:multiLevelType w:val="multilevel"/>
    <w:tmpl w:val="50CA23B2"/>
    <w:lvl w:ilvl="0" w:tentative="0">
      <w:start w:val="1"/>
      <w:numFmt w:val="decimal"/>
      <w:lvlText w:val="%1."/>
      <w:lvlJc w:val="left"/>
      <w:pPr>
        <w:ind w:left="425" w:hanging="425"/>
      </w:pPr>
    </w:lvl>
    <w:lvl w:ilvl="1" w:tentative="0">
      <w:start w:val="1"/>
      <w:numFmt w:val="decimal"/>
      <w:lvlText w:val="%1.%2."/>
      <w:lvlJc w:val="left"/>
      <w:pPr>
        <w:ind w:left="567" w:hanging="567"/>
      </w:pPr>
    </w:lvl>
    <w:lvl w:ilvl="2" w:tentative="0">
      <w:start w:val="1"/>
      <w:numFmt w:val="decimal"/>
      <w:lvlText w:val="%1.%2.%3."/>
      <w:lvlJc w:val="left"/>
      <w:pPr>
        <w:ind w:left="709" w:hanging="709"/>
      </w:pPr>
    </w:lvl>
    <w:lvl w:ilvl="3" w:tentative="0">
      <w:start w:val="1"/>
      <w:numFmt w:val="decimal"/>
      <w:lvlText w:val="%1.%2.%3.%4."/>
      <w:lvlJc w:val="left"/>
      <w:pPr>
        <w:ind w:left="851" w:hanging="851"/>
      </w:pPr>
    </w:lvl>
    <w:lvl w:ilvl="4" w:tentative="0">
      <w:start w:val="1"/>
      <w:numFmt w:val="decimal"/>
      <w:lvlText w:val="%1.%2.%3.%4.%5."/>
      <w:lvlJc w:val="left"/>
      <w:pPr>
        <w:ind w:left="992" w:hanging="992"/>
      </w:pPr>
    </w:lvl>
    <w:lvl w:ilvl="5" w:tentative="0">
      <w:start w:val="1"/>
      <w:numFmt w:val="decimal"/>
      <w:lvlText w:val="%1.%2.%3.%4.%5.%6."/>
      <w:lvlJc w:val="left"/>
      <w:pPr>
        <w:ind w:left="1134" w:hanging="1134"/>
      </w:pPr>
    </w:lvl>
    <w:lvl w:ilvl="6" w:tentative="0">
      <w:start w:val="1"/>
      <w:numFmt w:val="decimal"/>
      <w:lvlText w:val="%1.%2.%3.%4.%5.%6.%7."/>
      <w:lvlJc w:val="left"/>
      <w:pPr>
        <w:ind w:left="1276" w:hanging="1276"/>
      </w:pPr>
    </w:lvl>
    <w:lvl w:ilvl="7" w:tentative="0">
      <w:start w:val="1"/>
      <w:numFmt w:val="decimal"/>
      <w:lvlText w:val="%1.%2.%3.%4.%5.%6.%7.%8."/>
      <w:lvlJc w:val="left"/>
      <w:pPr>
        <w:ind w:left="1418" w:hanging="1418"/>
      </w:pPr>
    </w:lvl>
    <w:lvl w:ilvl="8" w:tentative="0">
      <w:start w:val="1"/>
      <w:numFmt w:val="decimal"/>
      <w:lvlText w:val="%1.%2.%3.%4.%5.%6.%7.%8.%9."/>
      <w:lvlJc w:val="left"/>
      <w:pPr>
        <w:ind w:left="1559" w:hanging="1559"/>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hideSpellingErrors/>
  <w:hideGrammaticalErrors/>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LMwMjM0NDAzNbY0MjdW0lEKTi0uzszPAykwqgUArmdtoCwAAAA="/>
    <w:docVar w:name="commondata" w:val="eyJoZGlkIjoiYjI1YzQzM2IxOTQ3OGU3N2U2NzFmNTliZmQwNWY0OWYifQ=="/>
  </w:docVars>
  <w:rsids>
    <w:rsidRoot w:val="00CD11BD"/>
    <w:rsid w:val="00073595"/>
    <w:rsid w:val="000E0282"/>
    <w:rsid w:val="0011489A"/>
    <w:rsid w:val="00114AB0"/>
    <w:rsid w:val="0018402E"/>
    <w:rsid w:val="00222F9A"/>
    <w:rsid w:val="0026757A"/>
    <w:rsid w:val="002B50B8"/>
    <w:rsid w:val="002E1DA9"/>
    <w:rsid w:val="00392100"/>
    <w:rsid w:val="004100DA"/>
    <w:rsid w:val="004D2B28"/>
    <w:rsid w:val="00556DF7"/>
    <w:rsid w:val="005B044D"/>
    <w:rsid w:val="0065303C"/>
    <w:rsid w:val="006B679C"/>
    <w:rsid w:val="006C08E9"/>
    <w:rsid w:val="006D34E8"/>
    <w:rsid w:val="007306A4"/>
    <w:rsid w:val="007A193B"/>
    <w:rsid w:val="00823DA9"/>
    <w:rsid w:val="00827275"/>
    <w:rsid w:val="0083721E"/>
    <w:rsid w:val="008452C1"/>
    <w:rsid w:val="008943E8"/>
    <w:rsid w:val="008E476F"/>
    <w:rsid w:val="008F3530"/>
    <w:rsid w:val="009A0D8C"/>
    <w:rsid w:val="009C721B"/>
    <w:rsid w:val="00A27C40"/>
    <w:rsid w:val="00A52BC6"/>
    <w:rsid w:val="00AC6397"/>
    <w:rsid w:val="00AD023F"/>
    <w:rsid w:val="00C10192"/>
    <w:rsid w:val="00C14591"/>
    <w:rsid w:val="00C234F5"/>
    <w:rsid w:val="00C2478E"/>
    <w:rsid w:val="00C45FA2"/>
    <w:rsid w:val="00C87F4A"/>
    <w:rsid w:val="00CD11BD"/>
    <w:rsid w:val="00D327EA"/>
    <w:rsid w:val="00D74622"/>
    <w:rsid w:val="00DC392B"/>
    <w:rsid w:val="00E0468E"/>
    <w:rsid w:val="00E61725"/>
    <w:rsid w:val="00F5256A"/>
    <w:rsid w:val="00FA025B"/>
    <w:rsid w:val="00FB72EA"/>
    <w:rsid w:val="00FD5D04"/>
    <w:rsid w:val="00FE393B"/>
    <w:rsid w:val="55A43E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qFormat="1" w:unhideWhenUsed="0" w:uiPriority="0" w:semiHidden="0"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0" w:semiHidden="0"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qFormat="1" w:uiPriority="99" w:semiHidden="0" w:name="HTML Cite"/>
    <w:lsdException w:qFormat="1" w:uiPriority="99" w:semiHidden="0" w:name="HTML Code"/>
    <w:lsdException w:qFormat="1" w:uiPriority="99" w:semiHidden="0" w:name="HTML Definition"/>
    <w:lsdException w:qFormat="1" w:uiPriority="99" w:semiHidden="0" w:name="HTML Keyboard"/>
    <w:lsdException w:uiPriority="99" w:name="HTML Preformatted"/>
    <w:lsdException w:qFormat="1" w:uiPriority="99" w:semiHidden="0" w:name="HTML Sample"/>
    <w:lsdException w:uiPriority="99" w:name="HTML Typewriter"/>
    <w:lsdException w:qFormat="1" w:uiPriority="99" w:semiHidden="0" w:name="HTML Variable"/>
    <w:lsdException w:uiPriority="99" w:name="Normal Table"/>
    <w:lsdException w:qFormat="1"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semiHidden="0"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1"/>
      <w:szCs w:val="22"/>
      <w:lang w:val="en-US" w:eastAsia="zh-CN" w:bidi="ar-SA"/>
    </w:rPr>
  </w:style>
  <w:style w:type="paragraph" w:styleId="2">
    <w:name w:val="heading 1"/>
    <w:basedOn w:val="1"/>
    <w:next w:val="1"/>
    <w:link w:val="33"/>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34"/>
    <w:qFormat/>
    <w:uiPriority w:val="9"/>
    <w:pPr>
      <w:keepNext/>
      <w:keepLines/>
      <w:spacing w:before="260" w:after="260" w:line="416" w:lineRule="auto"/>
      <w:outlineLvl w:val="1"/>
    </w:pPr>
    <w:rPr>
      <w:rFonts w:ascii="等线 Light" w:hAnsi="等线 Light" w:eastAsia="等线 Light"/>
      <w:b/>
      <w:bCs/>
      <w:sz w:val="32"/>
      <w:szCs w:val="32"/>
    </w:rPr>
  </w:style>
  <w:style w:type="paragraph" w:styleId="4">
    <w:name w:val="heading 3"/>
    <w:basedOn w:val="1"/>
    <w:next w:val="1"/>
    <w:link w:val="35"/>
    <w:qFormat/>
    <w:uiPriority w:val="9"/>
    <w:pPr>
      <w:keepNext/>
      <w:keepLines/>
      <w:spacing w:before="260" w:after="260" w:line="416" w:lineRule="auto"/>
      <w:outlineLvl w:val="2"/>
    </w:pPr>
    <w:rPr>
      <w:b/>
      <w:bCs/>
      <w:sz w:val="32"/>
      <w:szCs w:val="32"/>
    </w:rPr>
  </w:style>
  <w:style w:type="character" w:default="1" w:styleId="19">
    <w:name w:val="Default Paragraph Font"/>
    <w:semiHidden/>
    <w:unhideWhenUsed/>
    <w:uiPriority w:val="1"/>
  </w:style>
  <w:style w:type="table" w:default="1" w:styleId="17">
    <w:name w:val="Normal Table"/>
    <w:semiHidden/>
    <w:unhideWhenUsed/>
    <w:uiPriority w:val="99"/>
    <w:tblPr>
      <w:tblCellMar>
        <w:top w:w="0" w:type="dxa"/>
        <w:left w:w="108" w:type="dxa"/>
        <w:bottom w:w="0" w:type="dxa"/>
        <w:right w:w="108" w:type="dxa"/>
      </w:tblCellMar>
    </w:tblPr>
  </w:style>
  <w:style w:type="paragraph" w:styleId="5">
    <w:name w:val="annotation text"/>
    <w:basedOn w:val="1"/>
    <w:link w:val="36"/>
    <w:unhideWhenUsed/>
    <w:qFormat/>
    <w:uiPriority w:val="99"/>
    <w:pPr>
      <w:jc w:val="left"/>
    </w:pPr>
  </w:style>
  <w:style w:type="paragraph" w:styleId="6">
    <w:name w:val="Body Text Indent"/>
    <w:basedOn w:val="1"/>
    <w:link w:val="37"/>
    <w:qFormat/>
    <w:uiPriority w:val="0"/>
    <w:pPr>
      <w:spacing w:after="120"/>
      <w:ind w:left="420" w:leftChars="200"/>
    </w:pPr>
  </w:style>
  <w:style w:type="paragraph" w:styleId="7">
    <w:name w:val="toc 3"/>
    <w:basedOn w:val="1"/>
    <w:next w:val="1"/>
    <w:unhideWhenUsed/>
    <w:qFormat/>
    <w:uiPriority w:val="39"/>
    <w:pPr>
      <w:ind w:left="840" w:leftChars="400"/>
    </w:pPr>
  </w:style>
  <w:style w:type="paragraph" w:styleId="8">
    <w:name w:val="Balloon Text"/>
    <w:basedOn w:val="1"/>
    <w:link w:val="38"/>
    <w:unhideWhenUsed/>
    <w:qFormat/>
    <w:uiPriority w:val="99"/>
    <w:rPr>
      <w:sz w:val="18"/>
      <w:szCs w:val="18"/>
    </w:rPr>
  </w:style>
  <w:style w:type="paragraph" w:styleId="9">
    <w:name w:val="footer"/>
    <w:basedOn w:val="1"/>
    <w:link w:val="32"/>
    <w:unhideWhenUsed/>
    <w:qFormat/>
    <w:uiPriority w:val="99"/>
    <w:pPr>
      <w:tabs>
        <w:tab w:val="center" w:pos="4513"/>
        <w:tab w:val="right" w:pos="9026"/>
      </w:tabs>
      <w:snapToGrid w:val="0"/>
      <w:jc w:val="left"/>
    </w:pPr>
    <w:rPr>
      <w:sz w:val="18"/>
      <w:szCs w:val="18"/>
    </w:rPr>
  </w:style>
  <w:style w:type="paragraph" w:styleId="10">
    <w:name w:val="header"/>
    <w:basedOn w:val="1"/>
    <w:link w:val="31"/>
    <w:unhideWhenUsed/>
    <w:qFormat/>
    <w:uiPriority w:val="99"/>
    <w:pPr>
      <w:pBdr>
        <w:bottom w:val="single" w:color="auto" w:sz="6" w:space="1"/>
      </w:pBdr>
      <w:tabs>
        <w:tab w:val="center" w:pos="4513"/>
        <w:tab w:val="right" w:pos="9026"/>
      </w:tabs>
      <w:snapToGrid w:val="0"/>
      <w:jc w:val="center"/>
    </w:pPr>
    <w:rPr>
      <w:sz w:val="18"/>
      <w:szCs w:val="18"/>
    </w:rPr>
  </w:style>
  <w:style w:type="paragraph" w:styleId="11">
    <w:name w:val="toc 1"/>
    <w:basedOn w:val="1"/>
    <w:next w:val="1"/>
    <w:unhideWhenUsed/>
    <w:qFormat/>
    <w:uiPriority w:val="39"/>
  </w:style>
  <w:style w:type="paragraph" w:styleId="12">
    <w:name w:val="toc 2"/>
    <w:basedOn w:val="1"/>
    <w:next w:val="1"/>
    <w:unhideWhenUsed/>
    <w:qFormat/>
    <w:uiPriority w:val="39"/>
    <w:pPr>
      <w:ind w:left="420" w:leftChars="200"/>
    </w:pPr>
  </w:style>
  <w:style w:type="paragraph" w:styleId="13">
    <w:name w:val="Body Text 2"/>
    <w:basedOn w:val="1"/>
    <w:link w:val="39"/>
    <w:qFormat/>
    <w:uiPriority w:val="0"/>
    <w:pPr>
      <w:widowControl/>
      <w:jc w:val="left"/>
    </w:pPr>
    <w:rPr>
      <w:rFonts w:ascii="Arial" w:hAnsi="Arial" w:eastAsia="Times New Roman" w:cs="Arial"/>
      <w:kern w:val="0"/>
      <w:sz w:val="16"/>
      <w:lang w:val="en-AU" w:eastAsia="en-US"/>
    </w:rPr>
  </w:style>
  <w:style w:type="paragraph" w:styleId="14">
    <w:name w:val="Normal (Web)"/>
    <w:basedOn w:val="1"/>
    <w:unhideWhenUsed/>
    <w:qFormat/>
    <w:uiPriority w:val="99"/>
    <w:pPr>
      <w:widowControl/>
      <w:spacing w:before="100" w:beforeAutospacing="1" w:after="100" w:afterAutospacing="1"/>
      <w:jc w:val="left"/>
    </w:pPr>
    <w:rPr>
      <w:rFonts w:ascii="宋体" w:hAnsi="宋体" w:cs="宋体"/>
      <w:kern w:val="0"/>
      <w:sz w:val="24"/>
      <w:szCs w:val="24"/>
    </w:rPr>
  </w:style>
  <w:style w:type="paragraph" w:styleId="15">
    <w:name w:val="Title"/>
    <w:basedOn w:val="1"/>
    <w:link w:val="40"/>
    <w:qFormat/>
    <w:uiPriority w:val="0"/>
    <w:pPr>
      <w:widowControl/>
      <w:spacing w:before="240" w:after="60"/>
      <w:jc w:val="center"/>
      <w:outlineLvl w:val="0"/>
    </w:pPr>
    <w:rPr>
      <w:rFonts w:ascii="Arial" w:hAnsi="Arial" w:eastAsia="Times New Roman" w:cs="Arial"/>
      <w:b/>
      <w:bCs/>
      <w:kern w:val="28"/>
      <w:sz w:val="32"/>
      <w:szCs w:val="32"/>
      <w:lang w:eastAsia="en-US"/>
    </w:rPr>
  </w:style>
  <w:style w:type="paragraph" w:styleId="16">
    <w:name w:val="annotation subject"/>
    <w:basedOn w:val="5"/>
    <w:next w:val="5"/>
    <w:link w:val="41"/>
    <w:unhideWhenUsed/>
    <w:qFormat/>
    <w:uiPriority w:val="99"/>
    <w:rPr>
      <w:b/>
      <w:bCs/>
    </w:rPr>
  </w:style>
  <w:style w:type="table" w:styleId="18">
    <w:name w:val="Table Grid"/>
    <w:basedOn w:val="17"/>
    <w:qFormat/>
    <w:uiPriority w:val="39"/>
    <w:rPr>
      <w:rFonts w:ascii="Times New Roman" w:hAnsi="Times New Roman" w:eastAsia="宋体" w:cs="Times New Roman"/>
      <w:kern w:val="0"/>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0">
    <w:name w:val="Strong"/>
    <w:qFormat/>
    <w:uiPriority w:val="22"/>
    <w:rPr>
      <w:b/>
    </w:rPr>
  </w:style>
  <w:style w:type="character" w:styleId="21">
    <w:name w:val="FollowedHyperlink"/>
    <w:unhideWhenUsed/>
    <w:qFormat/>
    <w:uiPriority w:val="99"/>
    <w:rPr>
      <w:color w:val="954F72"/>
      <w:u w:val="single"/>
    </w:rPr>
  </w:style>
  <w:style w:type="character" w:styleId="22">
    <w:name w:val="Emphasis"/>
    <w:qFormat/>
    <w:uiPriority w:val="20"/>
  </w:style>
  <w:style w:type="character" w:styleId="23">
    <w:name w:val="HTML Definition"/>
    <w:unhideWhenUsed/>
    <w:qFormat/>
    <w:uiPriority w:val="99"/>
  </w:style>
  <w:style w:type="character" w:styleId="24">
    <w:name w:val="HTML Variable"/>
    <w:unhideWhenUsed/>
    <w:qFormat/>
    <w:uiPriority w:val="99"/>
  </w:style>
  <w:style w:type="character" w:styleId="25">
    <w:name w:val="Hyperlink"/>
    <w:unhideWhenUsed/>
    <w:qFormat/>
    <w:uiPriority w:val="99"/>
    <w:rPr>
      <w:color w:val="338DE6"/>
      <w:u w:val="none"/>
    </w:rPr>
  </w:style>
  <w:style w:type="character" w:styleId="26">
    <w:name w:val="HTML Code"/>
    <w:unhideWhenUsed/>
    <w:qFormat/>
    <w:uiPriority w:val="99"/>
    <w:rPr>
      <w:rFonts w:hint="default" w:ascii="serif" w:hAnsi="serif" w:eastAsia="serif" w:cs="serif"/>
      <w:sz w:val="21"/>
      <w:szCs w:val="21"/>
    </w:rPr>
  </w:style>
  <w:style w:type="character" w:styleId="27">
    <w:name w:val="annotation reference"/>
    <w:unhideWhenUsed/>
    <w:qFormat/>
    <w:uiPriority w:val="99"/>
    <w:rPr>
      <w:sz w:val="21"/>
      <w:szCs w:val="21"/>
    </w:rPr>
  </w:style>
  <w:style w:type="character" w:styleId="28">
    <w:name w:val="HTML Cite"/>
    <w:unhideWhenUsed/>
    <w:qFormat/>
    <w:uiPriority w:val="99"/>
  </w:style>
  <w:style w:type="character" w:styleId="29">
    <w:name w:val="HTML Keyboard"/>
    <w:unhideWhenUsed/>
    <w:qFormat/>
    <w:uiPriority w:val="99"/>
    <w:rPr>
      <w:rFonts w:hint="default" w:ascii="serif" w:hAnsi="serif" w:eastAsia="serif" w:cs="serif"/>
      <w:sz w:val="21"/>
      <w:szCs w:val="21"/>
    </w:rPr>
  </w:style>
  <w:style w:type="character" w:styleId="30">
    <w:name w:val="HTML Sample"/>
    <w:unhideWhenUsed/>
    <w:qFormat/>
    <w:uiPriority w:val="99"/>
    <w:rPr>
      <w:rFonts w:ascii="serif" w:hAnsi="serif" w:eastAsia="serif" w:cs="serif"/>
      <w:sz w:val="21"/>
      <w:szCs w:val="21"/>
    </w:rPr>
  </w:style>
  <w:style w:type="character" w:customStyle="1" w:styleId="31">
    <w:name w:val="页眉 字符"/>
    <w:basedOn w:val="19"/>
    <w:link w:val="10"/>
    <w:uiPriority w:val="99"/>
    <w:rPr>
      <w:sz w:val="18"/>
      <w:szCs w:val="18"/>
      <w:lang w:val="en-GB"/>
    </w:rPr>
  </w:style>
  <w:style w:type="character" w:customStyle="1" w:styleId="32">
    <w:name w:val="页脚 字符"/>
    <w:basedOn w:val="19"/>
    <w:link w:val="9"/>
    <w:qFormat/>
    <w:uiPriority w:val="99"/>
    <w:rPr>
      <w:sz w:val="18"/>
      <w:szCs w:val="18"/>
      <w:lang w:val="en-GB"/>
    </w:rPr>
  </w:style>
  <w:style w:type="character" w:customStyle="1" w:styleId="33">
    <w:name w:val="标题 1 字符"/>
    <w:basedOn w:val="19"/>
    <w:link w:val="2"/>
    <w:qFormat/>
    <w:uiPriority w:val="9"/>
    <w:rPr>
      <w:rFonts w:ascii="Times New Roman" w:hAnsi="Times New Roman" w:eastAsia="宋体" w:cs="Times New Roman"/>
      <w:b/>
      <w:bCs/>
      <w:kern w:val="44"/>
      <w:sz w:val="44"/>
      <w:szCs w:val="44"/>
    </w:rPr>
  </w:style>
  <w:style w:type="character" w:customStyle="1" w:styleId="34">
    <w:name w:val="标题 2 字符"/>
    <w:basedOn w:val="19"/>
    <w:link w:val="3"/>
    <w:qFormat/>
    <w:uiPriority w:val="9"/>
    <w:rPr>
      <w:rFonts w:ascii="等线 Light" w:hAnsi="等线 Light" w:eastAsia="等线 Light" w:cs="Times New Roman"/>
      <w:b/>
      <w:bCs/>
      <w:sz w:val="32"/>
      <w:szCs w:val="32"/>
    </w:rPr>
  </w:style>
  <w:style w:type="character" w:customStyle="1" w:styleId="35">
    <w:name w:val="标题 3 字符"/>
    <w:basedOn w:val="19"/>
    <w:link w:val="4"/>
    <w:qFormat/>
    <w:uiPriority w:val="9"/>
    <w:rPr>
      <w:rFonts w:ascii="Times New Roman" w:hAnsi="Times New Roman" w:eastAsia="宋体" w:cs="Times New Roman"/>
      <w:b/>
      <w:bCs/>
      <w:sz w:val="32"/>
      <w:szCs w:val="32"/>
    </w:rPr>
  </w:style>
  <w:style w:type="character" w:customStyle="1" w:styleId="36">
    <w:name w:val="批注文字 字符"/>
    <w:basedOn w:val="19"/>
    <w:link w:val="5"/>
    <w:qFormat/>
    <w:uiPriority w:val="99"/>
    <w:rPr>
      <w:rFonts w:ascii="Times New Roman" w:hAnsi="Times New Roman" w:eastAsia="宋体" w:cs="Times New Roman"/>
    </w:rPr>
  </w:style>
  <w:style w:type="character" w:customStyle="1" w:styleId="37">
    <w:name w:val="正文文本缩进 字符"/>
    <w:basedOn w:val="19"/>
    <w:link w:val="6"/>
    <w:qFormat/>
    <w:uiPriority w:val="0"/>
    <w:rPr>
      <w:rFonts w:ascii="Times New Roman" w:hAnsi="Times New Roman" w:eastAsia="宋体" w:cs="Times New Roman"/>
    </w:rPr>
  </w:style>
  <w:style w:type="character" w:customStyle="1" w:styleId="38">
    <w:name w:val="批注框文本 字符"/>
    <w:basedOn w:val="19"/>
    <w:link w:val="8"/>
    <w:qFormat/>
    <w:uiPriority w:val="99"/>
    <w:rPr>
      <w:rFonts w:ascii="Times New Roman" w:hAnsi="Times New Roman" w:eastAsia="宋体" w:cs="Times New Roman"/>
      <w:sz w:val="18"/>
      <w:szCs w:val="18"/>
    </w:rPr>
  </w:style>
  <w:style w:type="character" w:customStyle="1" w:styleId="39">
    <w:name w:val="正文文本 2 字符"/>
    <w:basedOn w:val="19"/>
    <w:link w:val="13"/>
    <w:qFormat/>
    <w:uiPriority w:val="0"/>
    <w:rPr>
      <w:rFonts w:ascii="Arial" w:hAnsi="Arial" w:eastAsia="Times New Roman" w:cs="Arial"/>
      <w:kern w:val="0"/>
      <w:sz w:val="16"/>
      <w:lang w:val="en-AU" w:eastAsia="en-US"/>
    </w:rPr>
  </w:style>
  <w:style w:type="character" w:customStyle="1" w:styleId="40">
    <w:name w:val="标题 字符"/>
    <w:basedOn w:val="19"/>
    <w:link w:val="15"/>
    <w:qFormat/>
    <w:uiPriority w:val="0"/>
    <w:rPr>
      <w:rFonts w:ascii="Arial" w:hAnsi="Arial" w:eastAsia="Times New Roman" w:cs="Arial"/>
      <w:b/>
      <w:bCs/>
      <w:kern w:val="28"/>
      <w:sz w:val="32"/>
      <w:szCs w:val="32"/>
      <w:lang w:eastAsia="en-US"/>
    </w:rPr>
  </w:style>
  <w:style w:type="character" w:customStyle="1" w:styleId="41">
    <w:name w:val="批注主题 字符"/>
    <w:basedOn w:val="36"/>
    <w:link w:val="16"/>
    <w:qFormat/>
    <w:uiPriority w:val="99"/>
    <w:rPr>
      <w:rFonts w:ascii="Times New Roman" w:hAnsi="Times New Roman" w:eastAsia="宋体" w:cs="Times New Roman"/>
      <w:b/>
      <w:bCs/>
    </w:rPr>
  </w:style>
  <w:style w:type="character" w:customStyle="1" w:styleId="42">
    <w:name w:val="datetime1"/>
    <w:qFormat/>
    <w:uiPriority w:val="0"/>
    <w:rPr>
      <w:color w:val="999999"/>
    </w:rPr>
  </w:style>
  <w:style w:type="character" w:customStyle="1" w:styleId="43">
    <w:name w:val="datetime"/>
    <w:qFormat/>
    <w:uiPriority w:val="0"/>
  </w:style>
  <w:style w:type="character" w:customStyle="1" w:styleId="44">
    <w:name w:val="desc3"/>
    <w:qFormat/>
    <w:uiPriority w:val="0"/>
    <w:rPr>
      <w:color w:val="000000"/>
      <w:sz w:val="12"/>
      <w:szCs w:val="12"/>
    </w:rPr>
  </w:style>
  <w:style w:type="character" w:customStyle="1" w:styleId="45">
    <w:name w:val="fontstrikethrough"/>
    <w:qFormat/>
    <w:uiPriority w:val="0"/>
    <w:rPr>
      <w:strike/>
    </w:rPr>
  </w:style>
  <w:style w:type="character" w:customStyle="1" w:styleId="46">
    <w:name w:val="fwajaxicon"/>
    <w:qFormat/>
    <w:uiPriority w:val="0"/>
  </w:style>
  <w:style w:type="character" w:customStyle="1" w:styleId="47">
    <w:name w:val="fwajaxinfo"/>
    <w:qFormat/>
    <w:uiPriority w:val="0"/>
    <w:rPr>
      <w:color w:val="000000"/>
    </w:rPr>
  </w:style>
  <w:style w:type="character" w:customStyle="1" w:styleId="48">
    <w:name w:val="hover19"/>
    <w:qFormat/>
    <w:uiPriority w:val="0"/>
    <w:rPr>
      <w:color w:val="000000"/>
      <w:shd w:val="clear" w:color="auto" w:fill="FFFFFF"/>
    </w:rPr>
  </w:style>
  <w:style w:type="character" w:customStyle="1" w:styleId="49">
    <w:name w:val="fontborder"/>
    <w:qFormat/>
    <w:uiPriority w:val="0"/>
    <w:rPr>
      <w:bdr w:val="single" w:color="000000" w:sz="4" w:space="0"/>
    </w:rPr>
  </w:style>
  <w:style w:type="paragraph" w:customStyle="1" w:styleId="50">
    <w:name w:val="desc"/>
    <w:basedOn w:val="1"/>
    <w:qFormat/>
    <w:uiPriority w:val="0"/>
    <w:pPr>
      <w:jc w:val="left"/>
    </w:pPr>
    <w:rPr>
      <w:kern w:val="0"/>
    </w:rPr>
  </w:style>
  <w:style w:type="paragraph" w:customStyle="1" w:styleId="51">
    <w:name w:val="WPSOffice手动目录 2"/>
    <w:qFormat/>
    <w:uiPriority w:val="0"/>
    <w:pPr>
      <w:ind w:left="200" w:leftChars="200"/>
    </w:pPr>
    <w:rPr>
      <w:rFonts w:ascii="Times New Roman" w:hAnsi="Times New Roman" w:eastAsia="宋体" w:cs="Times New Roman"/>
      <w:kern w:val="0"/>
      <w:sz w:val="20"/>
      <w:szCs w:val="20"/>
      <w:lang w:val="en-US" w:eastAsia="zh-CN" w:bidi="ar-SA"/>
    </w:rPr>
  </w:style>
  <w:style w:type="paragraph" w:customStyle="1" w:styleId="52">
    <w:name w:val="WPSOffice手动目录 3"/>
    <w:qFormat/>
    <w:uiPriority w:val="0"/>
    <w:pPr>
      <w:ind w:left="400" w:leftChars="400"/>
    </w:pPr>
    <w:rPr>
      <w:rFonts w:ascii="Times New Roman" w:hAnsi="Times New Roman" w:eastAsia="宋体" w:cs="Times New Roman"/>
      <w:kern w:val="0"/>
      <w:sz w:val="20"/>
      <w:szCs w:val="20"/>
      <w:lang w:val="en-US" w:eastAsia="zh-CN" w:bidi="ar-SA"/>
    </w:rPr>
  </w:style>
  <w:style w:type="paragraph" w:customStyle="1" w:styleId="53">
    <w:name w:val="Major Table Text"/>
    <w:basedOn w:val="1"/>
    <w:qFormat/>
    <w:uiPriority w:val="0"/>
    <w:pPr>
      <w:widowControl/>
      <w:spacing w:before="60" w:after="60"/>
      <w:jc w:val="left"/>
    </w:pPr>
    <w:rPr>
      <w:rFonts w:ascii="Palatino" w:hAnsi="Palatino" w:eastAsia="Times New Roman"/>
      <w:kern w:val="0"/>
      <w:sz w:val="18"/>
      <w:szCs w:val="20"/>
      <w:lang w:val="en-AU" w:eastAsia="en-US"/>
    </w:rPr>
  </w:style>
  <w:style w:type="paragraph" w:customStyle="1" w:styleId="54">
    <w:name w:val="desc2"/>
    <w:basedOn w:val="1"/>
    <w:qFormat/>
    <w:uiPriority w:val="0"/>
    <w:pPr>
      <w:spacing w:before="20" w:line="160" w:lineRule="atLeast"/>
      <w:jc w:val="center"/>
    </w:pPr>
    <w:rPr>
      <w:color w:val="000000"/>
      <w:kern w:val="0"/>
      <w:sz w:val="12"/>
      <w:szCs w:val="12"/>
    </w:rPr>
  </w:style>
  <w:style w:type="paragraph" w:styleId="55">
    <w:name w:val="List Paragraph"/>
    <w:basedOn w:val="1"/>
    <w:qFormat/>
    <w:uiPriority w:val="34"/>
    <w:pPr>
      <w:ind w:firstLine="420" w:firstLineChars="200"/>
    </w:pPr>
    <w:rPr>
      <w:rFonts w:ascii="Calibri" w:hAnsi="Calibri"/>
    </w:rPr>
  </w:style>
  <w:style w:type="paragraph" w:customStyle="1" w:styleId="56">
    <w:name w:val="Major L2 Text"/>
    <w:basedOn w:val="1"/>
    <w:qFormat/>
    <w:uiPriority w:val="0"/>
    <w:pPr>
      <w:widowControl/>
      <w:spacing w:after="360" w:line="360" w:lineRule="auto"/>
      <w:jc w:val="left"/>
    </w:pPr>
    <w:rPr>
      <w:rFonts w:ascii="Palatino" w:hAnsi="Palatino" w:eastAsia="Times New Roman"/>
      <w:kern w:val="0"/>
      <w:sz w:val="20"/>
      <w:szCs w:val="20"/>
      <w:lang w:val="en-AU" w:eastAsia="en-US"/>
    </w:rPr>
  </w:style>
  <w:style w:type="paragraph" w:customStyle="1" w:styleId="57">
    <w:name w:val="WPSOffice手动目录 1"/>
    <w:qFormat/>
    <w:uiPriority w:val="0"/>
    <w:rPr>
      <w:rFonts w:ascii="Times New Roman" w:hAnsi="Times New Roman" w:eastAsia="宋体" w:cs="Times New Roman"/>
      <w:kern w:val="0"/>
      <w:sz w:val="20"/>
      <w:szCs w:val="20"/>
      <w:lang w:val="en-US" w:eastAsia="zh-CN" w:bidi="ar-SA"/>
    </w:rPr>
  </w:style>
  <w:style w:type="paragraph" w:customStyle="1" w:styleId="58">
    <w:name w:val="EndNote Bibliography Title"/>
    <w:basedOn w:val="1"/>
    <w:link w:val="59"/>
    <w:uiPriority w:val="0"/>
    <w:pPr>
      <w:jc w:val="center"/>
    </w:pPr>
    <w:rPr>
      <w:sz w:val="20"/>
    </w:rPr>
  </w:style>
  <w:style w:type="character" w:customStyle="1" w:styleId="59">
    <w:name w:val="EndNote Bibliography Title 字符"/>
    <w:link w:val="58"/>
    <w:uiPriority w:val="0"/>
    <w:rPr>
      <w:rFonts w:ascii="Times New Roman" w:hAnsi="Times New Roman" w:eastAsia="宋体" w:cs="Times New Roman"/>
      <w:sz w:val="20"/>
      <w:lang w:val="en-US" w:eastAsia="zh-CN"/>
    </w:rPr>
  </w:style>
  <w:style w:type="paragraph" w:customStyle="1" w:styleId="60">
    <w:name w:val="EndNote Bibliography"/>
    <w:basedOn w:val="1"/>
    <w:link w:val="61"/>
    <w:qFormat/>
    <w:uiPriority w:val="0"/>
    <w:rPr>
      <w:sz w:val="20"/>
    </w:rPr>
  </w:style>
  <w:style w:type="character" w:customStyle="1" w:styleId="61">
    <w:name w:val="EndNote Bibliography 字符"/>
    <w:link w:val="60"/>
    <w:uiPriority w:val="0"/>
    <w:rPr>
      <w:rFonts w:ascii="Times New Roman" w:hAnsi="Times New Roman" w:eastAsia="宋体" w:cs="Times New Roman"/>
      <w:sz w:val="20"/>
      <w:lang w:val="en-US" w:eastAsia="zh-CN"/>
    </w:rPr>
  </w:style>
  <w:style w:type="character" w:customStyle="1" w:styleId="62">
    <w:name w:val="Unresolved Mention"/>
    <w:basedOn w:val="19"/>
    <w:semiHidden/>
    <w:unhideWhenUsed/>
    <w:uiPriority w:val="99"/>
    <w:rPr>
      <w:color w:val="605E5C"/>
      <w:shd w:val="clear" w:color="auto" w:fill="E1DFDD"/>
    </w:rPr>
  </w:style>
  <w:style w:type="paragraph" w:customStyle="1" w:styleId="63">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3.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6" Type="http://schemas.openxmlformats.org/officeDocument/2006/relationships/fontTable" Target="fontTable.xml"/><Relationship Id="rId25" Type="http://schemas.openxmlformats.org/officeDocument/2006/relationships/customXml" Target="../customXml/item2.xml"/><Relationship Id="rId24" Type="http://schemas.openxmlformats.org/officeDocument/2006/relationships/numbering" Target="numbering.xml"/><Relationship Id="rId23" Type="http://schemas.openxmlformats.org/officeDocument/2006/relationships/customXml" Target="../customXml/item1.xml"/><Relationship Id="rId22" Type="http://schemas.openxmlformats.org/officeDocument/2006/relationships/image" Target="media/image15.png"/><Relationship Id="rId21" Type="http://schemas.openxmlformats.org/officeDocument/2006/relationships/image" Target="media/image14.png"/><Relationship Id="rId20" Type="http://schemas.openxmlformats.org/officeDocument/2006/relationships/image" Target="media/image13.png"/><Relationship Id="rId2" Type="http://schemas.openxmlformats.org/officeDocument/2006/relationships/settings" Target="settings.xml"/><Relationship Id="rId19" Type="http://schemas.openxmlformats.org/officeDocument/2006/relationships/image" Target="media/image12.png"/><Relationship Id="rId18" Type="http://schemas.openxmlformats.org/officeDocument/2006/relationships/image" Target="media/image11.png"/><Relationship Id="rId17" Type="http://schemas.openxmlformats.org/officeDocument/2006/relationships/image" Target="media/image10.png"/><Relationship Id="rId16" Type="http://schemas.openxmlformats.org/officeDocument/2006/relationships/image" Target="media/image9.png"/><Relationship Id="rId15" Type="http://schemas.openxmlformats.org/officeDocument/2006/relationships/image" Target="media/image8.png"/><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8FC7EDB-B423-427A-AA7D-BEB75252703D}">
  <ds:schemaRefs/>
</ds:datastoreItem>
</file>

<file path=docProps/app.xml><?xml version="1.0" encoding="utf-8"?>
<Properties xmlns="http://schemas.openxmlformats.org/officeDocument/2006/extended-properties" xmlns:vt="http://schemas.openxmlformats.org/officeDocument/2006/docPropsVTypes">
  <Template>Normal.dotm</Template>
  <Pages>43</Pages>
  <Words>10360</Words>
  <Characters>55218</Characters>
  <Lines>681</Lines>
  <Paragraphs>191</Paragraphs>
  <TotalTime>567</TotalTime>
  <ScaleCrop>false</ScaleCrop>
  <LinksUpToDate>false</LinksUpToDate>
  <CharactersWithSpaces>65522</CharactersWithSpaces>
  <Application>WPS Office_11.1.0.11691_F1E327BC-269C-435d-A152-05C5408002CA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2022-05-12T10:48:00Z</dcterms:created>
  <dc:creator>JPY JPY</dc:creator>
  <cp:lastModifiedBy>A。好一个安心</cp:lastModifiedBy>
  <dcterms:modified xsi:type="dcterms:W3CDTF">2022-05-13T08:22:39Z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http://www.zotero.org/styles/apa-6th-edition</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http://www.zotero.org/styles/apa</vt:lpwstr>
  </property>
  <property fmtid="{D5CDD505-2E9C-101B-9397-08002B2CF9AE}" pid="9" name="Mendeley Recent Style Name 3_1">
    <vt:lpwstr>American Psychological Association 7th edition</vt:lpwstr>
  </property>
  <property fmtid="{D5CDD505-2E9C-101B-9397-08002B2CF9AE}" pid="10" name="Mendeley Recent Style Id 4_1">
    <vt:lpwstr>http://www.zotero.org/styles/american-sociological-association</vt:lpwstr>
  </property>
  <property fmtid="{D5CDD505-2E9C-101B-9397-08002B2CF9AE}" pid="11" name="Mendeley Recent Style Name 4_1">
    <vt:lpwstr>American Sociological Association 6th edition</vt:lpwstr>
  </property>
  <property fmtid="{D5CDD505-2E9C-101B-9397-08002B2CF9AE}" pid="12" name="Mendeley Recent Style Id 5_1">
    <vt:lpwstr>http://www.zotero.org/styles/cardiff-university-harvard</vt:lpwstr>
  </property>
  <property fmtid="{D5CDD505-2E9C-101B-9397-08002B2CF9AE}" pid="13" name="Mendeley Recent Style Name 5_1">
    <vt:lpwstr>Cardiff University - Harvard</vt:lpwstr>
  </property>
  <property fmtid="{D5CDD505-2E9C-101B-9397-08002B2CF9AE}" pid="14" name="Mendeley Recent Style Id 6_1">
    <vt:lpwstr>http://www.zotero.org/styles/chicago-author-date</vt:lpwstr>
  </property>
  <property fmtid="{D5CDD505-2E9C-101B-9397-08002B2CF9AE}" pid="15" name="Mendeley Recent Style Name 6_1">
    <vt:lpwstr>Chicago Manual of Style 17th edition (author-date)</vt:lpwstr>
  </property>
  <property fmtid="{D5CDD505-2E9C-101B-9397-08002B2CF9AE}" pid="16" name="Mendeley Recent Style Id 7_1">
    <vt:lpwstr>http://www.zotero.org/styles/harvard-cite-them-right</vt:lpwstr>
  </property>
  <property fmtid="{D5CDD505-2E9C-101B-9397-08002B2CF9AE}" pid="17" name="Mendeley Recent Style Name 7_1">
    <vt:lpwstr>Cite Them Right 10th edition - Harvard</vt:lpwstr>
  </property>
  <property fmtid="{D5CDD505-2E9C-101B-9397-08002B2CF9AE}" pid="18" name="Mendeley Recent Style Id 8_1">
    <vt:lpwstr>http://www.zotero.org/styles/harvard-coventry-university</vt:lpwstr>
  </property>
  <property fmtid="{D5CDD505-2E9C-101B-9397-08002B2CF9AE}" pid="19" name="Mendeley Recent Style Name 8_1">
    <vt:lpwstr>Coventry University - Harvard</vt:lpwstr>
  </property>
  <property fmtid="{D5CDD505-2E9C-101B-9397-08002B2CF9AE}" pid="20" name="Mendeley Recent Style Id 9_1">
    <vt:lpwstr>http://www.zotero.org/styles/ieee</vt:lpwstr>
  </property>
  <property fmtid="{D5CDD505-2E9C-101B-9397-08002B2CF9AE}" pid="21" name="Mendeley Recent Style Name 9_1">
    <vt:lpwstr>IEEE</vt:lpwstr>
  </property>
  <property fmtid="{D5CDD505-2E9C-101B-9397-08002B2CF9AE}" pid="22" name="Mendeley Citation Style_1">
    <vt:lpwstr>http://www.zotero.org/styles/apa</vt:lpwstr>
  </property>
  <property fmtid="{D5CDD505-2E9C-101B-9397-08002B2CF9AE}" pid="23" name="Mendeley Document_1">
    <vt:lpwstr>True</vt:lpwstr>
  </property>
  <property fmtid="{D5CDD505-2E9C-101B-9397-08002B2CF9AE}" pid="24" name="Mendeley Unique User Id_1">
    <vt:lpwstr>072aee80-d7c5-3866-b96b-d829895a52cf</vt:lpwstr>
  </property>
  <property fmtid="{D5CDD505-2E9C-101B-9397-08002B2CF9AE}" pid="25" name="KSOProductBuildVer">
    <vt:lpwstr>2052-11.1.0.11691</vt:lpwstr>
  </property>
  <property fmtid="{D5CDD505-2E9C-101B-9397-08002B2CF9AE}" pid="26" name="ICV">
    <vt:lpwstr>E17E24A6F15F4D93A196236365290683</vt:lpwstr>
  </property>
</Properties>
</file>