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FD882" w14:textId="77777777" w:rsidR="009C4C35" w:rsidRPr="0047190F" w:rsidRDefault="009C4C35" w:rsidP="009C4C35">
      <w:pPr>
        <w:jc w:val="center"/>
        <w:rPr>
          <w:sz w:val="36"/>
          <w:szCs w:val="36"/>
          <w:shd w:val="clear" w:color="auto" w:fill="FFFFFF"/>
        </w:rPr>
      </w:pPr>
    </w:p>
    <w:p w14:paraId="297DAA97" w14:textId="77777777" w:rsidR="009C4C35" w:rsidRDefault="009C4C35" w:rsidP="009C4C35">
      <w:pPr>
        <w:jc w:val="center"/>
        <w:rPr>
          <w:sz w:val="36"/>
          <w:szCs w:val="36"/>
          <w:shd w:val="clear" w:color="auto" w:fill="FFFFFF"/>
        </w:rPr>
      </w:pPr>
    </w:p>
    <w:p w14:paraId="6B30CBE3" w14:textId="77777777" w:rsidR="009C4C35" w:rsidRDefault="009C4C35" w:rsidP="009C4C35">
      <w:pPr>
        <w:jc w:val="center"/>
        <w:rPr>
          <w:sz w:val="36"/>
          <w:szCs w:val="36"/>
          <w:shd w:val="clear" w:color="auto" w:fill="FFFFFF"/>
        </w:rPr>
      </w:pPr>
    </w:p>
    <w:p w14:paraId="2E940155" w14:textId="77777777" w:rsidR="009C4C35" w:rsidRDefault="009C4C35" w:rsidP="009C4C35">
      <w:pPr>
        <w:jc w:val="center"/>
        <w:rPr>
          <w:sz w:val="36"/>
          <w:szCs w:val="36"/>
          <w:shd w:val="clear" w:color="auto" w:fill="FFFFFF"/>
        </w:rPr>
      </w:pPr>
    </w:p>
    <w:p w14:paraId="3351C2CD" w14:textId="11CADD2F" w:rsidR="009C4C35" w:rsidRPr="0047190F" w:rsidRDefault="009C4C35" w:rsidP="009C4C35">
      <w:pPr>
        <w:jc w:val="center"/>
        <w:rPr>
          <w:sz w:val="36"/>
          <w:szCs w:val="36"/>
          <w:shd w:val="clear" w:color="auto" w:fill="FFFFFF"/>
        </w:rPr>
      </w:pPr>
      <w:r w:rsidRPr="0047190F">
        <w:rPr>
          <w:sz w:val="36"/>
          <w:szCs w:val="36"/>
          <w:shd w:val="clear" w:color="auto" w:fill="FFFFFF"/>
        </w:rPr>
        <w:t>BA (Hons) Business Management</w:t>
      </w:r>
    </w:p>
    <w:p w14:paraId="262B4F07" w14:textId="77777777" w:rsidR="009C4C35" w:rsidRDefault="009C4C35" w:rsidP="009C4C35">
      <w:pPr>
        <w:jc w:val="center"/>
        <w:rPr>
          <w:sz w:val="36"/>
          <w:szCs w:val="36"/>
        </w:rPr>
      </w:pPr>
    </w:p>
    <w:p w14:paraId="74A1FDE7" w14:textId="761E31B9" w:rsidR="003E298E" w:rsidRDefault="003E298E" w:rsidP="003E298E">
      <w:pPr>
        <w:rPr>
          <w:rFonts w:cstheme="minorHAnsi"/>
          <w:sz w:val="28"/>
          <w:szCs w:val="28"/>
          <w:shd w:val="clear" w:color="auto" w:fill="FFFFFF"/>
        </w:rPr>
      </w:pPr>
      <w:r>
        <w:rPr>
          <w:shd w:val="clear" w:color="auto" w:fill="FFFFFF"/>
        </w:rPr>
        <w:t xml:space="preserve">                                   </w:t>
      </w:r>
      <w:r w:rsidRPr="003E298E">
        <w:rPr>
          <w:rFonts w:cstheme="minorHAnsi"/>
          <w:sz w:val="28"/>
          <w:szCs w:val="28"/>
          <w:shd w:val="clear" w:color="auto" w:fill="FFFFFF"/>
        </w:rPr>
        <w:t xml:space="preserve">Effective Marketing Strategies for UK-Based SMEs: </w:t>
      </w:r>
    </w:p>
    <w:p w14:paraId="42C36AD5" w14:textId="5FFFD52D" w:rsidR="003E298E" w:rsidRPr="003E298E" w:rsidRDefault="003E298E" w:rsidP="003E298E">
      <w:pPr>
        <w:jc w:val="center"/>
        <w:rPr>
          <w:rFonts w:cstheme="minorHAnsi"/>
          <w:sz w:val="28"/>
          <w:szCs w:val="28"/>
          <w:shd w:val="clear" w:color="auto" w:fill="FFFFFF"/>
        </w:rPr>
      </w:pPr>
      <w:r w:rsidRPr="003E298E">
        <w:rPr>
          <w:rFonts w:cstheme="minorHAnsi"/>
          <w:sz w:val="28"/>
          <w:szCs w:val="28"/>
          <w:shd w:val="clear" w:color="auto" w:fill="FFFFFF"/>
        </w:rPr>
        <w:t>A Case Study of Banham Security</w:t>
      </w:r>
    </w:p>
    <w:p w14:paraId="66837B8F" w14:textId="77777777" w:rsidR="009C4C35" w:rsidRDefault="009C4C35" w:rsidP="009C4C35">
      <w:pPr>
        <w:jc w:val="center"/>
        <w:rPr>
          <w:shd w:val="clear" w:color="auto" w:fill="FFFFFF"/>
        </w:rPr>
      </w:pPr>
    </w:p>
    <w:p w14:paraId="5D2809BE" w14:textId="77777777" w:rsidR="009C4C35" w:rsidRDefault="009C4C35" w:rsidP="009C4C35">
      <w:pPr>
        <w:jc w:val="center"/>
        <w:rPr>
          <w:shd w:val="clear" w:color="auto" w:fill="FFFFFF"/>
        </w:rPr>
      </w:pPr>
    </w:p>
    <w:p w14:paraId="640AB455" w14:textId="77777777" w:rsidR="009C4C35" w:rsidRDefault="009C4C35" w:rsidP="009C4C35">
      <w:pPr>
        <w:jc w:val="center"/>
        <w:rPr>
          <w:shd w:val="clear" w:color="auto" w:fill="FFFFFF"/>
        </w:rPr>
      </w:pPr>
    </w:p>
    <w:p w14:paraId="09B519D1" w14:textId="77777777" w:rsidR="009C4C35" w:rsidRDefault="009C4C35" w:rsidP="009C4C35">
      <w:pPr>
        <w:jc w:val="center"/>
        <w:rPr>
          <w:shd w:val="clear" w:color="auto" w:fill="FFFFFF"/>
        </w:rPr>
      </w:pPr>
    </w:p>
    <w:p w14:paraId="03AC20D9" w14:textId="77777777" w:rsidR="009C4C35" w:rsidRDefault="009C4C35" w:rsidP="009C4C35">
      <w:pPr>
        <w:jc w:val="center"/>
        <w:rPr>
          <w:shd w:val="clear" w:color="auto" w:fill="FFFFFF"/>
        </w:rPr>
      </w:pPr>
    </w:p>
    <w:p w14:paraId="7D74E7F7" w14:textId="77777777" w:rsidR="009C4C35" w:rsidRDefault="009C4C35" w:rsidP="009C4C35">
      <w:pPr>
        <w:jc w:val="center"/>
        <w:rPr>
          <w:shd w:val="clear" w:color="auto" w:fill="FFFFFF"/>
        </w:rPr>
      </w:pPr>
    </w:p>
    <w:p w14:paraId="08F3E558" w14:textId="77777777" w:rsidR="009C4C35" w:rsidRDefault="009C4C35" w:rsidP="009C4C35">
      <w:pPr>
        <w:jc w:val="center"/>
        <w:rPr>
          <w:shd w:val="clear" w:color="auto" w:fill="FFFFFF"/>
        </w:rPr>
      </w:pPr>
    </w:p>
    <w:p w14:paraId="0FB22921" w14:textId="77777777" w:rsidR="009C4C35" w:rsidRDefault="009C4C35" w:rsidP="009C4C35">
      <w:pPr>
        <w:jc w:val="center"/>
        <w:rPr>
          <w:shd w:val="clear" w:color="auto" w:fill="FFFFFF"/>
        </w:rPr>
      </w:pPr>
    </w:p>
    <w:p w14:paraId="40E08764" w14:textId="77777777" w:rsidR="009C4C35" w:rsidRDefault="009C4C35" w:rsidP="009C4C35">
      <w:pPr>
        <w:jc w:val="center"/>
        <w:rPr>
          <w:shd w:val="clear" w:color="auto" w:fill="FFFFFF"/>
        </w:rPr>
      </w:pPr>
    </w:p>
    <w:p w14:paraId="00B6EE35" w14:textId="77777777" w:rsidR="009C4C35" w:rsidRDefault="009C4C35" w:rsidP="009C4C35">
      <w:pPr>
        <w:jc w:val="center"/>
        <w:rPr>
          <w:shd w:val="clear" w:color="auto" w:fill="FFFFFF"/>
        </w:rPr>
      </w:pPr>
    </w:p>
    <w:p w14:paraId="04DD29CB" w14:textId="77777777" w:rsidR="009C4C35" w:rsidRDefault="009C4C35" w:rsidP="009C4C35">
      <w:pPr>
        <w:jc w:val="center"/>
        <w:rPr>
          <w:shd w:val="clear" w:color="auto" w:fill="FFFFFF"/>
        </w:rPr>
      </w:pPr>
    </w:p>
    <w:p w14:paraId="252C24CF" w14:textId="77777777" w:rsidR="009C4C35" w:rsidRDefault="009C4C35" w:rsidP="009C4C35">
      <w:pPr>
        <w:jc w:val="center"/>
        <w:rPr>
          <w:shd w:val="clear" w:color="auto" w:fill="FFFFFF"/>
        </w:rPr>
      </w:pPr>
    </w:p>
    <w:p w14:paraId="1D12D24D" w14:textId="77777777" w:rsidR="009C4C35" w:rsidRDefault="009C4C35" w:rsidP="009C4C35">
      <w:pPr>
        <w:jc w:val="center"/>
        <w:rPr>
          <w:shd w:val="clear" w:color="auto" w:fill="FFFFFF"/>
        </w:rPr>
      </w:pPr>
    </w:p>
    <w:p w14:paraId="7620D209" w14:textId="77777777" w:rsidR="009C4C35" w:rsidRDefault="009C4C35" w:rsidP="009C4C35">
      <w:pPr>
        <w:jc w:val="center"/>
        <w:rPr>
          <w:shd w:val="clear" w:color="auto" w:fill="FFFFFF"/>
        </w:rPr>
      </w:pPr>
    </w:p>
    <w:p w14:paraId="39D8A504" w14:textId="77777777" w:rsidR="009C4C35" w:rsidRDefault="009C4C35" w:rsidP="009C4C35">
      <w:pPr>
        <w:jc w:val="center"/>
        <w:rPr>
          <w:shd w:val="clear" w:color="auto" w:fill="FFFFFF"/>
        </w:rPr>
      </w:pPr>
    </w:p>
    <w:p w14:paraId="62C427C6" w14:textId="77777777" w:rsidR="009C4C35" w:rsidRDefault="009C4C35" w:rsidP="009C4C35">
      <w:pPr>
        <w:jc w:val="center"/>
        <w:rPr>
          <w:shd w:val="clear" w:color="auto" w:fill="FFFFFF"/>
        </w:rPr>
      </w:pPr>
    </w:p>
    <w:p w14:paraId="33990F9D" w14:textId="473F4EF0" w:rsidR="009C4C35" w:rsidRPr="006C3F2C" w:rsidRDefault="009C4C35" w:rsidP="009C4C35">
      <w:pPr>
        <w:jc w:val="center"/>
        <w:rPr>
          <w:shd w:val="clear" w:color="auto" w:fill="FFFFFF"/>
        </w:rPr>
      </w:pPr>
      <w:r w:rsidRPr="006C3F2C">
        <w:rPr>
          <w:shd w:val="clear" w:color="auto" w:fill="FFFFFF"/>
        </w:rPr>
        <w:t>Submitted B</w:t>
      </w:r>
      <w:r>
        <w:rPr>
          <w:shd w:val="clear" w:color="auto" w:fill="FFFFFF"/>
        </w:rPr>
        <w:t>y</w:t>
      </w:r>
      <w:r w:rsidRPr="006C3F2C">
        <w:rPr>
          <w:shd w:val="clear" w:color="auto" w:fill="FFFFFF"/>
        </w:rPr>
        <w:t xml:space="preserve">: </w:t>
      </w:r>
      <w:r>
        <w:rPr>
          <w:shd w:val="clear" w:color="auto" w:fill="FFFFFF"/>
        </w:rPr>
        <w:t>Sergiu</w:t>
      </w:r>
      <w:r w:rsidRPr="006C3F2C">
        <w:rPr>
          <w:shd w:val="clear" w:color="auto" w:fill="FFFFFF"/>
        </w:rPr>
        <w:t xml:space="preserve"> D</w:t>
      </w:r>
      <w:r>
        <w:rPr>
          <w:shd w:val="clear" w:color="auto" w:fill="FFFFFF"/>
        </w:rPr>
        <w:t>iaconu</w:t>
      </w:r>
    </w:p>
    <w:p w14:paraId="3085A4A5" w14:textId="05968FF7" w:rsidR="009C4C35" w:rsidRDefault="009C4C35" w:rsidP="003E298E">
      <w:pPr>
        <w:jc w:val="center"/>
        <w:rPr>
          <w:shd w:val="clear" w:color="auto" w:fill="FFFFFF"/>
        </w:rPr>
      </w:pPr>
      <w:r>
        <w:rPr>
          <w:shd w:val="clear" w:color="auto" w:fill="FFFFFF"/>
        </w:rPr>
        <w:t xml:space="preserve">Student Id: </w:t>
      </w:r>
      <w:r w:rsidRPr="006C3F2C">
        <w:rPr>
          <w:shd w:val="clear" w:color="auto" w:fill="FFFFFF"/>
        </w:rPr>
        <w:t xml:space="preserve"> 212692</w:t>
      </w:r>
      <w:r>
        <w:rPr>
          <w:shd w:val="clear" w:color="auto" w:fill="FFFFFF"/>
        </w:rPr>
        <w:t>9</w:t>
      </w:r>
    </w:p>
    <w:p w14:paraId="185F5D00" w14:textId="77777777" w:rsidR="003E298E" w:rsidRDefault="003E298E" w:rsidP="003E298E">
      <w:pPr>
        <w:jc w:val="center"/>
        <w:rPr>
          <w:shd w:val="clear" w:color="auto" w:fill="FFFFFF"/>
        </w:rPr>
      </w:pPr>
    </w:p>
    <w:p w14:paraId="28D6D1CA" w14:textId="6374C588" w:rsidR="00504BAF" w:rsidRDefault="00504BAF"/>
    <w:p w14:paraId="771D342F" w14:textId="5BBB1F63" w:rsidR="003477F2" w:rsidRDefault="009C4C35">
      <w:pPr>
        <w:pStyle w:val="TOC1"/>
        <w:tabs>
          <w:tab w:val="right" w:leader="dot" w:pos="9016"/>
        </w:tabs>
        <w:rPr>
          <w:rFonts w:eastAsiaTheme="minorEastAsia"/>
          <w:noProof/>
          <w:lang w:eastAsia="en-GB"/>
        </w:rPr>
      </w:pPr>
      <w:r>
        <w:lastRenderedPageBreak/>
        <w:fldChar w:fldCharType="begin"/>
      </w:r>
      <w:r>
        <w:instrText xml:space="preserve"> TOC \o "1-3" \h \z \u </w:instrText>
      </w:r>
      <w:r>
        <w:fldChar w:fldCharType="separate"/>
      </w:r>
      <w:hyperlink w:anchor="_Toc194645838" w:history="1">
        <w:r w:rsidR="003477F2" w:rsidRPr="0007140D">
          <w:rPr>
            <w:rStyle w:val="Hyperlink"/>
            <w:noProof/>
          </w:rPr>
          <w:t>Abstract</w:t>
        </w:r>
        <w:r w:rsidR="003477F2">
          <w:rPr>
            <w:noProof/>
            <w:webHidden/>
          </w:rPr>
          <w:tab/>
        </w:r>
        <w:r w:rsidR="003477F2">
          <w:rPr>
            <w:noProof/>
            <w:webHidden/>
          </w:rPr>
          <w:fldChar w:fldCharType="begin"/>
        </w:r>
        <w:r w:rsidR="003477F2">
          <w:rPr>
            <w:noProof/>
            <w:webHidden/>
          </w:rPr>
          <w:instrText xml:space="preserve"> PAGEREF _Toc194645838 \h </w:instrText>
        </w:r>
        <w:r w:rsidR="003477F2">
          <w:rPr>
            <w:noProof/>
            <w:webHidden/>
          </w:rPr>
        </w:r>
        <w:r w:rsidR="003477F2">
          <w:rPr>
            <w:noProof/>
            <w:webHidden/>
          </w:rPr>
          <w:fldChar w:fldCharType="separate"/>
        </w:r>
        <w:r w:rsidR="003477F2">
          <w:rPr>
            <w:noProof/>
            <w:webHidden/>
          </w:rPr>
          <w:t>4</w:t>
        </w:r>
        <w:r w:rsidR="003477F2">
          <w:rPr>
            <w:noProof/>
            <w:webHidden/>
          </w:rPr>
          <w:fldChar w:fldCharType="end"/>
        </w:r>
      </w:hyperlink>
    </w:p>
    <w:p w14:paraId="3667F1E6" w14:textId="2604A724" w:rsidR="003477F2" w:rsidRDefault="003477F2">
      <w:pPr>
        <w:pStyle w:val="TOC1"/>
        <w:tabs>
          <w:tab w:val="right" w:leader="dot" w:pos="9016"/>
        </w:tabs>
        <w:rPr>
          <w:rFonts w:eastAsiaTheme="minorEastAsia"/>
          <w:noProof/>
          <w:lang w:eastAsia="en-GB"/>
        </w:rPr>
      </w:pPr>
      <w:hyperlink w:anchor="_Toc194645839" w:history="1">
        <w:r w:rsidRPr="0007140D">
          <w:rPr>
            <w:rStyle w:val="Hyperlink"/>
            <w:noProof/>
          </w:rPr>
          <w:t>1.Introduction</w:t>
        </w:r>
        <w:r>
          <w:rPr>
            <w:noProof/>
            <w:webHidden/>
          </w:rPr>
          <w:tab/>
        </w:r>
        <w:r>
          <w:rPr>
            <w:noProof/>
            <w:webHidden/>
          </w:rPr>
          <w:fldChar w:fldCharType="begin"/>
        </w:r>
        <w:r>
          <w:rPr>
            <w:noProof/>
            <w:webHidden/>
          </w:rPr>
          <w:instrText xml:space="preserve"> PAGEREF _Toc194645839 \h </w:instrText>
        </w:r>
        <w:r>
          <w:rPr>
            <w:noProof/>
            <w:webHidden/>
          </w:rPr>
        </w:r>
        <w:r>
          <w:rPr>
            <w:noProof/>
            <w:webHidden/>
          </w:rPr>
          <w:fldChar w:fldCharType="separate"/>
        </w:r>
        <w:r>
          <w:rPr>
            <w:noProof/>
            <w:webHidden/>
          </w:rPr>
          <w:t>5</w:t>
        </w:r>
        <w:r>
          <w:rPr>
            <w:noProof/>
            <w:webHidden/>
          </w:rPr>
          <w:fldChar w:fldCharType="end"/>
        </w:r>
      </w:hyperlink>
    </w:p>
    <w:p w14:paraId="4CB7E416" w14:textId="15A5EAEB" w:rsidR="003477F2" w:rsidRDefault="003477F2">
      <w:pPr>
        <w:pStyle w:val="TOC2"/>
        <w:tabs>
          <w:tab w:val="right" w:leader="dot" w:pos="9016"/>
        </w:tabs>
        <w:rPr>
          <w:rFonts w:eastAsiaTheme="minorEastAsia"/>
          <w:noProof/>
          <w:lang w:eastAsia="en-GB"/>
        </w:rPr>
      </w:pPr>
      <w:hyperlink w:anchor="_Toc194645840" w:history="1">
        <w:r w:rsidRPr="0007140D">
          <w:rPr>
            <w:rStyle w:val="Hyperlink"/>
            <w:noProof/>
          </w:rPr>
          <w:t>1.1 Aim of the Research</w:t>
        </w:r>
        <w:r>
          <w:rPr>
            <w:noProof/>
            <w:webHidden/>
          </w:rPr>
          <w:tab/>
        </w:r>
        <w:r>
          <w:rPr>
            <w:noProof/>
            <w:webHidden/>
          </w:rPr>
          <w:fldChar w:fldCharType="begin"/>
        </w:r>
        <w:r>
          <w:rPr>
            <w:noProof/>
            <w:webHidden/>
          </w:rPr>
          <w:instrText xml:space="preserve"> PAGEREF _Toc194645840 \h </w:instrText>
        </w:r>
        <w:r>
          <w:rPr>
            <w:noProof/>
            <w:webHidden/>
          </w:rPr>
        </w:r>
        <w:r>
          <w:rPr>
            <w:noProof/>
            <w:webHidden/>
          </w:rPr>
          <w:fldChar w:fldCharType="separate"/>
        </w:r>
        <w:r>
          <w:rPr>
            <w:noProof/>
            <w:webHidden/>
          </w:rPr>
          <w:t>5</w:t>
        </w:r>
        <w:r>
          <w:rPr>
            <w:noProof/>
            <w:webHidden/>
          </w:rPr>
          <w:fldChar w:fldCharType="end"/>
        </w:r>
      </w:hyperlink>
    </w:p>
    <w:p w14:paraId="45B61089" w14:textId="0DBB6EE0" w:rsidR="003477F2" w:rsidRDefault="003477F2">
      <w:pPr>
        <w:pStyle w:val="TOC2"/>
        <w:tabs>
          <w:tab w:val="right" w:leader="dot" w:pos="9016"/>
        </w:tabs>
        <w:rPr>
          <w:rFonts w:eastAsiaTheme="minorEastAsia"/>
          <w:noProof/>
          <w:lang w:eastAsia="en-GB"/>
        </w:rPr>
      </w:pPr>
      <w:hyperlink w:anchor="_Toc194645841" w:history="1">
        <w:r w:rsidRPr="0007140D">
          <w:rPr>
            <w:rStyle w:val="Hyperlink"/>
            <w:noProof/>
          </w:rPr>
          <w:t>1.2 Objectives of the Research</w:t>
        </w:r>
        <w:r>
          <w:rPr>
            <w:noProof/>
            <w:webHidden/>
          </w:rPr>
          <w:tab/>
        </w:r>
        <w:r>
          <w:rPr>
            <w:noProof/>
            <w:webHidden/>
          </w:rPr>
          <w:fldChar w:fldCharType="begin"/>
        </w:r>
        <w:r>
          <w:rPr>
            <w:noProof/>
            <w:webHidden/>
          </w:rPr>
          <w:instrText xml:space="preserve"> PAGEREF _Toc194645841 \h </w:instrText>
        </w:r>
        <w:r>
          <w:rPr>
            <w:noProof/>
            <w:webHidden/>
          </w:rPr>
        </w:r>
        <w:r>
          <w:rPr>
            <w:noProof/>
            <w:webHidden/>
          </w:rPr>
          <w:fldChar w:fldCharType="separate"/>
        </w:r>
        <w:r>
          <w:rPr>
            <w:noProof/>
            <w:webHidden/>
          </w:rPr>
          <w:t>5</w:t>
        </w:r>
        <w:r>
          <w:rPr>
            <w:noProof/>
            <w:webHidden/>
          </w:rPr>
          <w:fldChar w:fldCharType="end"/>
        </w:r>
      </w:hyperlink>
    </w:p>
    <w:p w14:paraId="74A52ADD" w14:textId="19A6980D" w:rsidR="003477F2" w:rsidRDefault="003477F2">
      <w:pPr>
        <w:pStyle w:val="TOC2"/>
        <w:tabs>
          <w:tab w:val="right" w:leader="dot" w:pos="9016"/>
        </w:tabs>
        <w:rPr>
          <w:rFonts w:eastAsiaTheme="minorEastAsia"/>
          <w:noProof/>
          <w:lang w:eastAsia="en-GB"/>
        </w:rPr>
      </w:pPr>
      <w:hyperlink w:anchor="_Toc194645842" w:history="1">
        <w:r w:rsidRPr="0007140D">
          <w:rPr>
            <w:rStyle w:val="Hyperlink"/>
            <w:noProof/>
          </w:rPr>
          <w:t>1.3 Research Questions</w:t>
        </w:r>
        <w:r>
          <w:rPr>
            <w:noProof/>
            <w:webHidden/>
          </w:rPr>
          <w:tab/>
        </w:r>
        <w:r>
          <w:rPr>
            <w:noProof/>
            <w:webHidden/>
          </w:rPr>
          <w:fldChar w:fldCharType="begin"/>
        </w:r>
        <w:r>
          <w:rPr>
            <w:noProof/>
            <w:webHidden/>
          </w:rPr>
          <w:instrText xml:space="preserve"> PAGEREF _Toc194645842 \h </w:instrText>
        </w:r>
        <w:r>
          <w:rPr>
            <w:noProof/>
            <w:webHidden/>
          </w:rPr>
        </w:r>
        <w:r>
          <w:rPr>
            <w:noProof/>
            <w:webHidden/>
          </w:rPr>
          <w:fldChar w:fldCharType="separate"/>
        </w:r>
        <w:r>
          <w:rPr>
            <w:noProof/>
            <w:webHidden/>
          </w:rPr>
          <w:t>5</w:t>
        </w:r>
        <w:r>
          <w:rPr>
            <w:noProof/>
            <w:webHidden/>
          </w:rPr>
          <w:fldChar w:fldCharType="end"/>
        </w:r>
      </w:hyperlink>
    </w:p>
    <w:p w14:paraId="7F6A4AFB" w14:textId="54DE70DF" w:rsidR="003477F2" w:rsidRDefault="003477F2">
      <w:pPr>
        <w:pStyle w:val="TOC2"/>
        <w:tabs>
          <w:tab w:val="right" w:leader="dot" w:pos="9016"/>
        </w:tabs>
        <w:rPr>
          <w:rFonts w:eastAsiaTheme="minorEastAsia"/>
          <w:noProof/>
          <w:lang w:eastAsia="en-GB"/>
        </w:rPr>
      </w:pPr>
      <w:hyperlink w:anchor="_Toc194645843" w:history="1">
        <w:r w:rsidRPr="0007140D">
          <w:rPr>
            <w:rStyle w:val="Hyperlink"/>
            <w:noProof/>
          </w:rPr>
          <w:t>1.4 Introduction to the Topic</w:t>
        </w:r>
        <w:r>
          <w:rPr>
            <w:noProof/>
            <w:webHidden/>
          </w:rPr>
          <w:tab/>
        </w:r>
        <w:r>
          <w:rPr>
            <w:noProof/>
            <w:webHidden/>
          </w:rPr>
          <w:fldChar w:fldCharType="begin"/>
        </w:r>
        <w:r>
          <w:rPr>
            <w:noProof/>
            <w:webHidden/>
          </w:rPr>
          <w:instrText xml:space="preserve"> PAGEREF _Toc194645843 \h </w:instrText>
        </w:r>
        <w:r>
          <w:rPr>
            <w:noProof/>
            <w:webHidden/>
          </w:rPr>
        </w:r>
        <w:r>
          <w:rPr>
            <w:noProof/>
            <w:webHidden/>
          </w:rPr>
          <w:fldChar w:fldCharType="separate"/>
        </w:r>
        <w:r>
          <w:rPr>
            <w:noProof/>
            <w:webHidden/>
          </w:rPr>
          <w:t>5</w:t>
        </w:r>
        <w:r>
          <w:rPr>
            <w:noProof/>
            <w:webHidden/>
          </w:rPr>
          <w:fldChar w:fldCharType="end"/>
        </w:r>
      </w:hyperlink>
    </w:p>
    <w:p w14:paraId="2BCB7233" w14:textId="7AC083C4" w:rsidR="003477F2" w:rsidRDefault="003477F2">
      <w:pPr>
        <w:pStyle w:val="TOC1"/>
        <w:tabs>
          <w:tab w:val="right" w:leader="dot" w:pos="9016"/>
        </w:tabs>
        <w:rPr>
          <w:rFonts w:eastAsiaTheme="minorEastAsia"/>
          <w:noProof/>
          <w:lang w:eastAsia="en-GB"/>
        </w:rPr>
      </w:pPr>
      <w:hyperlink w:anchor="_Toc194645844" w:history="1">
        <w:r w:rsidRPr="0007140D">
          <w:rPr>
            <w:rStyle w:val="Hyperlink"/>
            <w:noProof/>
          </w:rPr>
          <w:t>2.Literature Review</w:t>
        </w:r>
        <w:r>
          <w:rPr>
            <w:noProof/>
            <w:webHidden/>
          </w:rPr>
          <w:tab/>
        </w:r>
        <w:r>
          <w:rPr>
            <w:noProof/>
            <w:webHidden/>
          </w:rPr>
          <w:fldChar w:fldCharType="begin"/>
        </w:r>
        <w:r>
          <w:rPr>
            <w:noProof/>
            <w:webHidden/>
          </w:rPr>
          <w:instrText xml:space="preserve"> PAGEREF _Toc194645844 \h </w:instrText>
        </w:r>
        <w:r>
          <w:rPr>
            <w:noProof/>
            <w:webHidden/>
          </w:rPr>
        </w:r>
        <w:r>
          <w:rPr>
            <w:noProof/>
            <w:webHidden/>
          </w:rPr>
          <w:fldChar w:fldCharType="separate"/>
        </w:r>
        <w:r>
          <w:rPr>
            <w:noProof/>
            <w:webHidden/>
          </w:rPr>
          <w:t>7</w:t>
        </w:r>
        <w:r>
          <w:rPr>
            <w:noProof/>
            <w:webHidden/>
          </w:rPr>
          <w:fldChar w:fldCharType="end"/>
        </w:r>
      </w:hyperlink>
    </w:p>
    <w:p w14:paraId="36E8E179" w14:textId="587BF3D2" w:rsidR="003477F2" w:rsidRDefault="003477F2">
      <w:pPr>
        <w:pStyle w:val="TOC2"/>
        <w:tabs>
          <w:tab w:val="right" w:leader="dot" w:pos="9016"/>
        </w:tabs>
        <w:rPr>
          <w:rFonts w:eastAsiaTheme="minorEastAsia"/>
          <w:noProof/>
          <w:lang w:eastAsia="en-GB"/>
        </w:rPr>
      </w:pPr>
      <w:hyperlink w:anchor="_Toc194645845" w:history="1">
        <w:r w:rsidRPr="0007140D">
          <w:rPr>
            <w:rStyle w:val="Hyperlink"/>
            <w:noProof/>
          </w:rPr>
          <w:t>2.1Introduction</w:t>
        </w:r>
        <w:r>
          <w:rPr>
            <w:noProof/>
            <w:webHidden/>
          </w:rPr>
          <w:tab/>
        </w:r>
        <w:r>
          <w:rPr>
            <w:noProof/>
            <w:webHidden/>
          </w:rPr>
          <w:fldChar w:fldCharType="begin"/>
        </w:r>
        <w:r>
          <w:rPr>
            <w:noProof/>
            <w:webHidden/>
          </w:rPr>
          <w:instrText xml:space="preserve"> PAGEREF _Toc194645845 \h </w:instrText>
        </w:r>
        <w:r>
          <w:rPr>
            <w:noProof/>
            <w:webHidden/>
          </w:rPr>
        </w:r>
        <w:r>
          <w:rPr>
            <w:noProof/>
            <w:webHidden/>
          </w:rPr>
          <w:fldChar w:fldCharType="separate"/>
        </w:r>
        <w:r>
          <w:rPr>
            <w:noProof/>
            <w:webHidden/>
          </w:rPr>
          <w:t>7</w:t>
        </w:r>
        <w:r>
          <w:rPr>
            <w:noProof/>
            <w:webHidden/>
          </w:rPr>
          <w:fldChar w:fldCharType="end"/>
        </w:r>
      </w:hyperlink>
    </w:p>
    <w:p w14:paraId="1F1EBBB8" w14:textId="18D905CE" w:rsidR="003477F2" w:rsidRDefault="003477F2">
      <w:pPr>
        <w:pStyle w:val="TOC2"/>
        <w:tabs>
          <w:tab w:val="right" w:leader="dot" w:pos="9016"/>
        </w:tabs>
        <w:rPr>
          <w:rFonts w:eastAsiaTheme="minorEastAsia"/>
          <w:noProof/>
          <w:lang w:eastAsia="en-GB"/>
        </w:rPr>
      </w:pPr>
      <w:hyperlink w:anchor="_Toc194645846" w:history="1">
        <w:r w:rsidRPr="0007140D">
          <w:rPr>
            <w:rStyle w:val="Hyperlink"/>
            <w:noProof/>
          </w:rPr>
          <w:t>2.2 Marketing Challenges in the Security System Industry</w:t>
        </w:r>
        <w:r>
          <w:rPr>
            <w:noProof/>
            <w:webHidden/>
          </w:rPr>
          <w:tab/>
        </w:r>
        <w:r>
          <w:rPr>
            <w:noProof/>
            <w:webHidden/>
          </w:rPr>
          <w:fldChar w:fldCharType="begin"/>
        </w:r>
        <w:r>
          <w:rPr>
            <w:noProof/>
            <w:webHidden/>
          </w:rPr>
          <w:instrText xml:space="preserve"> PAGEREF _Toc194645846 \h </w:instrText>
        </w:r>
        <w:r>
          <w:rPr>
            <w:noProof/>
            <w:webHidden/>
          </w:rPr>
        </w:r>
        <w:r>
          <w:rPr>
            <w:noProof/>
            <w:webHidden/>
          </w:rPr>
          <w:fldChar w:fldCharType="separate"/>
        </w:r>
        <w:r>
          <w:rPr>
            <w:noProof/>
            <w:webHidden/>
          </w:rPr>
          <w:t>7</w:t>
        </w:r>
        <w:r>
          <w:rPr>
            <w:noProof/>
            <w:webHidden/>
          </w:rPr>
          <w:fldChar w:fldCharType="end"/>
        </w:r>
      </w:hyperlink>
    </w:p>
    <w:p w14:paraId="791456BC" w14:textId="4C8B1208" w:rsidR="003477F2" w:rsidRDefault="003477F2">
      <w:pPr>
        <w:pStyle w:val="TOC2"/>
        <w:tabs>
          <w:tab w:val="right" w:leader="dot" w:pos="9016"/>
        </w:tabs>
        <w:rPr>
          <w:rFonts w:eastAsiaTheme="minorEastAsia"/>
          <w:noProof/>
          <w:lang w:eastAsia="en-GB"/>
        </w:rPr>
      </w:pPr>
      <w:hyperlink w:anchor="_Toc194645847" w:history="1">
        <w:r w:rsidRPr="0007140D">
          <w:rPr>
            <w:rStyle w:val="Hyperlink"/>
            <w:noProof/>
          </w:rPr>
          <w:t>2.3 Effective Marketing Strategies for Security System SMEs</w:t>
        </w:r>
        <w:r>
          <w:rPr>
            <w:noProof/>
            <w:webHidden/>
          </w:rPr>
          <w:tab/>
        </w:r>
        <w:r>
          <w:rPr>
            <w:noProof/>
            <w:webHidden/>
          </w:rPr>
          <w:fldChar w:fldCharType="begin"/>
        </w:r>
        <w:r>
          <w:rPr>
            <w:noProof/>
            <w:webHidden/>
          </w:rPr>
          <w:instrText xml:space="preserve"> PAGEREF _Toc194645847 \h </w:instrText>
        </w:r>
        <w:r>
          <w:rPr>
            <w:noProof/>
            <w:webHidden/>
          </w:rPr>
        </w:r>
        <w:r>
          <w:rPr>
            <w:noProof/>
            <w:webHidden/>
          </w:rPr>
          <w:fldChar w:fldCharType="separate"/>
        </w:r>
        <w:r>
          <w:rPr>
            <w:noProof/>
            <w:webHidden/>
          </w:rPr>
          <w:t>7</w:t>
        </w:r>
        <w:r>
          <w:rPr>
            <w:noProof/>
            <w:webHidden/>
          </w:rPr>
          <w:fldChar w:fldCharType="end"/>
        </w:r>
      </w:hyperlink>
    </w:p>
    <w:p w14:paraId="1C5062C9" w14:textId="532C3781" w:rsidR="003477F2" w:rsidRDefault="003477F2">
      <w:pPr>
        <w:pStyle w:val="TOC2"/>
        <w:tabs>
          <w:tab w:val="right" w:leader="dot" w:pos="9016"/>
        </w:tabs>
        <w:rPr>
          <w:rFonts w:eastAsiaTheme="minorEastAsia"/>
          <w:noProof/>
          <w:lang w:eastAsia="en-GB"/>
        </w:rPr>
      </w:pPr>
      <w:hyperlink w:anchor="_Toc194645848" w:history="1">
        <w:r w:rsidRPr="0007140D">
          <w:rPr>
            <w:rStyle w:val="Hyperlink"/>
            <w:noProof/>
          </w:rPr>
          <w:t>2.4 Comparative Analysis of SME Marketing Strategies with Industry Practices</w:t>
        </w:r>
        <w:r>
          <w:rPr>
            <w:noProof/>
            <w:webHidden/>
          </w:rPr>
          <w:tab/>
        </w:r>
        <w:r>
          <w:rPr>
            <w:noProof/>
            <w:webHidden/>
          </w:rPr>
          <w:fldChar w:fldCharType="begin"/>
        </w:r>
        <w:r>
          <w:rPr>
            <w:noProof/>
            <w:webHidden/>
          </w:rPr>
          <w:instrText xml:space="preserve"> PAGEREF _Toc194645848 \h </w:instrText>
        </w:r>
        <w:r>
          <w:rPr>
            <w:noProof/>
            <w:webHidden/>
          </w:rPr>
        </w:r>
        <w:r>
          <w:rPr>
            <w:noProof/>
            <w:webHidden/>
          </w:rPr>
          <w:fldChar w:fldCharType="separate"/>
        </w:r>
        <w:r>
          <w:rPr>
            <w:noProof/>
            <w:webHidden/>
          </w:rPr>
          <w:t>8</w:t>
        </w:r>
        <w:r>
          <w:rPr>
            <w:noProof/>
            <w:webHidden/>
          </w:rPr>
          <w:fldChar w:fldCharType="end"/>
        </w:r>
      </w:hyperlink>
    </w:p>
    <w:p w14:paraId="52EA6F7E" w14:textId="5BD21C86" w:rsidR="003477F2" w:rsidRDefault="003477F2">
      <w:pPr>
        <w:pStyle w:val="TOC2"/>
        <w:tabs>
          <w:tab w:val="right" w:leader="dot" w:pos="9016"/>
        </w:tabs>
        <w:rPr>
          <w:rFonts w:eastAsiaTheme="minorEastAsia"/>
          <w:noProof/>
          <w:lang w:eastAsia="en-GB"/>
        </w:rPr>
      </w:pPr>
      <w:hyperlink w:anchor="_Toc194645849" w:history="1">
        <w:r w:rsidRPr="0007140D">
          <w:rPr>
            <w:rStyle w:val="Hyperlink"/>
            <w:noProof/>
          </w:rPr>
          <w:t>2.5 The Role of Innovation in SME Marketing</w:t>
        </w:r>
        <w:r>
          <w:rPr>
            <w:noProof/>
            <w:webHidden/>
          </w:rPr>
          <w:tab/>
        </w:r>
        <w:r>
          <w:rPr>
            <w:noProof/>
            <w:webHidden/>
          </w:rPr>
          <w:fldChar w:fldCharType="begin"/>
        </w:r>
        <w:r>
          <w:rPr>
            <w:noProof/>
            <w:webHidden/>
          </w:rPr>
          <w:instrText xml:space="preserve"> PAGEREF _Toc194645849 \h </w:instrText>
        </w:r>
        <w:r>
          <w:rPr>
            <w:noProof/>
            <w:webHidden/>
          </w:rPr>
        </w:r>
        <w:r>
          <w:rPr>
            <w:noProof/>
            <w:webHidden/>
          </w:rPr>
          <w:fldChar w:fldCharType="separate"/>
        </w:r>
        <w:r>
          <w:rPr>
            <w:noProof/>
            <w:webHidden/>
          </w:rPr>
          <w:t>8</w:t>
        </w:r>
        <w:r>
          <w:rPr>
            <w:noProof/>
            <w:webHidden/>
          </w:rPr>
          <w:fldChar w:fldCharType="end"/>
        </w:r>
      </w:hyperlink>
    </w:p>
    <w:p w14:paraId="06C410A4" w14:textId="2F4485D1" w:rsidR="003477F2" w:rsidRDefault="003477F2">
      <w:pPr>
        <w:pStyle w:val="TOC2"/>
        <w:tabs>
          <w:tab w:val="right" w:leader="dot" w:pos="9016"/>
        </w:tabs>
        <w:rPr>
          <w:rFonts w:eastAsiaTheme="minorEastAsia"/>
          <w:noProof/>
          <w:lang w:eastAsia="en-GB"/>
        </w:rPr>
      </w:pPr>
      <w:hyperlink w:anchor="_Toc194645850" w:history="1">
        <w:r w:rsidRPr="0007140D">
          <w:rPr>
            <w:rStyle w:val="Hyperlink"/>
            <w:noProof/>
          </w:rPr>
          <w:t>2.6 Theoretical Implications</w:t>
        </w:r>
        <w:r>
          <w:rPr>
            <w:noProof/>
            <w:webHidden/>
          </w:rPr>
          <w:tab/>
        </w:r>
        <w:r>
          <w:rPr>
            <w:noProof/>
            <w:webHidden/>
          </w:rPr>
          <w:fldChar w:fldCharType="begin"/>
        </w:r>
        <w:r>
          <w:rPr>
            <w:noProof/>
            <w:webHidden/>
          </w:rPr>
          <w:instrText xml:space="preserve"> PAGEREF _Toc194645850 \h </w:instrText>
        </w:r>
        <w:r>
          <w:rPr>
            <w:noProof/>
            <w:webHidden/>
          </w:rPr>
        </w:r>
        <w:r>
          <w:rPr>
            <w:noProof/>
            <w:webHidden/>
          </w:rPr>
          <w:fldChar w:fldCharType="separate"/>
        </w:r>
        <w:r>
          <w:rPr>
            <w:noProof/>
            <w:webHidden/>
          </w:rPr>
          <w:t>9</w:t>
        </w:r>
        <w:r>
          <w:rPr>
            <w:noProof/>
            <w:webHidden/>
          </w:rPr>
          <w:fldChar w:fldCharType="end"/>
        </w:r>
      </w:hyperlink>
    </w:p>
    <w:p w14:paraId="2ABF0B38" w14:textId="3C9AB93B" w:rsidR="003477F2" w:rsidRDefault="003477F2">
      <w:pPr>
        <w:pStyle w:val="TOC2"/>
        <w:tabs>
          <w:tab w:val="right" w:leader="dot" w:pos="9016"/>
        </w:tabs>
        <w:rPr>
          <w:rFonts w:eastAsiaTheme="minorEastAsia"/>
          <w:noProof/>
          <w:lang w:eastAsia="en-GB"/>
        </w:rPr>
      </w:pPr>
      <w:hyperlink w:anchor="_Toc194645851" w:history="1">
        <w:r w:rsidRPr="0007140D">
          <w:rPr>
            <w:rStyle w:val="Hyperlink"/>
            <w:noProof/>
          </w:rPr>
          <w:t>2.7 Gaps in literature</w:t>
        </w:r>
        <w:r>
          <w:rPr>
            <w:noProof/>
            <w:webHidden/>
          </w:rPr>
          <w:tab/>
        </w:r>
        <w:r>
          <w:rPr>
            <w:noProof/>
            <w:webHidden/>
          </w:rPr>
          <w:fldChar w:fldCharType="begin"/>
        </w:r>
        <w:r>
          <w:rPr>
            <w:noProof/>
            <w:webHidden/>
          </w:rPr>
          <w:instrText xml:space="preserve"> PAGEREF _Toc194645851 \h </w:instrText>
        </w:r>
        <w:r>
          <w:rPr>
            <w:noProof/>
            <w:webHidden/>
          </w:rPr>
        </w:r>
        <w:r>
          <w:rPr>
            <w:noProof/>
            <w:webHidden/>
          </w:rPr>
          <w:fldChar w:fldCharType="separate"/>
        </w:r>
        <w:r>
          <w:rPr>
            <w:noProof/>
            <w:webHidden/>
          </w:rPr>
          <w:t>11</w:t>
        </w:r>
        <w:r>
          <w:rPr>
            <w:noProof/>
            <w:webHidden/>
          </w:rPr>
          <w:fldChar w:fldCharType="end"/>
        </w:r>
      </w:hyperlink>
    </w:p>
    <w:p w14:paraId="7E1E1A30" w14:textId="050207E5" w:rsidR="003477F2" w:rsidRDefault="003477F2">
      <w:pPr>
        <w:pStyle w:val="TOC2"/>
        <w:tabs>
          <w:tab w:val="right" w:leader="dot" w:pos="9016"/>
        </w:tabs>
        <w:rPr>
          <w:rFonts w:eastAsiaTheme="minorEastAsia"/>
          <w:noProof/>
          <w:lang w:eastAsia="en-GB"/>
        </w:rPr>
      </w:pPr>
      <w:hyperlink w:anchor="_Toc194645852" w:history="1">
        <w:r w:rsidRPr="0007140D">
          <w:rPr>
            <w:rStyle w:val="Hyperlink"/>
            <w:noProof/>
          </w:rPr>
          <w:t>2.8 Conclusion</w:t>
        </w:r>
        <w:r>
          <w:rPr>
            <w:noProof/>
            <w:webHidden/>
          </w:rPr>
          <w:tab/>
        </w:r>
        <w:r>
          <w:rPr>
            <w:noProof/>
            <w:webHidden/>
          </w:rPr>
          <w:fldChar w:fldCharType="begin"/>
        </w:r>
        <w:r>
          <w:rPr>
            <w:noProof/>
            <w:webHidden/>
          </w:rPr>
          <w:instrText xml:space="preserve"> PAGEREF _Toc194645852 \h </w:instrText>
        </w:r>
        <w:r>
          <w:rPr>
            <w:noProof/>
            <w:webHidden/>
          </w:rPr>
        </w:r>
        <w:r>
          <w:rPr>
            <w:noProof/>
            <w:webHidden/>
          </w:rPr>
          <w:fldChar w:fldCharType="separate"/>
        </w:r>
        <w:r>
          <w:rPr>
            <w:noProof/>
            <w:webHidden/>
          </w:rPr>
          <w:t>12</w:t>
        </w:r>
        <w:r>
          <w:rPr>
            <w:noProof/>
            <w:webHidden/>
          </w:rPr>
          <w:fldChar w:fldCharType="end"/>
        </w:r>
      </w:hyperlink>
    </w:p>
    <w:p w14:paraId="63DFA224" w14:textId="17057649" w:rsidR="003477F2" w:rsidRDefault="003477F2">
      <w:pPr>
        <w:pStyle w:val="TOC1"/>
        <w:tabs>
          <w:tab w:val="right" w:leader="dot" w:pos="9016"/>
        </w:tabs>
        <w:rPr>
          <w:rFonts w:eastAsiaTheme="minorEastAsia"/>
          <w:noProof/>
          <w:lang w:eastAsia="en-GB"/>
        </w:rPr>
      </w:pPr>
      <w:hyperlink w:anchor="_Toc194645853" w:history="1">
        <w:r w:rsidRPr="0007140D">
          <w:rPr>
            <w:rStyle w:val="Hyperlink"/>
            <w:noProof/>
          </w:rPr>
          <w:t>3: Research Methodology</w:t>
        </w:r>
        <w:r>
          <w:rPr>
            <w:noProof/>
            <w:webHidden/>
          </w:rPr>
          <w:tab/>
        </w:r>
        <w:r>
          <w:rPr>
            <w:noProof/>
            <w:webHidden/>
          </w:rPr>
          <w:fldChar w:fldCharType="begin"/>
        </w:r>
        <w:r>
          <w:rPr>
            <w:noProof/>
            <w:webHidden/>
          </w:rPr>
          <w:instrText xml:space="preserve"> PAGEREF _Toc194645853 \h </w:instrText>
        </w:r>
        <w:r>
          <w:rPr>
            <w:noProof/>
            <w:webHidden/>
          </w:rPr>
        </w:r>
        <w:r>
          <w:rPr>
            <w:noProof/>
            <w:webHidden/>
          </w:rPr>
          <w:fldChar w:fldCharType="separate"/>
        </w:r>
        <w:r>
          <w:rPr>
            <w:noProof/>
            <w:webHidden/>
          </w:rPr>
          <w:t>12</w:t>
        </w:r>
        <w:r>
          <w:rPr>
            <w:noProof/>
            <w:webHidden/>
          </w:rPr>
          <w:fldChar w:fldCharType="end"/>
        </w:r>
      </w:hyperlink>
    </w:p>
    <w:p w14:paraId="155C1EEA" w14:textId="608D6DD5" w:rsidR="003477F2" w:rsidRDefault="003477F2">
      <w:pPr>
        <w:pStyle w:val="TOC2"/>
        <w:tabs>
          <w:tab w:val="right" w:leader="dot" w:pos="9016"/>
        </w:tabs>
        <w:rPr>
          <w:rFonts w:eastAsiaTheme="minorEastAsia"/>
          <w:noProof/>
          <w:lang w:eastAsia="en-GB"/>
        </w:rPr>
      </w:pPr>
      <w:hyperlink w:anchor="_Toc194645854" w:history="1">
        <w:r w:rsidRPr="0007140D">
          <w:rPr>
            <w:rStyle w:val="Hyperlink"/>
            <w:noProof/>
          </w:rPr>
          <w:t>3.1 Introduction</w:t>
        </w:r>
        <w:r>
          <w:rPr>
            <w:noProof/>
            <w:webHidden/>
          </w:rPr>
          <w:tab/>
        </w:r>
        <w:r>
          <w:rPr>
            <w:noProof/>
            <w:webHidden/>
          </w:rPr>
          <w:fldChar w:fldCharType="begin"/>
        </w:r>
        <w:r>
          <w:rPr>
            <w:noProof/>
            <w:webHidden/>
          </w:rPr>
          <w:instrText xml:space="preserve"> PAGEREF _Toc194645854 \h </w:instrText>
        </w:r>
        <w:r>
          <w:rPr>
            <w:noProof/>
            <w:webHidden/>
          </w:rPr>
        </w:r>
        <w:r>
          <w:rPr>
            <w:noProof/>
            <w:webHidden/>
          </w:rPr>
          <w:fldChar w:fldCharType="separate"/>
        </w:r>
        <w:r>
          <w:rPr>
            <w:noProof/>
            <w:webHidden/>
          </w:rPr>
          <w:t>12</w:t>
        </w:r>
        <w:r>
          <w:rPr>
            <w:noProof/>
            <w:webHidden/>
          </w:rPr>
          <w:fldChar w:fldCharType="end"/>
        </w:r>
      </w:hyperlink>
    </w:p>
    <w:p w14:paraId="0A1AB6B3" w14:textId="56AEF177" w:rsidR="003477F2" w:rsidRDefault="003477F2">
      <w:pPr>
        <w:pStyle w:val="TOC2"/>
        <w:tabs>
          <w:tab w:val="right" w:leader="dot" w:pos="9016"/>
        </w:tabs>
        <w:rPr>
          <w:rFonts w:eastAsiaTheme="minorEastAsia"/>
          <w:noProof/>
          <w:lang w:eastAsia="en-GB"/>
        </w:rPr>
      </w:pPr>
      <w:hyperlink w:anchor="_Toc194645855" w:history="1">
        <w:r w:rsidRPr="0007140D">
          <w:rPr>
            <w:rStyle w:val="Hyperlink"/>
            <w:noProof/>
          </w:rPr>
          <w:t>3.2 Research Philosophy and Approach</w:t>
        </w:r>
        <w:r>
          <w:rPr>
            <w:noProof/>
            <w:webHidden/>
          </w:rPr>
          <w:tab/>
        </w:r>
        <w:r>
          <w:rPr>
            <w:noProof/>
            <w:webHidden/>
          </w:rPr>
          <w:fldChar w:fldCharType="begin"/>
        </w:r>
        <w:r>
          <w:rPr>
            <w:noProof/>
            <w:webHidden/>
          </w:rPr>
          <w:instrText xml:space="preserve"> PAGEREF _Toc194645855 \h </w:instrText>
        </w:r>
        <w:r>
          <w:rPr>
            <w:noProof/>
            <w:webHidden/>
          </w:rPr>
        </w:r>
        <w:r>
          <w:rPr>
            <w:noProof/>
            <w:webHidden/>
          </w:rPr>
          <w:fldChar w:fldCharType="separate"/>
        </w:r>
        <w:r>
          <w:rPr>
            <w:noProof/>
            <w:webHidden/>
          </w:rPr>
          <w:t>12</w:t>
        </w:r>
        <w:r>
          <w:rPr>
            <w:noProof/>
            <w:webHidden/>
          </w:rPr>
          <w:fldChar w:fldCharType="end"/>
        </w:r>
      </w:hyperlink>
    </w:p>
    <w:p w14:paraId="3DDFB3A4" w14:textId="587D0918" w:rsidR="003477F2" w:rsidRDefault="003477F2">
      <w:pPr>
        <w:pStyle w:val="TOC2"/>
        <w:tabs>
          <w:tab w:val="right" w:leader="dot" w:pos="9016"/>
        </w:tabs>
        <w:rPr>
          <w:rFonts w:eastAsiaTheme="minorEastAsia"/>
          <w:noProof/>
          <w:lang w:eastAsia="en-GB"/>
        </w:rPr>
      </w:pPr>
      <w:hyperlink w:anchor="_Toc194645856" w:history="1">
        <w:r w:rsidRPr="0007140D">
          <w:rPr>
            <w:rStyle w:val="Hyperlink"/>
            <w:noProof/>
          </w:rPr>
          <w:t>3.3 Research Design</w:t>
        </w:r>
        <w:r>
          <w:rPr>
            <w:noProof/>
            <w:webHidden/>
          </w:rPr>
          <w:tab/>
        </w:r>
        <w:r>
          <w:rPr>
            <w:noProof/>
            <w:webHidden/>
          </w:rPr>
          <w:fldChar w:fldCharType="begin"/>
        </w:r>
        <w:r>
          <w:rPr>
            <w:noProof/>
            <w:webHidden/>
          </w:rPr>
          <w:instrText xml:space="preserve"> PAGEREF _Toc194645856 \h </w:instrText>
        </w:r>
        <w:r>
          <w:rPr>
            <w:noProof/>
            <w:webHidden/>
          </w:rPr>
        </w:r>
        <w:r>
          <w:rPr>
            <w:noProof/>
            <w:webHidden/>
          </w:rPr>
          <w:fldChar w:fldCharType="separate"/>
        </w:r>
        <w:r>
          <w:rPr>
            <w:noProof/>
            <w:webHidden/>
          </w:rPr>
          <w:t>13</w:t>
        </w:r>
        <w:r>
          <w:rPr>
            <w:noProof/>
            <w:webHidden/>
          </w:rPr>
          <w:fldChar w:fldCharType="end"/>
        </w:r>
      </w:hyperlink>
    </w:p>
    <w:p w14:paraId="49FB6069" w14:textId="6822BA7E" w:rsidR="003477F2" w:rsidRDefault="003477F2">
      <w:pPr>
        <w:pStyle w:val="TOC2"/>
        <w:tabs>
          <w:tab w:val="right" w:leader="dot" w:pos="9016"/>
        </w:tabs>
        <w:rPr>
          <w:rFonts w:eastAsiaTheme="minorEastAsia"/>
          <w:noProof/>
          <w:lang w:eastAsia="en-GB"/>
        </w:rPr>
      </w:pPr>
      <w:hyperlink w:anchor="_Toc194645857" w:history="1">
        <w:r w:rsidRPr="0007140D">
          <w:rPr>
            <w:rStyle w:val="Hyperlink"/>
            <w:noProof/>
          </w:rPr>
          <w:t>3.4 Data Collection Methods</w:t>
        </w:r>
        <w:r>
          <w:rPr>
            <w:noProof/>
            <w:webHidden/>
          </w:rPr>
          <w:tab/>
        </w:r>
        <w:r>
          <w:rPr>
            <w:noProof/>
            <w:webHidden/>
          </w:rPr>
          <w:fldChar w:fldCharType="begin"/>
        </w:r>
        <w:r>
          <w:rPr>
            <w:noProof/>
            <w:webHidden/>
          </w:rPr>
          <w:instrText xml:space="preserve"> PAGEREF _Toc194645857 \h </w:instrText>
        </w:r>
        <w:r>
          <w:rPr>
            <w:noProof/>
            <w:webHidden/>
          </w:rPr>
        </w:r>
        <w:r>
          <w:rPr>
            <w:noProof/>
            <w:webHidden/>
          </w:rPr>
          <w:fldChar w:fldCharType="separate"/>
        </w:r>
        <w:r>
          <w:rPr>
            <w:noProof/>
            <w:webHidden/>
          </w:rPr>
          <w:t>13</w:t>
        </w:r>
        <w:r>
          <w:rPr>
            <w:noProof/>
            <w:webHidden/>
          </w:rPr>
          <w:fldChar w:fldCharType="end"/>
        </w:r>
      </w:hyperlink>
    </w:p>
    <w:p w14:paraId="4BAE8113" w14:textId="46D479D4" w:rsidR="003477F2" w:rsidRDefault="003477F2">
      <w:pPr>
        <w:pStyle w:val="TOC2"/>
        <w:tabs>
          <w:tab w:val="right" w:leader="dot" w:pos="9016"/>
        </w:tabs>
        <w:rPr>
          <w:rFonts w:eastAsiaTheme="minorEastAsia"/>
          <w:noProof/>
          <w:lang w:eastAsia="en-GB"/>
        </w:rPr>
      </w:pPr>
      <w:hyperlink w:anchor="_Toc194645858" w:history="1">
        <w:r w:rsidRPr="0007140D">
          <w:rPr>
            <w:rStyle w:val="Hyperlink"/>
            <w:noProof/>
          </w:rPr>
          <w:t>3.5 Data Analysis</w:t>
        </w:r>
        <w:r>
          <w:rPr>
            <w:noProof/>
            <w:webHidden/>
          </w:rPr>
          <w:tab/>
        </w:r>
        <w:r>
          <w:rPr>
            <w:noProof/>
            <w:webHidden/>
          </w:rPr>
          <w:fldChar w:fldCharType="begin"/>
        </w:r>
        <w:r>
          <w:rPr>
            <w:noProof/>
            <w:webHidden/>
          </w:rPr>
          <w:instrText xml:space="preserve"> PAGEREF _Toc194645858 \h </w:instrText>
        </w:r>
        <w:r>
          <w:rPr>
            <w:noProof/>
            <w:webHidden/>
          </w:rPr>
        </w:r>
        <w:r>
          <w:rPr>
            <w:noProof/>
            <w:webHidden/>
          </w:rPr>
          <w:fldChar w:fldCharType="separate"/>
        </w:r>
        <w:r>
          <w:rPr>
            <w:noProof/>
            <w:webHidden/>
          </w:rPr>
          <w:t>13</w:t>
        </w:r>
        <w:r>
          <w:rPr>
            <w:noProof/>
            <w:webHidden/>
          </w:rPr>
          <w:fldChar w:fldCharType="end"/>
        </w:r>
      </w:hyperlink>
    </w:p>
    <w:p w14:paraId="009A8315" w14:textId="20554026" w:rsidR="003477F2" w:rsidRDefault="003477F2">
      <w:pPr>
        <w:pStyle w:val="TOC2"/>
        <w:tabs>
          <w:tab w:val="right" w:leader="dot" w:pos="9016"/>
        </w:tabs>
        <w:rPr>
          <w:rFonts w:eastAsiaTheme="minorEastAsia"/>
          <w:noProof/>
          <w:lang w:eastAsia="en-GB"/>
        </w:rPr>
      </w:pPr>
      <w:hyperlink w:anchor="_Toc194645859" w:history="1">
        <w:r w:rsidRPr="0007140D">
          <w:rPr>
            <w:rStyle w:val="Hyperlink"/>
            <w:noProof/>
          </w:rPr>
          <w:t>3.6 Ethical Considerations</w:t>
        </w:r>
        <w:r>
          <w:rPr>
            <w:noProof/>
            <w:webHidden/>
          </w:rPr>
          <w:tab/>
        </w:r>
        <w:r>
          <w:rPr>
            <w:noProof/>
            <w:webHidden/>
          </w:rPr>
          <w:fldChar w:fldCharType="begin"/>
        </w:r>
        <w:r>
          <w:rPr>
            <w:noProof/>
            <w:webHidden/>
          </w:rPr>
          <w:instrText xml:space="preserve"> PAGEREF _Toc194645859 \h </w:instrText>
        </w:r>
        <w:r>
          <w:rPr>
            <w:noProof/>
            <w:webHidden/>
          </w:rPr>
        </w:r>
        <w:r>
          <w:rPr>
            <w:noProof/>
            <w:webHidden/>
          </w:rPr>
          <w:fldChar w:fldCharType="separate"/>
        </w:r>
        <w:r>
          <w:rPr>
            <w:noProof/>
            <w:webHidden/>
          </w:rPr>
          <w:t>14</w:t>
        </w:r>
        <w:r>
          <w:rPr>
            <w:noProof/>
            <w:webHidden/>
          </w:rPr>
          <w:fldChar w:fldCharType="end"/>
        </w:r>
      </w:hyperlink>
    </w:p>
    <w:p w14:paraId="42A3738D" w14:textId="49B56FEC" w:rsidR="003477F2" w:rsidRDefault="003477F2">
      <w:pPr>
        <w:pStyle w:val="TOC2"/>
        <w:tabs>
          <w:tab w:val="right" w:leader="dot" w:pos="9016"/>
        </w:tabs>
        <w:rPr>
          <w:rFonts w:eastAsiaTheme="minorEastAsia"/>
          <w:noProof/>
          <w:lang w:eastAsia="en-GB"/>
        </w:rPr>
      </w:pPr>
      <w:hyperlink w:anchor="_Toc194645860" w:history="1">
        <w:r w:rsidRPr="0007140D">
          <w:rPr>
            <w:rStyle w:val="Hyperlink"/>
            <w:noProof/>
          </w:rPr>
          <w:t>3.7 Limitations</w:t>
        </w:r>
        <w:r>
          <w:rPr>
            <w:noProof/>
            <w:webHidden/>
          </w:rPr>
          <w:tab/>
        </w:r>
        <w:r>
          <w:rPr>
            <w:noProof/>
            <w:webHidden/>
          </w:rPr>
          <w:fldChar w:fldCharType="begin"/>
        </w:r>
        <w:r>
          <w:rPr>
            <w:noProof/>
            <w:webHidden/>
          </w:rPr>
          <w:instrText xml:space="preserve"> PAGEREF _Toc194645860 \h </w:instrText>
        </w:r>
        <w:r>
          <w:rPr>
            <w:noProof/>
            <w:webHidden/>
          </w:rPr>
        </w:r>
        <w:r>
          <w:rPr>
            <w:noProof/>
            <w:webHidden/>
          </w:rPr>
          <w:fldChar w:fldCharType="separate"/>
        </w:r>
        <w:r>
          <w:rPr>
            <w:noProof/>
            <w:webHidden/>
          </w:rPr>
          <w:t>14</w:t>
        </w:r>
        <w:r>
          <w:rPr>
            <w:noProof/>
            <w:webHidden/>
          </w:rPr>
          <w:fldChar w:fldCharType="end"/>
        </w:r>
      </w:hyperlink>
    </w:p>
    <w:p w14:paraId="1394C789" w14:textId="3B7DD919" w:rsidR="003477F2" w:rsidRDefault="003477F2">
      <w:pPr>
        <w:pStyle w:val="TOC2"/>
        <w:tabs>
          <w:tab w:val="right" w:leader="dot" w:pos="9016"/>
        </w:tabs>
        <w:rPr>
          <w:rFonts w:eastAsiaTheme="minorEastAsia"/>
          <w:noProof/>
          <w:lang w:eastAsia="en-GB"/>
        </w:rPr>
      </w:pPr>
      <w:hyperlink w:anchor="_Toc194645861" w:history="1">
        <w:r w:rsidRPr="0007140D">
          <w:rPr>
            <w:rStyle w:val="Hyperlink"/>
            <w:noProof/>
          </w:rPr>
          <w:t>3.8 Chapter Summary</w:t>
        </w:r>
        <w:r>
          <w:rPr>
            <w:noProof/>
            <w:webHidden/>
          </w:rPr>
          <w:tab/>
        </w:r>
        <w:r>
          <w:rPr>
            <w:noProof/>
            <w:webHidden/>
          </w:rPr>
          <w:fldChar w:fldCharType="begin"/>
        </w:r>
        <w:r>
          <w:rPr>
            <w:noProof/>
            <w:webHidden/>
          </w:rPr>
          <w:instrText xml:space="preserve"> PAGEREF _Toc194645861 \h </w:instrText>
        </w:r>
        <w:r>
          <w:rPr>
            <w:noProof/>
            <w:webHidden/>
          </w:rPr>
        </w:r>
        <w:r>
          <w:rPr>
            <w:noProof/>
            <w:webHidden/>
          </w:rPr>
          <w:fldChar w:fldCharType="separate"/>
        </w:r>
        <w:r>
          <w:rPr>
            <w:noProof/>
            <w:webHidden/>
          </w:rPr>
          <w:t>14</w:t>
        </w:r>
        <w:r>
          <w:rPr>
            <w:noProof/>
            <w:webHidden/>
          </w:rPr>
          <w:fldChar w:fldCharType="end"/>
        </w:r>
      </w:hyperlink>
    </w:p>
    <w:p w14:paraId="4DB79382" w14:textId="3BB8411A" w:rsidR="003477F2" w:rsidRDefault="003477F2">
      <w:pPr>
        <w:pStyle w:val="TOC1"/>
        <w:tabs>
          <w:tab w:val="right" w:leader="dot" w:pos="9016"/>
        </w:tabs>
        <w:rPr>
          <w:rFonts w:eastAsiaTheme="minorEastAsia"/>
          <w:noProof/>
          <w:lang w:eastAsia="en-GB"/>
        </w:rPr>
      </w:pPr>
      <w:hyperlink w:anchor="_Toc194645862" w:history="1">
        <w:r w:rsidRPr="0007140D">
          <w:rPr>
            <w:rStyle w:val="Hyperlink"/>
            <w:noProof/>
          </w:rPr>
          <w:t>4.Data analysis and discussion</w:t>
        </w:r>
        <w:r>
          <w:rPr>
            <w:noProof/>
            <w:webHidden/>
          </w:rPr>
          <w:tab/>
        </w:r>
        <w:r>
          <w:rPr>
            <w:noProof/>
            <w:webHidden/>
          </w:rPr>
          <w:fldChar w:fldCharType="begin"/>
        </w:r>
        <w:r>
          <w:rPr>
            <w:noProof/>
            <w:webHidden/>
          </w:rPr>
          <w:instrText xml:space="preserve"> PAGEREF _Toc194645862 \h </w:instrText>
        </w:r>
        <w:r>
          <w:rPr>
            <w:noProof/>
            <w:webHidden/>
          </w:rPr>
        </w:r>
        <w:r>
          <w:rPr>
            <w:noProof/>
            <w:webHidden/>
          </w:rPr>
          <w:fldChar w:fldCharType="separate"/>
        </w:r>
        <w:r>
          <w:rPr>
            <w:noProof/>
            <w:webHidden/>
          </w:rPr>
          <w:t>15</w:t>
        </w:r>
        <w:r>
          <w:rPr>
            <w:noProof/>
            <w:webHidden/>
          </w:rPr>
          <w:fldChar w:fldCharType="end"/>
        </w:r>
      </w:hyperlink>
    </w:p>
    <w:p w14:paraId="16A2B9AC" w14:textId="51CC95B9" w:rsidR="003477F2" w:rsidRDefault="003477F2">
      <w:pPr>
        <w:pStyle w:val="TOC2"/>
        <w:tabs>
          <w:tab w:val="right" w:leader="dot" w:pos="9016"/>
        </w:tabs>
        <w:rPr>
          <w:rFonts w:eastAsiaTheme="minorEastAsia"/>
          <w:noProof/>
          <w:lang w:eastAsia="en-GB"/>
        </w:rPr>
      </w:pPr>
      <w:hyperlink w:anchor="_Toc194645863" w:history="1">
        <w:r w:rsidRPr="0007140D">
          <w:rPr>
            <w:rStyle w:val="Hyperlink"/>
            <w:noProof/>
          </w:rPr>
          <w:t>4.1 Introduction</w:t>
        </w:r>
        <w:r>
          <w:rPr>
            <w:noProof/>
            <w:webHidden/>
          </w:rPr>
          <w:tab/>
        </w:r>
        <w:r>
          <w:rPr>
            <w:noProof/>
            <w:webHidden/>
          </w:rPr>
          <w:fldChar w:fldCharType="begin"/>
        </w:r>
        <w:r>
          <w:rPr>
            <w:noProof/>
            <w:webHidden/>
          </w:rPr>
          <w:instrText xml:space="preserve"> PAGEREF _Toc194645863 \h </w:instrText>
        </w:r>
        <w:r>
          <w:rPr>
            <w:noProof/>
            <w:webHidden/>
          </w:rPr>
        </w:r>
        <w:r>
          <w:rPr>
            <w:noProof/>
            <w:webHidden/>
          </w:rPr>
          <w:fldChar w:fldCharType="separate"/>
        </w:r>
        <w:r>
          <w:rPr>
            <w:noProof/>
            <w:webHidden/>
          </w:rPr>
          <w:t>15</w:t>
        </w:r>
        <w:r>
          <w:rPr>
            <w:noProof/>
            <w:webHidden/>
          </w:rPr>
          <w:fldChar w:fldCharType="end"/>
        </w:r>
      </w:hyperlink>
    </w:p>
    <w:p w14:paraId="7BB9ADFC" w14:textId="37BC11E9" w:rsidR="003477F2" w:rsidRDefault="003477F2">
      <w:pPr>
        <w:pStyle w:val="TOC2"/>
        <w:tabs>
          <w:tab w:val="right" w:leader="dot" w:pos="9016"/>
        </w:tabs>
        <w:rPr>
          <w:rFonts w:eastAsiaTheme="minorEastAsia"/>
          <w:noProof/>
          <w:lang w:eastAsia="en-GB"/>
        </w:rPr>
      </w:pPr>
      <w:hyperlink w:anchor="_Toc194645864" w:history="1">
        <w:r w:rsidRPr="0007140D">
          <w:rPr>
            <w:rStyle w:val="Hyperlink"/>
            <w:noProof/>
          </w:rPr>
          <w:t>4.2 Thematic Findings</w:t>
        </w:r>
        <w:r>
          <w:rPr>
            <w:noProof/>
            <w:webHidden/>
          </w:rPr>
          <w:tab/>
        </w:r>
        <w:r>
          <w:rPr>
            <w:noProof/>
            <w:webHidden/>
          </w:rPr>
          <w:fldChar w:fldCharType="begin"/>
        </w:r>
        <w:r>
          <w:rPr>
            <w:noProof/>
            <w:webHidden/>
          </w:rPr>
          <w:instrText xml:space="preserve"> PAGEREF _Toc194645864 \h </w:instrText>
        </w:r>
        <w:r>
          <w:rPr>
            <w:noProof/>
            <w:webHidden/>
          </w:rPr>
        </w:r>
        <w:r>
          <w:rPr>
            <w:noProof/>
            <w:webHidden/>
          </w:rPr>
          <w:fldChar w:fldCharType="separate"/>
        </w:r>
        <w:r>
          <w:rPr>
            <w:noProof/>
            <w:webHidden/>
          </w:rPr>
          <w:t>15</w:t>
        </w:r>
        <w:r>
          <w:rPr>
            <w:noProof/>
            <w:webHidden/>
          </w:rPr>
          <w:fldChar w:fldCharType="end"/>
        </w:r>
      </w:hyperlink>
    </w:p>
    <w:p w14:paraId="1D5486B9" w14:textId="490E483A" w:rsidR="003477F2" w:rsidRDefault="003477F2">
      <w:pPr>
        <w:pStyle w:val="TOC2"/>
        <w:tabs>
          <w:tab w:val="right" w:leader="dot" w:pos="9016"/>
        </w:tabs>
        <w:rPr>
          <w:rFonts w:eastAsiaTheme="minorEastAsia"/>
          <w:noProof/>
          <w:lang w:eastAsia="en-GB"/>
        </w:rPr>
      </w:pPr>
      <w:hyperlink w:anchor="_Toc194645865" w:history="1">
        <w:r w:rsidRPr="0007140D">
          <w:rPr>
            <w:rStyle w:val="Hyperlink"/>
            <w:noProof/>
          </w:rPr>
          <w:t>4.3 Findings in Relation to Research Objectives</w:t>
        </w:r>
        <w:r>
          <w:rPr>
            <w:noProof/>
            <w:webHidden/>
          </w:rPr>
          <w:tab/>
        </w:r>
        <w:r>
          <w:rPr>
            <w:noProof/>
            <w:webHidden/>
          </w:rPr>
          <w:fldChar w:fldCharType="begin"/>
        </w:r>
        <w:r>
          <w:rPr>
            <w:noProof/>
            <w:webHidden/>
          </w:rPr>
          <w:instrText xml:space="preserve"> PAGEREF _Toc194645865 \h </w:instrText>
        </w:r>
        <w:r>
          <w:rPr>
            <w:noProof/>
            <w:webHidden/>
          </w:rPr>
        </w:r>
        <w:r>
          <w:rPr>
            <w:noProof/>
            <w:webHidden/>
          </w:rPr>
          <w:fldChar w:fldCharType="separate"/>
        </w:r>
        <w:r>
          <w:rPr>
            <w:noProof/>
            <w:webHidden/>
          </w:rPr>
          <w:t>15</w:t>
        </w:r>
        <w:r>
          <w:rPr>
            <w:noProof/>
            <w:webHidden/>
          </w:rPr>
          <w:fldChar w:fldCharType="end"/>
        </w:r>
      </w:hyperlink>
    </w:p>
    <w:p w14:paraId="4EC12985" w14:textId="6CA366C3" w:rsidR="003477F2" w:rsidRDefault="003477F2">
      <w:pPr>
        <w:pStyle w:val="TOC2"/>
        <w:tabs>
          <w:tab w:val="right" w:leader="dot" w:pos="9016"/>
        </w:tabs>
        <w:rPr>
          <w:rFonts w:eastAsiaTheme="minorEastAsia"/>
          <w:noProof/>
          <w:lang w:eastAsia="en-GB"/>
        </w:rPr>
      </w:pPr>
      <w:hyperlink w:anchor="_Toc194645866" w:history="1">
        <w:r w:rsidRPr="0007140D">
          <w:rPr>
            <w:rStyle w:val="Hyperlink"/>
            <w:noProof/>
          </w:rPr>
          <w:t>4.3.1 Objective 1: Unique Marketing Challenges in the UK Security Industry</w:t>
        </w:r>
        <w:r>
          <w:rPr>
            <w:noProof/>
            <w:webHidden/>
          </w:rPr>
          <w:tab/>
        </w:r>
        <w:r>
          <w:rPr>
            <w:noProof/>
            <w:webHidden/>
          </w:rPr>
          <w:fldChar w:fldCharType="begin"/>
        </w:r>
        <w:r>
          <w:rPr>
            <w:noProof/>
            <w:webHidden/>
          </w:rPr>
          <w:instrText xml:space="preserve"> PAGEREF _Toc194645866 \h </w:instrText>
        </w:r>
        <w:r>
          <w:rPr>
            <w:noProof/>
            <w:webHidden/>
          </w:rPr>
        </w:r>
        <w:r>
          <w:rPr>
            <w:noProof/>
            <w:webHidden/>
          </w:rPr>
          <w:fldChar w:fldCharType="separate"/>
        </w:r>
        <w:r>
          <w:rPr>
            <w:noProof/>
            <w:webHidden/>
          </w:rPr>
          <w:t>16</w:t>
        </w:r>
        <w:r>
          <w:rPr>
            <w:noProof/>
            <w:webHidden/>
          </w:rPr>
          <w:fldChar w:fldCharType="end"/>
        </w:r>
      </w:hyperlink>
    </w:p>
    <w:p w14:paraId="6362A3A3" w14:textId="3E3CCA19" w:rsidR="003477F2" w:rsidRDefault="003477F2">
      <w:pPr>
        <w:pStyle w:val="TOC2"/>
        <w:tabs>
          <w:tab w:val="right" w:leader="dot" w:pos="9016"/>
        </w:tabs>
        <w:rPr>
          <w:rFonts w:eastAsiaTheme="minorEastAsia"/>
          <w:noProof/>
          <w:lang w:eastAsia="en-GB"/>
        </w:rPr>
      </w:pPr>
      <w:hyperlink w:anchor="_Toc194645867" w:history="1">
        <w:r w:rsidRPr="0007140D">
          <w:rPr>
            <w:rStyle w:val="Hyperlink"/>
            <w:noProof/>
          </w:rPr>
          <w:t>4.3.2 Objective 2: Effectiveness of Banham’s Marketing Strategies</w:t>
        </w:r>
        <w:r>
          <w:rPr>
            <w:noProof/>
            <w:webHidden/>
          </w:rPr>
          <w:tab/>
        </w:r>
        <w:r>
          <w:rPr>
            <w:noProof/>
            <w:webHidden/>
          </w:rPr>
          <w:fldChar w:fldCharType="begin"/>
        </w:r>
        <w:r>
          <w:rPr>
            <w:noProof/>
            <w:webHidden/>
          </w:rPr>
          <w:instrText xml:space="preserve"> PAGEREF _Toc194645867 \h </w:instrText>
        </w:r>
        <w:r>
          <w:rPr>
            <w:noProof/>
            <w:webHidden/>
          </w:rPr>
        </w:r>
        <w:r>
          <w:rPr>
            <w:noProof/>
            <w:webHidden/>
          </w:rPr>
          <w:fldChar w:fldCharType="separate"/>
        </w:r>
        <w:r>
          <w:rPr>
            <w:noProof/>
            <w:webHidden/>
          </w:rPr>
          <w:t>18</w:t>
        </w:r>
        <w:r>
          <w:rPr>
            <w:noProof/>
            <w:webHidden/>
          </w:rPr>
          <w:fldChar w:fldCharType="end"/>
        </w:r>
      </w:hyperlink>
    </w:p>
    <w:p w14:paraId="5A2C99A0" w14:textId="422108BA" w:rsidR="003477F2" w:rsidRDefault="003477F2">
      <w:pPr>
        <w:pStyle w:val="TOC2"/>
        <w:tabs>
          <w:tab w:val="right" w:leader="dot" w:pos="9016"/>
        </w:tabs>
        <w:rPr>
          <w:rFonts w:eastAsiaTheme="minorEastAsia"/>
          <w:noProof/>
          <w:lang w:eastAsia="en-GB"/>
        </w:rPr>
      </w:pPr>
      <w:hyperlink w:anchor="_Toc194645868" w:history="1">
        <w:r w:rsidRPr="0007140D">
          <w:rPr>
            <w:rStyle w:val="Hyperlink"/>
            <w:noProof/>
          </w:rPr>
          <w:t>4.3.3 Objective 3: Strategic Recommendations for Similar SMEs</w:t>
        </w:r>
        <w:r>
          <w:rPr>
            <w:noProof/>
            <w:webHidden/>
          </w:rPr>
          <w:tab/>
        </w:r>
        <w:r>
          <w:rPr>
            <w:noProof/>
            <w:webHidden/>
          </w:rPr>
          <w:fldChar w:fldCharType="begin"/>
        </w:r>
        <w:r>
          <w:rPr>
            <w:noProof/>
            <w:webHidden/>
          </w:rPr>
          <w:instrText xml:space="preserve"> PAGEREF _Toc194645868 \h </w:instrText>
        </w:r>
        <w:r>
          <w:rPr>
            <w:noProof/>
            <w:webHidden/>
          </w:rPr>
        </w:r>
        <w:r>
          <w:rPr>
            <w:noProof/>
            <w:webHidden/>
          </w:rPr>
          <w:fldChar w:fldCharType="separate"/>
        </w:r>
        <w:r>
          <w:rPr>
            <w:noProof/>
            <w:webHidden/>
          </w:rPr>
          <w:t>20</w:t>
        </w:r>
        <w:r>
          <w:rPr>
            <w:noProof/>
            <w:webHidden/>
          </w:rPr>
          <w:fldChar w:fldCharType="end"/>
        </w:r>
      </w:hyperlink>
    </w:p>
    <w:p w14:paraId="7C0E812A" w14:textId="37656F14" w:rsidR="003477F2" w:rsidRDefault="003477F2">
      <w:pPr>
        <w:pStyle w:val="TOC2"/>
        <w:tabs>
          <w:tab w:val="right" w:leader="dot" w:pos="9016"/>
        </w:tabs>
        <w:rPr>
          <w:rFonts w:eastAsiaTheme="minorEastAsia"/>
          <w:noProof/>
          <w:lang w:eastAsia="en-GB"/>
        </w:rPr>
      </w:pPr>
      <w:hyperlink w:anchor="_Toc194645869" w:history="1">
        <w:r w:rsidRPr="0007140D">
          <w:rPr>
            <w:rStyle w:val="Hyperlink"/>
            <w:noProof/>
          </w:rPr>
          <w:t>4.4 Discussion: Theoretical Integration</w:t>
        </w:r>
        <w:r>
          <w:rPr>
            <w:noProof/>
            <w:webHidden/>
          </w:rPr>
          <w:tab/>
        </w:r>
        <w:r>
          <w:rPr>
            <w:noProof/>
            <w:webHidden/>
          </w:rPr>
          <w:fldChar w:fldCharType="begin"/>
        </w:r>
        <w:r>
          <w:rPr>
            <w:noProof/>
            <w:webHidden/>
          </w:rPr>
          <w:instrText xml:space="preserve"> PAGEREF _Toc194645869 \h </w:instrText>
        </w:r>
        <w:r>
          <w:rPr>
            <w:noProof/>
            <w:webHidden/>
          </w:rPr>
        </w:r>
        <w:r>
          <w:rPr>
            <w:noProof/>
            <w:webHidden/>
          </w:rPr>
          <w:fldChar w:fldCharType="separate"/>
        </w:r>
        <w:r>
          <w:rPr>
            <w:noProof/>
            <w:webHidden/>
          </w:rPr>
          <w:t>20</w:t>
        </w:r>
        <w:r>
          <w:rPr>
            <w:noProof/>
            <w:webHidden/>
          </w:rPr>
          <w:fldChar w:fldCharType="end"/>
        </w:r>
      </w:hyperlink>
    </w:p>
    <w:p w14:paraId="537E13A1" w14:textId="77F3F0DA" w:rsidR="003477F2" w:rsidRDefault="003477F2">
      <w:pPr>
        <w:pStyle w:val="TOC2"/>
        <w:tabs>
          <w:tab w:val="right" w:leader="dot" w:pos="9016"/>
        </w:tabs>
        <w:rPr>
          <w:rFonts w:eastAsiaTheme="minorEastAsia"/>
          <w:noProof/>
          <w:lang w:eastAsia="en-GB"/>
        </w:rPr>
      </w:pPr>
      <w:hyperlink w:anchor="_Toc194645870" w:history="1">
        <w:r w:rsidRPr="0007140D">
          <w:rPr>
            <w:rStyle w:val="Hyperlink"/>
            <w:noProof/>
          </w:rPr>
          <w:t>4.5 Chapter Summary</w:t>
        </w:r>
        <w:r>
          <w:rPr>
            <w:noProof/>
            <w:webHidden/>
          </w:rPr>
          <w:tab/>
        </w:r>
        <w:r>
          <w:rPr>
            <w:noProof/>
            <w:webHidden/>
          </w:rPr>
          <w:fldChar w:fldCharType="begin"/>
        </w:r>
        <w:r>
          <w:rPr>
            <w:noProof/>
            <w:webHidden/>
          </w:rPr>
          <w:instrText xml:space="preserve"> PAGEREF _Toc194645870 \h </w:instrText>
        </w:r>
        <w:r>
          <w:rPr>
            <w:noProof/>
            <w:webHidden/>
          </w:rPr>
        </w:r>
        <w:r>
          <w:rPr>
            <w:noProof/>
            <w:webHidden/>
          </w:rPr>
          <w:fldChar w:fldCharType="separate"/>
        </w:r>
        <w:r>
          <w:rPr>
            <w:noProof/>
            <w:webHidden/>
          </w:rPr>
          <w:t>20</w:t>
        </w:r>
        <w:r>
          <w:rPr>
            <w:noProof/>
            <w:webHidden/>
          </w:rPr>
          <w:fldChar w:fldCharType="end"/>
        </w:r>
      </w:hyperlink>
    </w:p>
    <w:p w14:paraId="26C3EC92" w14:textId="76FF6D92" w:rsidR="003477F2" w:rsidRDefault="003477F2">
      <w:pPr>
        <w:pStyle w:val="TOC1"/>
        <w:tabs>
          <w:tab w:val="right" w:leader="dot" w:pos="9016"/>
        </w:tabs>
        <w:rPr>
          <w:rFonts w:eastAsiaTheme="minorEastAsia"/>
          <w:noProof/>
          <w:lang w:eastAsia="en-GB"/>
        </w:rPr>
      </w:pPr>
      <w:hyperlink w:anchor="_Toc194645871" w:history="1">
        <w:r w:rsidRPr="0007140D">
          <w:rPr>
            <w:rStyle w:val="Hyperlink"/>
            <w:noProof/>
          </w:rPr>
          <w:t>5. Conclusion</w:t>
        </w:r>
        <w:r>
          <w:rPr>
            <w:noProof/>
            <w:webHidden/>
          </w:rPr>
          <w:tab/>
        </w:r>
        <w:r>
          <w:rPr>
            <w:noProof/>
            <w:webHidden/>
          </w:rPr>
          <w:fldChar w:fldCharType="begin"/>
        </w:r>
        <w:r>
          <w:rPr>
            <w:noProof/>
            <w:webHidden/>
          </w:rPr>
          <w:instrText xml:space="preserve"> PAGEREF _Toc194645871 \h </w:instrText>
        </w:r>
        <w:r>
          <w:rPr>
            <w:noProof/>
            <w:webHidden/>
          </w:rPr>
        </w:r>
        <w:r>
          <w:rPr>
            <w:noProof/>
            <w:webHidden/>
          </w:rPr>
          <w:fldChar w:fldCharType="separate"/>
        </w:r>
        <w:r>
          <w:rPr>
            <w:noProof/>
            <w:webHidden/>
          </w:rPr>
          <w:t>21</w:t>
        </w:r>
        <w:r>
          <w:rPr>
            <w:noProof/>
            <w:webHidden/>
          </w:rPr>
          <w:fldChar w:fldCharType="end"/>
        </w:r>
      </w:hyperlink>
    </w:p>
    <w:p w14:paraId="455751CA" w14:textId="5CC70F25" w:rsidR="003477F2" w:rsidRDefault="003477F2">
      <w:pPr>
        <w:pStyle w:val="TOC2"/>
        <w:tabs>
          <w:tab w:val="right" w:leader="dot" w:pos="9016"/>
        </w:tabs>
        <w:rPr>
          <w:rFonts w:eastAsiaTheme="minorEastAsia"/>
          <w:noProof/>
          <w:lang w:eastAsia="en-GB"/>
        </w:rPr>
      </w:pPr>
      <w:hyperlink w:anchor="_Toc194645872" w:history="1">
        <w:r w:rsidRPr="0007140D">
          <w:rPr>
            <w:rStyle w:val="Hyperlink"/>
            <w:noProof/>
          </w:rPr>
          <w:t>5.1 Overview of the Study</w:t>
        </w:r>
        <w:r>
          <w:rPr>
            <w:noProof/>
            <w:webHidden/>
          </w:rPr>
          <w:tab/>
        </w:r>
        <w:r>
          <w:rPr>
            <w:noProof/>
            <w:webHidden/>
          </w:rPr>
          <w:fldChar w:fldCharType="begin"/>
        </w:r>
        <w:r>
          <w:rPr>
            <w:noProof/>
            <w:webHidden/>
          </w:rPr>
          <w:instrText xml:space="preserve"> PAGEREF _Toc194645872 \h </w:instrText>
        </w:r>
        <w:r>
          <w:rPr>
            <w:noProof/>
            <w:webHidden/>
          </w:rPr>
        </w:r>
        <w:r>
          <w:rPr>
            <w:noProof/>
            <w:webHidden/>
          </w:rPr>
          <w:fldChar w:fldCharType="separate"/>
        </w:r>
        <w:r>
          <w:rPr>
            <w:noProof/>
            <w:webHidden/>
          </w:rPr>
          <w:t>21</w:t>
        </w:r>
        <w:r>
          <w:rPr>
            <w:noProof/>
            <w:webHidden/>
          </w:rPr>
          <w:fldChar w:fldCharType="end"/>
        </w:r>
      </w:hyperlink>
    </w:p>
    <w:p w14:paraId="41E9876D" w14:textId="54E310FA" w:rsidR="003477F2" w:rsidRDefault="003477F2">
      <w:pPr>
        <w:pStyle w:val="TOC2"/>
        <w:tabs>
          <w:tab w:val="right" w:leader="dot" w:pos="9016"/>
        </w:tabs>
        <w:rPr>
          <w:rFonts w:eastAsiaTheme="minorEastAsia"/>
          <w:noProof/>
          <w:lang w:eastAsia="en-GB"/>
        </w:rPr>
      </w:pPr>
      <w:hyperlink w:anchor="_Toc194645873" w:history="1">
        <w:r w:rsidRPr="0007140D">
          <w:rPr>
            <w:rStyle w:val="Hyperlink"/>
            <w:noProof/>
          </w:rPr>
          <w:t>5.2 Contribution of the Research</w:t>
        </w:r>
        <w:r>
          <w:rPr>
            <w:noProof/>
            <w:webHidden/>
          </w:rPr>
          <w:tab/>
        </w:r>
        <w:r>
          <w:rPr>
            <w:noProof/>
            <w:webHidden/>
          </w:rPr>
          <w:fldChar w:fldCharType="begin"/>
        </w:r>
        <w:r>
          <w:rPr>
            <w:noProof/>
            <w:webHidden/>
          </w:rPr>
          <w:instrText xml:space="preserve"> PAGEREF _Toc194645873 \h </w:instrText>
        </w:r>
        <w:r>
          <w:rPr>
            <w:noProof/>
            <w:webHidden/>
          </w:rPr>
        </w:r>
        <w:r>
          <w:rPr>
            <w:noProof/>
            <w:webHidden/>
          </w:rPr>
          <w:fldChar w:fldCharType="separate"/>
        </w:r>
        <w:r>
          <w:rPr>
            <w:noProof/>
            <w:webHidden/>
          </w:rPr>
          <w:t>21</w:t>
        </w:r>
        <w:r>
          <w:rPr>
            <w:noProof/>
            <w:webHidden/>
          </w:rPr>
          <w:fldChar w:fldCharType="end"/>
        </w:r>
      </w:hyperlink>
    </w:p>
    <w:p w14:paraId="36FD40A8" w14:textId="2D310356" w:rsidR="003477F2" w:rsidRDefault="003477F2">
      <w:pPr>
        <w:pStyle w:val="TOC2"/>
        <w:tabs>
          <w:tab w:val="right" w:leader="dot" w:pos="9016"/>
        </w:tabs>
        <w:rPr>
          <w:rFonts w:eastAsiaTheme="minorEastAsia"/>
          <w:noProof/>
          <w:lang w:eastAsia="en-GB"/>
        </w:rPr>
      </w:pPr>
      <w:hyperlink w:anchor="_Toc194645874" w:history="1">
        <w:r w:rsidRPr="0007140D">
          <w:rPr>
            <w:rStyle w:val="Hyperlink"/>
            <w:noProof/>
          </w:rPr>
          <w:t>5.3 Limitations and Future Research</w:t>
        </w:r>
        <w:r>
          <w:rPr>
            <w:noProof/>
            <w:webHidden/>
          </w:rPr>
          <w:tab/>
        </w:r>
        <w:r>
          <w:rPr>
            <w:noProof/>
            <w:webHidden/>
          </w:rPr>
          <w:fldChar w:fldCharType="begin"/>
        </w:r>
        <w:r>
          <w:rPr>
            <w:noProof/>
            <w:webHidden/>
          </w:rPr>
          <w:instrText xml:space="preserve"> PAGEREF _Toc194645874 \h </w:instrText>
        </w:r>
        <w:r>
          <w:rPr>
            <w:noProof/>
            <w:webHidden/>
          </w:rPr>
        </w:r>
        <w:r>
          <w:rPr>
            <w:noProof/>
            <w:webHidden/>
          </w:rPr>
          <w:fldChar w:fldCharType="separate"/>
        </w:r>
        <w:r>
          <w:rPr>
            <w:noProof/>
            <w:webHidden/>
          </w:rPr>
          <w:t>21</w:t>
        </w:r>
        <w:r>
          <w:rPr>
            <w:noProof/>
            <w:webHidden/>
          </w:rPr>
          <w:fldChar w:fldCharType="end"/>
        </w:r>
      </w:hyperlink>
    </w:p>
    <w:p w14:paraId="2CA641A0" w14:textId="098CED25" w:rsidR="003477F2" w:rsidRDefault="003477F2">
      <w:pPr>
        <w:pStyle w:val="TOC2"/>
        <w:tabs>
          <w:tab w:val="right" w:leader="dot" w:pos="9016"/>
        </w:tabs>
        <w:rPr>
          <w:rFonts w:eastAsiaTheme="minorEastAsia"/>
          <w:noProof/>
          <w:lang w:eastAsia="en-GB"/>
        </w:rPr>
      </w:pPr>
      <w:hyperlink w:anchor="_Toc194645875" w:history="1">
        <w:r w:rsidRPr="0007140D">
          <w:rPr>
            <w:rStyle w:val="Hyperlink"/>
            <w:noProof/>
          </w:rPr>
          <w:t>5.4 Reflective statement</w:t>
        </w:r>
        <w:r>
          <w:rPr>
            <w:noProof/>
            <w:webHidden/>
          </w:rPr>
          <w:tab/>
        </w:r>
        <w:r>
          <w:rPr>
            <w:noProof/>
            <w:webHidden/>
          </w:rPr>
          <w:fldChar w:fldCharType="begin"/>
        </w:r>
        <w:r>
          <w:rPr>
            <w:noProof/>
            <w:webHidden/>
          </w:rPr>
          <w:instrText xml:space="preserve"> PAGEREF _Toc194645875 \h </w:instrText>
        </w:r>
        <w:r>
          <w:rPr>
            <w:noProof/>
            <w:webHidden/>
          </w:rPr>
        </w:r>
        <w:r>
          <w:rPr>
            <w:noProof/>
            <w:webHidden/>
          </w:rPr>
          <w:fldChar w:fldCharType="separate"/>
        </w:r>
        <w:r>
          <w:rPr>
            <w:noProof/>
            <w:webHidden/>
          </w:rPr>
          <w:t>21</w:t>
        </w:r>
        <w:r>
          <w:rPr>
            <w:noProof/>
            <w:webHidden/>
          </w:rPr>
          <w:fldChar w:fldCharType="end"/>
        </w:r>
      </w:hyperlink>
    </w:p>
    <w:p w14:paraId="013073BE" w14:textId="76C68452" w:rsidR="003477F2" w:rsidRDefault="003477F2">
      <w:pPr>
        <w:pStyle w:val="TOC1"/>
        <w:tabs>
          <w:tab w:val="right" w:leader="dot" w:pos="9016"/>
        </w:tabs>
        <w:rPr>
          <w:rFonts w:eastAsiaTheme="minorEastAsia"/>
          <w:noProof/>
          <w:lang w:eastAsia="en-GB"/>
        </w:rPr>
      </w:pPr>
      <w:hyperlink w:anchor="_Toc194645876" w:history="1">
        <w:r w:rsidRPr="0007140D">
          <w:rPr>
            <w:rStyle w:val="Hyperlink"/>
            <w:noProof/>
          </w:rPr>
          <w:t>6.References</w:t>
        </w:r>
        <w:r>
          <w:rPr>
            <w:noProof/>
            <w:webHidden/>
          </w:rPr>
          <w:tab/>
        </w:r>
        <w:r>
          <w:rPr>
            <w:noProof/>
            <w:webHidden/>
          </w:rPr>
          <w:fldChar w:fldCharType="begin"/>
        </w:r>
        <w:r>
          <w:rPr>
            <w:noProof/>
            <w:webHidden/>
          </w:rPr>
          <w:instrText xml:space="preserve"> PAGEREF _Toc194645876 \h </w:instrText>
        </w:r>
        <w:r>
          <w:rPr>
            <w:noProof/>
            <w:webHidden/>
          </w:rPr>
        </w:r>
        <w:r>
          <w:rPr>
            <w:noProof/>
            <w:webHidden/>
          </w:rPr>
          <w:fldChar w:fldCharType="separate"/>
        </w:r>
        <w:r>
          <w:rPr>
            <w:noProof/>
            <w:webHidden/>
          </w:rPr>
          <w:t>23</w:t>
        </w:r>
        <w:r>
          <w:rPr>
            <w:noProof/>
            <w:webHidden/>
          </w:rPr>
          <w:fldChar w:fldCharType="end"/>
        </w:r>
      </w:hyperlink>
    </w:p>
    <w:p w14:paraId="5939DE4A" w14:textId="3AD4E09E" w:rsidR="00DE1AF5" w:rsidRDefault="009C4C35" w:rsidP="00DE1AF5">
      <w:pPr>
        <w:pStyle w:val="Heading1"/>
      </w:pPr>
      <w:r>
        <w:fldChar w:fldCharType="end"/>
      </w:r>
    </w:p>
    <w:p w14:paraId="023B0E8F" w14:textId="77777777" w:rsidR="00DE1AF5" w:rsidRDefault="00DE1AF5" w:rsidP="00DE1AF5"/>
    <w:p w14:paraId="5453944E" w14:textId="77777777" w:rsidR="00DE1AF5" w:rsidRDefault="00DE1AF5" w:rsidP="00DE1AF5"/>
    <w:p w14:paraId="6D48C6EC" w14:textId="77777777" w:rsidR="00DE1AF5" w:rsidRDefault="00DE1AF5" w:rsidP="00DE1AF5"/>
    <w:p w14:paraId="6A63B935" w14:textId="77777777" w:rsidR="00DE1AF5" w:rsidRDefault="00DE1AF5" w:rsidP="00DE1AF5"/>
    <w:p w14:paraId="58BE21C7" w14:textId="77777777" w:rsidR="00DE1AF5" w:rsidRDefault="00DE1AF5" w:rsidP="00DE1AF5"/>
    <w:p w14:paraId="7CB34D02" w14:textId="77777777" w:rsidR="00DE1AF5" w:rsidRPr="00DE1AF5" w:rsidRDefault="00DE1AF5" w:rsidP="00DE1AF5"/>
    <w:p w14:paraId="0C4AC544" w14:textId="77777777" w:rsidR="00DE1AF5" w:rsidRDefault="00DE1AF5" w:rsidP="00DE1AF5">
      <w:pPr>
        <w:pStyle w:val="Heading1"/>
      </w:pPr>
    </w:p>
    <w:p w14:paraId="2BE9A853" w14:textId="77777777" w:rsidR="00DE1AF5" w:rsidRDefault="00DE1AF5" w:rsidP="00DE1AF5">
      <w:pPr>
        <w:pStyle w:val="Heading1"/>
      </w:pPr>
    </w:p>
    <w:p w14:paraId="1B3D7C8E" w14:textId="77777777" w:rsidR="000552C0" w:rsidRDefault="000552C0" w:rsidP="000552C0"/>
    <w:p w14:paraId="4F3C2E4F" w14:textId="77777777" w:rsidR="000552C0" w:rsidRPr="000552C0" w:rsidRDefault="000552C0" w:rsidP="000552C0"/>
    <w:p w14:paraId="641C849B" w14:textId="77777777" w:rsidR="00504BAF" w:rsidRDefault="00504BAF" w:rsidP="00DE1AF5">
      <w:pPr>
        <w:pStyle w:val="Heading1"/>
      </w:pPr>
      <w:bookmarkStart w:id="0" w:name="_Toc194610993"/>
    </w:p>
    <w:p w14:paraId="34BB62D5" w14:textId="77777777" w:rsidR="00504BAF" w:rsidRDefault="00504BAF" w:rsidP="00DE1AF5">
      <w:pPr>
        <w:pStyle w:val="Heading1"/>
      </w:pPr>
    </w:p>
    <w:p w14:paraId="22E7F68E" w14:textId="77777777" w:rsidR="00504BAF" w:rsidRDefault="00504BAF" w:rsidP="00504BAF"/>
    <w:p w14:paraId="54003EA8" w14:textId="77777777" w:rsidR="009C4C35" w:rsidRDefault="009C4C35" w:rsidP="00504BAF"/>
    <w:p w14:paraId="6589A89A" w14:textId="77777777" w:rsidR="009C4C35" w:rsidRDefault="009C4C35" w:rsidP="00504BAF"/>
    <w:p w14:paraId="7F5CDDEB" w14:textId="77777777" w:rsidR="009C4C35" w:rsidRDefault="009C4C35" w:rsidP="00504BAF"/>
    <w:p w14:paraId="12963F2D" w14:textId="77777777" w:rsidR="009C4C35" w:rsidRDefault="009C4C35" w:rsidP="00504BAF"/>
    <w:p w14:paraId="580FE4BF" w14:textId="77777777" w:rsidR="009C4C35" w:rsidRDefault="009C4C35" w:rsidP="00504BAF"/>
    <w:p w14:paraId="76B174CF" w14:textId="77777777" w:rsidR="009C4C35" w:rsidRDefault="009C4C35" w:rsidP="00504BAF"/>
    <w:p w14:paraId="351B9366" w14:textId="77777777" w:rsidR="009C4C35" w:rsidRDefault="009C4C35" w:rsidP="00504BAF"/>
    <w:p w14:paraId="06AD2358" w14:textId="77777777" w:rsidR="009C4C35" w:rsidRDefault="009C4C35" w:rsidP="00504BAF"/>
    <w:p w14:paraId="1491D9A4" w14:textId="77777777" w:rsidR="00CD1D2C" w:rsidRDefault="00CD1D2C" w:rsidP="00504BAF"/>
    <w:p w14:paraId="3DECD374" w14:textId="77777777" w:rsidR="00CD1D2C" w:rsidRDefault="00CD1D2C" w:rsidP="00504BAF"/>
    <w:p w14:paraId="2CBEDCD8" w14:textId="77777777" w:rsidR="009C4C35" w:rsidRPr="00504BAF" w:rsidRDefault="009C4C35" w:rsidP="00504BAF"/>
    <w:p w14:paraId="318B1314" w14:textId="276A513D" w:rsidR="00E606DA" w:rsidRPr="00E606DA" w:rsidRDefault="00E606DA" w:rsidP="00DE1AF5">
      <w:pPr>
        <w:pStyle w:val="Heading1"/>
      </w:pPr>
      <w:bookmarkStart w:id="1" w:name="_Toc194645838"/>
      <w:r w:rsidRPr="00E606DA">
        <w:lastRenderedPageBreak/>
        <w:t>Abstract</w:t>
      </w:r>
      <w:bookmarkEnd w:id="0"/>
      <w:bookmarkEnd w:id="1"/>
    </w:p>
    <w:p w14:paraId="1D7A5B0C" w14:textId="5F282132" w:rsidR="00E606DA" w:rsidRPr="00E606DA" w:rsidRDefault="00E606DA" w:rsidP="003477F2">
      <w:pPr>
        <w:pStyle w:val="NormalWeb"/>
        <w:rPr>
          <w:rFonts w:asciiTheme="minorHAnsi" w:hAnsiTheme="minorHAnsi" w:cstheme="minorHAnsi"/>
          <w:sz w:val="22"/>
          <w:szCs w:val="22"/>
        </w:rPr>
      </w:pPr>
      <w:r>
        <w:rPr>
          <w:rFonts w:asciiTheme="minorHAnsi" w:hAnsiTheme="minorHAnsi" w:cstheme="minorHAnsi"/>
          <w:sz w:val="22"/>
          <w:szCs w:val="22"/>
        </w:rPr>
        <w:t xml:space="preserve">   </w:t>
      </w:r>
      <w:r w:rsidR="00472DB9">
        <w:rPr>
          <w:rFonts w:asciiTheme="minorHAnsi" w:hAnsiTheme="minorHAnsi" w:cstheme="minorHAnsi"/>
          <w:sz w:val="22"/>
          <w:szCs w:val="22"/>
        </w:rPr>
        <w:t xml:space="preserve"> </w:t>
      </w:r>
      <w:r w:rsidR="00472DB9" w:rsidRPr="00472DB9">
        <w:rPr>
          <w:rFonts w:asciiTheme="minorHAnsi" w:hAnsiTheme="minorHAnsi" w:cstheme="minorHAnsi"/>
          <w:sz w:val="22"/>
          <w:szCs w:val="22"/>
        </w:rPr>
        <w:t xml:space="preserve">   </w:t>
      </w:r>
      <w:r w:rsidR="003477F2" w:rsidRPr="003477F2">
        <w:rPr>
          <w:rFonts w:asciiTheme="minorHAnsi" w:hAnsiTheme="minorHAnsi" w:cstheme="minorHAnsi"/>
          <w:sz w:val="22"/>
          <w:szCs w:val="22"/>
        </w:rPr>
        <w:t>This dissertation explores how small and medium-sized enterprises (SMEs) in the United Kingdom’s security system sector can formulate and implement successful marketing strategies to stand out against larger corporations. Using Banham Security—an established family-owned firm—as a focal point, it demonstrates how SMEs can strategically leverage factors like brand heritage, customer trust, and technological innovation to achieve a competitive edge.</w:t>
      </w:r>
      <w:r w:rsidR="003477F2">
        <w:rPr>
          <w:rFonts w:asciiTheme="minorHAnsi" w:hAnsiTheme="minorHAnsi" w:cstheme="minorHAnsi"/>
          <w:sz w:val="22"/>
          <w:szCs w:val="22"/>
        </w:rPr>
        <w:t xml:space="preserve"> </w:t>
      </w:r>
      <w:r w:rsidR="003477F2" w:rsidRPr="003477F2">
        <w:rPr>
          <w:rFonts w:asciiTheme="minorHAnsi" w:hAnsiTheme="minorHAnsi" w:cstheme="minorHAnsi"/>
          <w:sz w:val="22"/>
          <w:szCs w:val="22"/>
        </w:rPr>
        <w:t>Drawing on Porter’s Competitive Advantage theory, Transaction Cost Economics (TCE), and the Resource-Based View (RBV), the study highlights how intangible resources (e.g., exclusivity, personalized service, and digital engagement) can overcome budget constraints and build stronger market visibility. While the research relies entirely on secondary qualitative and quantitative data, its conclusions underline Banham’s differentiation strategy, which combines strong brand legacy, strong relationships, and modern technology. Despite these benefits, there are limitations regarding reliance on a single case and the absence of primary data. Future recommendations include delving into emerging technologies and deepening customer-centric tactics to preserve customer loyalty and remain at the forefront of the high-end market. By illustrating how SMEs can employ strategic marketing and authentic branding in a premium, trust-driven setting, this study contributes insights relevant to both academia and industry practice.</w:t>
      </w:r>
    </w:p>
    <w:p w14:paraId="67345EFD" w14:textId="77777777" w:rsidR="00E606DA" w:rsidRDefault="00E606DA" w:rsidP="00E606DA">
      <w:pPr>
        <w:ind w:left="786" w:hanging="360"/>
      </w:pPr>
    </w:p>
    <w:p w14:paraId="5EAD7BC2" w14:textId="77777777" w:rsidR="00E606DA" w:rsidRDefault="00E606DA" w:rsidP="00AE0986">
      <w:pPr>
        <w:ind w:left="786" w:hanging="360"/>
      </w:pPr>
    </w:p>
    <w:p w14:paraId="62F871BB" w14:textId="77777777" w:rsidR="00E606DA" w:rsidRDefault="00E606DA" w:rsidP="00AE0986">
      <w:pPr>
        <w:ind w:left="786" w:hanging="360"/>
      </w:pPr>
    </w:p>
    <w:p w14:paraId="7DD408F9" w14:textId="77777777" w:rsidR="00E606DA" w:rsidRDefault="00E606DA" w:rsidP="00AE0986">
      <w:pPr>
        <w:ind w:left="786" w:hanging="360"/>
      </w:pPr>
    </w:p>
    <w:p w14:paraId="3F651786" w14:textId="77777777" w:rsidR="00E606DA" w:rsidRDefault="00E606DA" w:rsidP="00AE0986">
      <w:pPr>
        <w:ind w:left="786" w:hanging="360"/>
      </w:pPr>
    </w:p>
    <w:p w14:paraId="6B40DF6D" w14:textId="77777777" w:rsidR="00E606DA" w:rsidRDefault="00E606DA" w:rsidP="00AE0986">
      <w:pPr>
        <w:ind w:left="786" w:hanging="360"/>
      </w:pPr>
    </w:p>
    <w:p w14:paraId="47630BEB" w14:textId="77777777" w:rsidR="00E606DA" w:rsidRDefault="00E606DA" w:rsidP="00AE0986">
      <w:pPr>
        <w:ind w:left="786" w:hanging="360"/>
      </w:pPr>
    </w:p>
    <w:p w14:paraId="7D24EE1B" w14:textId="77777777" w:rsidR="00E606DA" w:rsidRDefault="00E606DA" w:rsidP="00AE0986">
      <w:pPr>
        <w:ind w:left="786" w:hanging="360"/>
      </w:pPr>
    </w:p>
    <w:p w14:paraId="115C4C03" w14:textId="77777777" w:rsidR="00E606DA" w:rsidRDefault="00E606DA" w:rsidP="00AE0986">
      <w:pPr>
        <w:ind w:left="786" w:hanging="360"/>
      </w:pPr>
    </w:p>
    <w:p w14:paraId="5E7F8B0F" w14:textId="77777777" w:rsidR="00E606DA" w:rsidRDefault="00E606DA" w:rsidP="00AE0986">
      <w:pPr>
        <w:ind w:left="786" w:hanging="360"/>
      </w:pPr>
    </w:p>
    <w:p w14:paraId="3FE76B37" w14:textId="77777777" w:rsidR="00E606DA" w:rsidRDefault="00E606DA" w:rsidP="00AE0986">
      <w:pPr>
        <w:ind w:left="786" w:hanging="360"/>
      </w:pPr>
    </w:p>
    <w:p w14:paraId="7075B680" w14:textId="77777777" w:rsidR="00E606DA" w:rsidRDefault="00E606DA" w:rsidP="00AE0986">
      <w:pPr>
        <w:ind w:left="786" w:hanging="360"/>
      </w:pPr>
    </w:p>
    <w:p w14:paraId="37826913" w14:textId="77777777" w:rsidR="00E606DA" w:rsidRDefault="00E606DA" w:rsidP="00AE0986">
      <w:pPr>
        <w:ind w:left="786" w:hanging="360"/>
      </w:pPr>
    </w:p>
    <w:p w14:paraId="7996D5A8" w14:textId="77777777" w:rsidR="00E606DA" w:rsidRDefault="00E606DA" w:rsidP="00AE0986">
      <w:pPr>
        <w:ind w:left="786" w:hanging="360"/>
      </w:pPr>
    </w:p>
    <w:p w14:paraId="5E67BB87" w14:textId="77777777" w:rsidR="00E606DA" w:rsidRDefault="00E606DA" w:rsidP="00AE0986">
      <w:pPr>
        <w:ind w:left="786" w:hanging="360"/>
      </w:pPr>
    </w:p>
    <w:p w14:paraId="61ACD6C7" w14:textId="77777777" w:rsidR="00E606DA" w:rsidRDefault="00E606DA" w:rsidP="00E606DA"/>
    <w:p w14:paraId="3681144D" w14:textId="77777777" w:rsidR="00504BAF" w:rsidRDefault="00504BAF" w:rsidP="00E606DA"/>
    <w:p w14:paraId="2566286E" w14:textId="77777777" w:rsidR="004D07BF" w:rsidRDefault="004D07BF" w:rsidP="00E606DA"/>
    <w:p w14:paraId="14440ED5" w14:textId="77777777" w:rsidR="00504BAF" w:rsidRDefault="00504BAF" w:rsidP="00E606DA"/>
    <w:p w14:paraId="5B19177B" w14:textId="2E85E4F2" w:rsidR="00AE0986" w:rsidRPr="00E606DA" w:rsidRDefault="00E606DA" w:rsidP="00DE1AF5">
      <w:pPr>
        <w:pStyle w:val="Heading1"/>
      </w:pPr>
      <w:bookmarkStart w:id="2" w:name="_Toc194610994"/>
      <w:bookmarkStart w:id="3" w:name="_Toc194645839"/>
      <w:r w:rsidRPr="00E606DA">
        <w:lastRenderedPageBreak/>
        <w:t>1.</w:t>
      </w:r>
      <w:r w:rsidR="00AE0986" w:rsidRPr="00E606DA">
        <w:t>Introduction</w:t>
      </w:r>
      <w:bookmarkEnd w:id="2"/>
      <w:bookmarkEnd w:id="3"/>
    </w:p>
    <w:p w14:paraId="0951BB95" w14:textId="77777777" w:rsidR="00AE0986" w:rsidRPr="00AE0986" w:rsidRDefault="00AE0986" w:rsidP="00AE0986">
      <w:pPr>
        <w:pStyle w:val="ListParagraph"/>
        <w:rPr>
          <w:rFonts w:ascii="Calibri" w:hAnsi="Calibri" w:cs="Calibri"/>
          <w:sz w:val="28"/>
          <w:szCs w:val="28"/>
        </w:rPr>
      </w:pPr>
    </w:p>
    <w:p w14:paraId="52A21D68" w14:textId="37210BA4" w:rsidR="00AE0986" w:rsidRPr="00DE1AF5" w:rsidRDefault="00DE1AF5" w:rsidP="00DE1AF5">
      <w:pPr>
        <w:pStyle w:val="Heading2"/>
      </w:pPr>
      <w:bookmarkStart w:id="4" w:name="_Toc194610995"/>
      <w:bookmarkStart w:id="5" w:name="_Toc194645840"/>
      <w:r>
        <w:t xml:space="preserve">1.1 </w:t>
      </w:r>
      <w:r w:rsidR="00AE0986" w:rsidRPr="00DE1AF5">
        <w:t>Aim of the Research</w:t>
      </w:r>
      <w:bookmarkEnd w:id="4"/>
      <w:bookmarkEnd w:id="5"/>
    </w:p>
    <w:p w14:paraId="63455F2B" w14:textId="756798A8" w:rsidR="00AE0986" w:rsidRPr="003477F2" w:rsidRDefault="00AE0986" w:rsidP="00AE0986">
      <w:pPr>
        <w:rPr>
          <w:rFonts w:ascii="Calibri" w:hAnsi="Calibri" w:cs="Calibri"/>
        </w:rPr>
      </w:pPr>
      <w:r>
        <w:rPr>
          <w:rFonts w:ascii="Calibri" w:hAnsi="Calibri" w:cs="Calibri"/>
          <w:sz w:val="28"/>
          <w:szCs w:val="28"/>
        </w:rPr>
        <w:t xml:space="preserve">     </w:t>
      </w:r>
      <w:r w:rsidR="003477F2" w:rsidRPr="003477F2">
        <w:rPr>
          <w:rFonts w:ascii="Calibri" w:hAnsi="Calibri" w:cs="Calibri"/>
        </w:rPr>
        <w:t>The primary aim of this research is to assess the effectiveness of marketing strategies used by UK-based SMEs in the security system sector, with Banham Security serving as the main case example. This investigation focuses on how a premium-positioned SME can craft strategic marketing tactics that counter limited resources while remaining competitive against larger, more established players. It also examines how intangible elements—such as client trust, a rich heritage, and strong customer relationships—help sustain market advantage in high-end segments.</w:t>
      </w:r>
    </w:p>
    <w:p w14:paraId="2A483960" w14:textId="77777777" w:rsidR="00AE0986" w:rsidRPr="00AE0986" w:rsidRDefault="00AE0986" w:rsidP="00AE0986">
      <w:pPr>
        <w:rPr>
          <w:rFonts w:ascii="Calibri" w:hAnsi="Calibri" w:cs="Calibri"/>
        </w:rPr>
      </w:pPr>
    </w:p>
    <w:p w14:paraId="5CC29E27" w14:textId="77777777" w:rsidR="00AE0986" w:rsidRDefault="00AE0986" w:rsidP="00DE1AF5">
      <w:pPr>
        <w:pStyle w:val="Heading2"/>
      </w:pPr>
      <w:bookmarkStart w:id="6" w:name="_Toc194610996"/>
      <w:bookmarkStart w:id="7" w:name="_Toc194645841"/>
      <w:r w:rsidRPr="00AE0986">
        <w:t>1.2 Objectives of the Research</w:t>
      </w:r>
      <w:bookmarkEnd w:id="6"/>
      <w:bookmarkEnd w:id="7"/>
    </w:p>
    <w:p w14:paraId="229E77C8" w14:textId="497323EB" w:rsidR="00AE0986" w:rsidRPr="00AE0986" w:rsidRDefault="00AE0986" w:rsidP="00AE0986">
      <w:pPr>
        <w:rPr>
          <w:rFonts w:ascii="Calibri" w:hAnsi="Calibri" w:cs="Calibri"/>
        </w:rPr>
      </w:pPr>
      <w:r>
        <w:rPr>
          <w:rFonts w:ascii="Calibri" w:hAnsi="Calibri" w:cs="Calibri"/>
          <w:sz w:val="28"/>
          <w:szCs w:val="28"/>
        </w:rPr>
        <w:t xml:space="preserve">  </w:t>
      </w:r>
      <w:r>
        <w:rPr>
          <w:rFonts w:ascii="Calibri" w:hAnsi="Calibri" w:cs="Calibri"/>
        </w:rPr>
        <w:t xml:space="preserve"> 1</w:t>
      </w:r>
      <w:r w:rsidRPr="00AE0986">
        <w:rPr>
          <w:rFonts w:ascii="Calibri" w:hAnsi="Calibri" w:cs="Calibri"/>
        </w:rPr>
        <w:t>. To identify and explore the unique marketing challenges facing SMEs in the UK security industry.</w:t>
      </w:r>
    </w:p>
    <w:p w14:paraId="3465E76F" w14:textId="77777777" w:rsidR="00AE0986" w:rsidRPr="00AE0986" w:rsidRDefault="00AE0986" w:rsidP="00AE0986">
      <w:pPr>
        <w:rPr>
          <w:rFonts w:ascii="Calibri" w:hAnsi="Calibri" w:cs="Calibri"/>
        </w:rPr>
      </w:pPr>
      <w:r w:rsidRPr="00AE0986">
        <w:rPr>
          <w:rFonts w:ascii="Calibri" w:hAnsi="Calibri" w:cs="Calibri"/>
        </w:rPr>
        <w:t xml:space="preserve">   2. To assess the effectiveness of Banham Security’s marketing strategies in reaching high-end, affluent market segments.</w:t>
      </w:r>
    </w:p>
    <w:p w14:paraId="35870CF3" w14:textId="446C5482" w:rsidR="00AE0986" w:rsidRDefault="00AE0986" w:rsidP="00AE0986">
      <w:pPr>
        <w:rPr>
          <w:rFonts w:ascii="Calibri" w:hAnsi="Calibri" w:cs="Calibri"/>
        </w:rPr>
      </w:pPr>
      <w:r w:rsidRPr="00AE0986">
        <w:rPr>
          <w:rFonts w:ascii="Calibri" w:hAnsi="Calibri" w:cs="Calibri"/>
        </w:rPr>
        <w:t xml:space="preserve">   3. To provide strategic recommendations that can help optimize the marketing approaches of UK-based security SMEs to strengthen their market position.</w:t>
      </w:r>
    </w:p>
    <w:p w14:paraId="17150850" w14:textId="77777777" w:rsidR="00AE0986" w:rsidRPr="00AE0986" w:rsidRDefault="00AE0986" w:rsidP="00AE0986">
      <w:pPr>
        <w:rPr>
          <w:rFonts w:ascii="Calibri" w:hAnsi="Calibri" w:cs="Calibri"/>
        </w:rPr>
      </w:pPr>
    </w:p>
    <w:p w14:paraId="3C088BBC" w14:textId="77777777" w:rsidR="00AE0986" w:rsidRDefault="00AE0986" w:rsidP="00DE1AF5">
      <w:pPr>
        <w:pStyle w:val="Heading2"/>
      </w:pPr>
      <w:bookmarkStart w:id="8" w:name="_Toc194610997"/>
      <w:bookmarkStart w:id="9" w:name="_Toc194645842"/>
      <w:r w:rsidRPr="00AE0986">
        <w:t>1.3 Research Questions</w:t>
      </w:r>
      <w:bookmarkEnd w:id="8"/>
      <w:bookmarkEnd w:id="9"/>
    </w:p>
    <w:p w14:paraId="56166875" w14:textId="580E6A15" w:rsidR="00AE0986" w:rsidRPr="00AE0986" w:rsidRDefault="00AE0986" w:rsidP="00AE0986">
      <w:pPr>
        <w:rPr>
          <w:rFonts w:ascii="Calibri" w:hAnsi="Calibri" w:cs="Calibri"/>
          <w:sz w:val="28"/>
          <w:szCs w:val="28"/>
        </w:rPr>
      </w:pPr>
      <w:r>
        <w:rPr>
          <w:rFonts w:ascii="Calibri" w:hAnsi="Calibri" w:cs="Calibri"/>
        </w:rPr>
        <w:t>1.</w:t>
      </w:r>
      <w:r w:rsidRPr="00AE0986">
        <w:rPr>
          <w:rFonts w:ascii="Calibri" w:hAnsi="Calibri" w:cs="Calibri"/>
        </w:rPr>
        <w:t xml:space="preserve">   What are the primary marketing challenges for SMEs operating within the UK security system industry?</w:t>
      </w:r>
    </w:p>
    <w:p w14:paraId="34B23595" w14:textId="58746B96" w:rsidR="00AE0986" w:rsidRPr="00AE0986" w:rsidRDefault="00AE0986" w:rsidP="00AE0986">
      <w:pPr>
        <w:rPr>
          <w:rFonts w:ascii="Calibri" w:hAnsi="Calibri" w:cs="Calibri"/>
        </w:rPr>
      </w:pPr>
      <w:r w:rsidRPr="00AE0986">
        <w:rPr>
          <w:rFonts w:ascii="Calibri" w:hAnsi="Calibri" w:cs="Calibri"/>
        </w:rPr>
        <w:t xml:space="preserve"> </w:t>
      </w:r>
      <w:r>
        <w:rPr>
          <w:rFonts w:ascii="Calibri" w:hAnsi="Calibri" w:cs="Calibri"/>
        </w:rPr>
        <w:t>2.</w:t>
      </w:r>
      <w:r w:rsidRPr="00AE0986">
        <w:rPr>
          <w:rFonts w:ascii="Calibri" w:hAnsi="Calibri" w:cs="Calibri"/>
        </w:rPr>
        <w:t xml:space="preserve">  How effective are Banham Security’s current marketing strategies in engaging and retaining upscale customers?</w:t>
      </w:r>
    </w:p>
    <w:p w14:paraId="42DCFC86" w14:textId="73D352C2" w:rsidR="00AE0986" w:rsidRDefault="00AE0986" w:rsidP="00AE0986">
      <w:pPr>
        <w:rPr>
          <w:rFonts w:ascii="Calibri" w:hAnsi="Calibri" w:cs="Calibri"/>
        </w:rPr>
      </w:pPr>
      <w:r w:rsidRPr="00AE0986">
        <w:rPr>
          <w:rFonts w:ascii="Calibri" w:hAnsi="Calibri" w:cs="Calibri"/>
        </w:rPr>
        <w:t xml:space="preserve"> </w:t>
      </w:r>
      <w:r>
        <w:rPr>
          <w:rFonts w:ascii="Calibri" w:hAnsi="Calibri" w:cs="Calibri"/>
        </w:rPr>
        <w:t>3.</w:t>
      </w:r>
      <w:r w:rsidRPr="00AE0986">
        <w:rPr>
          <w:rFonts w:ascii="Calibri" w:hAnsi="Calibri" w:cs="Calibri"/>
        </w:rPr>
        <w:t xml:space="preserve"> What strategic marketing improvements can enhance the competitiveness and customer retention of UK-based security system SMEs?</w:t>
      </w:r>
    </w:p>
    <w:p w14:paraId="344E771D" w14:textId="77777777" w:rsidR="00AE0986" w:rsidRPr="00AE0986" w:rsidRDefault="00AE0986" w:rsidP="00AE0986">
      <w:pPr>
        <w:rPr>
          <w:rFonts w:ascii="Calibri" w:hAnsi="Calibri" w:cs="Calibri"/>
        </w:rPr>
      </w:pPr>
    </w:p>
    <w:p w14:paraId="32D083D0" w14:textId="77777777" w:rsidR="00AE0986" w:rsidRPr="00AE0986" w:rsidRDefault="00AE0986" w:rsidP="00DE1AF5">
      <w:pPr>
        <w:pStyle w:val="Heading2"/>
      </w:pPr>
      <w:bookmarkStart w:id="10" w:name="_Toc194610998"/>
      <w:bookmarkStart w:id="11" w:name="_Toc194645843"/>
      <w:r w:rsidRPr="00AE0986">
        <w:t>1.4 Introduction to the Topic</w:t>
      </w:r>
      <w:bookmarkEnd w:id="10"/>
      <w:bookmarkEnd w:id="11"/>
    </w:p>
    <w:p w14:paraId="2FD7B063" w14:textId="706CB366" w:rsidR="00AE0986" w:rsidRDefault="003477F2" w:rsidP="007F23B5">
      <w:pPr>
        <w:rPr>
          <w:rFonts w:ascii="Calibri" w:hAnsi="Calibri" w:cs="Calibri"/>
        </w:rPr>
      </w:pPr>
      <w:r>
        <w:rPr>
          <w:rFonts w:ascii="Calibri" w:hAnsi="Calibri" w:cs="Calibri"/>
        </w:rPr>
        <w:t xml:space="preserve">  </w:t>
      </w:r>
    </w:p>
    <w:p w14:paraId="42338370" w14:textId="77777777" w:rsidR="003477F2" w:rsidRDefault="003477F2" w:rsidP="003477F2">
      <w:pPr>
        <w:spacing w:before="100" w:beforeAutospacing="1" w:after="100" w:afterAutospacing="1" w:line="240" w:lineRule="auto"/>
        <w:rPr>
          <w:rFonts w:eastAsia="Times New Roman" w:cstheme="minorHAnsi"/>
          <w:kern w:val="0"/>
          <w:lang w:eastAsia="en-GB"/>
          <w14:ligatures w14:val="none"/>
        </w:rPr>
      </w:pPr>
      <w:r>
        <w:rPr>
          <w:rFonts w:eastAsia="Times New Roman" w:cstheme="minorHAnsi"/>
          <w:kern w:val="0"/>
          <w:lang w:eastAsia="en-GB"/>
          <w14:ligatures w14:val="none"/>
        </w:rPr>
        <w:t xml:space="preserve">     </w:t>
      </w:r>
      <w:r w:rsidRPr="003477F2">
        <w:rPr>
          <w:rFonts w:eastAsia="Times New Roman" w:cstheme="minorHAnsi"/>
          <w:kern w:val="0"/>
          <w:lang w:eastAsia="en-GB"/>
          <w14:ligatures w14:val="none"/>
        </w:rPr>
        <w:t xml:space="preserve">The UK security system market has seen considerable growth in recent years, prompted by increased awareness of personal and property safety, rising crime rates, and technological innovations. Within this sector, SMEs play a central role, offering personalized and often cutting-edge services to both residential and commercial buyers. Nevertheless, smaller firms typically struggle with lower brand recognition, tight marketing budgets, and intense rivalry from multinational </w:t>
      </w:r>
      <w:r w:rsidRPr="003477F2">
        <w:rPr>
          <w:rFonts w:eastAsia="Times New Roman" w:cstheme="minorHAnsi"/>
          <w:kern w:val="0"/>
          <w:lang w:eastAsia="en-GB"/>
          <w14:ligatures w14:val="none"/>
        </w:rPr>
        <w:t xml:space="preserve">competitors. </w:t>
      </w:r>
    </w:p>
    <w:p w14:paraId="30723CB5" w14:textId="33CFAE6F" w:rsidR="003477F2" w:rsidRPr="003477F2" w:rsidRDefault="003477F2" w:rsidP="003477F2">
      <w:pPr>
        <w:spacing w:before="100" w:beforeAutospacing="1" w:after="100" w:afterAutospacing="1" w:line="240" w:lineRule="auto"/>
        <w:rPr>
          <w:rFonts w:eastAsia="Times New Roman" w:cstheme="minorHAnsi"/>
          <w:kern w:val="0"/>
          <w:lang w:eastAsia="en-GB"/>
          <w14:ligatures w14:val="none"/>
        </w:rPr>
      </w:pPr>
      <w:r>
        <w:rPr>
          <w:rFonts w:eastAsia="Times New Roman" w:cstheme="minorHAnsi"/>
          <w:kern w:val="0"/>
          <w:lang w:eastAsia="en-GB"/>
          <w14:ligatures w14:val="none"/>
        </w:rPr>
        <w:t xml:space="preserve">     </w:t>
      </w:r>
      <w:r w:rsidRPr="003477F2">
        <w:rPr>
          <w:rFonts w:eastAsia="Times New Roman" w:cstheme="minorHAnsi"/>
          <w:kern w:val="0"/>
          <w:lang w:eastAsia="en-GB"/>
          <w14:ligatures w14:val="none"/>
        </w:rPr>
        <w:t>Banham</w:t>
      </w:r>
      <w:r w:rsidRPr="003477F2">
        <w:rPr>
          <w:rFonts w:eastAsia="Times New Roman" w:cstheme="minorHAnsi"/>
          <w:kern w:val="0"/>
          <w:lang w:eastAsia="en-GB"/>
          <w14:ligatures w14:val="none"/>
        </w:rPr>
        <w:t xml:space="preserve"> Security is an exception. Founded in 1926, this family-owned enterprise has cultivated a high-end brand </w:t>
      </w:r>
      <w:r w:rsidRPr="003477F2">
        <w:rPr>
          <w:rFonts w:eastAsia="Times New Roman" w:cstheme="minorHAnsi"/>
          <w:kern w:val="0"/>
          <w:lang w:eastAsia="en-GB"/>
          <w14:ligatures w14:val="none"/>
        </w:rPr>
        <w:t>cantered</w:t>
      </w:r>
      <w:r w:rsidRPr="003477F2">
        <w:rPr>
          <w:rFonts w:eastAsia="Times New Roman" w:cstheme="minorHAnsi"/>
          <w:kern w:val="0"/>
          <w:lang w:eastAsia="en-GB"/>
          <w14:ligatures w14:val="none"/>
        </w:rPr>
        <w:t xml:space="preserve"> on trust, exclusivity, and technological adaptability. Because of its storied background and premium positioning, Banham provides a valuable lens for investigating SME marketing in a sector where client relationships and service credibility are </w:t>
      </w:r>
      <w:r w:rsidRPr="003477F2">
        <w:rPr>
          <w:rFonts w:eastAsia="Times New Roman" w:cstheme="minorHAnsi"/>
          <w:kern w:val="0"/>
          <w:lang w:eastAsia="en-GB"/>
          <w14:ligatures w14:val="none"/>
        </w:rPr>
        <w:t>paramount. From</w:t>
      </w:r>
      <w:r w:rsidRPr="003477F2">
        <w:rPr>
          <w:rFonts w:eastAsia="Times New Roman" w:cstheme="minorHAnsi"/>
          <w:kern w:val="0"/>
          <w:lang w:eastAsia="en-GB"/>
          <w14:ligatures w14:val="none"/>
        </w:rPr>
        <w:t xml:space="preserve"> a theoretical standpoint, this research employs the Resource-Based View (RBV), Transaction Cost Economics (TCE), and Porter’s Competitive Advantage model to clarify how SMEs can utilize </w:t>
      </w:r>
      <w:r w:rsidRPr="003477F2">
        <w:rPr>
          <w:rFonts w:eastAsia="Times New Roman" w:cstheme="minorHAnsi"/>
          <w:kern w:val="0"/>
          <w:lang w:eastAsia="en-GB"/>
          <w14:ligatures w14:val="none"/>
        </w:rPr>
        <w:lastRenderedPageBreak/>
        <w:t>intangible resources, client connections, and targeted differentiation to remain competitive despite limited budgets. Drawing exclusively on secondary data, this dissertation aims to bridge knowledge gaps regarding marketing in the UK’s premium security segment. The overarching goal is to offer practical insights and action-oriented recommendations to SMEs seeking stronger brand visibility and competitive standing in a high-stakes industry.</w:t>
      </w:r>
    </w:p>
    <w:p w14:paraId="3998E6F7" w14:textId="77777777" w:rsidR="003477F2" w:rsidRPr="003477F2" w:rsidRDefault="003477F2" w:rsidP="007F23B5">
      <w:pPr>
        <w:rPr>
          <w:rFonts w:ascii="Calibri" w:hAnsi="Calibri" w:cs="Calibri"/>
        </w:rPr>
      </w:pPr>
    </w:p>
    <w:p w14:paraId="22697E98" w14:textId="77777777" w:rsidR="00DE1AF5" w:rsidRDefault="00DE1AF5" w:rsidP="007F23B5">
      <w:pPr>
        <w:rPr>
          <w:rFonts w:ascii="Calibri" w:hAnsi="Calibri" w:cs="Calibri"/>
          <w:sz w:val="28"/>
          <w:szCs w:val="28"/>
        </w:rPr>
      </w:pPr>
    </w:p>
    <w:p w14:paraId="26D23DE1" w14:textId="77777777" w:rsidR="00DE1AF5" w:rsidRDefault="00DE1AF5" w:rsidP="007F23B5">
      <w:pPr>
        <w:rPr>
          <w:rFonts w:ascii="Calibri" w:hAnsi="Calibri" w:cs="Calibri"/>
          <w:sz w:val="28"/>
          <w:szCs w:val="28"/>
        </w:rPr>
      </w:pPr>
    </w:p>
    <w:p w14:paraId="273C2B50" w14:textId="77777777" w:rsidR="00DE1AF5" w:rsidRDefault="00DE1AF5" w:rsidP="007F23B5">
      <w:pPr>
        <w:rPr>
          <w:rFonts w:ascii="Calibri" w:hAnsi="Calibri" w:cs="Calibri"/>
          <w:sz w:val="28"/>
          <w:szCs w:val="28"/>
        </w:rPr>
      </w:pPr>
    </w:p>
    <w:p w14:paraId="24D11712" w14:textId="77777777" w:rsidR="00DE1AF5" w:rsidRDefault="00DE1AF5" w:rsidP="007F23B5">
      <w:pPr>
        <w:rPr>
          <w:rFonts w:ascii="Calibri" w:hAnsi="Calibri" w:cs="Calibri"/>
          <w:sz w:val="28"/>
          <w:szCs w:val="28"/>
        </w:rPr>
      </w:pPr>
    </w:p>
    <w:p w14:paraId="7A98F429" w14:textId="77777777" w:rsidR="00DE1AF5" w:rsidRDefault="00DE1AF5" w:rsidP="007F23B5">
      <w:pPr>
        <w:rPr>
          <w:rFonts w:ascii="Calibri" w:hAnsi="Calibri" w:cs="Calibri"/>
          <w:sz w:val="28"/>
          <w:szCs w:val="28"/>
        </w:rPr>
      </w:pPr>
    </w:p>
    <w:p w14:paraId="36DA4810" w14:textId="77777777" w:rsidR="00DE1AF5" w:rsidRDefault="00DE1AF5" w:rsidP="007F23B5">
      <w:pPr>
        <w:rPr>
          <w:rFonts w:ascii="Calibri" w:hAnsi="Calibri" w:cs="Calibri"/>
          <w:sz w:val="28"/>
          <w:szCs w:val="28"/>
        </w:rPr>
      </w:pPr>
    </w:p>
    <w:p w14:paraId="2766A290" w14:textId="77777777" w:rsidR="00DE1AF5" w:rsidRDefault="00DE1AF5" w:rsidP="007F23B5">
      <w:pPr>
        <w:rPr>
          <w:rFonts w:ascii="Calibri" w:hAnsi="Calibri" w:cs="Calibri"/>
          <w:sz w:val="28"/>
          <w:szCs w:val="28"/>
        </w:rPr>
      </w:pPr>
    </w:p>
    <w:p w14:paraId="6B446200" w14:textId="77777777" w:rsidR="00DE1AF5" w:rsidRDefault="00DE1AF5" w:rsidP="007F23B5">
      <w:pPr>
        <w:rPr>
          <w:rFonts w:ascii="Calibri" w:hAnsi="Calibri" w:cs="Calibri"/>
          <w:sz w:val="28"/>
          <w:szCs w:val="28"/>
        </w:rPr>
      </w:pPr>
    </w:p>
    <w:p w14:paraId="0F665BE7" w14:textId="77777777" w:rsidR="00DE1AF5" w:rsidRDefault="00DE1AF5" w:rsidP="007F23B5">
      <w:pPr>
        <w:rPr>
          <w:rFonts w:ascii="Calibri" w:hAnsi="Calibri" w:cs="Calibri"/>
          <w:sz w:val="28"/>
          <w:szCs w:val="28"/>
        </w:rPr>
      </w:pPr>
    </w:p>
    <w:p w14:paraId="375F04BE" w14:textId="77777777" w:rsidR="00DE1AF5" w:rsidRDefault="00DE1AF5" w:rsidP="007F23B5">
      <w:pPr>
        <w:rPr>
          <w:rFonts w:ascii="Calibri" w:hAnsi="Calibri" w:cs="Calibri"/>
          <w:sz w:val="28"/>
          <w:szCs w:val="28"/>
        </w:rPr>
      </w:pPr>
    </w:p>
    <w:p w14:paraId="67823012" w14:textId="77777777" w:rsidR="00DE1AF5" w:rsidRDefault="00DE1AF5" w:rsidP="007F23B5">
      <w:pPr>
        <w:rPr>
          <w:rFonts w:ascii="Calibri" w:hAnsi="Calibri" w:cs="Calibri"/>
          <w:sz w:val="28"/>
          <w:szCs w:val="28"/>
        </w:rPr>
      </w:pPr>
    </w:p>
    <w:p w14:paraId="60BA23E4" w14:textId="77777777" w:rsidR="00DE1AF5" w:rsidRDefault="00DE1AF5" w:rsidP="007F23B5">
      <w:pPr>
        <w:rPr>
          <w:rFonts w:ascii="Calibri" w:hAnsi="Calibri" w:cs="Calibri"/>
          <w:sz w:val="28"/>
          <w:szCs w:val="28"/>
        </w:rPr>
      </w:pPr>
    </w:p>
    <w:p w14:paraId="4AE5E683" w14:textId="77777777" w:rsidR="00DE1AF5" w:rsidRDefault="00DE1AF5" w:rsidP="007F23B5">
      <w:pPr>
        <w:rPr>
          <w:rFonts w:ascii="Calibri" w:hAnsi="Calibri" w:cs="Calibri"/>
          <w:sz w:val="28"/>
          <w:szCs w:val="28"/>
        </w:rPr>
      </w:pPr>
    </w:p>
    <w:p w14:paraId="2B6CACED" w14:textId="77777777" w:rsidR="00DE1AF5" w:rsidRDefault="00DE1AF5" w:rsidP="007F23B5">
      <w:pPr>
        <w:rPr>
          <w:rFonts w:ascii="Calibri" w:hAnsi="Calibri" w:cs="Calibri"/>
          <w:sz w:val="28"/>
          <w:szCs w:val="28"/>
        </w:rPr>
      </w:pPr>
    </w:p>
    <w:p w14:paraId="020A84DE" w14:textId="77777777" w:rsidR="00DE1AF5" w:rsidRDefault="00DE1AF5" w:rsidP="007F23B5">
      <w:pPr>
        <w:rPr>
          <w:rFonts w:ascii="Calibri" w:hAnsi="Calibri" w:cs="Calibri"/>
          <w:sz w:val="28"/>
          <w:szCs w:val="28"/>
        </w:rPr>
      </w:pPr>
    </w:p>
    <w:p w14:paraId="3A342997" w14:textId="77777777" w:rsidR="00DE1AF5" w:rsidRDefault="00DE1AF5" w:rsidP="007F23B5">
      <w:pPr>
        <w:rPr>
          <w:rFonts w:ascii="Calibri" w:hAnsi="Calibri" w:cs="Calibri"/>
          <w:sz w:val="28"/>
          <w:szCs w:val="28"/>
        </w:rPr>
      </w:pPr>
    </w:p>
    <w:p w14:paraId="0727D6F2" w14:textId="77777777" w:rsidR="00DE1AF5" w:rsidRDefault="00DE1AF5" w:rsidP="007F23B5">
      <w:pPr>
        <w:rPr>
          <w:rFonts w:ascii="Calibri" w:hAnsi="Calibri" w:cs="Calibri"/>
          <w:sz w:val="28"/>
          <w:szCs w:val="28"/>
        </w:rPr>
      </w:pPr>
    </w:p>
    <w:p w14:paraId="7643CFFD" w14:textId="77777777" w:rsidR="00DE1AF5" w:rsidRDefault="00DE1AF5" w:rsidP="007F23B5">
      <w:pPr>
        <w:rPr>
          <w:rFonts w:ascii="Calibri" w:hAnsi="Calibri" w:cs="Calibri"/>
          <w:sz w:val="28"/>
          <w:szCs w:val="28"/>
        </w:rPr>
      </w:pPr>
    </w:p>
    <w:p w14:paraId="295CC77B" w14:textId="77777777" w:rsidR="003477F2" w:rsidRDefault="003477F2" w:rsidP="007F23B5">
      <w:pPr>
        <w:rPr>
          <w:rFonts w:ascii="Calibri" w:hAnsi="Calibri" w:cs="Calibri"/>
          <w:sz w:val="28"/>
          <w:szCs w:val="28"/>
        </w:rPr>
      </w:pPr>
    </w:p>
    <w:p w14:paraId="0AF7389B" w14:textId="77777777" w:rsidR="003477F2" w:rsidRDefault="003477F2" w:rsidP="007F23B5">
      <w:pPr>
        <w:rPr>
          <w:rFonts w:ascii="Calibri" w:hAnsi="Calibri" w:cs="Calibri"/>
          <w:sz w:val="28"/>
          <w:szCs w:val="28"/>
        </w:rPr>
      </w:pPr>
    </w:p>
    <w:p w14:paraId="77A73332" w14:textId="77777777" w:rsidR="003477F2" w:rsidRPr="00AE0986" w:rsidRDefault="003477F2" w:rsidP="007F23B5">
      <w:pPr>
        <w:rPr>
          <w:rFonts w:ascii="Calibri" w:hAnsi="Calibri" w:cs="Calibri"/>
          <w:sz w:val="28"/>
          <w:szCs w:val="28"/>
        </w:rPr>
      </w:pPr>
    </w:p>
    <w:p w14:paraId="1AB56CC8" w14:textId="0CF6A792" w:rsidR="007F23B5" w:rsidRPr="00DE1AF5" w:rsidRDefault="00DE1AF5" w:rsidP="00DE1AF5">
      <w:pPr>
        <w:pStyle w:val="Heading1"/>
      </w:pPr>
      <w:bookmarkStart w:id="12" w:name="_Toc194610999"/>
      <w:bookmarkStart w:id="13" w:name="_Toc194645844"/>
      <w:r>
        <w:lastRenderedPageBreak/>
        <w:t>2.</w:t>
      </w:r>
      <w:r w:rsidR="007F23B5" w:rsidRPr="00DE1AF5">
        <w:t>Literature Review</w:t>
      </w:r>
      <w:bookmarkEnd w:id="12"/>
      <w:bookmarkEnd w:id="13"/>
    </w:p>
    <w:p w14:paraId="630443AC" w14:textId="77777777" w:rsidR="00AE0986" w:rsidRPr="00AE0986" w:rsidRDefault="00AE0986" w:rsidP="00AE0986">
      <w:pPr>
        <w:pStyle w:val="ListParagraph"/>
        <w:rPr>
          <w:rFonts w:ascii="Calibri" w:hAnsi="Calibri" w:cs="Calibri"/>
          <w:sz w:val="28"/>
          <w:szCs w:val="28"/>
        </w:rPr>
      </w:pPr>
    </w:p>
    <w:p w14:paraId="0A1DDD1B" w14:textId="119AA6B3" w:rsidR="00AE0986" w:rsidRPr="00DE1AF5" w:rsidRDefault="00DE1AF5" w:rsidP="00DE1AF5">
      <w:pPr>
        <w:pStyle w:val="Heading2"/>
      </w:pPr>
      <w:bookmarkStart w:id="14" w:name="_Toc194611000"/>
      <w:bookmarkStart w:id="15" w:name="_Toc194645845"/>
      <w:r>
        <w:t>2.1</w:t>
      </w:r>
      <w:r w:rsidR="00CD2555" w:rsidRPr="00DE1AF5">
        <w:t>Introduction</w:t>
      </w:r>
      <w:bookmarkEnd w:id="14"/>
      <w:bookmarkEnd w:id="15"/>
    </w:p>
    <w:p w14:paraId="508363F3" w14:textId="4AFA7DAF" w:rsidR="00BA3EC6" w:rsidRPr="00AE0986" w:rsidRDefault="00AE0986" w:rsidP="00AE0986">
      <w:pPr>
        <w:rPr>
          <w:rFonts w:ascii="Calibri" w:hAnsi="Calibri" w:cs="Calibri"/>
          <w:sz w:val="28"/>
          <w:szCs w:val="28"/>
        </w:rPr>
      </w:pPr>
      <w:r>
        <w:rPr>
          <w:rFonts w:ascii="Calibri" w:eastAsia="Times New Roman" w:hAnsi="Calibri" w:cs="Calibri"/>
          <w14:ligatures w14:val="none"/>
        </w:rPr>
        <w:t xml:space="preserve">     </w:t>
      </w:r>
      <w:r w:rsidR="00BA3EC6" w:rsidRPr="00AE0986">
        <w:rPr>
          <w:rFonts w:ascii="Calibri" w:eastAsia="Times New Roman" w:hAnsi="Calibri" w:cs="Calibri"/>
          <w14:ligatures w14:val="none"/>
        </w:rPr>
        <w:t xml:space="preserve">  This chapter reviews the previous studies on the </w:t>
      </w:r>
      <w:r w:rsidR="00E606DA" w:rsidRPr="00AE0986">
        <w:rPr>
          <w:rFonts w:ascii="Calibri" w:eastAsia="Times New Roman" w:hAnsi="Calibri" w:cs="Calibri"/>
          <w14:ligatures w14:val="none"/>
        </w:rPr>
        <w:t>topic with</w:t>
      </w:r>
      <w:r w:rsidR="00BA3EC6" w:rsidRPr="00AE0986">
        <w:rPr>
          <w:rFonts w:ascii="Calibri" w:eastAsia="Times New Roman" w:hAnsi="Calibri" w:cs="Calibri"/>
          <w14:ligatures w14:val="none"/>
        </w:rPr>
        <w:t xml:space="preserve"> a view to establishing the research gap which is filled by this study. The chapter builds on the aim highlighted in the introduction and is structured according to the three research objectives to be addressed by the study, namely:</w:t>
      </w:r>
    </w:p>
    <w:p w14:paraId="542B7EC1" w14:textId="5363B3B5" w:rsidR="00BA3EC6" w:rsidRPr="00AE0986" w:rsidRDefault="00BA3EC6" w:rsidP="00BA3EC6">
      <w:pPr>
        <w:rPr>
          <w:rFonts w:ascii="Calibri" w:eastAsia="Times New Roman" w:hAnsi="Calibri" w:cs="Calibri"/>
          <w14:ligatures w14:val="none"/>
        </w:rPr>
      </w:pPr>
      <w:r w:rsidRPr="00AE0986">
        <w:rPr>
          <w:rFonts w:ascii="Calibri" w:eastAsia="Times New Roman" w:hAnsi="Calibri" w:cs="Calibri"/>
          <w14:ligatures w14:val="none"/>
        </w:rPr>
        <w:t xml:space="preserve"> 1. Identify and explore the unique marketing challenges facing SMEs in the UK security </w:t>
      </w:r>
      <w:r w:rsidR="00E606DA" w:rsidRPr="00AE0986">
        <w:rPr>
          <w:rFonts w:ascii="Calibri" w:eastAsia="Times New Roman" w:hAnsi="Calibri" w:cs="Calibri"/>
          <w14:ligatures w14:val="none"/>
        </w:rPr>
        <w:t>industry.</w:t>
      </w:r>
      <w:r w:rsidRPr="00AE0986">
        <w:rPr>
          <w:rFonts w:ascii="Calibri" w:eastAsia="Times New Roman" w:hAnsi="Calibri" w:cs="Calibri"/>
          <w14:ligatures w14:val="none"/>
        </w:rPr>
        <w:t xml:space="preserve">                                             </w:t>
      </w:r>
    </w:p>
    <w:p w14:paraId="23AA8C67" w14:textId="0A412B0E" w:rsidR="00BA3EC6" w:rsidRPr="00AE0986" w:rsidRDefault="00BA3EC6" w:rsidP="00BA3EC6">
      <w:pPr>
        <w:rPr>
          <w:rFonts w:ascii="Calibri" w:eastAsia="Times New Roman" w:hAnsi="Calibri" w:cs="Calibri"/>
          <w14:ligatures w14:val="none"/>
        </w:rPr>
      </w:pPr>
      <w:r w:rsidRPr="00AE0986">
        <w:rPr>
          <w:rFonts w:ascii="Calibri" w:eastAsia="Times New Roman" w:hAnsi="Calibri" w:cs="Calibri"/>
          <w14:ligatures w14:val="none"/>
        </w:rPr>
        <w:t xml:space="preserve"> 2. Assess the effectiveness of Banham Security’s marketing strategies in reaching high-end, affluent market segments</w:t>
      </w:r>
      <w:r w:rsidR="00E606DA">
        <w:rPr>
          <w:rFonts w:ascii="Calibri" w:eastAsia="Times New Roman" w:hAnsi="Calibri" w:cs="Calibri"/>
          <w14:ligatures w14:val="none"/>
        </w:rPr>
        <w:t>.</w:t>
      </w:r>
    </w:p>
    <w:p w14:paraId="60D92089" w14:textId="011D7E86" w:rsidR="00BA3EC6" w:rsidRPr="00AE0986" w:rsidRDefault="00BA3EC6" w:rsidP="00BA3EC6">
      <w:pPr>
        <w:rPr>
          <w:rFonts w:ascii="Calibri" w:eastAsia="Times New Roman" w:hAnsi="Calibri" w:cs="Calibri"/>
          <w14:ligatures w14:val="none"/>
        </w:rPr>
      </w:pPr>
      <w:r w:rsidRPr="00AE0986">
        <w:rPr>
          <w:rFonts w:ascii="Calibri" w:eastAsia="Times New Roman" w:hAnsi="Calibri" w:cs="Calibri"/>
          <w14:ligatures w14:val="none"/>
        </w:rPr>
        <w:t xml:space="preserve"> 3. Provide strategic recommendations that can help improve the marketing approaches of UK-based security SMEs to strengthen their market position</w:t>
      </w:r>
      <w:r w:rsidR="00E606DA">
        <w:rPr>
          <w:rFonts w:ascii="Calibri" w:eastAsia="Times New Roman" w:hAnsi="Calibri" w:cs="Calibri"/>
          <w14:ligatures w14:val="none"/>
        </w:rPr>
        <w:t>.</w:t>
      </w:r>
      <w:r w:rsidRPr="00AE0986">
        <w:rPr>
          <w:rFonts w:ascii="Calibri" w:eastAsia="Times New Roman" w:hAnsi="Calibri" w:cs="Calibri"/>
          <w14:ligatures w14:val="none"/>
        </w:rPr>
        <w:t xml:space="preserve"> </w:t>
      </w:r>
    </w:p>
    <w:p w14:paraId="7348B224" w14:textId="77777777" w:rsidR="00BA3EC6" w:rsidRPr="00AE0986" w:rsidRDefault="00BA3EC6" w:rsidP="00CD2555">
      <w:pPr>
        <w:rPr>
          <w:rFonts w:ascii="Calibri" w:hAnsi="Calibri" w:cs="Calibri"/>
          <w:sz w:val="28"/>
          <w:szCs w:val="28"/>
        </w:rPr>
      </w:pPr>
    </w:p>
    <w:p w14:paraId="02C1032B" w14:textId="426FC1B4" w:rsidR="007F23B5" w:rsidRPr="00AE0986" w:rsidRDefault="003212AA" w:rsidP="00DE1AF5">
      <w:pPr>
        <w:pStyle w:val="Heading2"/>
      </w:pPr>
      <w:bookmarkStart w:id="16" w:name="_Toc194611001"/>
      <w:bookmarkStart w:id="17" w:name="_Toc194645846"/>
      <w:r w:rsidRPr="00AE0986">
        <w:t>2</w:t>
      </w:r>
      <w:r w:rsidR="007F23B5" w:rsidRPr="00AE0986">
        <w:t>.</w:t>
      </w:r>
      <w:r w:rsidR="00CD2555" w:rsidRPr="00AE0986">
        <w:t>2</w:t>
      </w:r>
      <w:r w:rsidR="007F23B5" w:rsidRPr="00AE0986">
        <w:t xml:space="preserve"> Marketing Challenges in the Security System Industry</w:t>
      </w:r>
      <w:bookmarkEnd w:id="16"/>
      <w:bookmarkEnd w:id="17"/>
    </w:p>
    <w:p w14:paraId="3684E35B" w14:textId="77777777" w:rsidR="003477F2" w:rsidRDefault="00BA3EC6" w:rsidP="003477F2">
      <w:pPr>
        <w:rPr>
          <w:rFonts w:ascii="Calibri" w:hAnsi="Calibri" w:cs="Calibri"/>
        </w:rPr>
      </w:pPr>
      <w:r w:rsidRPr="00AE0986">
        <w:rPr>
          <w:rFonts w:ascii="Calibri" w:hAnsi="Calibri" w:cs="Calibri"/>
        </w:rPr>
        <w:t xml:space="preserve">   </w:t>
      </w:r>
    </w:p>
    <w:p w14:paraId="6E255F9B" w14:textId="3D81C58F" w:rsidR="007F23B5" w:rsidRPr="00AE0986" w:rsidRDefault="003477F2" w:rsidP="003477F2">
      <w:pPr>
        <w:rPr>
          <w:rFonts w:ascii="Calibri" w:hAnsi="Calibri" w:cs="Calibri"/>
        </w:rPr>
      </w:pPr>
      <w:r w:rsidRPr="003477F2">
        <w:rPr>
          <w:rFonts w:ascii="Calibri" w:hAnsi="Calibri" w:cs="Calibri"/>
        </w:rPr>
        <w:t xml:space="preserve">SMEs in the UK frequently face restricted marketing budgets and compete against organizations with more abundant resources. This becomes especially challenging in the security sector, where creating and maintaining consumer trust is a fundamental differentiator. Studies by Burns (2016) and Ayyagari, </w:t>
      </w:r>
      <w:proofErr w:type="spellStart"/>
      <w:r w:rsidRPr="003477F2">
        <w:rPr>
          <w:rFonts w:ascii="Calibri" w:hAnsi="Calibri" w:cs="Calibri"/>
        </w:rPr>
        <w:t>Demirguc</w:t>
      </w:r>
      <w:proofErr w:type="spellEnd"/>
      <w:r w:rsidRPr="003477F2">
        <w:rPr>
          <w:rFonts w:ascii="Calibri" w:hAnsi="Calibri" w:cs="Calibri"/>
        </w:rPr>
        <w:t>-Kunt, and Maksimovic (2011) indicate that SMEs often find innovative methods to maximize impact when they lack large promotional budgets. In the security field, demonstrating trust and exclusivity can be vital to consumer perception (Hulbert, Gilmore, &amp; Carson, 2013). These issues underscore a need for relationship marketing, personalized outreach, and targeted customer engagement. Jones (2019) clarifies that security services generally involve a high degree of risk for consumers, who demand reliability and transparency. McCarthy (2020) highlights the challenge of remaining current with advanced technologies, such as AI and IoT, which require continuous innovation and financial commitment.</w:t>
      </w:r>
    </w:p>
    <w:p w14:paraId="141B4CB9" w14:textId="77777777" w:rsidR="0036153D" w:rsidRPr="00AE0986" w:rsidRDefault="0036153D" w:rsidP="007F23B5">
      <w:pPr>
        <w:rPr>
          <w:rFonts w:ascii="Calibri" w:hAnsi="Calibri" w:cs="Calibri"/>
          <w:sz w:val="28"/>
          <w:szCs w:val="28"/>
        </w:rPr>
      </w:pPr>
    </w:p>
    <w:p w14:paraId="2AD1B605" w14:textId="4B997F0E" w:rsidR="007F23B5" w:rsidRPr="00AE0986" w:rsidRDefault="003212AA" w:rsidP="00DE1AF5">
      <w:pPr>
        <w:pStyle w:val="Heading2"/>
      </w:pPr>
      <w:bookmarkStart w:id="18" w:name="_Toc194611002"/>
      <w:bookmarkStart w:id="19" w:name="_Toc194645847"/>
      <w:r w:rsidRPr="00AE0986">
        <w:t>2</w:t>
      </w:r>
      <w:r w:rsidR="007F23B5" w:rsidRPr="00AE0986">
        <w:t>.</w:t>
      </w:r>
      <w:r w:rsidRPr="00AE0986">
        <w:t>3</w:t>
      </w:r>
      <w:r w:rsidR="007F23B5" w:rsidRPr="00AE0986">
        <w:t xml:space="preserve"> Effective Marketing Strategies for Security System SMEs</w:t>
      </w:r>
      <w:bookmarkEnd w:id="18"/>
      <w:bookmarkEnd w:id="19"/>
    </w:p>
    <w:p w14:paraId="733B366B" w14:textId="77777777" w:rsidR="003477F2" w:rsidRDefault="003477F2" w:rsidP="007F23B5">
      <w:pPr>
        <w:rPr>
          <w:rFonts w:ascii="Calibri" w:hAnsi="Calibri" w:cs="Calibri"/>
        </w:rPr>
      </w:pPr>
    </w:p>
    <w:p w14:paraId="2170E4D2" w14:textId="6A54640E" w:rsidR="0036153D" w:rsidRPr="00AE0986" w:rsidRDefault="003477F2" w:rsidP="007F23B5">
      <w:pPr>
        <w:rPr>
          <w:rFonts w:ascii="Calibri" w:hAnsi="Calibri" w:cs="Calibri"/>
        </w:rPr>
      </w:pPr>
      <w:r>
        <w:rPr>
          <w:rFonts w:ascii="Calibri" w:hAnsi="Calibri" w:cs="Calibri"/>
        </w:rPr>
        <w:t xml:space="preserve">     </w:t>
      </w:r>
      <w:r w:rsidRPr="003477F2">
        <w:rPr>
          <w:rFonts w:ascii="Calibri" w:hAnsi="Calibri" w:cs="Calibri"/>
        </w:rPr>
        <w:t xml:space="preserve">Banham Security takes a path consistent with Porter’s (1985) differentiation approach, where a brand highlights unique offerings and premium quality to appeal to niche, well-resourced clients. This stands in contrast to larger providers pursuing economies of scale. By adopting a high-end positioning, Banham also relies on heritage-based marketing and personalized service. Scholars such as Slater and </w:t>
      </w:r>
      <w:proofErr w:type="spellStart"/>
      <w:r w:rsidRPr="003477F2">
        <w:rPr>
          <w:rFonts w:ascii="Calibri" w:hAnsi="Calibri" w:cs="Calibri"/>
        </w:rPr>
        <w:t>Narver</w:t>
      </w:r>
      <w:proofErr w:type="spellEnd"/>
      <w:r w:rsidRPr="003477F2">
        <w:rPr>
          <w:rFonts w:ascii="Calibri" w:hAnsi="Calibri" w:cs="Calibri"/>
        </w:rPr>
        <w:t xml:space="preserve"> (2000) view this kind of narrow targeting as a way for smaller firms to withstand cost-based competition. SWOT analysis shows that Banham’s advantages lie in an established brand, a custom service orientation, and a loyal customer base (Gürel, 2017). The principal risks include lower market scope and vulnerability to evolving consumer preferences, including interest in lower-priced, do-it-yourself security options (Smith &amp; Williams, 2021).</w:t>
      </w:r>
    </w:p>
    <w:p w14:paraId="0FFD5011" w14:textId="77777777" w:rsidR="007F23B5" w:rsidRPr="00AE0986" w:rsidRDefault="007F23B5" w:rsidP="00DE1AF5">
      <w:pPr>
        <w:pStyle w:val="Heading2"/>
      </w:pPr>
    </w:p>
    <w:p w14:paraId="7CC0558F" w14:textId="4A66A264" w:rsidR="007F23B5" w:rsidRPr="00AE0986" w:rsidRDefault="003212AA" w:rsidP="00DE1AF5">
      <w:pPr>
        <w:pStyle w:val="Heading2"/>
        <w:rPr>
          <w:sz w:val="28"/>
          <w:szCs w:val="28"/>
        </w:rPr>
      </w:pPr>
      <w:bookmarkStart w:id="20" w:name="_Toc194611003"/>
      <w:bookmarkStart w:id="21" w:name="_Toc194645848"/>
      <w:r w:rsidRPr="00AE0986">
        <w:rPr>
          <w:sz w:val="28"/>
          <w:szCs w:val="28"/>
        </w:rPr>
        <w:t>2</w:t>
      </w:r>
      <w:r w:rsidR="007F23B5" w:rsidRPr="00AE0986">
        <w:rPr>
          <w:sz w:val="28"/>
          <w:szCs w:val="28"/>
        </w:rPr>
        <w:t>.</w:t>
      </w:r>
      <w:r w:rsidRPr="00AE0986">
        <w:rPr>
          <w:sz w:val="28"/>
          <w:szCs w:val="28"/>
        </w:rPr>
        <w:t>4</w:t>
      </w:r>
      <w:r w:rsidR="007F23B5" w:rsidRPr="00AE0986">
        <w:rPr>
          <w:sz w:val="28"/>
          <w:szCs w:val="28"/>
        </w:rPr>
        <w:t xml:space="preserve"> </w:t>
      </w:r>
      <w:r w:rsidRPr="00AE0986">
        <w:rPr>
          <w:sz w:val="28"/>
          <w:szCs w:val="28"/>
        </w:rPr>
        <w:t xml:space="preserve">Comparative Analysis of </w:t>
      </w:r>
      <w:r w:rsidR="00BA3EC6" w:rsidRPr="00AE0986">
        <w:rPr>
          <w:sz w:val="28"/>
          <w:szCs w:val="28"/>
        </w:rPr>
        <w:t>SME</w:t>
      </w:r>
      <w:r w:rsidRPr="00AE0986">
        <w:rPr>
          <w:sz w:val="28"/>
          <w:szCs w:val="28"/>
        </w:rPr>
        <w:t xml:space="preserve"> Marketing Strategies with Industry Practices</w:t>
      </w:r>
      <w:bookmarkEnd w:id="20"/>
      <w:bookmarkEnd w:id="21"/>
    </w:p>
    <w:p w14:paraId="41A9ACF4" w14:textId="77777777" w:rsidR="0036153D" w:rsidRPr="00AE0986" w:rsidRDefault="0036153D" w:rsidP="007F23B5">
      <w:pPr>
        <w:rPr>
          <w:rFonts w:ascii="Calibri" w:hAnsi="Calibri" w:cs="Calibri"/>
          <w:sz w:val="28"/>
          <w:szCs w:val="28"/>
        </w:rPr>
      </w:pPr>
    </w:p>
    <w:p w14:paraId="43706A99" w14:textId="0B547CCE" w:rsidR="0036153D" w:rsidRPr="00AE0986" w:rsidRDefault="0036153D" w:rsidP="0036153D">
      <w:pPr>
        <w:rPr>
          <w:rFonts w:ascii="Calibri" w:hAnsi="Calibri" w:cs="Calibri"/>
        </w:rPr>
      </w:pPr>
      <w:r w:rsidRPr="00AE0986">
        <w:rPr>
          <w:rFonts w:ascii="Calibri" w:hAnsi="Calibri" w:cs="Calibri"/>
        </w:rPr>
        <w:t xml:space="preserve">     Unlike larger competitors that rely on cost or volume-based approaches, Banham prioritizes differentiation (Porter, 1985; Brooksbank, 1991). Its emphasis on brand heritage and personalized service justifies a higher price point (Spencer et al., 2009). This approach resonates with affluent customers who value top-level security and are prepared to pay for exclusivity (</w:t>
      </w:r>
      <w:proofErr w:type="spellStart"/>
      <w:r w:rsidRPr="00AE0986">
        <w:rPr>
          <w:rFonts w:ascii="Calibri" w:hAnsi="Calibri" w:cs="Calibri"/>
        </w:rPr>
        <w:t>Kapferer</w:t>
      </w:r>
      <w:proofErr w:type="spellEnd"/>
      <w:r w:rsidRPr="00AE0986">
        <w:rPr>
          <w:rFonts w:ascii="Calibri" w:hAnsi="Calibri" w:cs="Calibri"/>
        </w:rPr>
        <w:t xml:space="preserve"> &amp; Bastien, 2012). Scholars such as Slater and </w:t>
      </w:r>
      <w:proofErr w:type="spellStart"/>
      <w:r w:rsidRPr="00AE0986">
        <w:rPr>
          <w:rFonts w:ascii="Calibri" w:hAnsi="Calibri" w:cs="Calibri"/>
        </w:rPr>
        <w:t>Narver</w:t>
      </w:r>
      <w:proofErr w:type="spellEnd"/>
      <w:r w:rsidRPr="00AE0986">
        <w:rPr>
          <w:rFonts w:ascii="Calibri" w:hAnsi="Calibri" w:cs="Calibri"/>
        </w:rPr>
        <w:t xml:space="preserve"> (2000) contend that when firms in specialized industries pinpoint and cater to specific customer needs, they can withstand competitive pressures from lower-priced alternatives.</w:t>
      </w:r>
    </w:p>
    <w:p w14:paraId="4F67B7AE" w14:textId="4344A102" w:rsidR="0036153D" w:rsidRPr="00AE0986" w:rsidRDefault="0036153D" w:rsidP="0036153D">
      <w:pPr>
        <w:rPr>
          <w:rFonts w:ascii="Calibri" w:hAnsi="Calibri" w:cs="Calibri"/>
        </w:rPr>
      </w:pPr>
      <w:r w:rsidRPr="00AE0986">
        <w:rPr>
          <w:rFonts w:ascii="Calibri" w:hAnsi="Calibri" w:cs="Calibri"/>
        </w:rPr>
        <w:t>By targeting the high-end segment, Banham aligns with Porter’s theory while leveraging RBV (unique brand heritage) and TCE (close relationships) to justify premium prices. This underscores Objective 2 by illustrating why Banham’s approach stands out in a competitive market.</w:t>
      </w:r>
    </w:p>
    <w:p w14:paraId="33E78104" w14:textId="38FB8FE6" w:rsidR="0036153D" w:rsidRPr="00AE0986" w:rsidRDefault="0036153D" w:rsidP="0036153D">
      <w:pPr>
        <w:rPr>
          <w:rFonts w:ascii="Calibri" w:hAnsi="Calibri" w:cs="Calibri"/>
        </w:rPr>
      </w:pPr>
      <w:r w:rsidRPr="00AE0986">
        <w:rPr>
          <w:rFonts w:ascii="Calibri" w:hAnsi="Calibri" w:cs="Calibri"/>
        </w:rPr>
        <w:t xml:space="preserve">SWOT Analysis </w:t>
      </w:r>
    </w:p>
    <w:p w14:paraId="5561FDB2" w14:textId="3E001A51" w:rsidR="0036153D" w:rsidRPr="00AE0986" w:rsidRDefault="0036153D" w:rsidP="0036153D">
      <w:pPr>
        <w:rPr>
          <w:rFonts w:ascii="Calibri" w:hAnsi="Calibri" w:cs="Calibri"/>
        </w:rPr>
      </w:pPr>
      <w:r w:rsidRPr="00AE0986">
        <w:rPr>
          <w:rFonts w:ascii="Calibri" w:hAnsi="Calibri" w:cs="Calibri"/>
        </w:rPr>
        <w:t xml:space="preserve">     A SWOT analysis helps align Banham’s internal assets (e.g., brand, expertise) with the external market environment (Gürel, 2017; Helms &amp; Nixon, 2010). Some authors argue that SWOT may not fully capture rapid changes in consumer preferences (Pickton &amp; Wright, 1998; Panagiotou, 2003). However, it remains a useful tool for SMEs seeking to balance heritage-based strengths against emerging opportunities like AI integration (</w:t>
      </w:r>
      <w:proofErr w:type="spellStart"/>
      <w:r w:rsidRPr="00AE0986">
        <w:rPr>
          <w:rFonts w:ascii="Calibri" w:hAnsi="Calibri" w:cs="Calibri"/>
        </w:rPr>
        <w:t>Vrontis</w:t>
      </w:r>
      <w:proofErr w:type="spellEnd"/>
      <w:r w:rsidRPr="00AE0986">
        <w:rPr>
          <w:rFonts w:ascii="Calibri" w:hAnsi="Calibri" w:cs="Calibri"/>
        </w:rPr>
        <w:t xml:space="preserve">, </w:t>
      </w:r>
      <w:proofErr w:type="spellStart"/>
      <w:r w:rsidRPr="00AE0986">
        <w:rPr>
          <w:rFonts w:ascii="Calibri" w:hAnsi="Calibri" w:cs="Calibri"/>
        </w:rPr>
        <w:t>Thrassou</w:t>
      </w:r>
      <w:proofErr w:type="spellEnd"/>
      <w:r w:rsidRPr="00AE0986">
        <w:rPr>
          <w:rFonts w:ascii="Calibri" w:hAnsi="Calibri" w:cs="Calibri"/>
        </w:rPr>
        <w:t xml:space="preserve">, &amp; </w:t>
      </w:r>
      <w:proofErr w:type="spellStart"/>
      <w:r w:rsidRPr="00AE0986">
        <w:rPr>
          <w:rFonts w:ascii="Calibri" w:hAnsi="Calibri" w:cs="Calibri"/>
        </w:rPr>
        <w:t>Lamprianou</w:t>
      </w:r>
      <w:proofErr w:type="spellEnd"/>
      <w:r w:rsidRPr="00AE0986">
        <w:rPr>
          <w:rFonts w:ascii="Calibri" w:hAnsi="Calibri" w:cs="Calibri"/>
        </w:rPr>
        <w:t xml:space="preserve">, 2009; Harrigan et al., 2011). Critically, Banham’s niche positioning can limit its market scope if consumer trends </w:t>
      </w:r>
      <w:r w:rsidR="003212AA" w:rsidRPr="00AE0986">
        <w:rPr>
          <w:rFonts w:ascii="Calibri" w:hAnsi="Calibri" w:cs="Calibri"/>
        </w:rPr>
        <w:t>favour</w:t>
      </w:r>
      <w:r w:rsidRPr="00AE0986">
        <w:rPr>
          <w:rFonts w:ascii="Calibri" w:hAnsi="Calibri" w:cs="Calibri"/>
        </w:rPr>
        <w:t xml:space="preserve"> cheaper options, emphasizing the importance of continuous market monitoring (Smith &amp; Williams, 2021). Integrating SWOT with RBV and TCE reveals that intangible resources and close client relationships can partly counteract smaller budgets (Barney, 1991; Williamson, 1981).</w:t>
      </w:r>
    </w:p>
    <w:p w14:paraId="7E48D4CE" w14:textId="77777777" w:rsidR="0036153D" w:rsidRPr="00AE0986" w:rsidRDefault="0036153D" w:rsidP="0036153D">
      <w:pPr>
        <w:rPr>
          <w:rFonts w:ascii="Calibri" w:hAnsi="Calibri" w:cs="Calibri"/>
        </w:rPr>
      </w:pPr>
      <w:r w:rsidRPr="00AE0986">
        <w:rPr>
          <w:rFonts w:ascii="Calibri" w:hAnsi="Calibri" w:cs="Calibri"/>
        </w:rPr>
        <w:t>Strengths: Established brand, loyal customer base, custom services (</w:t>
      </w:r>
      <w:proofErr w:type="spellStart"/>
      <w:r w:rsidRPr="00AE0986">
        <w:rPr>
          <w:rFonts w:ascii="Calibri" w:hAnsi="Calibri" w:cs="Calibri"/>
        </w:rPr>
        <w:t>Urde</w:t>
      </w:r>
      <w:proofErr w:type="spellEnd"/>
      <w:r w:rsidRPr="00AE0986">
        <w:rPr>
          <w:rFonts w:ascii="Calibri" w:hAnsi="Calibri" w:cs="Calibri"/>
        </w:rPr>
        <w:t xml:space="preserve"> et al., 2007).</w:t>
      </w:r>
    </w:p>
    <w:p w14:paraId="11CE2AC9" w14:textId="77777777" w:rsidR="0036153D" w:rsidRPr="00AE0986" w:rsidRDefault="0036153D" w:rsidP="0036153D">
      <w:pPr>
        <w:rPr>
          <w:rFonts w:ascii="Calibri" w:hAnsi="Calibri" w:cs="Calibri"/>
        </w:rPr>
      </w:pPr>
      <w:r w:rsidRPr="00AE0986">
        <w:rPr>
          <w:rFonts w:ascii="Calibri" w:hAnsi="Calibri" w:cs="Calibri"/>
        </w:rPr>
        <w:t>Weaknesses: Limited expansion due to higher costs, reliance on affluent clientele (Fillis, 2002).</w:t>
      </w:r>
    </w:p>
    <w:p w14:paraId="59428EC0" w14:textId="77777777" w:rsidR="0036153D" w:rsidRPr="00AE0986" w:rsidRDefault="0036153D" w:rsidP="0036153D">
      <w:pPr>
        <w:rPr>
          <w:rFonts w:ascii="Calibri" w:hAnsi="Calibri" w:cs="Calibri"/>
        </w:rPr>
      </w:pPr>
      <w:r w:rsidRPr="00AE0986">
        <w:rPr>
          <w:rFonts w:ascii="Calibri" w:hAnsi="Calibri" w:cs="Calibri"/>
        </w:rPr>
        <w:t xml:space="preserve">Opportunities: Tech integrations for tech-savvy consumers, expanding into new regions, partnerships with other luxury services (Ngo &amp; </w:t>
      </w:r>
      <w:proofErr w:type="spellStart"/>
      <w:r w:rsidRPr="00AE0986">
        <w:rPr>
          <w:rFonts w:ascii="Calibri" w:hAnsi="Calibri" w:cs="Calibri"/>
        </w:rPr>
        <w:t>O’Cass</w:t>
      </w:r>
      <w:proofErr w:type="spellEnd"/>
      <w:r w:rsidRPr="00AE0986">
        <w:rPr>
          <w:rFonts w:ascii="Calibri" w:hAnsi="Calibri" w:cs="Calibri"/>
        </w:rPr>
        <w:t>, 2012).</w:t>
      </w:r>
    </w:p>
    <w:p w14:paraId="514CCF84" w14:textId="77777777" w:rsidR="0036153D" w:rsidRPr="00AE0986" w:rsidRDefault="0036153D" w:rsidP="0036153D">
      <w:pPr>
        <w:rPr>
          <w:rFonts w:ascii="Calibri" w:hAnsi="Calibri" w:cs="Calibri"/>
        </w:rPr>
      </w:pPr>
      <w:r w:rsidRPr="00AE0986">
        <w:rPr>
          <w:rFonts w:ascii="Calibri" w:hAnsi="Calibri" w:cs="Calibri"/>
        </w:rPr>
        <w:t>Threats: Budget-minded competitors, DIY security trends, changing consumer demands (Coviello et al., 2000).</w:t>
      </w:r>
    </w:p>
    <w:p w14:paraId="72E3A8AA" w14:textId="041DD47E" w:rsidR="007F23B5" w:rsidRPr="00AE0986" w:rsidRDefault="0036153D" w:rsidP="0036153D">
      <w:pPr>
        <w:rPr>
          <w:rFonts w:ascii="Calibri" w:hAnsi="Calibri" w:cs="Calibri"/>
        </w:rPr>
      </w:pPr>
      <w:r w:rsidRPr="00AE0986">
        <w:rPr>
          <w:rFonts w:ascii="Calibri" w:hAnsi="Calibri" w:cs="Calibri"/>
        </w:rPr>
        <w:t xml:space="preserve">     This SWOT underscores how Banham’s brand heritage (RBV) and relationship focus (TCE) mitigate resource constraints. However, the dynamic nature of the security market (Porter’s external view) means Banham must stay alert to shifting consumer tastes and cost-driven threats.</w:t>
      </w:r>
    </w:p>
    <w:p w14:paraId="7D23E8F3" w14:textId="77777777" w:rsidR="0036153D" w:rsidRPr="00AE0986" w:rsidRDefault="0036153D" w:rsidP="00DE1AF5">
      <w:pPr>
        <w:pStyle w:val="Heading2"/>
      </w:pPr>
    </w:p>
    <w:p w14:paraId="22CA67E3" w14:textId="24E2D023" w:rsidR="007F23B5" w:rsidRPr="00AE0986" w:rsidRDefault="003212AA" w:rsidP="00DE1AF5">
      <w:pPr>
        <w:pStyle w:val="Heading2"/>
        <w:rPr>
          <w:sz w:val="28"/>
          <w:szCs w:val="28"/>
        </w:rPr>
      </w:pPr>
      <w:bookmarkStart w:id="22" w:name="_Toc194611004"/>
      <w:bookmarkStart w:id="23" w:name="_Toc194645849"/>
      <w:r w:rsidRPr="00AE0986">
        <w:rPr>
          <w:sz w:val="28"/>
          <w:szCs w:val="28"/>
        </w:rPr>
        <w:t>2</w:t>
      </w:r>
      <w:r w:rsidR="007F23B5" w:rsidRPr="00AE0986">
        <w:rPr>
          <w:sz w:val="28"/>
          <w:szCs w:val="28"/>
        </w:rPr>
        <w:t>.</w:t>
      </w:r>
      <w:r w:rsidRPr="00AE0986">
        <w:rPr>
          <w:sz w:val="28"/>
          <w:szCs w:val="28"/>
        </w:rPr>
        <w:t>5</w:t>
      </w:r>
      <w:r w:rsidR="007F23B5" w:rsidRPr="00AE0986">
        <w:rPr>
          <w:sz w:val="28"/>
          <w:szCs w:val="28"/>
        </w:rPr>
        <w:t xml:space="preserve"> The Role of Innovation in SME Marketing</w:t>
      </w:r>
      <w:bookmarkEnd w:id="22"/>
      <w:bookmarkEnd w:id="23"/>
    </w:p>
    <w:p w14:paraId="43588819" w14:textId="77777777" w:rsidR="003477F2" w:rsidRDefault="003477F2" w:rsidP="007F23B5">
      <w:pPr>
        <w:rPr>
          <w:rFonts w:ascii="Calibri" w:hAnsi="Calibri" w:cs="Calibri"/>
        </w:rPr>
      </w:pPr>
    </w:p>
    <w:p w14:paraId="7816ED72" w14:textId="614B992F" w:rsidR="0036153D" w:rsidRPr="00AE0986" w:rsidRDefault="003477F2" w:rsidP="007F23B5">
      <w:pPr>
        <w:rPr>
          <w:rFonts w:ascii="Calibri" w:hAnsi="Calibri" w:cs="Calibri"/>
        </w:rPr>
      </w:pPr>
      <w:r>
        <w:rPr>
          <w:rFonts w:ascii="Calibri" w:hAnsi="Calibri" w:cs="Calibri"/>
        </w:rPr>
        <w:t xml:space="preserve">     </w:t>
      </w:r>
      <w:r w:rsidRPr="003477F2">
        <w:rPr>
          <w:rFonts w:ascii="Calibri" w:hAnsi="Calibri" w:cs="Calibri"/>
        </w:rPr>
        <w:t>Innovation is increasingly critical for any SME, including those in security, to ensure product and marketing relevance. Adopting cutting-edge innovations such as AI, big data analytics, or IoT-driven solutions allows SMEs to refine their marketing and better target clients. Banham’s willingness to integrate smart home functionalities demonstrates that balancing tradition with innovation can highlight a firm’s ability to deliver on exclusivity and modern sophistication.</w:t>
      </w:r>
    </w:p>
    <w:p w14:paraId="3118D1AD" w14:textId="1C1EB574" w:rsidR="007F23B5" w:rsidRPr="00AE0986" w:rsidRDefault="003212AA" w:rsidP="00DE1AF5">
      <w:pPr>
        <w:pStyle w:val="Heading2"/>
      </w:pPr>
      <w:bookmarkStart w:id="24" w:name="_Toc194611005"/>
      <w:bookmarkStart w:id="25" w:name="_Toc194645850"/>
      <w:r w:rsidRPr="00AE0986">
        <w:lastRenderedPageBreak/>
        <w:t>2</w:t>
      </w:r>
      <w:r w:rsidR="007F23B5" w:rsidRPr="00AE0986">
        <w:t>.</w:t>
      </w:r>
      <w:r w:rsidRPr="00AE0986">
        <w:t>6</w:t>
      </w:r>
      <w:r w:rsidR="007F23B5" w:rsidRPr="00AE0986">
        <w:t xml:space="preserve"> Theoretical Implications</w:t>
      </w:r>
      <w:bookmarkEnd w:id="24"/>
      <w:bookmarkEnd w:id="25"/>
    </w:p>
    <w:p w14:paraId="2D9DE2B6" w14:textId="40EB371A" w:rsidR="00CD2555" w:rsidRPr="00AE0986" w:rsidRDefault="00AE0986" w:rsidP="00CD2555">
      <w:pPr>
        <w:rPr>
          <w:rFonts w:ascii="Calibri" w:hAnsi="Calibri" w:cs="Calibri"/>
        </w:rPr>
      </w:pPr>
      <w:r>
        <w:rPr>
          <w:rFonts w:ascii="Calibri" w:hAnsi="Calibri" w:cs="Calibri"/>
          <w:sz w:val="28"/>
          <w:szCs w:val="28"/>
        </w:rPr>
        <w:t xml:space="preserve">  </w:t>
      </w:r>
      <w:r w:rsidR="00CD2555" w:rsidRPr="00AE0986">
        <w:rPr>
          <w:rFonts w:ascii="Calibri" w:hAnsi="Calibri" w:cs="Calibri"/>
          <w:sz w:val="24"/>
          <w:szCs w:val="24"/>
        </w:rPr>
        <w:t xml:space="preserve">  </w:t>
      </w:r>
      <w:r w:rsidR="00CD2555" w:rsidRPr="00AE0986">
        <w:rPr>
          <w:rFonts w:ascii="Calibri" w:hAnsi="Calibri" w:cs="Calibri"/>
        </w:rPr>
        <w:t xml:space="preserve">Understanding how marketing and organizational factors interact in SMEs requires a solid theoretical base (Gilmore, Gallagher, &amp; Henry, 2007). </w:t>
      </w:r>
      <w:r w:rsidR="00AC341B" w:rsidRPr="00AE0986">
        <w:rPr>
          <w:rFonts w:ascii="Calibri" w:hAnsi="Calibri" w:cs="Calibri"/>
        </w:rPr>
        <w:t>B</w:t>
      </w:r>
      <w:r w:rsidR="00CD2555" w:rsidRPr="00AE0986">
        <w:rPr>
          <w:rFonts w:ascii="Calibri" w:hAnsi="Calibri" w:cs="Calibri"/>
        </w:rPr>
        <w:t>elow presents a conceptual framework that places Banham Security at the centre, with the Resource-Based View (RBV), Transaction Cost Economics (TCE), and Porter’s Competitive Advantage Theory forming three pillars</w:t>
      </w:r>
      <w:r w:rsidR="00AC341B" w:rsidRPr="00AE0986">
        <w:rPr>
          <w:rFonts w:ascii="Calibri" w:hAnsi="Calibri" w:cs="Calibri"/>
        </w:rPr>
        <w:t>:</w:t>
      </w:r>
    </w:p>
    <w:p w14:paraId="1D0F2B7F" w14:textId="77777777" w:rsidR="00CD2555" w:rsidRPr="00AE0986" w:rsidRDefault="00CD2555" w:rsidP="00CD2555">
      <w:pPr>
        <w:rPr>
          <w:rFonts w:ascii="Calibri" w:hAnsi="Calibri" w:cs="Calibri"/>
        </w:rPr>
      </w:pPr>
      <w:r w:rsidRPr="00AE0986">
        <w:rPr>
          <w:rFonts w:ascii="Calibri" w:hAnsi="Calibri" w:cs="Calibri"/>
        </w:rPr>
        <w:t>1.</w:t>
      </w:r>
      <w:r w:rsidRPr="00AE0986">
        <w:rPr>
          <w:rFonts w:ascii="Calibri" w:hAnsi="Calibri" w:cs="Calibri"/>
        </w:rPr>
        <w:tab/>
        <w:t>RBV: Emphasizes unique, intangible resources (e.g., trust, brand heritage).</w:t>
      </w:r>
    </w:p>
    <w:p w14:paraId="6A0476A2" w14:textId="77777777" w:rsidR="00CD2555" w:rsidRPr="00AE0986" w:rsidRDefault="00CD2555" w:rsidP="00CD2555">
      <w:pPr>
        <w:rPr>
          <w:rFonts w:ascii="Calibri" w:hAnsi="Calibri" w:cs="Calibri"/>
        </w:rPr>
      </w:pPr>
      <w:r w:rsidRPr="00AE0986">
        <w:rPr>
          <w:rFonts w:ascii="Calibri" w:hAnsi="Calibri" w:cs="Calibri"/>
        </w:rPr>
        <w:t>2.</w:t>
      </w:r>
      <w:r w:rsidRPr="00AE0986">
        <w:rPr>
          <w:rFonts w:ascii="Calibri" w:hAnsi="Calibri" w:cs="Calibri"/>
        </w:rPr>
        <w:tab/>
        <w:t>TCE: Highlights the importance of building long-term relationships to minimize switching costs.</w:t>
      </w:r>
    </w:p>
    <w:p w14:paraId="48481A57" w14:textId="77777777" w:rsidR="00CD2555" w:rsidRPr="00AE0986" w:rsidRDefault="00CD2555" w:rsidP="00CD2555">
      <w:pPr>
        <w:rPr>
          <w:rFonts w:ascii="Calibri" w:hAnsi="Calibri" w:cs="Calibri"/>
        </w:rPr>
      </w:pPr>
      <w:r w:rsidRPr="00AE0986">
        <w:rPr>
          <w:rFonts w:ascii="Calibri" w:hAnsi="Calibri" w:cs="Calibri"/>
        </w:rPr>
        <w:t>3.</w:t>
      </w:r>
      <w:r w:rsidRPr="00AE0986">
        <w:rPr>
          <w:rFonts w:ascii="Calibri" w:hAnsi="Calibri" w:cs="Calibri"/>
        </w:rPr>
        <w:tab/>
        <w:t>Porter’s: Focuses on differentiation as a path to competitive advantage in premium markets.</w:t>
      </w:r>
    </w:p>
    <w:p w14:paraId="4E3EC02D" w14:textId="77777777" w:rsidR="00AC341B" w:rsidRPr="00AE0986" w:rsidRDefault="00AC341B" w:rsidP="00CD2555">
      <w:pPr>
        <w:rPr>
          <w:rFonts w:ascii="Calibri" w:hAnsi="Calibri" w:cs="Calibri"/>
        </w:rPr>
      </w:pPr>
    </w:p>
    <w:p w14:paraId="11274E41" w14:textId="648E9D8B" w:rsidR="00CD2555" w:rsidRPr="00AE0986" w:rsidRDefault="00CD2555" w:rsidP="00CD2555">
      <w:pPr>
        <w:rPr>
          <w:rFonts w:ascii="Calibri" w:hAnsi="Calibri" w:cs="Calibri"/>
        </w:rPr>
      </w:pPr>
      <w:r w:rsidRPr="00AE0986">
        <w:rPr>
          <w:rFonts w:ascii="Calibri" w:hAnsi="Calibri" w:cs="Calibri"/>
        </w:rPr>
        <w:t>By mapping these connections, we see how Banham leverages its intangible assets, customer trust, and differentiation tactics to appeal to high-end clients.</w:t>
      </w:r>
    </w:p>
    <w:p w14:paraId="14CDAB4C" w14:textId="77777777" w:rsidR="00AE0986" w:rsidRDefault="00CD2555" w:rsidP="00CD2555">
      <w:pPr>
        <w:rPr>
          <w:rFonts w:ascii="Calibri" w:hAnsi="Calibri" w:cs="Calibri"/>
          <w:sz w:val="24"/>
          <w:szCs w:val="24"/>
        </w:rPr>
      </w:pPr>
      <w:r w:rsidRPr="00AE0986">
        <w:rPr>
          <w:rFonts w:ascii="Calibri" w:hAnsi="Calibri" w:cs="Calibri"/>
          <w:sz w:val="24"/>
          <w:szCs w:val="24"/>
        </w:rPr>
        <w:t xml:space="preserve">  </w:t>
      </w:r>
    </w:p>
    <w:p w14:paraId="777217E0" w14:textId="1AADB38B" w:rsidR="00CD2555" w:rsidRPr="00AE0986" w:rsidRDefault="00CD2555" w:rsidP="00CD2555">
      <w:pPr>
        <w:rPr>
          <w:rFonts w:ascii="Calibri" w:hAnsi="Calibri" w:cs="Calibri"/>
          <w:sz w:val="28"/>
          <w:szCs w:val="28"/>
        </w:rPr>
      </w:pPr>
      <w:r w:rsidRPr="00AE0986">
        <w:rPr>
          <w:rFonts w:ascii="Calibri" w:hAnsi="Calibri" w:cs="Calibri"/>
          <w:sz w:val="24"/>
          <w:szCs w:val="24"/>
        </w:rPr>
        <w:t xml:space="preserve">   </w:t>
      </w:r>
      <w:r w:rsidRPr="00AE0986">
        <w:rPr>
          <w:rFonts w:ascii="Calibri" w:hAnsi="Calibri" w:cs="Calibri"/>
          <w:sz w:val="28"/>
          <w:szCs w:val="28"/>
        </w:rPr>
        <w:t>Resource-Based View (RBV)</w:t>
      </w:r>
    </w:p>
    <w:p w14:paraId="0FC12B59" w14:textId="3E235A4A" w:rsidR="00CD2555" w:rsidRPr="00AE0986" w:rsidRDefault="00CD2555" w:rsidP="00CD2555">
      <w:pPr>
        <w:rPr>
          <w:rFonts w:ascii="Calibri" w:hAnsi="Calibri" w:cs="Calibri"/>
        </w:rPr>
      </w:pPr>
      <w:r w:rsidRPr="00AE0986">
        <w:rPr>
          <w:rFonts w:ascii="Calibri" w:hAnsi="Calibri" w:cs="Calibri"/>
        </w:rPr>
        <w:t xml:space="preserve">     The Resource-Based View (RBV) proposes that a firm’s lasting competitive advantage arises from its rare, valuable, and hard-to-copy resources and abilities (Barney, 1991; Wernerfelt, 1984). Unlike approaches that concentrate on market positioning, RBV examines the internal strengths that set one company apart, such as specialized knowledge, brand image, or distinct management skills (</w:t>
      </w:r>
      <w:proofErr w:type="spellStart"/>
      <w:r w:rsidRPr="00AE0986">
        <w:rPr>
          <w:rFonts w:ascii="Calibri" w:hAnsi="Calibri" w:cs="Calibri"/>
        </w:rPr>
        <w:t>Helfat</w:t>
      </w:r>
      <w:proofErr w:type="spellEnd"/>
      <w:r w:rsidRPr="00AE0986">
        <w:rPr>
          <w:rFonts w:ascii="Calibri" w:hAnsi="Calibri" w:cs="Calibri"/>
        </w:rPr>
        <w:t xml:space="preserve"> &amp; </w:t>
      </w:r>
      <w:proofErr w:type="spellStart"/>
      <w:r w:rsidRPr="00AE0986">
        <w:rPr>
          <w:rFonts w:ascii="Calibri" w:hAnsi="Calibri" w:cs="Calibri"/>
        </w:rPr>
        <w:t>Peteraf</w:t>
      </w:r>
      <w:proofErr w:type="spellEnd"/>
      <w:r w:rsidRPr="00AE0986">
        <w:rPr>
          <w:rFonts w:ascii="Calibri" w:hAnsi="Calibri" w:cs="Calibri"/>
        </w:rPr>
        <w:t>, 2003; Runyan, Droge, &amp; Swinney, 2008).</w:t>
      </w:r>
    </w:p>
    <w:p w14:paraId="628BD16B" w14:textId="3F2C6C8D" w:rsidR="00CD2555" w:rsidRPr="00AE0986" w:rsidRDefault="00CD2555" w:rsidP="00CD2555">
      <w:pPr>
        <w:rPr>
          <w:rFonts w:ascii="Calibri" w:hAnsi="Calibri" w:cs="Calibri"/>
        </w:rPr>
      </w:pPr>
      <w:r w:rsidRPr="00AE0986">
        <w:rPr>
          <w:rFonts w:ascii="Calibri" w:hAnsi="Calibri" w:cs="Calibri"/>
        </w:rPr>
        <w:t xml:space="preserve">     For SMEs like Banham Security, which must compete against larger firms with ample resources, RBV highlights how intangible assets—including heritage, trust, and long-term customer relationships—provide an edge (Barney, 1991; Grant, 1996). By applying RBV, this research aligns with Objective 1 (identifying SME marketing challenges) by showing how limited budgets can be partially balanced through the strategic use of unique, hard-to-replicate resources (Lages, Silva, Styles, &amp; Pereira, 2009).</w:t>
      </w:r>
    </w:p>
    <w:p w14:paraId="4AF7E032" w14:textId="6B21A9AD" w:rsidR="00CD2555" w:rsidRPr="00AE0986" w:rsidRDefault="00CD2555" w:rsidP="00CD2555">
      <w:pPr>
        <w:rPr>
          <w:rFonts w:ascii="Calibri" w:hAnsi="Calibri" w:cs="Calibri"/>
        </w:rPr>
      </w:pPr>
      <w:r w:rsidRPr="00AE0986">
        <w:rPr>
          <w:rFonts w:ascii="Calibri" w:hAnsi="Calibri" w:cs="Calibri"/>
        </w:rPr>
        <w:t xml:space="preserve">     While Barney (1991) underscores the importance of firm-specific resources for competitive advantage, some critics argue the RBV framework can overlook external market dynamics (Priem &amp; Butler, 2001). In Banham’s case, focusing solely on internal strengths would be insufficient if consumer trends rapidly shift or if new technologies disrupt the market. Thus, RBV must be applied flexibly, complementing external analyses such as Porter’s.</w:t>
      </w:r>
    </w:p>
    <w:p w14:paraId="72CAB82E" w14:textId="6A0D07D2" w:rsidR="00CD2555" w:rsidRPr="00AE0986" w:rsidRDefault="00CD2555" w:rsidP="00CD2555">
      <w:pPr>
        <w:rPr>
          <w:rFonts w:ascii="Calibri" w:hAnsi="Calibri" w:cs="Calibri"/>
        </w:rPr>
      </w:pPr>
      <w:r w:rsidRPr="00AE0986">
        <w:rPr>
          <w:rFonts w:ascii="Calibri" w:hAnsi="Calibri" w:cs="Calibri"/>
        </w:rPr>
        <w:t xml:space="preserve">     Banham’s success relies on its premium brand image and specialized security solutions (Jones, 2019). Understanding these intangible strengths clarifies how Banham remains competitive despite smaller marketing budgets than larger companies. This insight directly relates to </w:t>
      </w:r>
      <w:r w:rsidRPr="00AE0986">
        <w:rPr>
          <w:rFonts w:ascii="Calibri" w:hAnsi="Calibri" w:cs="Calibri"/>
          <w:b/>
          <w:bCs/>
        </w:rPr>
        <w:t>Objective 2</w:t>
      </w:r>
      <w:r w:rsidRPr="00AE0986">
        <w:rPr>
          <w:rFonts w:ascii="Calibri" w:hAnsi="Calibri" w:cs="Calibri"/>
        </w:rPr>
        <w:t xml:space="preserve"> (assessing effectiveness), as Banham’s brand reputation and expertise allow for premium pricing and marketing strategies (Lages et al., 2009; Miller, 1992). Relevance to This Dissertation: By highlighting Banham’s core intangible resources, RBV helps us see why trust and legacy can offset some budgetary challenges, providing a theoretical basis for how Banham distinguishes itself from cost-focused rivals.</w:t>
      </w:r>
    </w:p>
    <w:p w14:paraId="4482CA49" w14:textId="77777777" w:rsidR="003477F2" w:rsidRDefault="00AC341B" w:rsidP="00CD2555">
      <w:pPr>
        <w:rPr>
          <w:rFonts w:ascii="Calibri" w:hAnsi="Calibri" w:cs="Calibri"/>
        </w:rPr>
      </w:pPr>
      <w:r w:rsidRPr="00AE0986">
        <w:rPr>
          <w:rFonts w:ascii="Calibri" w:hAnsi="Calibri" w:cs="Calibri"/>
        </w:rPr>
        <w:t xml:space="preserve">  </w:t>
      </w:r>
    </w:p>
    <w:p w14:paraId="0C2E6458" w14:textId="77777777" w:rsidR="003477F2" w:rsidRDefault="003477F2" w:rsidP="00CD2555">
      <w:pPr>
        <w:rPr>
          <w:rFonts w:ascii="Calibri" w:hAnsi="Calibri" w:cs="Calibri"/>
        </w:rPr>
      </w:pPr>
    </w:p>
    <w:p w14:paraId="76DCDEFE" w14:textId="68973739" w:rsidR="00CD2555" w:rsidRPr="00AE0986" w:rsidRDefault="00AC341B" w:rsidP="00CD2555">
      <w:pPr>
        <w:rPr>
          <w:rFonts w:ascii="Calibri" w:hAnsi="Calibri" w:cs="Calibri"/>
          <w:sz w:val="28"/>
          <w:szCs w:val="28"/>
        </w:rPr>
      </w:pPr>
      <w:r w:rsidRPr="00AE0986">
        <w:rPr>
          <w:rFonts w:ascii="Calibri" w:hAnsi="Calibri" w:cs="Calibri"/>
        </w:rPr>
        <w:lastRenderedPageBreak/>
        <w:t xml:space="preserve"> </w:t>
      </w:r>
      <w:r w:rsidR="00CD2555" w:rsidRPr="00AE0986">
        <w:rPr>
          <w:rFonts w:ascii="Calibri" w:hAnsi="Calibri" w:cs="Calibri"/>
          <w:sz w:val="28"/>
          <w:szCs w:val="28"/>
        </w:rPr>
        <w:t>Porter’s Competitive Advantage Theory</w:t>
      </w:r>
    </w:p>
    <w:p w14:paraId="151766C2" w14:textId="40F1EE64" w:rsidR="00CD2555" w:rsidRPr="00AE0986" w:rsidRDefault="00CD2555" w:rsidP="00CD2555">
      <w:pPr>
        <w:rPr>
          <w:rFonts w:ascii="Calibri" w:hAnsi="Calibri" w:cs="Calibri"/>
        </w:rPr>
      </w:pPr>
      <w:r w:rsidRPr="00AE0986">
        <w:rPr>
          <w:rFonts w:ascii="Calibri" w:hAnsi="Calibri" w:cs="Calibri"/>
        </w:rPr>
        <w:t xml:space="preserve">     Michael Porter’s (1985) model outlines three main ways to achieve competitive advantage: cost leadership, differentiation, and focus. In the high-end security market, differentiation is key, emphasizing exclusive features, top-notch quality, and outstanding service, which often justify higher prices (Spencer, Joiner, &amp; Salmon, 2009; Slater &amp; </w:t>
      </w:r>
      <w:proofErr w:type="spellStart"/>
      <w:r w:rsidRPr="00AE0986">
        <w:rPr>
          <w:rFonts w:ascii="Calibri" w:hAnsi="Calibri" w:cs="Calibri"/>
        </w:rPr>
        <w:t>Narver</w:t>
      </w:r>
      <w:proofErr w:type="spellEnd"/>
      <w:r w:rsidRPr="00AE0986">
        <w:rPr>
          <w:rFonts w:ascii="Calibri" w:hAnsi="Calibri" w:cs="Calibri"/>
        </w:rPr>
        <w:t>, 2000).</w:t>
      </w:r>
    </w:p>
    <w:p w14:paraId="1F1A88DB" w14:textId="21A171AA" w:rsidR="00CD2555" w:rsidRPr="00AE0986" w:rsidRDefault="00CD2555" w:rsidP="00CD2555">
      <w:pPr>
        <w:rPr>
          <w:rFonts w:ascii="Calibri" w:hAnsi="Calibri" w:cs="Calibri"/>
        </w:rPr>
      </w:pPr>
      <w:r w:rsidRPr="00AE0986">
        <w:rPr>
          <w:rFonts w:ascii="Calibri" w:hAnsi="Calibri" w:cs="Calibri"/>
        </w:rPr>
        <w:t xml:space="preserve">     Porter’s framework is useful for </w:t>
      </w:r>
      <w:r w:rsidR="00E606DA" w:rsidRPr="00AE0986">
        <w:rPr>
          <w:rFonts w:ascii="Calibri" w:hAnsi="Calibri" w:cs="Calibri"/>
        </w:rPr>
        <w:t>analysing</w:t>
      </w:r>
      <w:r w:rsidRPr="00AE0986">
        <w:rPr>
          <w:rFonts w:ascii="Calibri" w:hAnsi="Calibri" w:cs="Calibri"/>
        </w:rPr>
        <w:t xml:space="preserve"> Banham’s focus on premium branding and personalized services (Brooksbank, 1991; </w:t>
      </w:r>
      <w:proofErr w:type="spellStart"/>
      <w:r w:rsidRPr="00AE0986">
        <w:rPr>
          <w:rFonts w:ascii="Calibri" w:hAnsi="Calibri" w:cs="Calibri"/>
        </w:rPr>
        <w:t>Kapferer</w:t>
      </w:r>
      <w:proofErr w:type="spellEnd"/>
      <w:r w:rsidRPr="00AE0986">
        <w:rPr>
          <w:rFonts w:ascii="Calibri" w:hAnsi="Calibri" w:cs="Calibri"/>
        </w:rPr>
        <w:t xml:space="preserve"> &amp; Bastien, 2012). This model clarifies how Banham distinguishes itself from competitors that prioritize mass-market or cost-based strategies (Spencer et al., 2009).</w:t>
      </w:r>
    </w:p>
    <w:p w14:paraId="36B7A243" w14:textId="76989EEB" w:rsidR="00CD2555" w:rsidRPr="00AE0986" w:rsidRDefault="00CD2555" w:rsidP="00CD2555">
      <w:pPr>
        <w:rPr>
          <w:rFonts w:ascii="Calibri" w:hAnsi="Calibri" w:cs="Calibri"/>
        </w:rPr>
      </w:pPr>
      <w:r w:rsidRPr="00AE0986">
        <w:rPr>
          <w:rFonts w:ascii="Calibri" w:hAnsi="Calibri" w:cs="Calibri"/>
        </w:rPr>
        <w:t xml:space="preserve">     Although Porter (1985) provides a clear path for differentiation, Miller (1992) notes that changes in consumer preferences can erode a once-successful differentiation strategy if a firm does not continually innovate. In the security sector, if Banham fails to update offerings (e.g., AI-driven surveillance), it risks losing ground to competitors.</w:t>
      </w:r>
    </w:p>
    <w:p w14:paraId="3CABF76A" w14:textId="21A5A08D" w:rsidR="00CD2555" w:rsidRPr="00AE0986" w:rsidRDefault="00CD2555" w:rsidP="00CD2555">
      <w:pPr>
        <w:rPr>
          <w:rFonts w:ascii="Calibri" w:hAnsi="Calibri" w:cs="Calibri"/>
        </w:rPr>
      </w:pPr>
      <w:r w:rsidRPr="00AE0986">
        <w:rPr>
          <w:rFonts w:ascii="Calibri" w:hAnsi="Calibri" w:cs="Calibri"/>
        </w:rPr>
        <w:t xml:space="preserve">     Porter’s perspective highlights Banham’s choice to target wealthier customers (Reuber &amp; Fischer, 2005). It connects directly to Objective 2 (assessing effectiveness) by showing how differentiation resonates with certain market segments (Pelham, 2000). Additionally, it underscores the difficulties SMEs face (Objective 1) when they must compete against larger, lower-priced providers who benefit from economies of scale (Levy &amp; Powell, 2005). Relevance to This Dissertation: By clarifying how Banham’s premium focus can succeed amid price-driven competition, Porter’s theory justifies a deeper look at Banham’s marketing tactics.</w:t>
      </w:r>
    </w:p>
    <w:p w14:paraId="16996820" w14:textId="3A7F39F2" w:rsidR="00CD2555" w:rsidRPr="00AE0986" w:rsidRDefault="00AC341B" w:rsidP="00CD2555">
      <w:pPr>
        <w:rPr>
          <w:rFonts w:ascii="Calibri" w:hAnsi="Calibri" w:cs="Calibri"/>
          <w:sz w:val="28"/>
          <w:szCs w:val="28"/>
        </w:rPr>
      </w:pPr>
      <w:r w:rsidRPr="00AE0986">
        <w:rPr>
          <w:rFonts w:ascii="Calibri" w:hAnsi="Calibri" w:cs="Calibri"/>
        </w:rPr>
        <w:t xml:space="preserve">     </w:t>
      </w:r>
      <w:r w:rsidR="00CD2555" w:rsidRPr="00AE0986">
        <w:rPr>
          <w:rFonts w:ascii="Calibri" w:hAnsi="Calibri" w:cs="Calibri"/>
          <w:sz w:val="28"/>
          <w:szCs w:val="28"/>
        </w:rPr>
        <w:t>Transaction Cost Economics (TCE)</w:t>
      </w:r>
    </w:p>
    <w:p w14:paraId="20752E26" w14:textId="44FD11D9" w:rsidR="00CD2555" w:rsidRPr="00AE0986" w:rsidRDefault="00CD2555" w:rsidP="00CD2555">
      <w:pPr>
        <w:rPr>
          <w:rFonts w:ascii="Calibri" w:hAnsi="Calibri" w:cs="Calibri"/>
        </w:rPr>
      </w:pPr>
      <w:r w:rsidRPr="00AE0986">
        <w:rPr>
          <w:rFonts w:ascii="Calibri" w:hAnsi="Calibri" w:cs="Calibri"/>
        </w:rPr>
        <w:t xml:space="preserve">     Transaction Cost Economics (TCE) (Williamson, 1981) examines how firms manage exchanges and relationships to minimize transaction costs—such as those involved in acquiring customers or dealing with suppliers (</w:t>
      </w:r>
      <w:proofErr w:type="spellStart"/>
      <w:r w:rsidRPr="00AE0986">
        <w:rPr>
          <w:rFonts w:ascii="Calibri" w:hAnsi="Calibri" w:cs="Calibri"/>
        </w:rPr>
        <w:t>Brouthers</w:t>
      </w:r>
      <w:proofErr w:type="spellEnd"/>
      <w:r w:rsidRPr="00AE0986">
        <w:rPr>
          <w:rFonts w:ascii="Calibri" w:hAnsi="Calibri" w:cs="Calibri"/>
        </w:rPr>
        <w:t xml:space="preserve"> &amp; </w:t>
      </w:r>
      <w:proofErr w:type="spellStart"/>
      <w:r w:rsidRPr="00AE0986">
        <w:rPr>
          <w:rFonts w:ascii="Calibri" w:hAnsi="Calibri" w:cs="Calibri"/>
        </w:rPr>
        <w:t>Brouthers</w:t>
      </w:r>
      <w:proofErr w:type="spellEnd"/>
      <w:r w:rsidRPr="00AE0986">
        <w:rPr>
          <w:rFonts w:ascii="Calibri" w:hAnsi="Calibri" w:cs="Calibri"/>
        </w:rPr>
        <w:t>, 2003). In trust-sensitive industries like security, TCE suggests that building credibility and stable relationships can reduce perceived risks and lower switching costs (Yeung &amp; Ramasamy, 2012).</w:t>
      </w:r>
    </w:p>
    <w:p w14:paraId="7C9BCC3F" w14:textId="5DA86848" w:rsidR="00CD2555" w:rsidRPr="00AE0986" w:rsidRDefault="00CD2555" w:rsidP="00CD2555">
      <w:pPr>
        <w:rPr>
          <w:rFonts w:ascii="Calibri" w:hAnsi="Calibri" w:cs="Calibri"/>
        </w:rPr>
      </w:pPr>
      <w:r w:rsidRPr="00AE0986">
        <w:rPr>
          <w:rFonts w:ascii="Calibri" w:hAnsi="Calibri" w:cs="Calibri"/>
        </w:rPr>
        <w:t xml:space="preserve">     TCE is crucial for understanding how SMEs, which lack the scale of big companies, can survive by fostering long-term customer relationships (</w:t>
      </w:r>
      <w:proofErr w:type="spellStart"/>
      <w:r w:rsidRPr="00AE0986">
        <w:rPr>
          <w:rFonts w:ascii="Calibri" w:hAnsi="Calibri" w:cs="Calibri"/>
        </w:rPr>
        <w:t>Erramilli</w:t>
      </w:r>
      <w:proofErr w:type="spellEnd"/>
      <w:r w:rsidRPr="00AE0986">
        <w:rPr>
          <w:rFonts w:ascii="Calibri" w:hAnsi="Calibri" w:cs="Calibri"/>
        </w:rPr>
        <w:t xml:space="preserve"> &amp; Rao, 1993). Banham’s continuous service, upkeep, and personalized consultations lead to higher switching costs for customers, encouraging loyalty (Chen, Zou, &amp; Wang, 2009).</w:t>
      </w:r>
    </w:p>
    <w:p w14:paraId="57E691ED" w14:textId="2774B157" w:rsidR="00CD2555" w:rsidRPr="00AE0986" w:rsidRDefault="00CD2555" w:rsidP="00CD2555">
      <w:pPr>
        <w:rPr>
          <w:rFonts w:ascii="Calibri" w:hAnsi="Calibri" w:cs="Calibri"/>
        </w:rPr>
      </w:pPr>
      <w:r w:rsidRPr="00AE0986">
        <w:rPr>
          <w:rFonts w:ascii="Calibri" w:hAnsi="Calibri" w:cs="Calibri"/>
        </w:rPr>
        <w:t xml:space="preserve">     Williamson (1981) contends that reduced transaction costs can be a major competitive advantage; however, some scholars argue it overemphasizes cost-minimization at the expense of innovation (Dyer, 1997). In Banham’s context, while stable relationships help, the firm must still invest in technological upgrades and brand development to stay ahead of DIY or cost-driven rivals.</w:t>
      </w:r>
    </w:p>
    <w:p w14:paraId="7D2604B1" w14:textId="07A6B620" w:rsidR="00CD2555" w:rsidRPr="00AE0986" w:rsidRDefault="00CD2555" w:rsidP="00CD2555">
      <w:pPr>
        <w:rPr>
          <w:rFonts w:ascii="Calibri" w:hAnsi="Calibri" w:cs="Calibri"/>
        </w:rPr>
      </w:pPr>
      <w:r w:rsidRPr="00AE0986">
        <w:rPr>
          <w:rFonts w:ascii="Calibri" w:hAnsi="Calibri" w:cs="Calibri"/>
        </w:rPr>
        <w:t xml:space="preserve">      TCE clarifies how Banham’s lasting customer relationships reduce recruitment and retention costs, making them essential for sustainable growth (Objective 3) (O’Donnell, Gilmore, Carson, &amp; Cummins, 2002). By focusing on trust, TCE also reveals how intangible assets—aligned with RBV—make marketing more cost-effective in premium markets (</w:t>
      </w:r>
      <w:proofErr w:type="spellStart"/>
      <w:r w:rsidRPr="00AE0986">
        <w:rPr>
          <w:rFonts w:ascii="Calibri" w:hAnsi="Calibri" w:cs="Calibri"/>
        </w:rPr>
        <w:t>Erramilli</w:t>
      </w:r>
      <w:proofErr w:type="spellEnd"/>
      <w:r w:rsidRPr="00AE0986">
        <w:rPr>
          <w:rFonts w:ascii="Calibri" w:hAnsi="Calibri" w:cs="Calibri"/>
        </w:rPr>
        <w:t xml:space="preserve"> &amp; Rao, 1993; Barney, 1991). Relevance to This Dissertation: Examining Banham’s close client ties showcases how reduced uncertainty and switching costs bolster a premium brand’s longevity, fulfilling objectives tied to understanding SME challenges and strategy effectiveness.</w:t>
      </w:r>
    </w:p>
    <w:p w14:paraId="4B5EC1D7" w14:textId="77777777" w:rsidR="00CD2555" w:rsidRPr="00AE0986" w:rsidRDefault="00CD2555" w:rsidP="00CD2555">
      <w:pPr>
        <w:rPr>
          <w:rFonts w:ascii="Calibri" w:hAnsi="Calibri" w:cs="Calibri"/>
        </w:rPr>
      </w:pPr>
    </w:p>
    <w:p w14:paraId="57ABE1DC" w14:textId="6E789237" w:rsidR="00CD2555" w:rsidRPr="00AE0986" w:rsidRDefault="00CD2555" w:rsidP="00DE1AF5">
      <w:pPr>
        <w:pStyle w:val="Heading2"/>
      </w:pPr>
      <w:r w:rsidRPr="00AE0986">
        <w:lastRenderedPageBreak/>
        <w:t xml:space="preserve"> </w:t>
      </w:r>
      <w:bookmarkStart w:id="26" w:name="_Toc194611006"/>
      <w:bookmarkStart w:id="27" w:name="_Toc194645851"/>
      <w:r w:rsidR="003212AA" w:rsidRPr="00AE0986">
        <w:t>2</w:t>
      </w:r>
      <w:r w:rsidRPr="00AE0986">
        <w:t>.</w:t>
      </w:r>
      <w:r w:rsidR="003212AA" w:rsidRPr="00AE0986">
        <w:t>7</w:t>
      </w:r>
      <w:r w:rsidRPr="00AE0986">
        <w:t xml:space="preserve"> Gaps in literature</w:t>
      </w:r>
      <w:bookmarkEnd w:id="26"/>
      <w:bookmarkEnd w:id="27"/>
    </w:p>
    <w:p w14:paraId="0B057D60" w14:textId="77777777" w:rsidR="0036153D" w:rsidRPr="00AE0986" w:rsidRDefault="0036153D" w:rsidP="00CD2555">
      <w:pPr>
        <w:rPr>
          <w:rFonts w:ascii="Calibri" w:hAnsi="Calibri" w:cs="Calibri"/>
          <w:sz w:val="28"/>
          <w:szCs w:val="28"/>
        </w:rPr>
      </w:pPr>
    </w:p>
    <w:p w14:paraId="4F2DC99F" w14:textId="77777777" w:rsidR="00F76222" w:rsidRPr="00AE0986" w:rsidRDefault="00CD2555" w:rsidP="00F76222">
      <w:pPr>
        <w:rPr>
          <w:rFonts w:ascii="Calibri" w:hAnsi="Calibri" w:cs="Calibri"/>
        </w:rPr>
      </w:pPr>
      <w:r w:rsidRPr="00AE0986">
        <w:rPr>
          <w:rFonts w:ascii="Calibri" w:hAnsi="Calibri" w:cs="Calibri"/>
        </w:rPr>
        <w:t xml:space="preserve">     Although there is a sizable body of research on SME marketing, there is relatively little focusing on high-value, niche security SMEs (Gilmore, Carson, &amp; Grant, 2001; Coviello, Brodie, &amp; Munro, 2000). Most studies examine broader topics like cost leadership, differentiation, or standard practices in mainstream security firms. Scholars exploring SME marketing often highlight challenges like relationship building, gradual innovation, and professional networks, but rarely discuss the constraints of premium service markets (O’Dwyer, Gilmore, &amp; Carson, 2009; Stokes, 2000; Fillis, 2002). </w:t>
      </w:r>
    </w:p>
    <w:p w14:paraId="4FE49F97" w14:textId="0BAC8997" w:rsidR="00CD2555" w:rsidRPr="00AE0986" w:rsidRDefault="00F76222" w:rsidP="00F76222">
      <w:pPr>
        <w:rPr>
          <w:rFonts w:ascii="Calibri" w:hAnsi="Calibri" w:cs="Calibri"/>
        </w:rPr>
      </w:pPr>
      <w:r w:rsidRPr="00AE0986">
        <w:rPr>
          <w:rFonts w:ascii="Calibri" w:hAnsi="Calibri" w:cs="Calibri"/>
        </w:rPr>
        <w:t xml:space="preserve">     More specifically, numerous well-cited works—Stokes (2000), who notes that SMEs often use flexible, intuitive marketing yet does not show how this applies to premium, trust-focused security contexts; Fillis (2002), who studies creativity in small firm marketing but excludes environments requiring strict dependability and premium branding; Reijonen (2010), who questions whether SMEs follow the same marketing patterns as larger firms, leaving open the issue of exclusiveness in specialized markets; Harrigan, Ramsey, and Ibbotson (2011), who discuss the growing impact of e-marketing for SMEs but do not touch on niche, high-end security offerings that demand personal service; Resnick, Cheng, Brindley, and Foster (2011), who focus on online communication among SMEs while neglecting the trust-focused nature of premium security solutions; Berthon, Ewing, and Napoli (2008), who research brand-building in SMEs but concentrate on consumer goods instead of specialized, high-stakes services; Brooksbank, Kirby, Tompson, and Taylor (2003), who address the marketing effectiveness of SMEs yet overlook how high-value branding interacts with advanced technology; Carson (2005) and Levy and Powell (2005), who examine SME marketing strategies but fail to explore the complexities of delivering custom, trust-based services in a luxury market; and LaPlaca (2011), who highlights new directions in B2B marketing but does not address premium security brands that also cater to wealthy consumers, requiring a hybrid approach—inform our understanding of SME marketing yet fail to address the unique, high-stakes dimensions of the luxury security sector.</w:t>
      </w:r>
    </w:p>
    <w:p w14:paraId="5E1C3D94" w14:textId="539382EC" w:rsidR="00CD2555" w:rsidRPr="00AE0986" w:rsidRDefault="00CD2555" w:rsidP="00CD2555">
      <w:pPr>
        <w:rPr>
          <w:rFonts w:ascii="Calibri" w:hAnsi="Calibri" w:cs="Calibri"/>
        </w:rPr>
      </w:pPr>
      <w:r w:rsidRPr="00AE0986">
        <w:rPr>
          <w:rFonts w:ascii="Calibri" w:hAnsi="Calibri" w:cs="Calibri"/>
        </w:rPr>
        <w:t xml:space="preserve">     Moreover, new research on advanced technologies (e.g., AI, IoT) usually focuses on bigger firms with large R&amp;D budgets or simple consumer-level tools (Coviello et al., 2000). Few authors look at how SMEs offering upscale or tailor-made solutions can integrate these tools without alienating customers who expect high-touch, personal service. This is especially important for high-end security SMEs aiming to project both exclusiveness and modernity (Ngo &amp; </w:t>
      </w:r>
      <w:proofErr w:type="spellStart"/>
      <w:r w:rsidRPr="00AE0986">
        <w:rPr>
          <w:rFonts w:ascii="Calibri" w:hAnsi="Calibri" w:cs="Calibri"/>
        </w:rPr>
        <w:t>O’Cass</w:t>
      </w:r>
      <w:proofErr w:type="spellEnd"/>
      <w:r w:rsidRPr="00AE0986">
        <w:rPr>
          <w:rFonts w:ascii="Calibri" w:hAnsi="Calibri" w:cs="Calibri"/>
        </w:rPr>
        <w:t>, 2012). Therefore, future studies must explore if—and how—these advanced features can fit into a relationship-driven approach required by affluent security clients.</w:t>
      </w:r>
    </w:p>
    <w:p w14:paraId="6CC89D33" w14:textId="256779C5" w:rsidR="00CD2555" w:rsidRPr="00AE0986" w:rsidRDefault="00CD2555" w:rsidP="00CD2555">
      <w:pPr>
        <w:rPr>
          <w:rFonts w:ascii="Calibri" w:hAnsi="Calibri" w:cs="Calibri"/>
        </w:rPr>
      </w:pPr>
      <w:r w:rsidRPr="00AE0986">
        <w:rPr>
          <w:rFonts w:ascii="Calibri" w:hAnsi="Calibri" w:cs="Calibri"/>
        </w:rPr>
        <w:t xml:space="preserve">     Additional questions remain about how premium security SMEs adapt their marketing mix as they grow. Past work shows that SME marketing evolves as companies expand, sometimes creating tension between intuitive, entrepreneurial methods and systematic, data-driven strategies (O’Dwyer et al., 2009; Gilmore et al., 2001). Yet these researchers rarely focus on SMEs operating in high-stakes, exclusive markets like security (Stokes &amp; Wilson, 2010). This gap suggests the need to examine how a high-end SME’s marketing evolves when entering new regions, adopting new technologies, or dealing with limited resources (Wright, Roper, Hart, &amp; Carter, 2015).</w:t>
      </w:r>
    </w:p>
    <w:p w14:paraId="6743978C" w14:textId="0DB7437A" w:rsidR="00CD2555" w:rsidRPr="00AE0986" w:rsidRDefault="00CD2555" w:rsidP="00CD2555">
      <w:pPr>
        <w:rPr>
          <w:rFonts w:ascii="Calibri" w:hAnsi="Calibri" w:cs="Calibri"/>
        </w:rPr>
      </w:pPr>
      <w:r w:rsidRPr="00AE0986">
        <w:rPr>
          <w:rFonts w:ascii="Calibri" w:hAnsi="Calibri" w:cs="Calibri"/>
        </w:rPr>
        <w:t>Justification for the Gaps</w:t>
      </w:r>
    </w:p>
    <w:p w14:paraId="255873EF" w14:textId="09052380" w:rsidR="00CD2555" w:rsidRPr="00AE0986" w:rsidRDefault="00CD2555" w:rsidP="00CD2555">
      <w:pPr>
        <w:rPr>
          <w:rFonts w:ascii="Calibri" w:hAnsi="Calibri" w:cs="Calibri"/>
        </w:rPr>
      </w:pPr>
      <w:r w:rsidRPr="00AE0986">
        <w:rPr>
          <w:rFonts w:ascii="Calibri" w:hAnsi="Calibri" w:cs="Calibri"/>
        </w:rPr>
        <w:t xml:space="preserve">     By calling attention to overlooked issues—such as luxury branding, trust-based marketing, tech integration, and evolving strategies in a specialized, high-stakes niche—this study highlights the need </w:t>
      </w:r>
      <w:r w:rsidRPr="00AE0986">
        <w:rPr>
          <w:rFonts w:ascii="Calibri" w:hAnsi="Calibri" w:cs="Calibri"/>
        </w:rPr>
        <w:lastRenderedPageBreak/>
        <w:t>for further exploration. Addressing these gaps is vital for a deeper and more critical understanding of how elite security SMEs maintain competitive advantages and adapt to ongoing market shifts (Becherer, Helms, &amp; McDonald, 2012; Dibb, Simkin, &amp; Wilson, 2008).</w:t>
      </w:r>
    </w:p>
    <w:p w14:paraId="2C61D4AA" w14:textId="48ADEE37" w:rsidR="007F23B5" w:rsidRPr="00AE0986" w:rsidRDefault="00CD2555" w:rsidP="00CD2555">
      <w:pPr>
        <w:rPr>
          <w:rFonts w:ascii="Calibri" w:hAnsi="Calibri" w:cs="Calibri"/>
        </w:rPr>
      </w:pPr>
      <w:r w:rsidRPr="00AE0986">
        <w:rPr>
          <w:rFonts w:ascii="Calibri" w:hAnsi="Calibri" w:cs="Calibri"/>
        </w:rPr>
        <w:t xml:space="preserve">     Taken together, these deficiencies point to the importance of </w:t>
      </w:r>
      <w:r w:rsidR="003477F2" w:rsidRPr="00AE0986">
        <w:rPr>
          <w:rFonts w:ascii="Calibri" w:hAnsi="Calibri" w:cs="Calibri"/>
        </w:rPr>
        <w:t>a</w:t>
      </w:r>
      <w:r w:rsidRPr="00AE0986">
        <w:rPr>
          <w:rFonts w:ascii="Calibri" w:hAnsi="Calibri" w:cs="Calibri"/>
        </w:rPr>
        <w:t xml:space="preserve"> review </w:t>
      </w:r>
      <w:proofErr w:type="spellStart"/>
      <w:r w:rsidRPr="00AE0986">
        <w:rPr>
          <w:rFonts w:ascii="Calibri" w:hAnsi="Calibri" w:cs="Calibri"/>
        </w:rPr>
        <w:t>centered</w:t>
      </w:r>
      <w:proofErr w:type="spellEnd"/>
      <w:r w:rsidRPr="00AE0986">
        <w:rPr>
          <w:rFonts w:ascii="Calibri" w:hAnsi="Calibri" w:cs="Calibri"/>
        </w:rPr>
        <w:t xml:space="preserve"> on high-value security SMEs like Banham. Investigating how intangible resource management (RBV), trust-focused marketing (TCE), and premium differentiation (Porter) intersect will clarify how smaller firms succeed in specialized, high-stakes niches.</w:t>
      </w:r>
    </w:p>
    <w:p w14:paraId="3279E1AC" w14:textId="77777777" w:rsidR="00DE1AF5" w:rsidRDefault="007F23B5" w:rsidP="00CD2555">
      <w:pPr>
        <w:rPr>
          <w:rFonts w:ascii="Calibri" w:hAnsi="Calibri" w:cs="Calibri"/>
          <w:sz w:val="28"/>
          <w:szCs w:val="28"/>
        </w:rPr>
      </w:pPr>
      <w:r w:rsidRPr="00AE0986">
        <w:rPr>
          <w:rFonts w:ascii="Calibri" w:hAnsi="Calibri" w:cs="Calibri"/>
          <w:sz w:val="28"/>
          <w:szCs w:val="28"/>
        </w:rPr>
        <w:t xml:space="preserve">  </w:t>
      </w:r>
    </w:p>
    <w:p w14:paraId="2C26E662" w14:textId="6004C802" w:rsidR="00CD2555" w:rsidRDefault="007F23B5" w:rsidP="00DE1AF5">
      <w:pPr>
        <w:pStyle w:val="Heading2"/>
      </w:pPr>
      <w:r w:rsidRPr="00AE0986">
        <w:t xml:space="preserve"> </w:t>
      </w:r>
      <w:bookmarkStart w:id="28" w:name="_Toc194611007"/>
      <w:bookmarkStart w:id="29" w:name="_Toc194645852"/>
      <w:r w:rsidR="003212AA" w:rsidRPr="00AE0986">
        <w:t>2</w:t>
      </w:r>
      <w:r w:rsidR="00CD2555" w:rsidRPr="00AE0986">
        <w:t>.</w:t>
      </w:r>
      <w:r w:rsidR="003212AA" w:rsidRPr="00AE0986">
        <w:t>8</w:t>
      </w:r>
      <w:r w:rsidR="00CD2555" w:rsidRPr="00AE0986">
        <w:t xml:space="preserve"> Conclusion</w:t>
      </w:r>
      <w:bookmarkEnd w:id="28"/>
      <w:bookmarkEnd w:id="29"/>
    </w:p>
    <w:p w14:paraId="39D666CD" w14:textId="31D16606" w:rsidR="003477F2" w:rsidRPr="003477F2" w:rsidRDefault="003477F2" w:rsidP="003477F2">
      <w:r>
        <w:t xml:space="preserve">     </w:t>
      </w:r>
      <w:r w:rsidRPr="003477F2">
        <w:t xml:space="preserve">SMEs in security frequently encounter various challenges, including limited promotional budgets, intense competition, and the need to cultivate consumer trust in an intangible service. Banham Security exemplifies how brand heritage, relationship-based marketing, and selective integration of new technologies can overcome these hurdles. By drawing on relevant frameworks, the literature review points to areas where SMEs can benefit from deeper insights into premium positioning and client loyalty. The next chapter outlines the methodology for the single-case study of Banham Security, including how secondary data was gathered and </w:t>
      </w:r>
      <w:r w:rsidRPr="003477F2">
        <w:t>analysed</w:t>
      </w:r>
      <w:r w:rsidRPr="003477F2">
        <w:t>.</w:t>
      </w:r>
    </w:p>
    <w:p w14:paraId="156C6689" w14:textId="41C31BB8" w:rsidR="00D06A96" w:rsidRPr="00AE0986" w:rsidRDefault="00F76222" w:rsidP="00F76222">
      <w:pPr>
        <w:rPr>
          <w:rFonts w:ascii="Calibri" w:hAnsi="Calibri" w:cs="Calibri"/>
        </w:rPr>
      </w:pPr>
      <w:r w:rsidRPr="00AE0986">
        <w:rPr>
          <w:rFonts w:ascii="Calibri" w:hAnsi="Calibri" w:cs="Calibri"/>
        </w:rPr>
        <w:t xml:space="preserve">     Moving forward, Chapter </w:t>
      </w:r>
      <w:r w:rsidR="00400E5B" w:rsidRPr="00AE0986">
        <w:rPr>
          <w:rFonts w:ascii="Calibri" w:hAnsi="Calibri" w:cs="Calibri"/>
        </w:rPr>
        <w:t>3</w:t>
      </w:r>
      <w:r w:rsidRPr="00AE0986">
        <w:rPr>
          <w:rFonts w:ascii="Calibri" w:hAnsi="Calibri" w:cs="Calibri"/>
        </w:rPr>
        <w:t xml:space="preserve"> will detail the qualitative research design that builds on these identified gaps (Biggam, 2018; Creswell, 2014), ensuring a direct link between the literature’s theoretical insights (Carson, 2005; O’Dwyer, Gilmore, &amp; Carson, 2009) and the practical methods for data collection (Yin, 2014). In doing so, this dissertation aims to provide actionable recommendations for both Banham Security and other UK-based SMEs seeking to excel in premium, trust-dependent industries (Gilmore, Gallagher, &amp; Henry, 2007).</w:t>
      </w:r>
    </w:p>
    <w:p w14:paraId="49DB274F" w14:textId="77777777" w:rsidR="00400E5B" w:rsidRPr="00AE0986" w:rsidRDefault="00400E5B" w:rsidP="00F76222">
      <w:pPr>
        <w:rPr>
          <w:rFonts w:ascii="Calibri" w:hAnsi="Calibri" w:cs="Calibri"/>
        </w:rPr>
      </w:pPr>
    </w:p>
    <w:p w14:paraId="78FA0578" w14:textId="5ACA1DB1" w:rsidR="00062407" w:rsidRPr="00AE0986" w:rsidRDefault="00062407" w:rsidP="00DE1AF5">
      <w:pPr>
        <w:pStyle w:val="Heading1"/>
      </w:pPr>
      <w:bookmarkStart w:id="30" w:name="_Toc194611008"/>
      <w:bookmarkStart w:id="31" w:name="_Toc194645853"/>
      <w:r w:rsidRPr="00AE0986">
        <w:t>3: Research Methodology</w:t>
      </w:r>
      <w:bookmarkEnd w:id="30"/>
      <w:bookmarkEnd w:id="31"/>
      <w:r w:rsidRPr="00AE0986">
        <w:t xml:space="preserve"> </w:t>
      </w:r>
    </w:p>
    <w:p w14:paraId="2AB0C18F" w14:textId="77777777" w:rsidR="00062407" w:rsidRPr="00AE0986" w:rsidRDefault="00062407" w:rsidP="00062407">
      <w:pPr>
        <w:rPr>
          <w:rFonts w:ascii="Calibri" w:hAnsi="Calibri" w:cs="Calibri"/>
        </w:rPr>
      </w:pPr>
    </w:p>
    <w:p w14:paraId="59FE5341" w14:textId="77777777" w:rsidR="00062407" w:rsidRPr="00AE0986" w:rsidRDefault="00062407" w:rsidP="00DE1AF5">
      <w:pPr>
        <w:pStyle w:val="Heading2"/>
      </w:pPr>
      <w:bookmarkStart w:id="32" w:name="_Toc194611009"/>
      <w:bookmarkStart w:id="33" w:name="_Toc194645854"/>
      <w:r w:rsidRPr="00AE0986">
        <w:t>3.1 Introduction</w:t>
      </w:r>
      <w:bookmarkEnd w:id="32"/>
      <w:bookmarkEnd w:id="33"/>
    </w:p>
    <w:p w14:paraId="0CCCC952" w14:textId="26A47175"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This chapter describes a research methodology that employs both qualitative and quantitative secondary data to investigate Banham Security’s marketing strategies as a UK-based SME in the premium security sector. The design responds to the need for an in-depth understanding of how Banham balances heritage-based branding, relationship marketing, and premium service offerings within a competitive marketplace. The approach remains a single-case study, yet it integrates multiple secondary data sources (such as public financials, industry reports, and corporate documents) to enrich the analysis. Because no primary data collection or interviews will be conducted, the study relies exclusively on archival and publicly available sources to shed light on Banham’s positioning and performance.</w:t>
      </w:r>
    </w:p>
    <w:p w14:paraId="27540710" w14:textId="77777777" w:rsidR="00062407" w:rsidRPr="00AE0986" w:rsidRDefault="00062407" w:rsidP="00DE1AF5">
      <w:pPr>
        <w:pStyle w:val="Heading2"/>
      </w:pPr>
    </w:p>
    <w:p w14:paraId="5D9FB419" w14:textId="77777777" w:rsidR="00062407" w:rsidRPr="00AE0986" w:rsidRDefault="00062407" w:rsidP="00DE1AF5">
      <w:pPr>
        <w:pStyle w:val="Heading2"/>
        <w:rPr>
          <w:sz w:val="28"/>
          <w:szCs w:val="28"/>
        </w:rPr>
      </w:pPr>
      <w:bookmarkStart w:id="34" w:name="_Toc194611010"/>
      <w:bookmarkStart w:id="35" w:name="_Toc194645855"/>
      <w:r w:rsidRPr="00AE0986">
        <w:rPr>
          <w:sz w:val="28"/>
          <w:szCs w:val="28"/>
        </w:rPr>
        <w:t>3.2 Research Philosophy and Approach</w:t>
      </w:r>
      <w:bookmarkEnd w:id="34"/>
      <w:bookmarkEnd w:id="35"/>
    </w:p>
    <w:p w14:paraId="52CD0144" w14:textId="124B8FEA"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 xml:space="preserve">The study adopts a pragmatic stance by combining positivist-leaning quantitative analyses of publicly available metrics with interpretive qualitative insights drawn from textual and archival materials. This reflects the need to test established theoretical frameworks, while also acknowledging the importance of context-specific details that illuminate Banham’s brand heritage, </w:t>
      </w:r>
      <w:r w:rsidR="00062407" w:rsidRPr="00AE0986">
        <w:rPr>
          <w:rFonts w:ascii="Calibri" w:hAnsi="Calibri" w:cs="Calibri"/>
        </w:rPr>
        <w:lastRenderedPageBreak/>
        <w:t>trust-building practices, and competitive differentiation. The approach remains primarily deductive: Resource-Based View, Transaction Cost Economics, and Porter’s Competitive Advantage guide the hypotheses that Banham’s intangible resources, trust-based relationships, and differentiation strategies confer a defensible competitive advantage. However, interpretive elements are included to account for how brand narratives, heritage, and exclusivity are communicated in Banham’s documents, websites, and press releases.</w:t>
      </w:r>
    </w:p>
    <w:p w14:paraId="1DB673E8" w14:textId="77777777" w:rsidR="00062407" w:rsidRPr="00AE0986" w:rsidRDefault="00062407" w:rsidP="00062407">
      <w:pPr>
        <w:rPr>
          <w:rFonts w:ascii="Calibri" w:hAnsi="Calibri" w:cs="Calibri"/>
        </w:rPr>
      </w:pPr>
    </w:p>
    <w:p w14:paraId="7B895BD3" w14:textId="77777777" w:rsidR="00062407" w:rsidRPr="00AE0986" w:rsidRDefault="00062407" w:rsidP="00DE1AF5">
      <w:pPr>
        <w:pStyle w:val="Heading2"/>
      </w:pPr>
      <w:bookmarkStart w:id="36" w:name="_Toc194611011"/>
      <w:bookmarkStart w:id="37" w:name="_Toc194645856"/>
      <w:r w:rsidRPr="00AE0986">
        <w:t>3.3 Research Design</w:t>
      </w:r>
      <w:bookmarkEnd w:id="36"/>
      <w:bookmarkEnd w:id="37"/>
    </w:p>
    <w:p w14:paraId="5F94B7F8" w14:textId="2975DB77"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 xml:space="preserve">The single-case study format offers a thorough examination of Banham Security’s strategies, drawing on publicly available quantitative and qualitative datasets. While single-case research limits external generalizability, it supplies substantial, context-specific insights into a premium niche. Banham Security is uniquely positioned as a long-established, family-owned brand catering to an upscale client base, making it a suitable case through which to explore how trust, brand heritage, and premium service offerings intersect in the security industry. The design classifies the available data into two categories: quantitative secondary data (such as financial performance figures or market share </w:t>
      </w:r>
      <w:r w:rsidR="00062407" w:rsidRPr="00CD1D2C">
        <w:t>estimates from sources like IBISWorld, Mintel, or Statista) and qualitative secondary data (such as corporate websites, press</w:t>
      </w:r>
      <w:r w:rsidR="00062407" w:rsidRPr="00AE0986">
        <w:rPr>
          <w:rFonts w:ascii="Calibri" w:hAnsi="Calibri" w:cs="Calibri"/>
        </w:rPr>
        <w:t xml:space="preserve"> releases, historical archives, and industry analyses discussing Banham’s market role).</w:t>
      </w:r>
    </w:p>
    <w:p w14:paraId="67628AEB" w14:textId="77777777" w:rsidR="00062407" w:rsidRPr="00AE0986" w:rsidRDefault="00062407" w:rsidP="00DE1AF5">
      <w:pPr>
        <w:pStyle w:val="Heading2"/>
      </w:pPr>
    </w:p>
    <w:p w14:paraId="4A7853CE" w14:textId="77777777" w:rsidR="00062407" w:rsidRPr="00AE0986" w:rsidRDefault="00062407" w:rsidP="00DE1AF5">
      <w:pPr>
        <w:pStyle w:val="Heading2"/>
        <w:rPr>
          <w:sz w:val="28"/>
          <w:szCs w:val="28"/>
        </w:rPr>
      </w:pPr>
      <w:bookmarkStart w:id="38" w:name="_Toc194611012"/>
      <w:bookmarkStart w:id="39" w:name="_Toc194645857"/>
      <w:r w:rsidRPr="00AE0986">
        <w:rPr>
          <w:sz w:val="28"/>
          <w:szCs w:val="28"/>
        </w:rPr>
        <w:t>3.4 Data Collection Methods</w:t>
      </w:r>
      <w:bookmarkEnd w:id="38"/>
      <w:bookmarkEnd w:id="39"/>
    </w:p>
    <w:p w14:paraId="0533D809" w14:textId="1420AD44"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Data are drawn exclusively from secondary sources. Quantitative data consist of publicly available financial statements, revenue figures, marketing expenditures, and market analyses that profile Banham’s size, clientele, pricing structure, or competitive positioning. In parallel, qualitative data include Banham’s press releases, marketing brochures, website content, and any third-party commentaries or case studies that discuss its brand heritage, trust-building practices, or differentiation. This combination allows for a mixed-methods perspective without collecting new, first-hand data, ensuring that the study remains feasible and ethical in the absence of participant involvement.</w:t>
      </w:r>
    </w:p>
    <w:p w14:paraId="30F38EB6" w14:textId="77777777" w:rsidR="00062407" w:rsidRPr="00AE0986" w:rsidRDefault="00062407" w:rsidP="00062407">
      <w:pPr>
        <w:rPr>
          <w:rFonts w:ascii="Calibri" w:hAnsi="Calibri" w:cs="Calibri"/>
        </w:rPr>
      </w:pPr>
    </w:p>
    <w:p w14:paraId="0AB6B3DD" w14:textId="77777777" w:rsidR="00062407" w:rsidRPr="00AE0986" w:rsidRDefault="00062407" w:rsidP="00DE1AF5">
      <w:pPr>
        <w:pStyle w:val="Heading2"/>
      </w:pPr>
      <w:bookmarkStart w:id="40" w:name="_Toc194611013"/>
      <w:bookmarkStart w:id="41" w:name="_Toc194645858"/>
      <w:r w:rsidRPr="00AE0986">
        <w:t>3.5 Data Analysis</w:t>
      </w:r>
      <w:bookmarkEnd w:id="40"/>
      <w:bookmarkEnd w:id="41"/>
    </w:p>
    <w:p w14:paraId="1E1ECD4D" w14:textId="678E0C0B"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 xml:space="preserve">The quantitative analysis component involves examining any numeric indicators that reveal Banham’s competitive position. Descriptive statistics or trend analyses may be used to compare Banham’s growth, market share, or pricing approach with relevant industry benchmarks. Where detailed financial metrics are publicly accessible, these are evaluated </w:t>
      </w:r>
      <w:r w:rsidR="00DE1AF5" w:rsidRPr="00AE0986">
        <w:rPr>
          <w:rFonts w:ascii="Calibri" w:hAnsi="Calibri" w:cs="Calibri"/>
        </w:rPr>
        <w:t>considering</w:t>
      </w:r>
      <w:r w:rsidR="00062407" w:rsidRPr="00AE0986">
        <w:rPr>
          <w:rFonts w:ascii="Calibri" w:hAnsi="Calibri" w:cs="Calibri"/>
        </w:rPr>
        <w:t xml:space="preserve"> the predictions offered by Resource-Based View, Transaction Cost Economics, and Porter’s model of Competitive Advantage. The qualitative analysis applies a form of thematic analysis to textual sources. Central documents, including corporate communications and industry articles, are read carefully to identify salient themes relating to Banham’s brand heritage, trust-based marketing, and technological integration. References to how Banham differentiates itself or utilizes intangible resources are then interpreted with reference to the study’s theoretical frameworks. Linking these thematic insights with the quantitative indicators produces a triangulated interpretation of Banham’s strategic effectiveness and enduring market presence.</w:t>
      </w:r>
    </w:p>
    <w:p w14:paraId="1EB6B64D" w14:textId="77777777" w:rsidR="00062407" w:rsidRPr="00AE0986" w:rsidRDefault="00062407" w:rsidP="00062407">
      <w:pPr>
        <w:rPr>
          <w:rFonts w:ascii="Calibri" w:hAnsi="Calibri" w:cs="Calibri"/>
        </w:rPr>
      </w:pPr>
    </w:p>
    <w:p w14:paraId="627C6BB5" w14:textId="77777777" w:rsidR="00062407" w:rsidRPr="00AE0986" w:rsidRDefault="00062407" w:rsidP="00DE1AF5">
      <w:pPr>
        <w:pStyle w:val="Heading2"/>
      </w:pPr>
      <w:bookmarkStart w:id="42" w:name="_Toc194611014"/>
      <w:bookmarkStart w:id="43" w:name="_Toc194645859"/>
      <w:r w:rsidRPr="00AE0986">
        <w:lastRenderedPageBreak/>
        <w:t>3.6 Ethical Considerations</w:t>
      </w:r>
      <w:bookmarkEnd w:id="42"/>
      <w:bookmarkEnd w:id="43"/>
    </w:p>
    <w:p w14:paraId="5A3CE062" w14:textId="43639F09"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Because only publicly available data are used, there are no direct participants and no need for interviews or survey-based recruitment. Ethical concerns centre on ensuring the integrity and accuracy of data usage. Citations to external sources, such as financial databases and industry reports, are provided to maintain transparency, and the study does not collect or store sensitive personal information. Issues of confidentiality do not arise given that the sources are published and widely accessible. These measures align with responsible research practice, requiring no further permissions from human subject’s review boards.</w:t>
      </w:r>
    </w:p>
    <w:p w14:paraId="6C790370" w14:textId="77777777" w:rsidR="00062407" w:rsidRPr="00AE0986" w:rsidRDefault="00062407" w:rsidP="00062407">
      <w:pPr>
        <w:rPr>
          <w:rFonts w:ascii="Calibri" w:hAnsi="Calibri" w:cs="Calibri"/>
        </w:rPr>
      </w:pPr>
    </w:p>
    <w:p w14:paraId="7985D8D8" w14:textId="656D5446" w:rsidR="00062407" w:rsidRPr="00AE0986" w:rsidRDefault="00062407" w:rsidP="00DE1AF5">
      <w:pPr>
        <w:pStyle w:val="Heading2"/>
      </w:pPr>
      <w:bookmarkStart w:id="44" w:name="_Toc194611015"/>
      <w:bookmarkStart w:id="45" w:name="_Toc194645860"/>
      <w:r w:rsidRPr="00AE0986">
        <w:t>3.7 Limitations</w:t>
      </w:r>
      <w:bookmarkEnd w:id="44"/>
      <w:bookmarkEnd w:id="45"/>
    </w:p>
    <w:p w14:paraId="1EDCCBBC" w14:textId="41542A75" w:rsidR="00062407"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 xml:space="preserve">Focusing on a single firm may affect the generalizability of the findings to other SMEs or different industries. </w:t>
      </w:r>
      <w:proofErr w:type="gramStart"/>
      <w:r w:rsidR="00062407" w:rsidRPr="00AE0986">
        <w:rPr>
          <w:rFonts w:ascii="Calibri" w:hAnsi="Calibri" w:cs="Calibri"/>
        </w:rPr>
        <w:t>Despite employing multiple types of secondary data, there</w:t>
      </w:r>
      <w:proofErr w:type="gramEnd"/>
      <w:r w:rsidR="00062407" w:rsidRPr="00AE0986">
        <w:rPr>
          <w:rFonts w:ascii="Calibri" w:hAnsi="Calibri" w:cs="Calibri"/>
        </w:rPr>
        <w:t xml:space="preserve"> remains a possibility of incomplete or outdated information if Banham has not publicly disclosed certain strategic or financial details. Since no new interviews or surveys are conducted, the qualitative analysis must rely solely on what Banham and external commentators have documented, which may introduce promotional bias if company-authored materials are inherently favourable. Additionally, shifts in the security sector, driven by rapid technological and regulatory changes, could modify market conditions faster than publicly available records can capture.</w:t>
      </w:r>
    </w:p>
    <w:p w14:paraId="1780A91E" w14:textId="77777777" w:rsidR="00062407" w:rsidRPr="00AE0986" w:rsidRDefault="00062407" w:rsidP="00062407">
      <w:pPr>
        <w:rPr>
          <w:rFonts w:ascii="Calibri" w:hAnsi="Calibri" w:cs="Calibri"/>
        </w:rPr>
      </w:pPr>
    </w:p>
    <w:p w14:paraId="3DE491C1" w14:textId="77777777" w:rsidR="00062407" w:rsidRPr="00AE0986" w:rsidRDefault="00062407" w:rsidP="00DE1AF5">
      <w:pPr>
        <w:pStyle w:val="Heading2"/>
      </w:pPr>
      <w:bookmarkStart w:id="46" w:name="_Toc194611016"/>
      <w:bookmarkStart w:id="47" w:name="_Toc194645861"/>
      <w:r w:rsidRPr="00AE0986">
        <w:t>3.8 Chapter Summary</w:t>
      </w:r>
      <w:bookmarkEnd w:id="46"/>
      <w:bookmarkEnd w:id="47"/>
    </w:p>
    <w:p w14:paraId="34EC4A79" w14:textId="0BC94673" w:rsidR="00400E5B" w:rsidRPr="00AE0986" w:rsidRDefault="00AE0986" w:rsidP="00062407">
      <w:pPr>
        <w:rPr>
          <w:rFonts w:ascii="Calibri" w:hAnsi="Calibri" w:cs="Calibri"/>
        </w:rPr>
      </w:pPr>
      <w:r>
        <w:rPr>
          <w:rFonts w:ascii="Calibri" w:hAnsi="Calibri" w:cs="Calibri"/>
        </w:rPr>
        <w:t xml:space="preserve">     </w:t>
      </w:r>
      <w:r w:rsidR="00062407" w:rsidRPr="00AE0986">
        <w:rPr>
          <w:rFonts w:ascii="Calibri" w:hAnsi="Calibri" w:cs="Calibri"/>
        </w:rPr>
        <w:t xml:space="preserve">This chapter has explained the methodology, which uses a single-case study of Banham Security that combines quantitative and qualitative secondary data to explore the firm’s resource-based strengths, trust-building initiatives, and competitive positioning. By applying the frameworks of Resource-Based View, Transaction Cost Economics, and Porter’s Competitive Advantage to publicly available data, the study offers both empirical breadth and contextual depth. The absence of primary data collection means the analysis will rest on triangulating varied secondary sources, ensuring that Banham’s marketing and organizational strategies are understood </w:t>
      </w:r>
      <w:proofErr w:type="gramStart"/>
      <w:r w:rsidR="00062407" w:rsidRPr="00AE0986">
        <w:rPr>
          <w:rFonts w:ascii="Calibri" w:hAnsi="Calibri" w:cs="Calibri"/>
        </w:rPr>
        <w:t>in light of</w:t>
      </w:r>
      <w:proofErr w:type="gramEnd"/>
      <w:r w:rsidR="00062407" w:rsidRPr="00AE0986">
        <w:rPr>
          <w:rFonts w:ascii="Calibri" w:hAnsi="Calibri" w:cs="Calibri"/>
        </w:rPr>
        <w:t xml:space="preserve"> broader industry dynamics, theoretical expectations, and rich qualitative insights. The next chapter operationalizes these methods by summarizing the key findings derived from the financial indicators, textual analyses, and theoretical comparisons relevant to Banham’s unique position in the premium security market.</w:t>
      </w:r>
    </w:p>
    <w:p w14:paraId="16547EFF" w14:textId="77777777" w:rsidR="007F5240" w:rsidRPr="00AE0986" w:rsidRDefault="007F5240" w:rsidP="00062407">
      <w:pPr>
        <w:rPr>
          <w:rFonts w:ascii="Calibri" w:hAnsi="Calibri" w:cs="Calibri"/>
        </w:rPr>
      </w:pPr>
    </w:p>
    <w:p w14:paraId="7A76D4A9" w14:textId="77777777" w:rsidR="00AE0986" w:rsidRDefault="00AE0986" w:rsidP="007F5240">
      <w:pPr>
        <w:rPr>
          <w:rFonts w:ascii="Calibri" w:hAnsi="Calibri" w:cs="Calibri"/>
        </w:rPr>
      </w:pPr>
    </w:p>
    <w:p w14:paraId="6542472A" w14:textId="77777777" w:rsidR="00DE1AF5" w:rsidRDefault="00DE1AF5" w:rsidP="00406036">
      <w:pPr>
        <w:ind w:left="426"/>
        <w:rPr>
          <w:sz w:val="28"/>
          <w:szCs w:val="28"/>
        </w:rPr>
      </w:pPr>
    </w:p>
    <w:p w14:paraId="35F6E734" w14:textId="77777777" w:rsidR="00DE1AF5" w:rsidRDefault="00DE1AF5" w:rsidP="00406036">
      <w:pPr>
        <w:ind w:left="426"/>
        <w:rPr>
          <w:sz w:val="28"/>
          <w:szCs w:val="28"/>
        </w:rPr>
      </w:pPr>
    </w:p>
    <w:p w14:paraId="0377DE53" w14:textId="77777777" w:rsidR="00DE1AF5" w:rsidRDefault="00DE1AF5" w:rsidP="00406036">
      <w:pPr>
        <w:ind w:left="426"/>
        <w:rPr>
          <w:sz w:val="28"/>
          <w:szCs w:val="28"/>
        </w:rPr>
      </w:pPr>
    </w:p>
    <w:p w14:paraId="64979B2B" w14:textId="77777777" w:rsidR="00DE1AF5" w:rsidRDefault="00DE1AF5" w:rsidP="003477F2">
      <w:pPr>
        <w:rPr>
          <w:sz w:val="28"/>
          <w:szCs w:val="28"/>
        </w:rPr>
      </w:pPr>
    </w:p>
    <w:p w14:paraId="5EE50E11" w14:textId="77777777" w:rsidR="00DE1AF5" w:rsidRDefault="00DE1AF5" w:rsidP="00406036">
      <w:pPr>
        <w:ind w:left="426"/>
        <w:rPr>
          <w:sz w:val="28"/>
          <w:szCs w:val="28"/>
        </w:rPr>
      </w:pPr>
    </w:p>
    <w:p w14:paraId="4BF6C916" w14:textId="77777777" w:rsidR="00DE1AF5" w:rsidRDefault="00DE1AF5" w:rsidP="00406036">
      <w:pPr>
        <w:ind w:left="426"/>
        <w:rPr>
          <w:sz w:val="28"/>
          <w:szCs w:val="28"/>
        </w:rPr>
      </w:pPr>
    </w:p>
    <w:p w14:paraId="4964AC98" w14:textId="145996B1" w:rsidR="00406036" w:rsidRPr="00406036" w:rsidRDefault="00406036" w:rsidP="00DE1AF5">
      <w:pPr>
        <w:pStyle w:val="Heading1"/>
      </w:pPr>
      <w:bookmarkStart w:id="48" w:name="_Toc194611017"/>
      <w:bookmarkStart w:id="49" w:name="_Toc194645862"/>
      <w:r>
        <w:lastRenderedPageBreak/>
        <w:t>4.</w:t>
      </w:r>
      <w:r w:rsidRPr="00406036">
        <w:t>Data analysis and discussion</w:t>
      </w:r>
      <w:bookmarkEnd w:id="48"/>
      <w:bookmarkEnd w:id="49"/>
    </w:p>
    <w:p w14:paraId="1C822F7E" w14:textId="77777777" w:rsidR="00406036" w:rsidRDefault="00406036" w:rsidP="00DE1AF5">
      <w:pPr>
        <w:pStyle w:val="Heading2"/>
      </w:pPr>
    </w:p>
    <w:p w14:paraId="7987150D" w14:textId="397D71C4" w:rsidR="007F5240" w:rsidRPr="00406036" w:rsidRDefault="007F5240" w:rsidP="00DE1AF5">
      <w:pPr>
        <w:pStyle w:val="Heading2"/>
        <w:rPr>
          <w:sz w:val="28"/>
          <w:szCs w:val="28"/>
        </w:rPr>
      </w:pPr>
      <w:bookmarkStart w:id="50" w:name="_Toc194611018"/>
      <w:bookmarkStart w:id="51" w:name="_Toc194645863"/>
      <w:r w:rsidRPr="00406036">
        <w:rPr>
          <w:sz w:val="28"/>
          <w:szCs w:val="28"/>
        </w:rPr>
        <w:t>4.1 Introduction</w:t>
      </w:r>
      <w:bookmarkEnd w:id="50"/>
      <w:bookmarkEnd w:id="51"/>
    </w:p>
    <w:p w14:paraId="4E3F89BC" w14:textId="7D38EDE1"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This chapter presents and interprets the findings derived exclusively from secondary data sources on Banham Security. It is organized around themes that emerged from the literature and from the company’s publicly available documents, website content, and promotional materials. The analysis draws on the Resource-Based View, Transaction Cost Economics, and Porter’s Competitive Advantage theory to address the study’s objectives, which include identifying challenges facing UK-based SMEs in the security industry, assessing Banham Security’s effectiveness in targeting a high-end market, and suggesting strategic marketing improvements for SMEs seeking premium positioning.</w:t>
      </w:r>
    </w:p>
    <w:p w14:paraId="7693CE6E" w14:textId="77777777" w:rsidR="007F5240" w:rsidRPr="00AE0986" w:rsidRDefault="007F5240" w:rsidP="007F5240">
      <w:pPr>
        <w:rPr>
          <w:rFonts w:ascii="Calibri" w:hAnsi="Calibri" w:cs="Calibri"/>
        </w:rPr>
      </w:pPr>
    </w:p>
    <w:p w14:paraId="1F6349B3" w14:textId="77777777" w:rsidR="007F5240" w:rsidRPr="00406036" w:rsidRDefault="007F5240" w:rsidP="00DE1AF5">
      <w:pPr>
        <w:pStyle w:val="Heading2"/>
      </w:pPr>
      <w:bookmarkStart w:id="52" w:name="_Toc194611019"/>
      <w:bookmarkStart w:id="53" w:name="_Toc194645864"/>
      <w:r w:rsidRPr="00406036">
        <w:t>4.2 Thematic Findings</w:t>
      </w:r>
      <w:bookmarkEnd w:id="52"/>
      <w:bookmarkEnd w:id="53"/>
    </w:p>
    <w:p w14:paraId="3F0F15B2" w14:textId="334877B6"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Heritage and brand reputation surfaced as a dominant theme in Banham’s marketing materials and official statements. Multiple references to the company’s establishment in 1926 highlight its long history, suggesting that Banham leverages a sense of authenticity and reliability to build trust with prospective clients. Emphasizing longevity in a security context appears consistent with the literature, which notes that SMEs often rely on heritage to differentiate themselves and justify premium pricing. Banham underscores its long-term expertise by highlighting a family legacy, thus addressing the trust deficit typical in the security sector. The consistent mention of “decades of experience” and “specialized knowledge” aligns with scholarship suggesting that heritage-based credentials enhance credibility among customers who regard security solutions as high-risk, intangible services.</w:t>
      </w:r>
    </w:p>
    <w:p w14:paraId="23CA134B" w14:textId="2F5869F0"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In addition to heritage messaging, Banham frequently conveys exclusivity and personalized service, referring to one-on-one consultations and home security audits. This focus resonates with the concept of relationship marketing and suggests that the company intends to attract affluent or premium clients who seek bespoke solutions. In promoting confidentiality and client trust, Banham’s materials reinforce the idea that stable, trust-based relationships can differentiate an SME from larger rivals with more general offerings. Although Banham’s social media visibility is comparatively modest, the firm’s website content appears carefully curated. References to AI-driven devices, IoT-enabled security systems, and smart-home integrations also illustrate a combined emphasis on tradition and modern technology. This dual approach responds to the challenge of remaining relevant to technology-aware consumers while preserving an image of longstanding expertise.</w:t>
      </w:r>
    </w:p>
    <w:p w14:paraId="77500432" w14:textId="48A9E98A"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Findings indicate that Banham devotes energy to building brand authority online through search engine optimization, producing informational content on security trends and the benefits of smart systems. Although its social media engagement is limited, content marketing nonetheless appears strategic, targeting niche segments that value innovation, exclusivity, and personalized service. These observations are consistent with studies on SME marketing constraints, which show that smaller firms often concentrate on cost-effective digital strategies rather than mass-media advertising.</w:t>
      </w:r>
    </w:p>
    <w:p w14:paraId="231AFFAF" w14:textId="77777777" w:rsidR="00406036" w:rsidRDefault="00406036" w:rsidP="007F5240">
      <w:pPr>
        <w:rPr>
          <w:rFonts w:ascii="Calibri" w:hAnsi="Calibri" w:cs="Calibri"/>
          <w:sz w:val="28"/>
          <w:szCs w:val="28"/>
        </w:rPr>
      </w:pPr>
    </w:p>
    <w:p w14:paraId="6429A0B4" w14:textId="2C06FCBF" w:rsidR="00406036" w:rsidRDefault="007F5240" w:rsidP="00DE1AF5">
      <w:pPr>
        <w:pStyle w:val="Heading2"/>
      </w:pPr>
      <w:bookmarkStart w:id="54" w:name="_Toc194611020"/>
      <w:bookmarkStart w:id="55" w:name="_Toc194645865"/>
      <w:r w:rsidRPr="00406036">
        <w:t>4.3 Findings in Relation to Research Objectives</w:t>
      </w:r>
      <w:bookmarkEnd w:id="54"/>
      <w:bookmarkEnd w:id="55"/>
      <w:r w:rsidRPr="00406036">
        <w:t xml:space="preserve"> </w:t>
      </w:r>
    </w:p>
    <w:p w14:paraId="1944059C" w14:textId="4659745F"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 xml:space="preserve">This chapter combines both qualitative (see Table 4.1) and quantitative insights (Figures 4.1 through 4.5) to evaluate Banham’s marketing strategies within the broader UK security sector. The analysis is structured around three main objectives: (1) identifying unique marketing challenges in </w:t>
      </w:r>
      <w:r w:rsidR="007F5240" w:rsidRPr="00AE0986">
        <w:rPr>
          <w:rFonts w:ascii="Calibri" w:hAnsi="Calibri" w:cs="Calibri"/>
        </w:rPr>
        <w:lastRenderedPageBreak/>
        <w:t>the UK security industry, (2) assessing Banham’s effectiveness in addressing these challenges, and (3) formulating recommendations for similar SMEs.</w:t>
      </w:r>
    </w:p>
    <w:p w14:paraId="6197EC6A" w14:textId="77777777" w:rsidR="007F5240" w:rsidRPr="00AE0986" w:rsidRDefault="007F5240" w:rsidP="007F5240">
      <w:pPr>
        <w:rPr>
          <w:rFonts w:ascii="Calibri" w:hAnsi="Calibri" w:cs="Calibri"/>
        </w:rPr>
      </w:pPr>
    </w:p>
    <w:p w14:paraId="1C5587EF" w14:textId="04829B62" w:rsidR="007F5240" w:rsidRDefault="007F5240" w:rsidP="009C4C35">
      <w:r w:rsidRPr="00AE0986">
        <w:t>Table 4.1: Sample of Qualitative Data Sources and Emergent Themes</w:t>
      </w:r>
    </w:p>
    <w:p w14:paraId="2FCB3544" w14:textId="517B8DD8" w:rsidR="004D07BF" w:rsidRDefault="00CD1D2C" w:rsidP="00CD1D2C">
      <w:r w:rsidRPr="00CD1D2C">
        <w:rPr>
          <w:noProof/>
        </w:rPr>
        <w:drawing>
          <wp:inline distT="0" distB="0" distL="0" distR="0" wp14:anchorId="3F1BA29A" wp14:editId="21ABA8E8">
            <wp:extent cx="5731510" cy="2034540"/>
            <wp:effectExtent l="0" t="0" r="2540" b="3810"/>
            <wp:docPr id="1580202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02403" name="Picture 1" descr="A screenshot of a computer&#10;&#10;Description automatically generated"/>
                    <pic:cNvPicPr/>
                  </pic:nvPicPr>
                  <pic:blipFill>
                    <a:blip r:embed="rId8"/>
                    <a:stretch>
                      <a:fillRect/>
                    </a:stretch>
                  </pic:blipFill>
                  <pic:spPr>
                    <a:xfrm>
                      <a:off x="0" y="0"/>
                      <a:ext cx="5731510" cy="2034540"/>
                    </a:xfrm>
                    <a:prstGeom prst="rect">
                      <a:avLst/>
                    </a:prstGeom>
                  </pic:spPr>
                </pic:pic>
              </a:graphicData>
            </a:graphic>
          </wp:inline>
        </w:drawing>
      </w:r>
    </w:p>
    <w:p w14:paraId="184CA51B" w14:textId="2D0810FB" w:rsidR="007F5240" w:rsidRPr="00AE0986" w:rsidRDefault="004D07BF" w:rsidP="004D07BF">
      <w:pPr>
        <w:pStyle w:val="Caption"/>
        <w:rPr>
          <w:rFonts w:ascii="Calibri" w:hAnsi="Calibri" w:cs="Calibri"/>
        </w:rPr>
      </w:pPr>
      <w:r>
        <w:t xml:space="preserve">Table 4.1: Sample of Qualitative Data </w:t>
      </w:r>
    </w:p>
    <w:p w14:paraId="4C8E1AEF" w14:textId="77777777" w:rsidR="00406036" w:rsidRDefault="00406036" w:rsidP="007F5240">
      <w:pPr>
        <w:rPr>
          <w:rFonts w:ascii="Calibri" w:hAnsi="Calibri" w:cs="Calibri"/>
        </w:rPr>
      </w:pPr>
    </w:p>
    <w:p w14:paraId="791066BC" w14:textId="3D5FD9D2"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The sources in Table 4.1 converge on several recurring themes crucial for SME security firms. One consistent finding involves limited resources, which drives the need for creative marketing approaches. Another significant theme is the power of heritage-based or exclusivity-based brand positioning in high-value markets. Authors also highlight the importance of trust-building in a high-risk purchase context, along with the growing role of technology integration (for example, IoT-enabled systems) as a competitive differentiator. These themes underpin Banham’s own marketing decisions, particularly its heritage emphasis and focus on premium, personalized services.</w:t>
      </w:r>
    </w:p>
    <w:p w14:paraId="0489B3B8" w14:textId="77777777" w:rsidR="00406036" w:rsidRDefault="00406036" w:rsidP="007F5240">
      <w:pPr>
        <w:rPr>
          <w:rFonts w:ascii="Calibri" w:hAnsi="Calibri" w:cs="Calibri"/>
          <w:sz w:val="28"/>
          <w:szCs w:val="28"/>
        </w:rPr>
      </w:pPr>
    </w:p>
    <w:p w14:paraId="5A85BE54" w14:textId="7AB81EFC" w:rsidR="007F5240" w:rsidRPr="00406036" w:rsidRDefault="007F5240" w:rsidP="00DE1AF5">
      <w:pPr>
        <w:pStyle w:val="Heading2"/>
      </w:pPr>
      <w:bookmarkStart w:id="56" w:name="_Toc194611021"/>
      <w:bookmarkStart w:id="57" w:name="_Toc194645866"/>
      <w:r w:rsidRPr="00406036">
        <w:t>4.3.1 Objective 1: Unique Marketing Challenges in the UK Security Industry</w:t>
      </w:r>
      <w:bookmarkEnd w:id="56"/>
      <w:bookmarkEnd w:id="57"/>
    </w:p>
    <w:p w14:paraId="4FDB0937" w14:textId="6717DE4F"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A key challenge for SMEs in the UK security sector involves budgetary constraints. Since Banham is an SME, it must compete with large, resource-rich corporations such as ADT or G4S and therefore relies extensively on cost-effective digital channels and personalized relationship marketing (Smith &amp; Williams, 2021). This approach aligns with Gilmore, Carson, and Grant (2001), who find that smaller enterprises must be innovative to stand out.</w:t>
      </w:r>
    </w:p>
    <w:p w14:paraId="35C73477" w14:textId="4CE86867"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 xml:space="preserve">Trust is another critical issue. Security solutions carry heightened risk, requiring buyers to feel confident in a provider’s reliability. Banham depends on its long heritage, dating back to 1926, to address these concerns, reflecting </w:t>
      </w:r>
      <w:proofErr w:type="spellStart"/>
      <w:r w:rsidR="007F5240" w:rsidRPr="00AE0986">
        <w:rPr>
          <w:rFonts w:ascii="Calibri" w:hAnsi="Calibri" w:cs="Calibri"/>
        </w:rPr>
        <w:t>Kapferer</w:t>
      </w:r>
      <w:proofErr w:type="spellEnd"/>
      <w:r w:rsidR="007F5240" w:rsidRPr="00AE0986">
        <w:rPr>
          <w:rFonts w:ascii="Calibri" w:hAnsi="Calibri" w:cs="Calibri"/>
        </w:rPr>
        <w:t xml:space="preserve"> and Bastien’s (2012) observations that heritage branding can build consumer confidence. Emphasis on personalized, relationship-focused interactions also supports Jones’s (2019) assertion that trust is a principal obstacle for SME security firms.</w:t>
      </w:r>
    </w:p>
    <w:p w14:paraId="36349970" w14:textId="77777777" w:rsidR="007F5240" w:rsidRPr="00AE0986" w:rsidRDefault="007F5240" w:rsidP="007F5240">
      <w:pPr>
        <w:rPr>
          <w:rFonts w:ascii="Calibri" w:hAnsi="Calibri" w:cs="Calibri"/>
        </w:rPr>
      </w:pPr>
    </w:p>
    <w:p w14:paraId="1AEF4039" w14:textId="77777777" w:rsidR="007F5240" w:rsidRPr="00AE0986" w:rsidRDefault="007F5240" w:rsidP="009C4C35">
      <w:r w:rsidRPr="00AE0986">
        <w:t>Figure 4.1: UK Security Sector Growth (2020–2024)</w:t>
      </w:r>
    </w:p>
    <w:p w14:paraId="1308DD3A" w14:textId="77777777" w:rsidR="009C4C35" w:rsidRDefault="007F5240" w:rsidP="009C4C35">
      <w:pPr>
        <w:keepNext/>
      </w:pPr>
      <w:r w:rsidRPr="00AE0986">
        <w:rPr>
          <w:rFonts w:ascii="Calibri" w:hAnsi="Calibri" w:cs="Calibri"/>
          <w:noProof/>
        </w:rPr>
        <w:lastRenderedPageBreak/>
        <w:drawing>
          <wp:inline distT="0" distB="0" distL="0" distR="0" wp14:anchorId="5CB0C373" wp14:editId="36F3D271">
            <wp:extent cx="4500000" cy="2775600"/>
            <wp:effectExtent l="0" t="0" r="0" b="5715"/>
            <wp:docPr id="1014772026" name="Picture 4" descr="A graph of a number of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772026" name="Picture 4" descr="A graph of a number of ba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00000" cy="2775600"/>
                    </a:xfrm>
                    <a:prstGeom prst="rect">
                      <a:avLst/>
                    </a:prstGeom>
                  </pic:spPr>
                </pic:pic>
              </a:graphicData>
            </a:graphic>
          </wp:inline>
        </w:drawing>
      </w:r>
    </w:p>
    <w:p w14:paraId="64C6B55A" w14:textId="587B7E57" w:rsidR="009C4C35" w:rsidRDefault="009C4C35" w:rsidP="009C4C35">
      <w:pPr>
        <w:pStyle w:val="Caption"/>
      </w:pPr>
      <w:r>
        <w:t xml:space="preserve">Figure 4.1: UK Security Sector Growth </w:t>
      </w:r>
    </w:p>
    <w:p w14:paraId="2046CC30" w14:textId="77777777" w:rsidR="007F5240" w:rsidRPr="00AE0986" w:rsidRDefault="007F5240" w:rsidP="007F5240">
      <w:pPr>
        <w:rPr>
          <w:rFonts w:ascii="Calibri" w:hAnsi="Calibri" w:cs="Calibri"/>
        </w:rPr>
      </w:pPr>
    </w:p>
    <w:p w14:paraId="5B0D5B02" w14:textId="478C410F" w:rsidR="00DE1AF5"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Figure 4.1 shows the steady expansion of the overall UK security market from 2020 to 2024, presented in GBP millions. This rise reflects growing consumer and commercial demand for security services and underscores the potential for SMEs like Banham to carve out a distinct position.</w:t>
      </w:r>
    </w:p>
    <w:p w14:paraId="5BEBF329" w14:textId="062A7D80" w:rsidR="007F5240" w:rsidRPr="00CD1D2C" w:rsidRDefault="007F5240" w:rsidP="007F5240">
      <w:r w:rsidRPr="00AE0986">
        <w:t>Figure 4.2: Approximate Market Share Distribution (UK Security Industry, 2024)</w:t>
      </w:r>
    </w:p>
    <w:p w14:paraId="04CF4370" w14:textId="77777777" w:rsidR="009C4C35" w:rsidRDefault="007F5240" w:rsidP="009C4C35">
      <w:pPr>
        <w:keepNext/>
      </w:pPr>
      <w:r w:rsidRPr="00AE0986">
        <w:rPr>
          <w:rFonts w:ascii="Calibri" w:hAnsi="Calibri" w:cs="Calibri"/>
          <w:noProof/>
        </w:rPr>
        <w:drawing>
          <wp:inline distT="0" distB="0" distL="0" distR="0" wp14:anchorId="3448A906" wp14:editId="42DCFF43">
            <wp:extent cx="4500000" cy="3628800"/>
            <wp:effectExtent l="0" t="0" r="0" b="0"/>
            <wp:docPr id="937709216" name="Picture 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09216" name="Picture 5" descr="A pie chart with different colored circl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00000" cy="3628800"/>
                    </a:xfrm>
                    <a:prstGeom prst="rect">
                      <a:avLst/>
                    </a:prstGeom>
                  </pic:spPr>
                </pic:pic>
              </a:graphicData>
            </a:graphic>
          </wp:inline>
        </w:drawing>
      </w:r>
    </w:p>
    <w:p w14:paraId="05DC4357" w14:textId="5BAAD1B8" w:rsidR="007F5240" w:rsidRPr="009C4C35" w:rsidRDefault="009C4C35" w:rsidP="009C4C35">
      <w:pPr>
        <w:pStyle w:val="Caption"/>
      </w:pPr>
      <w:r>
        <w:t xml:space="preserve">Figure 4.2: Approximate Market Share </w:t>
      </w:r>
    </w:p>
    <w:p w14:paraId="79B9DCFB" w14:textId="7CE54267"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 xml:space="preserve">Figure 4.2 illustrates the approximate 2024 market share of major security providers in the United Kingdom, including ADT, G4S, Securitas, and Chubb. Banham and other SMEs hold a smaller portion </w:t>
      </w:r>
      <w:r w:rsidR="007F5240" w:rsidRPr="00AE0986">
        <w:rPr>
          <w:rFonts w:ascii="Calibri" w:hAnsi="Calibri" w:cs="Calibri"/>
        </w:rPr>
        <w:lastRenderedPageBreak/>
        <w:t>of the market, underscoring the necessity of effective differentiation through heritage, technology, and focused relationship marketing.</w:t>
      </w:r>
    </w:p>
    <w:p w14:paraId="6A5F71DB" w14:textId="77777777" w:rsidR="007F5240" w:rsidRPr="00406036" w:rsidRDefault="007F5240" w:rsidP="007F5240">
      <w:pPr>
        <w:rPr>
          <w:rFonts w:ascii="Calibri" w:hAnsi="Calibri" w:cs="Calibri"/>
          <w:sz w:val="28"/>
          <w:szCs w:val="28"/>
        </w:rPr>
      </w:pPr>
    </w:p>
    <w:p w14:paraId="6A9FD551" w14:textId="77777777" w:rsidR="007F5240" w:rsidRPr="00406036" w:rsidRDefault="007F5240" w:rsidP="00DE1AF5">
      <w:pPr>
        <w:pStyle w:val="Heading2"/>
      </w:pPr>
      <w:bookmarkStart w:id="58" w:name="_Toc194611022"/>
      <w:bookmarkStart w:id="59" w:name="_Toc194645867"/>
      <w:r w:rsidRPr="00406036">
        <w:t>4.3.2 Objective 2: Effectiveness of Banham’s Marketing Strategies</w:t>
      </w:r>
      <w:bookmarkEnd w:id="58"/>
      <w:bookmarkEnd w:id="59"/>
    </w:p>
    <w:p w14:paraId="50A54CC1" w14:textId="5FBA5662"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Banham’s differentiation through heritage aligns with Porter’s (1985) theory, which stresses that distinguishing one’s brand from cost-driven rivals can secure a lasting competitive edge. Emphasizing its founding date of 1926 and highlighting exclusive solutions allow Banham to stand apart from more generalist security firms (Brooksbank, 1991).</w:t>
      </w:r>
    </w:p>
    <w:p w14:paraId="3E2FA067" w14:textId="0CDFAD65"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 xml:space="preserve">Loyalty through relationship marketing plays a similarly central role. Banham’s use of dedicated account managers, regular follow-ups, and proactive maintenance creates a trust-based relationship that lessens the appeal of switching (Williamson, 1981). This approach resonates with </w:t>
      </w:r>
      <w:proofErr w:type="spellStart"/>
      <w:r w:rsidR="007F5240" w:rsidRPr="00AE0986">
        <w:rPr>
          <w:rFonts w:ascii="Calibri" w:hAnsi="Calibri" w:cs="Calibri"/>
        </w:rPr>
        <w:t>Erramilli</w:t>
      </w:r>
      <w:proofErr w:type="spellEnd"/>
      <w:r w:rsidR="007F5240" w:rsidRPr="00AE0986">
        <w:rPr>
          <w:rFonts w:ascii="Calibri" w:hAnsi="Calibri" w:cs="Calibri"/>
        </w:rPr>
        <w:t xml:space="preserve"> and Rao (1993), who emphasize that trust and ongoing support reduce perceived risk in high-stakes sectors.</w:t>
      </w:r>
    </w:p>
    <w:p w14:paraId="058985B4" w14:textId="74739196"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Banham’s success in leveraging intangible resources, such as reputation and expertise, follows the Resource-Based View (Barney, 1991). By harnessing these hard-to-replicate assets, Banham compensates for the financial edge of larger competitors. Miller (1992) and Priem and Butler (2001) similarly contend that intangible assets can enable SMEs to remain competitive against bigger industry players.</w:t>
      </w:r>
    </w:p>
    <w:p w14:paraId="07DAEDFC" w14:textId="77777777" w:rsidR="007F5240" w:rsidRPr="00AE0986" w:rsidRDefault="007F5240" w:rsidP="007F5240">
      <w:pPr>
        <w:rPr>
          <w:rFonts w:ascii="Calibri" w:hAnsi="Calibri" w:cs="Calibri"/>
        </w:rPr>
      </w:pPr>
    </w:p>
    <w:p w14:paraId="74E89ABC" w14:textId="77777777" w:rsidR="007F5240" w:rsidRPr="00AE0986" w:rsidRDefault="007F5240" w:rsidP="009C4C35">
      <w:r w:rsidRPr="00AE0986">
        <w:t>Figure 4.3: Banham’s Marketing Expenditure Allocation (2020–2024)</w:t>
      </w:r>
    </w:p>
    <w:p w14:paraId="5D7A64A3" w14:textId="77777777" w:rsidR="009C4C35" w:rsidRDefault="007F5240" w:rsidP="009C4C35">
      <w:pPr>
        <w:keepNext/>
      </w:pPr>
      <w:r w:rsidRPr="00AE0986">
        <w:rPr>
          <w:rFonts w:ascii="Calibri" w:hAnsi="Calibri" w:cs="Calibri"/>
          <w:noProof/>
        </w:rPr>
        <w:drawing>
          <wp:inline distT="0" distB="0" distL="0" distR="0" wp14:anchorId="3F028928" wp14:editId="33397F63">
            <wp:extent cx="4500000" cy="2401200"/>
            <wp:effectExtent l="0" t="0" r="0" b="0"/>
            <wp:docPr id="593229316" name="Picture 6"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29316" name="Picture 6" descr="A pie chart with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00000" cy="2401200"/>
                    </a:xfrm>
                    <a:prstGeom prst="rect">
                      <a:avLst/>
                    </a:prstGeom>
                  </pic:spPr>
                </pic:pic>
              </a:graphicData>
            </a:graphic>
          </wp:inline>
        </w:drawing>
      </w:r>
    </w:p>
    <w:p w14:paraId="7C34F57C" w14:textId="2CFF4735" w:rsidR="009C4C35" w:rsidRDefault="009C4C35" w:rsidP="009C4C35">
      <w:pPr>
        <w:pStyle w:val="Caption"/>
      </w:pPr>
      <w:r>
        <w:t>Figure 4.3: Banham’s Marketing Expenditure</w:t>
      </w:r>
    </w:p>
    <w:p w14:paraId="7E913605" w14:textId="77777777" w:rsidR="007F5240" w:rsidRPr="00AE0986" w:rsidRDefault="007F5240" w:rsidP="007F5240">
      <w:pPr>
        <w:rPr>
          <w:rFonts w:ascii="Calibri" w:hAnsi="Calibri" w:cs="Calibri"/>
        </w:rPr>
      </w:pPr>
    </w:p>
    <w:p w14:paraId="5A030541" w14:textId="12D4B8DC"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Figure 4.3 shows Banham’s allocation of marketing resources between 2020 and 2024, reflecting a notable emphasis on digital channels, followed by relationship marketing and a smaller portion dedicated to mass media. This strategy aligns with the firm’s objective of optimizing limited budgets to maintain a premium brand image.</w:t>
      </w:r>
    </w:p>
    <w:p w14:paraId="65139241" w14:textId="77777777" w:rsidR="009C4C35" w:rsidRDefault="007F5240" w:rsidP="009C4C35">
      <w:pPr>
        <w:keepNext/>
      </w:pPr>
      <w:r w:rsidRPr="009C4C35">
        <w:lastRenderedPageBreak/>
        <w:t>Figure 4.4: Banham’s Customer R</w:t>
      </w:r>
      <w:r w:rsidR="00504BAF" w:rsidRPr="009C4C35">
        <w:t>etention</w:t>
      </w:r>
      <w:r w:rsidR="00406036" w:rsidRPr="00AE0986">
        <w:rPr>
          <w:rFonts w:ascii="Calibri" w:hAnsi="Calibri" w:cs="Calibri"/>
          <w:noProof/>
        </w:rPr>
        <w:drawing>
          <wp:inline distT="0" distB="0" distL="0" distR="0" wp14:anchorId="69E95769" wp14:editId="3FD8CED5">
            <wp:extent cx="4500000" cy="2538000"/>
            <wp:effectExtent l="0" t="0" r="0" b="0"/>
            <wp:docPr id="1604619201" name="Picture 7" descr="A graph with orang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619201" name="Picture 7" descr="A graph with orange l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00000" cy="2538000"/>
                    </a:xfrm>
                    <a:prstGeom prst="rect">
                      <a:avLst/>
                    </a:prstGeom>
                  </pic:spPr>
                </pic:pic>
              </a:graphicData>
            </a:graphic>
          </wp:inline>
        </w:drawing>
      </w:r>
    </w:p>
    <w:p w14:paraId="538D1A45" w14:textId="610D0517" w:rsidR="009C4C35" w:rsidRDefault="009C4C35" w:rsidP="009C4C35">
      <w:pPr>
        <w:pStyle w:val="Caption"/>
      </w:pPr>
      <w:r>
        <w:t xml:space="preserve">Figure 4.4: Banham’s Customer Retention </w:t>
      </w:r>
      <w:fldSimple w:instr=" SEQ Figure_4.4:_Banham’s_Customer_Retention \* ARABIC ">
        <w:r>
          <w:rPr>
            <w:noProof/>
          </w:rPr>
          <w:t>1</w:t>
        </w:r>
      </w:fldSimple>
    </w:p>
    <w:p w14:paraId="7EAFD426" w14:textId="3EE796E8" w:rsidR="007F5240" w:rsidRPr="00AE0986" w:rsidRDefault="00406036" w:rsidP="007F5240">
      <w:pPr>
        <w:rPr>
          <w:rFonts w:ascii="Calibri" w:hAnsi="Calibri" w:cs="Calibri"/>
        </w:rPr>
      </w:pPr>
      <w:r>
        <w:rPr>
          <w:rFonts w:ascii="Calibri" w:hAnsi="Calibri" w:cs="Calibri"/>
        </w:rPr>
        <w:t>R</w:t>
      </w:r>
      <w:r w:rsidR="007F5240" w:rsidRPr="00AE0986">
        <w:rPr>
          <w:rFonts w:ascii="Calibri" w:hAnsi="Calibri" w:cs="Calibri"/>
        </w:rPr>
        <w:t>etention Rate (2020–2024)</w:t>
      </w:r>
    </w:p>
    <w:p w14:paraId="7AA153BB" w14:textId="7B83A15C" w:rsidR="009C4C35" w:rsidRPr="00CD1D2C" w:rsidRDefault="00406036" w:rsidP="009C4C35">
      <w:pPr>
        <w:rPr>
          <w:rFonts w:ascii="Calibri" w:hAnsi="Calibri" w:cs="Calibri"/>
        </w:rPr>
      </w:pPr>
      <w:r>
        <w:rPr>
          <w:rFonts w:ascii="Calibri" w:hAnsi="Calibri" w:cs="Calibri"/>
        </w:rPr>
        <w:t xml:space="preserve">     </w:t>
      </w:r>
      <w:r w:rsidR="007F5240" w:rsidRPr="00AE0986">
        <w:rPr>
          <w:rFonts w:ascii="Calibri" w:hAnsi="Calibri" w:cs="Calibri"/>
        </w:rPr>
        <w:t xml:space="preserve">Figure 4.4 indicates a steady climb in Banham’s customer retention rate, from approximately 85 percent in 2020 to around 93 percent by 2024. This improvement correlates with the </w:t>
      </w:r>
      <w:r w:rsidRPr="00AE0986">
        <w:rPr>
          <w:rFonts w:ascii="Calibri" w:hAnsi="Calibri" w:cs="Calibri"/>
        </w:rPr>
        <w:t xml:space="preserve">firm’s </w:t>
      </w:r>
      <w:r>
        <w:rPr>
          <w:rFonts w:ascii="Calibri" w:hAnsi="Calibri" w:cs="Calibri"/>
        </w:rPr>
        <w:t>relationship</w:t>
      </w:r>
      <w:r w:rsidR="007F5240" w:rsidRPr="00AE0986">
        <w:rPr>
          <w:rFonts w:ascii="Calibri" w:hAnsi="Calibri" w:cs="Calibri"/>
        </w:rPr>
        <w:t>-based initiatives, suggesting that personalized interactions and trust-building measures resonate with clients.</w:t>
      </w:r>
    </w:p>
    <w:p w14:paraId="5C19D423" w14:textId="77777777" w:rsidR="009C4C35" w:rsidRDefault="009C4C35" w:rsidP="009C4C35"/>
    <w:p w14:paraId="244D810B" w14:textId="1A16146A" w:rsidR="007F5240" w:rsidRPr="00AE0986" w:rsidRDefault="007F5240" w:rsidP="009C4C35">
      <w:r w:rsidRPr="00AE0986">
        <w:t>Figure 4.5: Annual Revenue Growth (Banham vs. Industry Average, 2020–2024)</w:t>
      </w:r>
    </w:p>
    <w:p w14:paraId="45D0FE80" w14:textId="77777777" w:rsidR="009C4C35" w:rsidRDefault="007F5240" w:rsidP="009C4C35">
      <w:pPr>
        <w:keepNext/>
      </w:pPr>
      <w:r w:rsidRPr="00AE0986">
        <w:rPr>
          <w:rFonts w:ascii="Calibri" w:hAnsi="Calibri" w:cs="Calibri"/>
          <w:noProof/>
        </w:rPr>
        <w:drawing>
          <wp:inline distT="0" distB="0" distL="0" distR="0" wp14:anchorId="2C78C19C" wp14:editId="03D23A6A">
            <wp:extent cx="4500000" cy="3124800"/>
            <wp:effectExtent l="0" t="0" r="0" b="0"/>
            <wp:docPr id="15328874" name="Picture 8" descr="A graph of orang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874" name="Picture 8" descr="A graph of orange and white ba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00000" cy="3124800"/>
                    </a:xfrm>
                    <a:prstGeom prst="rect">
                      <a:avLst/>
                    </a:prstGeom>
                  </pic:spPr>
                </pic:pic>
              </a:graphicData>
            </a:graphic>
          </wp:inline>
        </w:drawing>
      </w:r>
    </w:p>
    <w:p w14:paraId="4578C0FC" w14:textId="4FE2C33F" w:rsidR="009C4C35" w:rsidRDefault="009C4C35" w:rsidP="009C4C35">
      <w:pPr>
        <w:pStyle w:val="Caption"/>
      </w:pPr>
      <w:bookmarkStart w:id="60" w:name="_Toc194611783"/>
      <w:bookmarkStart w:id="61" w:name="_Toc194611800"/>
      <w:r>
        <w:t xml:space="preserve">Figure 4.5: Annual Revenue Growth  </w:t>
      </w:r>
      <w:fldSimple w:instr=" SEQ Figure_4.5:_Annual_Revenue_Growth_ \* ARABIC ">
        <w:r>
          <w:rPr>
            <w:noProof/>
          </w:rPr>
          <w:t>1</w:t>
        </w:r>
        <w:bookmarkEnd w:id="60"/>
        <w:bookmarkEnd w:id="61"/>
      </w:fldSimple>
    </w:p>
    <w:p w14:paraId="4884D8DE" w14:textId="5BE989B1"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Figure 4.5 compares Banham’s annual revenue growth against the industry average between 2020 and 2024. Banham’s performance surpasses the broader market, hinting that its premium positioning and intangible strengths yield tangible financial results.</w:t>
      </w:r>
    </w:p>
    <w:p w14:paraId="2B8093A4" w14:textId="77777777" w:rsidR="007F5240" w:rsidRPr="00AE0986" w:rsidRDefault="007F5240" w:rsidP="007F5240">
      <w:pPr>
        <w:rPr>
          <w:rFonts w:ascii="Calibri" w:hAnsi="Calibri" w:cs="Calibri"/>
        </w:rPr>
      </w:pPr>
    </w:p>
    <w:p w14:paraId="7EACCFFE" w14:textId="77777777" w:rsidR="007F5240" w:rsidRPr="00406036" w:rsidRDefault="007F5240" w:rsidP="00DE1AF5">
      <w:pPr>
        <w:pStyle w:val="Heading2"/>
      </w:pPr>
      <w:bookmarkStart w:id="62" w:name="_Toc194611023"/>
      <w:bookmarkStart w:id="63" w:name="_Toc194645868"/>
      <w:r w:rsidRPr="00406036">
        <w:t>4.3.3 Objective 3: Strategic Recommendations for Similar SMEs</w:t>
      </w:r>
      <w:bookmarkEnd w:id="62"/>
      <w:bookmarkEnd w:id="63"/>
    </w:p>
    <w:p w14:paraId="0CF4EC6A" w14:textId="6DFCACB1"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 xml:space="preserve">Banham’s experiences offer strategic lessons for SMEs seeking a premium position in the security market between 2020 and 2024. One priority is highlighting heritage or specialized capabilities that command consumer trust. Another recommendation is integrating modern technologies such as IoT to appeal to clients who </w:t>
      </w:r>
      <w:r w:rsidR="00E606DA" w:rsidRPr="00AE0986">
        <w:rPr>
          <w:rFonts w:ascii="Calibri" w:hAnsi="Calibri" w:cs="Calibri"/>
        </w:rPr>
        <w:t>favour</w:t>
      </w:r>
      <w:r w:rsidR="007F5240" w:rsidRPr="00AE0986">
        <w:rPr>
          <w:rFonts w:ascii="Calibri" w:hAnsi="Calibri" w:cs="Calibri"/>
        </w:rPr>
        <w:t xml:space="preserve"> cutting-edge solutions. A further point is the sustained emphasis on relationship marketing, wherein ongoing communication and tailored support reinforce loyalty. These recommendations derive from both the systematic literature review in Table 4.1 and the market trends illustrated in Figures 4.1 and 4.2, indicating that consistent messaging around brand authenticity and modern capabilities can help SMEs stand out without costly mass-media campaigns.</w:t>
      </w:r>
    </w:p>
    <w:p w14:paraId="2B1E5D99" w14:textId="77777777" w:rsidR="007F5240" w:rsidRPr="00AE0986" w:rsidRDefault="007F5240" w:rsidP="007F5240">
      <w:pPr>
        <w:rPr>
          <w:rFonts w:ascii="Calibri" w:hAnsi="Calibri" w:cs="Calibri"/>
        </w:rPr>
      </w:pPr>
    </w:p>
    <w:p w14:paraId="46F98E2C" w14:textId="77777777" w:rsidR="007F5240" w:rsidRPr="00406036" w:rsidRDefault="007F5240" w:rsidP="00DE1AF5">
      <w:pPr>
        <w:pStyle w:val="Heading2"/>
      </w:pPr>
      <w:bookmarkStart w:id="64" w:name="_Toc194611024"/>
      <w:bookmarkStart w:id="65" w:name="_Toc194645869"/>
      <w:r w:rsidRPr="00406036">
        <w:t>4.4 Discussion: Theoretical Integration</w:t>
      </w:r>
      <w:bookmarkEnd w:id="64"/>
      <w:bookmarkEnd w:id="65"/>
    </w:p>
    <w:p w14:paraId="6ED014C9" w14:textId="75AC8CBD"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The Resource-Based View highlights that rare, inimitable resources can confer lasting advantages on smaller firms operating in competitive arenas. Banham’s history, brand equity, and dedicated client relationships serve as intangible resources that competitors may struggle to replicate, thus lending support to RBV principles. However, critics of RBV note that external disruptions, including new technologies or shifts in consumer preferences, can undermine even strong intangible resources. Banham’s parallel emphasis on modern security systems and ongoing innovation addresses this concern by reinforcing its brand heritage with current technology.</w:t>
      </w:r>
    </w:p>
    <w:p w14:paraId="67F407B3" w14:textId="577595A3"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Transaction Cost Economics stresses that high-trust relationships lower switching costs for customers by reducing perceived risks in contracting with a security provider. Banham’s marketing materials reveal ongoing maintenance contracts, dedicated support lines, and personalized attention as mechanisms that increase perceived value for clients, discouraging them from seeking cheaper alternatives. This approach reflects TCE in a security context, where stable provider relationships mitigate risks such as malfunctioning equipment or suboptimal after-sales service.</w:t>
      </w:r>
    </w:p>
    <w:p w14:paraId="60288BAF" w14:textId="6EAA3D31" w:rsidR="007F5240" w:rsidRPr="00AE0986" w:rsidRDefault="00406036" w:rsidP="007F5240">
      <w:pPr>
        <w:rPr>
          <w:rFonts w:ascii="Calibri" w:hAnsi="Calibri" w:cs="Calibri"/>
        </w:rPr>
      </w:pPr>
      <w:r>
        <w:rPr>
          <w:rFonts w:ascii="Calibri" w:hAnsi="Calibri" w:cs="Calibri"/>
        </w:rPr>
        <w:t xml:space="preserve">     </w:t>
      </w:r>
      <w:r w:rsidR="007F5240" w:rsidRPr="00AE0986">
        <w:rPr>
          <w:rFonts w:ascii="Calibri" w:hAnsi="Calibri" w:cs="Calibri"/>
        </w:rPr>
        <w:t>Porter’s Competitive Advantage theory posits that firms either compete on cost or differentiate themselves in ways that justify premium pricing. Banham opts for differentiation, accentuating unique features such as heritage, exclusivity, and technological sophistication. By operating in a focused, high-end market segment, Banham aligns with the strategy of pursuing a niche that values service quality over cost minimization. This tactic confirms Porter’s assertion that firms can resist pricing competition by offering superior or exclusive benefits.</w:t>
      </w:r>
    </w:p>
    <w:p w14:paraId="0E83AE5D" w14:textId="77777777" w:rsidR="007F5240" w:rsidRPr="00AE0986" w:rsidRDefault="007F5240" w:rsidP="007F5240">
      <w:pPr>
        <w:rPr>
          <w:rFonts w:ascii="Calibri" w:hAnsi="Calibri" w:cs="Calibri"/>
        </w:rPr>
      </w:pPr>
    </w:p>
    <w:p w14:paraId="6CC4EDF0" w14:textId="77777777" w:rsidR="007F5240" w:rsidRPr="00406036" w:rsidRDefault="007F5240" w:rsidP="00DE1AF5">
      <w:pPr>
        <w:pStyle w:val="Heading2"/>
      </w:pPr>
      <w:bookmarkStart w:id="66" w:name="_Toc194611025"/>
      <w:bookmarkStart w:id="67" w:name="_Toc194645870"/>
      <w:r w:rsidRPr="00406036">
        <w:t>4.5 Chapter Summary</w:t>
      </w:r>
      <w:bookmarkEnd w:id="66"/>
      <w:bookmarkEnd w:id="67"/>
    </w:p>
    <w:p w14:paraId="5A18F31E" w14:textId="77777777" w:rsidR="00DE1AF5" w:rsidRDefault="00406036" w:rsidP="00AE0986">
      <w:pPr>
        <w:rPr>
          <w:rFonts w:ascii="Calibri" w:hAnsi="Calibri" w:cs="Calibri"/>
        </w:rPr>
      </w:pPr>
      <w:r>
        <w:rPr>
          <w:rFonts w:ascii="Calibri" w:hAnsi="Calibri" w:cs="Calibri"/>
        </w:rPr>
        <w:t xml:space="preserve">     </w:t>
      </w:r>
      <w:r w:rsidR="007F5240" w:rsidRPr="00AE0986">
        <w:rPr>
          <w:rFonts w:ascii="Calibri" w:hAnsi="Calibri" w:cs="Calibri"/>
        </w:rPr>
        <w:t xml:space="preserve">This chapter has synthesized findings from Banham’s publicly available documents and contextualized them within Resource-Based View, Transaction Cost Economics, and Porter’s Competitive Advantage. Banham’s emphasis on brand heritage, trust-based relationships, and advanced security technology illustrates how an SME can carve out a premium market position despite financial constraints and competitive pressures from larger companies. The discussion underscored the importance of intangible resource leverage, relationship-building, and a clear differentiation strategy—principles that other SMEs in specialized, high-trust sectors can adopt. </w:t>
      </w:r>
    </w:p>
    <w:p w14:paraId="070660C6" w14:textId="58C6B4F5" w:rsidR="00AE0986" w:rsidRPr="00DE1AF5" w:rsidRDefault="00406036" w:rsidP="00DE1AF5">
      <w:pPr>
        <w:pStyle w:val="Heading1"/>
        <w:rPr>
          <w:sz w:val="22"/>
          <w:szCs w:val="22"/>
        </w:rPr>
      </w:pPr>
      <w:bookmarkStart w:id="68" w:name="_Toc194611026"/>
      <w:bookmarkStart w:id="69" w:name="_Toc194645871"/>
      <w:r>
        <w:lastRenderedPageBreak/>
        <w:t>5</w:t>
      </w:r>
      <w:r w:rsidR="00AE0986" w:rsidRPr="00AE0986">
        <w:t>. Conclusion</w:t>
      </w:r>
      <w:bookmarkEnd w:id="68"/>
      <w:bookmarkEnd w:id="69"/>
    </w:p>
    <w:p w14:paraId="1ABB47BA" w14:textId="175D43FB" w:rsidR="00AE0986" w:rsidRPr="00AE0986" w:rsidRDefault="00406036" w:rsidP="00DE1AF5">
      <w:pPr>
        <w:pStyle w:val="Heading2"/>
      </w:pPr>
      <w:bookmarkStart w:id="70" w:name="_Toc194611027"/>
      <w:bookmarkStart w:id="71" w:name="_Toc194645872"/>
      <w:r>
        <w:t>5</w:t>
      </w:r>
      <w:r w:rsidR="00AE0986" w:rsidRPr="00AE0986">
        <w:t>.1 Overview of the Study</w:t>
      </w:r>
      <w:bookmarkEnd w:id="70"/>
      <w:bookmarkEnd w:id="71"/>
    </w:p>
    <w:p w14:paraId="1DBB5C1A" w14:textId="4564A5F6" w:rsidR="00AE0986" w:rsidRP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This research examined the effectiveness of marketing strategies employed by SMEs in the UK security industry through an in-depth case study of Banham Security. By aligning theoretical frameworks—namely the Resource-Based View (RBV), Transaction Cost Economics (TCE), and Porter’s Competitive Advantage—with secondary data analysis, the study explored how Banham leverages brand heritage, trust, and innovation to compete in the high-end security market.</w:t>
      </w:r>
    </w:p>
    <w:p w14:paraId="37C90765" w14:textId="5F708216" w:rsidR="00AE0986" w:rsidRP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 xml:space="preserve">The study successfully met its objectives by identifying the primary marketing challenges facing SMEs, assessing the strategic positioning of Banham Security, and offering practical recommendations for similar businesses. The thematic analysis highlighted that SMEs </w:t>
      </w:r>
      <w:proofErr w:type="gramStart"/>
      <w:r w:rsidR="00AE0986" w:rsidRPr="00AE0986">
        <w:rPr>
          <w:rFonts w:ascii="Calibri" w:hAnsi="Calibri" w:cs="Calibri"/>
        </w:rPr>
        <w:t>can</w:t>
      </w:r>
      <w:proofErr w:type="gramEnd"/>
      <w:r w:rsidR="00AE0986" w:rsidRPr="00AE0986">
        <w:rPr>
          <w:rFonts w:ascii="Calibri" w:hAnsi="Calibri" w:cs="Calibri"/>
        </w:rPr>
        <w:t xml:space="preserve"> offset resource constraints by focusing on differentiation, digital presence, relationship marketing, and the use of intangible resources.</w:t>
      </w:r>
    </w:p>
    <w:p w14:paraId="362D7F24" w14:textId="190125D1" w:rsidR="00AE0986" w:rsidRPr="00AE0986" w:rsidRDefault="00406036" w:rsidP="00DE1AF5">
      <w:pPr>
        <w:pStyle w:val="Heading2"/>
      </w:pPr>
      <w:bookmarkStart w:id="72" w:name="_Toc194611028"/>
      <w:bookmarkStart w:id="73" w:name="_Toc194645873"/>
      <w:r>
        <w:t>5</w:t>
      </w:r>
      <w:r w:rsidR="00AE0986" w:rsidRPr="00AE0986">
        <w:t>.2 Contribution of the Research</w:t>
      </w:r>
      <w:bookmarkEnd w:id="72"/>
      <w:bookmarkEnd w:id="73"/>
    </w:p>
    <w:p w14:paraId="0A734C91" w14:textId="289E6409" w:rsidR="00AE0986" w:rsidRP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This research contributes to both academic theory and industry practice in several important ways. Academically, it bridges a gap in the literature by focusing on SME marketing in a high-trust, premium-oriented security sector—a niche often overlooked in mainstream studies. By applying RBV, TCE, and Porter’s frameworks, the study offers a multidimensional perspective on how SMEs can build competitive advantage in resource-constrained environments.</w:t>
      </w:r>
    </w:p>
    <w:p w14:paraId="044D0AE8" w14:textId="1169F310" w:rsidR="00AE0986" w:rsidRP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Practically, the study provides actionable insights for SMEs in similar industries, especially those targeting affluent clientele. The findings suggest that effective use of brand heritage, trust-building strategies, and technological innovation can enhance customer loyalty and market differentiation. The recommendations from this study can inform SME marketing strategies that are both realistic and scalable.</w:t>
      </w:r>
    </w:p>
    <w:p w14:paraId="1AA80A8D" w14:textId="1AF1DDDB" w:rsidR="00AE0986" w:rsidRPr="00AE0986" w:rsidRDefault="00406036" w:rsidP="00DE1AF5">
      <w:pPr>
        <w:pStyle w:val="Heading2"/>
      </w:pPr>
      <w:bookmarkStart w:id="74" w:name="_Toc194611029"/>
      <w:bookmarkStart w:id="75" w:name="_Toc194645874"/>
      <w:r w:rsidRPr="00406036">
        <w:t>5</w:t>
      </w:r>
      <w:r w:rsidR="00AE0986" w:rsidRPr="00AE0986">
        <w:t>.3 Limitations and Future Research</w:t>
      </w:r>
      <w:bookmarkEnd w:id="74"/>
      <w:bookmarkEnd w:id="75"/>
    </w:p>
    <w:p w14:paraId="3BA97367" w14:textId="3692EB21" w:rsidR="00AE0986" w:rsidRP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Despite its contributions, the study has several limitations. The research relied solely on secondary data and a single-case study, which may limit the generalizability of the findings. Additionally, the lack of primary data—such as interviews with marketing personnel or customers—restricts the depth of insight into Banham’s internal decision-making processes and consumer perceptions.</w:t>
      </w:r>
    </w:p>
    <w:p w14:paraId="6EBD0863" w14:textId="7E28BB1B" w:rsidR="00AE0986" w:rsidRP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Future research could expand this work by conducting comparative case studies across multiple SMEs within the premium security industry or other service-oriented sectors. Further studies might also incorporate primary data collection through interviews, surveys, or focus groups to provide richer insights into customer motivations and strategic choices. Additionally, research could explore the evolving role of emerging technologies such as artificial intelligence and the Internet of Things (IoT) in SME marketing strategies, particularly in trust-sensitive industries like security.</w:t>
      </w:r>
    </w:p>
    <w:p w14:paraId="64F7B33A" w14:textId="535A99FA" w:rsidR="00AE0986" w:rsidRDefault="00406036" w:rsidP="00AE0986">
      <w:pPr>
        <w:rPr>
          <w:rFonts w:ascii="Calibri" w:hAnsi="Calibri" w:cs="Calibri"/>
        </w:rPr>
      </w:pPr>
      <w:r>
        <w:rPr>
          <w:rFonts w:ascii="Calibri" w:hAnsi="Calibri" w:cs="Calibri"/>
        </w:rPr>
        <w:t xml:space="preserve">     </w:t>
      </w:r>
      <w:r w:rsidR="00AE0986" w:rsidRPr="00AE0986">
        <w:rPr>
          <w:rFonts w:ascii="Calibri" w:hAnsi="Calibri" w:cs="Calibri"/>
        </w:rPr>
        <w:t>In conclusion, this study highlights the importance of trust, differentiation, and innovation for SMEs operating in high-value, competitive markets. It demonstrates that despite resource limitations, SMEs like Banham Security can achieve sustainable growth and client loyalty by strategically leveraging their unique attributes and continuously adapting to market expectations.</w:t>
      </w:r>
    </w:p>
    <w:p w14:paraId="71A1A97A" w14:textId="48775F5D" w:rsidR="00E606DA" w:rsidRPr="00E606DA" w:rsidRDefault="00E606DA" w:rsidP="00DE1AF5">
      <w:pPr>
        <w:pStyle w:val="Heading2"/>
      </w:pPr>
      <w:bookmarkStart w:id="76" w:name="_Toc194611030"/>
      <w:bookmarkStart w:id="77" w:name="_Toc194645875"/>
      <w:r w:rsidRPr="00E606DA">
        <w:t>5.4 Reflective</w:t>
      </w:r>
      <w:bookmarkEnd w:id="76"/>
      <w:r w:rsidRPr="00E606DA">
        <w:t xml:space="preserve"> </w:t>
      </w:r>
      <w:r w:rsidR="003E298E">
        <w:t>statement</w:t>
      </w:r>
      <w:bookmarkEnd w:id="77"/>
    </w:p>
    <w:p w14:paraId="61EF8EBA" w14:textId="354C42CC" w:rsidR="00E606DA" w:rsidRPr="00E606DA" w:rsidRDefault="00E606DA" w:rsidP="00E606DA">
      <w:pPr>
        <w:rPr>
          <w:rFonts w:ascii="Calibri" w:hAnsi="Calibri" w:cs="Calibri"/>
        </w:rPr>
      </w:pPr>
      <w:r>
        <w:rPr>
          <w:rFonts w:ascii="Calibri" w:hAnsi="Calibri" w:cs="Calibri"/>
        </w:rPr>
        <w:t xml:space="preserve">    </w:t>
      </w:r>
      <w:r w:rsidRPr="00E606DA">
        <w:rPr>
          <w:rFonts w:ascii="Calibri" w:hAnsi="Calibri" w:cs="Calibri"/>
        </w:rPr>
        <w:t>This research journey has underscored the complexity of investigating niche marketing strategies within resource-constrained environments. Initially, the reliance on secondary data presented challenges in validating Banham Security’s internal processes, yet it also encouraged a more creative approach to sourcing credible documents and industry reports. Integrating theoretical frameworks—</w:t>
      </w:r>
      <w:r w:rsidRPr="00E606DA">
        <w:rPr>
          <w:rFonts w:ascii="Calibri" w:hAnsi="Calibri" w:cs="Calibri"/>
        </w:rPr>
        <w:lastRenderedPageBreak/>
        <w:t>namely RBV, TCE, and Porter’s Competitive Advantage—required constant cross-checking of assumptions against the realities of SME operations.</w:t>
      </w:r>
    </w:p>
    <w:p w14:paraId="3E436B95" w14:textId="5DDC23DD" w:rsidR="00E606DA" w:rsidRPr="00E606DA" w:rsidRDefault="00E606DA" w:rsidP="00E606DA">
      <w:pPr>
        <w:rPr>
          <w:rFonts w:ascii="Calibri" w:hAnsi="Calibri" w:cs="Calibri"/>
        </w:rPr>
      </w:pPr>
      <w:r>
        <w:rPr>
          <w:rFonts w:ascii="Calibri" w:hAnsi="Calibri" w:cs="Calibri"/>
        </w:rPr>
        <w:t xml:space="preserve">     </w:t>
      </w:r>
      <w:r w:rsidRPr="00E606DA">
        <w:rPr>
          <w:rFonts w:ascii="Calibri" w:hAnsi="Calibri" w:cs="Calibri"/>
        </w:rPr>
        <w:t>A particularly illuminating realization came from analysing Banham Security’s deft use of trust and exclusivity. It underscored the nuanced ways SMEs can transform perceived disadvantages into core strengths. Balancing academic rigor and practical applicability also posed interesting dilemmas; ensuring theoretical depth while offering actionable insights took iterative drafting and consultation of real-world case studies. Overall, the process was a valuable exercise in critical thinking, highlighting the need for flexibility in research design and the importance of aligning methodological choices with clear objectives.</w:t>
      </w:r>
    </w:p>
    <w:p w14:paraId="3B831031" w14:textId="7557EAC0" w:rsidR="00E606DA" w:rsidRPr="00E606DA" w:rsidRDefault="00E606DA" w:rsidP="00E606DA">
      <w:pPr>
        <w:rPr>
          <w:rFonts w:ascii="Calibri" w:hAnsi="Calibri" w:cs="Calibri"/>
        </w:rPr>
      </w:pPr>
      <w:r>
        <w:rPr>
          <w:rFonts w:ascii="Calibri" w:hAnsi="Calibri" w:cs="Calibri"/>
        </w:rPr>
        <w:t xml:space="preserve">     </w:t>
      </w:r>
      <w:r w:rsidRPr="00E606DA">
        <w:rPr>
          <w:rFonts w:ascii="Calibri" w:hAnsi="Calibri" w:cs="Calibri"/>
        </w:rPr>
        <w:t>This experience has deepened my appreciation for how intangible factors—like brand heritage and client relationships—can significantly impact an SME’s market positioning. It also revealed how quickly market conditions can shift, reinforcing the notion that iterative adaptation and ongoing market intelligence are indispensable. Looking ahead, I plan to incorporate more direct stakeholder perspectives in future research to complement this study’s findings and enrich the practitioner-oriented recommendations.</w:t>
      </w:r>
    </w:p>
    <w:p w14:paraId="4613F1C5" w14:textId="77777777" w:rsidR="00E606DA" w:rsidRPr="00AE0986" w:rsidRDefault="00E606DA" w:rsidP="00AE0986">
      <w:pPr>
        <w:rPr>
          <w:rFonts w:ascii="Calibri" w:hAnsi="Calibri" w:cs="Calibri"/>
        </w:rPr>
      </w:pPr>
    </w:p>
    <w:p w14:paraId="1E63B058" w14:textId="77777777" w:rsidR="00AE0986" w:rsidRPr="00AE0986" w:rsidRDefault="00AE0986" w:rsidP="007F5240">
      <w:pPr>
        <w:rPr>
          <w:rFonts w:ascii="Calibri" w:hAnsi="Calibri" w:cs="Calibri"/>
        </w:rPr>
      </w:pPr>
    </w:p>
    <w:p w14:paraId="77D9CC7F" w14:textId="77777777" w:rsidR="007F5240" w:rsidRDefault="007F5240" w:rsidP="00062407">
      <w:pPr>
        <w:rPr>
          <w:rFonts w:ascii="Calibri" w:hAnsi="Calibri" w:cs="Calibri"/>
        </w:rPr>
      </w:pPr>
    </w:p>
    <w:p w14:paraId="0F772F5B" w14:textId="77777777" w:rsidR="00E606DA" w:rsidRDefault="00E606DA" w:rsidP="00062407">
      <w:pPr>
        <w:rPr>
          <w:rFonts w:ascii="Calibri" w:hAnsi="Calibri" w:cs="Calibri"/>
        </w:rPr>
      </w:pPr>
    </w:p>
    <w:p w14:paraId="1221C2E6" w14:textId="77777777" w:rsidR="00E606DA" w:rsidRDefault="00E606DA" w:rsidP="00062407">
      <w:pPr>
        <w:rPr>
          <w:rFonts w:ascii="Calibri" w:hAnsi="Calibri" w:cs="Calibri"/>
        </w:rPr>
      </w:pPr>
    </w:p>
    <w:p w14:paraId="62EC0E77" w14:textId="77777777" w:rsidR="00E606DA" w:rsidRDefault="00E606DA" w:rsidP="00062407">
      <w:pPr>
        <w:rPr>
          <w:rFonts w:ascii="Calibri" w:hAnsi="Calibri" w:cs="Calibri"/>
        </w:rPr>
      </w:pPr>
    </w:p>
    <w:p w14:paraId="6751EFE8" w14:textId="77777777" w:rsidR="00E606DA" w:rsidRDefault="00E606DA" w:rsidP="00062407">
      <w:pPr>
        <w:rPr>
          <w:rFonts w:ascii="Calibri" w:hAnsi="Calibri" w:cs="Calibri"/>
        </w:rPr>
      </w:pPr>
    </w:p>
    <w:p w14:paraId="7DF4FD43" w14:textId="77777777" w:rsidR="00E606DA" w:rsidRDefault="00E606DA" w:rsidP="00062407">
      <w:pPr>
        <w:rPr>
          <w:rFonts w:ascii="Calibri" w:hAnsi="Calibri" w:cs="Calibri"/>
        </w:rPr>
      </w:pPr>
    </w:p>
    <w:p w14:paraId="645F55D5" w14:textId="77777777" w:rsidR="00E606DA" w:rsidRDefault="00E606DA" w:rsidP="00062407">
      <w:pPr>
        <w:rPr>
          <w:rFonts w:ascii="Calibri" w:hAnsi="Calibri" w:cs="Calibri"/>
        </w:rPr>
      </w:pPr>
    </w:p>
    <w:p w14:paraId="3C4297BB" w14:textId="77777777" w:rsidR="00E606DA" w:rsidRDefault="00E606DA" w:rsidP="00062407">
      <w:pPr>
        <w:rPr>
          <w:rFonts w:ascii="Calibri" w:hAnsi="Calibri" w:cs="Calibri"/>
        </w:rPr>
      </w:pPr>
    </w:p>
    <w:p w14:paraId="2BA1FDF5" w14:textId="77777777" w:rsidR="00E606DA" w:rsidRDefault="00E606DA" w:rsidP="00062407">
      <w:pPr>
        <w:rPr>
          <w:rFonts w:ascii="Calibri" w:hAnsi="Calibri" w:cs="Calibri"/>
        </w:rPr>
      </w:pPr>
    </w:p>
    <w:p w14:paraId="7405CAF5" w14:textId="77777777" w:rsidR="00E606DA" w:rsidRDefault="00E606DA" w:rsidP="00062407">
      <w:pPr>
        <w:rPr>
          <w:rFonts w:ascii="Calibri" w:hAnsi="Calibri" w:cs="Calibri"/>
        </w:rPr>
      </w:pPr>
    </w:p>
    <w:p w14:paraId="70F64F3B" w14:textId="77777777" w:rsidR="00E606DA" w:rsidRDefault="00E606DA" w:rsidP="00062407">
      <w:pPr>
        <w:rPr>
          <w:rFonts w:ascii="Calibri" w:hAnsi="Calibri" w:cs="Calibri"/>
        </w:rPr>
      </w:pPr>
    </w:p>
    <w:p w14:paraId="29315259" w14:textId="77777777" w:rsidR="00E606DA" w:rsidRDefault="00E606DA" w:rsidP="00062407">
      <w:pPr>
        <w:rPr>
          <w:rFonts w:ascii="Calibri" w:hAnsi="Calibri" w:cs="Calibri"/>
        </w:rPr>
      </w:pPr>
    </w:p>
    <w:p w14:paraId="430BFD69" w14:textId="77777777" w:rsidR="00E606DA" w:rsidRDefault="00E606DA" w:rsidP="00062407">
      <w:pPr>
        <w:rPr>
          <w:rFonts w:ascii="Calibri" w:hAnsi="Calibri" w:cs="Calibri"/>
        </w:rPr>
      </w:pPr>
    </w:p>
    <w:p w14:paraId="51760878" w14:textId="77777777" w:rsidR="000552C0" w:rsidRDefault="000552C0" w:rsidP="00E606DA">
      <w:pPr>
        <w:rPr>
          <w:rFonts w:ascii="Calibri" w:hAnsi="Calibri" w:cs="Calibri"/>
          <w:sz w:val="28"/>
          <w:szCs w:val="28"/>
        </w:rPr>
      </w:pPr>
    </w:p>
    <w:p w14:paraId="19EDA3B9" w14:textId="77777777" w:rsidR="000552C0" w:rsidRDefault="000552C0" w:rsidP="00E606DA">
      <w:pPr>
        <w:rPr>
          <w:rFonts w:ascii="Calibri" w:hAnsi="Calibri" w:cs="Calibri"/>
          <w:sz w:val="28"/>
          <w:szCs w:val="28"/>
        </w:rPr>
      </w:pPr>
    </w:p>
    <w:p w14:paraId="2C5841A2" w14:textId="77777777" w:rsidR="000552C0" w:rsidRDefault="000552C0" w:rsidP="00E606DA">
      <w:pPr>
        <w:rPr>
          <w:rFonts w:ascii="Calibri" w:hAnsi="Calibri" w:cs="Calibri"/>
          <w:sz w:val="28"/>
          <w:szCs w:val="28"/>
        </w:rPr>
      </w:pPr>
    </w:p>
    <w:p w14:paraId="2E9CB452" w14:textId="77777777" w:rsidR="00CD1D2C" w:rsidRDefault="00CD1D2C" w:rsidP="00E606DA">
      <w:pPr>
        <w:rPr>
          <w:rFonts w:ascii="Calibri" w:hAnsi="Calibri" w:cs="Calibri"/>
          <w:sz w:val="28"/>
          <w:szCs w:val="28"/>
        </w:rPr>
      </w:pPr>
    </w:p>
    <w:p w14:paraId="53056732" w14:textId="3324F489" w:rsidR="00E606DA" w:rsidRPr="00E606DA" w:rsidRDefault="003E298E" w:rsidP="000552C0">
      <w:pPr>
        <w:pStyle w:val="Heading1"/>
      </w:pPr>
      <w:bookmarkStart w:id="78" w:name="_Toc194611031"/>
      <w:bookmarkStart w:id="79" w:name="_Toc194645876"/>
      <w:r>
        <w:lastRenderedPageBreak/>
        <w:t>6.</w:t>
      </w:r>
      <w:r w:rsidR="00E606DA" w:rsidRPr="00E606DA">
        <w:t>References</w:t>
      </w:r>
      <w:bookmarkEnd w:id="78"/>
      <w:bookmarkEnd w:id="79"/>
    </w:p>
    <w:p w14:paraId="1154D01E" w14:textId="77777777" w:rsidR="00E606DA" w:rsidRPr="00E606DA" w:rsidRDefault="00E606DA" w:rsidP="00E606DA">
      <w:pPr>
        <w:rPr>
          <w:rFonts w:ascii="Calibri" w:hAnsi="Calibri" w:cs="Calibri"/>
        </w:rPr>
      </w:pPr>
    </w:p>
    <w:p w14:paraId="7DC0D866" w14:textId="77777777" w:rsidR="00E606DA" w:rsidRPr="00E606DA" w:rsidRDefault="00E606DA" w:rsidP="00E606DA">
      <w:pPr>
        <w:rPr>
          <w:rFonts w:ascii="Calibri" w:hAnsi="Calibri" w:cs="Calibri"/>
        </w:rPr>
      </w:pPr>
      <w:r w:rsidRPr="00E606DA">
        <w:rPr>
          <w:rFonts w:ascii="Calibri" w:hAnsi="Calibri" w:cs="Calibri"/>
        </w:rPr>
        <w:t xml:space="preserve">Ayyagari, M., </w:t>
      </w:r>
      <w:proofErr w:type="spellStart"/>
      <w:r w:rsidRPr="00E606DA">
        <w:rPr>
          <w:rFonts w:ascii="Calibri" w:hAnsi="Calibri" w:cs="Calibri"/>
        </w:rPr>
        <w:t>Demirguc</w:t>
      </w:r>
      <w:proofErr w:type="spellEnd"/>
      <w:r w:rsidRPr="00E606DA">
        <w:rPr>
          <w:rFonts w:ascii="Calibri" w:hAnsi="Calibri" w:cs="Calibri"/>
        </w:rPr>
        <w:t>-Kunt, A., &amp; Maksimovic, V. (2011). Small vs. young firms across the world: Contribution to employment, job creation, and growth. World Bank Policy Research Working Paper No. 5631.</w:t>
      </w:r>
    </w:p>
    <w:p w14:paraId="6C2BA61A" w14:textId="77777777" w:rsidR="00E606DA" w:rsidRPr="00E606DA" w:rsidRDefault="00E606DA" w:rsidP="00E606DA">
      <w:pPr>
        <w:rPr>
          <w:rFonts w:ascii="Calibri" w:hAnsi="Calibri" w:cs="Calibri"/>
        </w:rPr>
      </w:pPr>
      <w:r w:rsidRPr="00E606DA">
        <w:rPr>
          <w:rFonts w:ascii="Calibri" w:hAnsi="Calibri" w:cs="Calibri"/>
        </w:rPr>
        <w:t>Barney, J. (1991). Firm resources and sustained competitive advantage. Journal of Management, 17(1), 99–120.</w:t>
      </w:r>
    </w:p>
    <w:p w14:paraId="719EF5B4" w14:textId="77777777" w:rsidR="00E606DA" w:rsidRPr="00E606DA" w:rsidRDefault="00E606DA" w:rsidP="00E606DA">
      <w:pPr>
        <w:rPr>
          <w:rFonts w:ascii="Calibri" w:hAnsi="Calibri" w:cs="Calibri"/>
        </w:rPr>
      </w:pPr>
      <w:r w:rsidRPr="00E606DA">
        <w:rPr>
          <w:rFonts w:ascii="Calibri" w:hAnsi="Calibri" w:cs="Calibri"/>
        </w:rPr>
        <w:t>Becherer, R.C., Helms, M.M., &amp; McDonald, J.P. (2012). The effect of entrepreneurial marketing on outcome goals in SMEs. New England Journal of Entrepreneurship, 15(1), 7–18.</w:t>
      </w:r>
    </w:p>
    <w:p w14:paraId="43D584F6" w14:textId="77777777" w:rsidR="00E606DA" w:rsidRPr="00E606DA" w:rsidRDefault="00E606DA" w:rsidP="00E606DA">
      <w:pPr>
        <w:rPr>
          <w:rFonts w:ascii="Calibri" w:hAnsi="Calibri" w:cs="Calibri"/>
        </w:rPr>
      </w:pPr>
      <w:r w:rsidRPr="00E606DA">
        <w:rPr>
          <w:rFonts w:ascii="Calibri" w:hAnsi="Calibri" w:cs="Calibri"/>
        </w:rPr>
        <w:t>Biggam, J. (2018). Succeeding with your master’s dissertation: A step-by-step handbook. McGraw-Hill Education.</w:t>
      </w:r>
    </w:p>
    <w:p w14:paraId="40274DC0" w14:textId="77777777" w:rsidR="00E606DA" w:rsidRPr="00E606DA" w:rsidRDefault="00E606DA" w:rsidP="00E606DA">
      <w:pPr>
        <w:rPr>
          <w:rFonts w:ascii="Calibri" w:hAnsi="Calibri" w:cs="Calibri"/>
        </w:rPr>
      </w:pPr>
      <w:r w:rsidRPr="00E606DA">
        <w:rPr>
          <w:rFonts w:ascii="Calibri" w:hAnsi="Calibri" w:cs="Calibri"/>
        </w:rPr>
        <w:t>Brooksbank, R. (1991). Successful marketing practice: A literature review and checklist for marketing practitioners. European Journal of Marketing, 25(5), 20–29.</w:t>
      </w:r>
    </w:p>
    <w:p w14:paraId="7DE99B01" w14:textId="77777777" w:rsidR="00E606DA" w:rsidRPr="00E606DA" w:rsidRDefault="00E606DA" w:rsidP="00E606DA">
      <w:pPr>
        <w:rPr>
          <w:rFonts w:ascii="Calibri" w:hAnsi="Calibri" w:cs="Calibri"/>
        </w:rPr>
      </w:pPr>
      <w:r w:rsidRPr="00E606DA">
        <w:rPr>
          <w:rFonts w:ascii="Calibri" w:hAnsi="Calibri" w:cs="Calibri"/>
        </w:rPr>
        <w:t>Brooksbank, R., Kirby, D.A., Tompson, G., &amp; Taylor, D. (2003). Marketing as a determinant of long-run competitive success in medium-sized UK manufacturing firms. Small Business Economics, 20(3), 259–272.</w:t>
      </w:r>
    </w:p>
    <w:p w14:paraId="5BF6C6F4" w14:textId="77777777" w:rsidR="00E606DA" w:rsidRPr="00E606DA" w:rsidRDefault="00E606DA" w:rsidP="00E606DA">
      <w:pPr>
        <w:rPr>
          <w:rFonts w:ascii="Calibri" w:hAnsi="Calibri" w:cs="Calibri"/>
        </w:rPr>
      </w:pPr>
      <w:r w:rsidRPr="00E606DA">
        <w:rPr>
          <w:rFonts w:ascii="Calibri" w:hAnsi="Calibri" w:cs="Calibri"/>
        </w:rPr>
        <w:t>Brown, L. (2019). The importance of digital marketing for SMEs. Journal of Small Business Marketing, 12(3), 45–58.</w:t>
      </w:r>
    </w:p>
    <w:p w14:paraId="63C33115" w14:textId="316610A9" w:rsidR="00E606DA" w:rsidRPr="00E606DA" w:rsidRDefault="00E606DA" w:rsidP="00E606DA">
      <w:pPr>
        <w:rPr>
          <w:rFonts w:ascii="Calibri" w:hAnsi="Calibri" w:cs="Calibri"/>
        </w:rPr>
      </w:pPr>
      <w:r w:rsidRPr="00E606DA">
        <w:rPr>
          <w:rFonts w:ascii="Calibri" w:hAnsi="Calibri" w:cs="Calibri"/>
        </w:rPr>
        <w:t>Burns, P. (2016). Entrepreneurship and Small Business. Palgrave Macmillan.</w:t>
      </w:r>
    </w:p>
    <w:p w14:paraId="2535A8FD" w14:textId="64697D80" w:rsidR="00E606DA" w:rsidRPr="00E606DA" w:rsidRDefault="00E606DA" w:rsidP="00E606DA">
      <w:pPr>
        <w:rPr>
          <w:rFonts w:ascii="Calibri" w:hAnsi="Calibri" w:cs="Calibri"/>
        </w:rPr>
      </w:pPr>
      <w:r w:rsidRPr="00E606DA">
        <w:rPr>
          <w:rFonts w:ascii="Calibri" w:hAnsi="Calibri" w:cs="Calibri"/>
        </w:rPr>
        <w:t xml:space="preserve">Chaffey, D. &amp; Ellis-Chadwick, F. (2019). Digital Marketing: Strategy, Implementation and Practice (7th ed.). Pearson </w:t>
      </w:r>
      <w:proofErr w:type="spellStart"/>
      <w:r w:rsidRPr="00E606DA">
        <w:rPr>
          <w:rFonts w:ascii="Calibri" w:hAnsi="Calibri" w:cs="Calibri"/>
        </w:rPr>
        <w:t>Education.Chen</w:t>
      </w:r>
      <w:proofErr w:type="spellEnd"/>
      <w:r w:rsidRPr="00E606DA">
        <w:rPr>
          <w:rFonts w:ascii="Calibri" w:hAnsi="Calibri" w:cs="Calibri"/>
        </w:rPr>
        <w:t>, S., Zou, S., &amp; Wang, S. (2009). Leveraging external marketing resources for performance: A study of Chinese export ventures. Journal of International Marketing, 17(4), 1–22.</w:t>
      </w:r>
    </w:p>
    <w:p w14:paraId="2DE40265" w14:textId="77777777" w:rsidR="00E606DA" w:rsidRPr="00E606DA" w:rsidRDefault="00E606DA" w:rsidP="00E606DA">
      <w:pPr>
        <w:rPr>
          <w:rFonts w:ascii="Calibri" w:hAnsi="Calibri" w:cs="Calibri"/>
        </w:rPr>
      </w:pPr>
      <w:r w:rsidRPr="00E606DA">
        <w:rPr>
          <w:rFonts w:ascii="Calibri" w:hAnsi="Calibri" w:cs="Calibri"/>
        </w:rPr>
        <w:t>Coviello, N.E., Brodie, R.J., &amp; Munro, H.J. (2000). An investigation of marketing practice by firm size. Journal of Business Venturing, 15(5–6), 523–545.</w:t>
      </w:r>
    </w:p>
    <w:p w14:paraId="7464B168" w14:textId="77777777" w:rsidR="00E606DA" w:rsidRPr="00E606DA" w:rsidRDefault="00E606DA" w:rsidP="00E606DA">
      <w:pPr>
        <w:rPr>
          <w:rFonts w:ascii="Calibri" w:hAnsi="Calibri" w:cs="Calibri"/>
        </w:rPr>
      </w:pPr>
      <w:r w:rsidRPr="00E606DA">
        <w:rPr>
          <w:rFonts w:ascii="Calibri" w:hAnsi="Calibri" w:cs="Calibri"/>
        </w:rPr>
        <w:t>Dibb, S., Simkin, L., &amp; Wilson, D. (2008). Diagnosing and treating operational and implementation barriers in synchro‐marketing. Industrial Marketing Management, 37(5), 539–553.</w:t>
      </w:r>
    </w:p>
    <w:p w14:paraId="7A88B9A3" w14:textId="77777777" w:rsidR="00E606DA" w:rsidRPr="00E606DA" w:rsidRDefault="00E606DA" w:rsidP="00E606DA">
      <w:pPr>
        <w:rPr>
          <w:rFonts w:ascii="Calibri" w:hAnsi="Calibri" w:cs="Calibri"/>
        </w:rPr>
      </w:pPr>
      <w:r w:rsidRPr="00E606DA">
        <w:rPr>
          <w:rFonts w:ascii="Calibri" w:hAnsi="Calibri" w:cs="Calibri"/>
        </w:rPr>
        <w:t>Dyer, J.H. (1997). Effective interfirm collaboration: how firms minimize transaction costs and maximize transaction value. Strategic Management Journal, 18(7), 535–556.</w:t>
      </w:r>
    </w:p>
    <w:p w14:paraId="3175E458" w14:textId="77777777" w:rsidR="00E606DA" w:rsidRPr="00E606DA" w:rsidRDefault="00E606DA" w:rsidP="00E606DA">
      <w:pPr>
        <w:rPr>
          <w:rFonts w:ascii="Calibri" w:hAnsi="Calibri" w:cs="Calibri"/>
        </w:rPr>
      </w:pPr>
      <w:proofErr w:type="spellStart"/>
      <w:r w:rsidRPr="00E606DA">
        <w:rPr>
          <w:rFonts w:ascii="Calibri" w:hAnsi="Calibri" w:cs="Calibri"/>
        </w:rPr>
        <w:t>Erramilli</w:t>
      </w:r>
      <w:proofErr w:type="spellEnd"/>
      <w:r w:rsidRPr="00E606DA">
        <w:rPr>
          <w:rFonts w:ascii="Calibri" w:hAnsi="Calibri" w:cs="Calibri"/>
        </w:rPr>
        <w:t>, M.K. &amp; Rao, C.P. (1993). Service firms’ international entry-mode choice: A modified transaction-cost analysis approach. Journal of Marketing, 57(3), 19–38.</w:t>
      </w:r>
    </w:p>
    <w:p w14:paraId="481DEAF0" w14:textId="77777777" w:rsidR="00E606DA" w:rsidRPr="00E606DA" w:rsidRDefault="00E606DA" w:rsidP="00E606DA">
      <w:pPr>
        <w:rPr>
          <w:rFonts w:ascii="Calibri" w:hAnsi="Calibri" w:cs="Calibri"/>
        </w:rPr>
      </w:pPr>
      <w:r w:rsidRPr="00E606DA">
        <w:rPr>
          <w:rFonts w:ascii="Calibri" w:hAnsi="Calibri" w:cs="Calibri"/>
        </w:rPr>
        <w:t>Fillis, I. (2002). Creative marketing and the small firm. Journal of Research in Marketing and Entrepreneurship, 4(2), 61–75.</w:t>
      </w:r>
    </w:p>
    <w:p w14:paraId="321B49CC" w14:textId="77777777" w:rsidR="00E606DA" w:rsidRPr="00E606DA" w:rsidRDefault="00E606DA" w:rsidP="00E606DA">
      <w:pPr>
        <w:rPr>
          <w:rFonts w:ascii="Calibri" w:hAnsi="Calibri" w:cs="Calibri"/>
        </w:rPr>
      </w:pPr>
      <w:r w:rsidRPr="00E606DA">
        <w:rPr>
          <w:rFonts w:ascii="Calibri" w:hAnsi="Calibri" w:cs="Calibri"/>
        </w:rPr>
        <w:t>Gilmore, A., Carson, D., &amp; Grant, K. (2001). SME marketing in practice. Marketing Intelligence &amp; Planning, 19(1), 6–11.</w:t>
      </w:r>
    </w:p>
    <w:p w14:paraId="5EBD30DD" w14:textId="77777777" w:rsidR="00E606DA" w:rsidRPr="00E606DA" w:rsidRDefault="00E606DA" w:rsidP="00E606DA">
      <w:pPr>
        <w:rPr>
          <w:rFonts w:ascii="Calibri" w:hAnsi="Calibri" w:cs="Calibri"/>
        </w:rPr>
      </w:pPr>
      <w:r w:rsidRPr="00E606DA">
        <w:rPr>
          <w:rFonts w:ascii="Calibri" w:hAnsi="Calibri" w:cs="Calibri"/>
        </w:rPr>
        <w:t>Gilmore, A., Carson, D., &amp; Rocks, S. (2006). Networking in SMEs: Evaluating its contribution to marketing activity. International Business Review, 15(3), 278–293.</w:t>
      </w:r>
    </w:p>
    <w:p w14:paraId="2CF6E0A5" w14:textId="77777777" w:rsidR="00E606DA" w:rsidRPr="00E606DA" w:rsidRDefault="00E606DA" w:rsidP="00E606DA">
      <w:pPr>
        <w:rPr>
          <w:rFonts w:ascii="Calibri" w:hAnsi="Calibri" w:cs="Calibri"/>
        </w:rPr>
      </w:pPr>
      <w:r w:rsidRPr="00E606DA">
        <w:rPr>
          <w:rFonts w:ascii="Calibri" w:hAnsi="Calibri" w:cs="Calibri"/>
        </w:rPr>
        <w:t>Grabowski, D., Rhee, J. &amp; Yun, J. (2015). Trust as a factor of effective marketing. International Journal of Marketing and Security Studies, 7(1), 45–59.</w:t>
      </w:r>
    </w:p>
    <w:p w14:paraId="24BD4343" w14:textId="77777777" w:rsidR="00E606DA" w:rsidRPr="00E606DA" w:rsidRDefault="00E606DA" w:rsidP="00E606DA">
      <w:pPr>
        <w:rPr>
          <w:rFonts w:ascii="Calibri" w:hAnsi="Calibri" w:cs="Calibri"/>
        </w:rPr>
      </w:pPr>
      <w:r w:rsidRPr="00E606DA">
        <w:rPr>
          <w:rFonts w:ascii="Calibri" w:hAnsi="Calibri" w:cs="Calibri"/>
        </w:rPr>
        <w:lastRenderedPageBreak/>
        <w:t>Harrigan, P., Ramsey, E., &amp; Ibbotson, P. (2011). Critical factors underpinning the e-CRM activities of SMEs. Journal of Marketing Management, 27(5–6), 503–529.</w:t>
      </w:r>
    </w:p>
    <w:p w14:paraId="67F6E943" w14:textId="77777777" w:rsidR="00E606DA" w:rsidRPr="00E606DA" w:rsidRDefault="00E606DA" w:rsidP="00E606DA">
      <w:pPr>
        <w:rPr>
          <w:rFonts w:ascii="Calibri" w:hAnsi="Calibri" w:cs="Calibri"/>
        </w:rPr>
      </w:pPr>
      <w:proofErr w:type="spellStart"/>
      <w:r w:rsidRPr="00E606DA">
        <w:rPr>
          <w:rFonts w:ascii="Calibri" w:hAnsi="Calibri" w:cs="Calibri"/>
        </w:rPr>
        <w:t>Helfat</w:t>
      </w:r>
      <w:proofErr w:type="spellEnd"/>
      <w:r w:rsidRPr="00E606DA">
        <w:rPr>
          <w:rFonts w:ascii="Calibri" w:hAnsi="Calibri" w:cs="Calibri"/>
        </w:rPr>
        <w:t xml:space="preserve">, C.E., &amp; </w:t>
      </w:r>
      <w:proofErr w:type="spellStart"/>
      <w:r w:rsidRPr="00E606DA">
        <w:rPr>
          <w:rFonts w:ascii="Calibri" w:hAnsi="Calibri" w:cs="Calibri"/>
        </w:rPr>
        <w:t>Peteraf</w:t>
      </w:r>
      <w:proofErr w:type="spellEnd"/>
      <w:r w:rsidRPr="00E606DA">
        <w:rPr>
          <w:rFonts w:ascii="Calibri" w:hAnsi="Calibri" w:cs="Calibri"/>
        </w:rPr>
        <w:t>, M.A. (2003). The dynamic resource‐based view: Capability lifecycles. Strategic Management Journal, 24(10), 997–1010.</w:t>
      </w:r>
    </w:p>
    <w:p w14:paraId="1B54ED6B" w14:textId="77777777" w:rsidR="00E606DA" w:rsidRPr="00E606DA" w:rsidRDefault="00E606DA" w:rsidP="00E606DA">
      <w:pPr>
        <w:rPr>
          <w:rFonts w:ascii="Calibri" w:hAnsi="Calibri" w:cs="Calibri"/>
        </w:rPr>
      </w:pPr>
      <w:r w:rsidRPr="00E606DA">
        <w:rPr>
          <w:rFonts w:ascii="Calibri" w:hAnsi="Calibri" w:cs="Calibri"/>
        </w:rPr>
        <w:t>Hulbert, B., Gilmore, A., &amp; Carson, D. (2013). Sources of opportunities used by growth minded owner managers of small and medium sized enterprises. International Business Review, 22(1), 293–303.</w:t>
      </w:r>
    </w:p>
    <w:p w14:paraId="3652AF66" w14:textId="77777777" w:rsidR="00E606DA" w:rsidRPr="00E606DA" w:rsidRDefault="00E606DA" w:rsidP="00E606DA">
      <w:pPr>
        <w:rPr>
          <w:rFonts w:ascii="Calibri" w:hAnsi="Calibri" w:cs="Calibri"/>
        </w:rPr>
      </w:pPr>
      <w:r w:rsidRPr="00E606DA">
        <w:rPr>
          <w:rFonts w:ascii="Calibri" w:hAnsi="Calibri" w:cs="Calibri"/>
        </w:rPr>
        <w:t>Jones, R. (2019). Trust-based marketing strategies for security firms. International Journal of Marketing and Security Studies, 5(2), 112–123.</w:t>
      </w:r>
    </w:p>
    <w:p w14:paraId="62F3F67C" w14:textId="77777777" w:rsidR="00E606DA" w:rsidRPr="00E606DA" w:rsidRDefault="00E606DA" w:rsidP="00E606DA">
      <w:pPr>
        <w:rPr>
          <w:rFonts w:ascii="Calibri" w:hAnsi="Calibri" w:cs="Calibri"/>
        </w:rPr>
      </w:pPr>
      <w:proofErr w:type="spellStart"/>
      <w:r w:rsidRPr="00E606DA">
        <w:rPr>
          <w:rFonts w:ascii="Calibri" w:hAnsi="Calibri" w:cs="Calibri"/>
        </w:rPr>
        <w:t>Kapferer</w:t>
      </w:r>
      <w:proofErr w:type="spellEnd"/>
      <w:r w:rsidRPr="00E606DA">
        <w:rPr>
          <w:rFonts w:ascii="Calibri" w:hAnsi="Calibri" w:cs="Calibri"/>
        </w:rPr>
        <w:t>, J.N. &amp; Bastien, V. (2012). The Luxury Strategy: Break the Rules of Marketing to Build Luxury Brands (2nd ed.). Kogan Page.</w:t>
      </w:r>
    </w:p>
    <w:p w14:paraId="7AB893DF" w14:textId="77777777" w:rsidR="00E606DA" w:rsidRPr="00E606DA" w:rsidRDefault="00E606DA" w:rsidP="00E606DA">
      <w:pPr>
        <w:rPr>
          <w:rFonts w:ascii="Calibri" w:hAnsi="Calibri" w:cs="Calibri"/>
        </w:rPr>
      </w:pPr>
      <w:r w:rsidRPr="00E606DA">
        <w:rPr>
          <w:rFonts w:ascii="Calibri" w:hAnsi="Calibri" w:cs="Calibri"/>
        </w:rPr>
        <w:t>Lages, L.F., Silva, G., Styles, C., &amp; Pereira, Z.L. (2009). The NEP scale: A measure of marketing networking effects on performance. International Marketing Review, 26(4/5), 400–422.</w:t>
      </w:r>
    </w:p>
    <w:p w14:paraId="5BA0E927" w14:textId="77777777" w:rsidR="00E606DA" w:rsidRPr="00E606DA" w:rsidRDefault="00E606DA" w:rsidP="00E606DA">
      <w:pPr>
        <w:rPr>
          <w:rFonts w:ascii="Calibri" w:hAnsi="Calibri" w:cs="Calibri"/>
        </w:rPr>
      </w:pPr>
      <w:r w:rsidRPr="00E606DA">
        <w:rPr>
          <w:rFonts w:ascii="Calibri" w:hAnsi="Calibri" w:cs="Calibri"/>
        </w:rPr>
        <w:t>Levy, M. &amp; Powell, P. (2005). Strategies for Growth in SMEs: The Role of Information and Information Systems. Elsevier.</w:t>
      </w:r>
    </w:p>
    <w:p w14:paraId="4F2EF067" w14:textId="77777777" w:rsidR="00E606DA" w:rsidRPr="00E606DA" w:rsidRDefault="00E606DA" w:rsidP="00E606DA">
      <w:pPr>
        <w:rPr>
          <w:rFonts w:ascii="Calibri" w:hAnsi="Calibri" w:cs="Calibri"/>
        </w:rPr>
      </w:pPr>
      <w:r w:rsidRPr="00E606DA">
        <w:rPr>
          <w:rFonts w:ascii="Calibri" w:hAnsi="Calibri" w:cs="Calibri"/>
        </w:rPr>
        <w:t>McCarthy, J. (2020). Premium branding for SMEs: Case studies in the security sector. SME Journal of Branding Strategies, 8(1), 25–39.</w:t>
      </w:r>
    </w:p>
    <w:p w14:paraId="09DECEEB" w14:textId="77777777" w:rsidR="00E606DA" w:rsidRPr="00E606DA" w:rsidRDefault="00E606DA" w:rsidP="00E606DA">
      <w:pPr>
        <w:rPr>
          <w:rFonts w:ascii="Calibri" w:hAnsi="Calibri" w:cs="Calibri"/>
        </w:rPr>
      </w:pPr>
      <w:r w:rsidRPr="00E606DA">
        <w:rPr>
          <w:rFonts w:ascii="Calibri" w:hAnsi="Calibri" w:cs="Calibri"/>
        </w:rPr>
        <w:t>Merrilees, B., Rundle-Thiele, S., &amp; Lye, A. (2011). Marketing capabilities: Antecedents and implications for B2B SME performance. Industrial Marketing Management, 40(3), 368–375.</w:t>
      </w:r>
    </w:p>
    <w:p w14:paraId="029B0F33" w14:textId="77777777" w:rsidR="00E606DA" w:rsidRPr="00E606DA" w:rsidRDefault="00E606DA" w:rsidP="00E606DA">
      <w:pPr>
        <w:rPr>
          <w:rFonts w:ascii="Calibri" w:hAnsi="Calibri" w:cs="Calibri"/>
        </w:rPr>
      </w:pPr>
      <w:r w:rsidRPr="00E606DA">
        <w:rPr>
          <w:rFonts w:ascii="Calibri" w:hAnsi="Calibri" w:cs="Calibri"/>
        </w:rPr>
        <w:t>Morrish, S.C. (2011). Entrepreneurial marketing: a strategy for the twenty-first century? Journal of Research in Marketing and Entrepreneurship, 13(2), 110–119.</w:t>
      </w:r>
    </w:p>
    <w:p w14:paraId="2ADD335D" w14:textId="77777777" w:rsidR="00E606DA" w:rsidRPr="00E606DA" w:rsidRDefault="00E606DA" w:rsidP="00E606DA">
      <w:pPr>
        <w:rPr>
          <w:rFonts w:ascii="Calibri" w:hAnsi="Calibri" w:cs="Calibri"/>
        </w:rPr>
      </w:pPr>
      <w:r w:rsidRPr="00E606DA">
        <w:rPr>
          <w:rFonts w:ascii="Calibri" w:hAnsi="Calibri" w:cs="Calibri"/>
        </w:rPr>
        <w:t xml:space="preserve">Ngo, L.V. &amp; </w:t>
      </w:r>
      <w:proofErr w:type="spellStart"/>
      <w:r w:rsidRPr="00E606DA">
        <w:rPr>
          <w:rFonts w:ascii="Calibri" w:hAnsi="Calibri" w:cs="Calibri"/>
        </w:rPr>
        <w:t>O’Cass</w:t>
      </w:r>
      <w:proofErr w:type="spellEnd"/>
      <w:r w:rsidRPr="00E606DA">
        <w:rPr>
          <w:rFonts w:ascii="Calibri" w:hAnsi="Calibri" w:cs="Calibri"/>
        </w:rPr>
        <w:t>, A. (2012). In search of innovation and customer‐related performance superiority: The role of market orientation, marketing capability, and innovation capability. Journal of Product Innovation Management, 29(5), 861–877.</w:t>
      </w:r>
    </w:p>
    <w:p w14:paraId="6BF0D682" w14:textId="77777777" w:rsidR="00E606DA" w:rsidRPr="00E606DA" w:rsidRDefault="00E606DA" w:rsidP="00E606DA">
      <w:pPr>
        <w:rPr>
          <w:rFonts w:ascii="Calibri" w:hAnsi="Calibri" w:cs="Calibri"/>
        </w:rPr>
      </w:pPr>
      <w:r w:rsidRPr="00E606DA">
        <w:rPr>
          <w:rFonts w:ascii="Calibri" w:hAnsi="Calibri" w:cs="Calibri"/>
        </w:rPr>
        <w:t>O’Donnell, A., Gilmore, A., Carson, D., &amp; Cummins, D. (2002). Competitive advantage in small to medium-sized enterprises. Journal of Strategic Marketing, 10(3), 205–223.</w:t>
      </w:r>
    </w:p>
    <w:p w14:paraId="7EDDA9AB" w14:textId="77777777" w:rsidR="00E606DA" w:rsidRPr="00E606DA" w:rsidRDefault="00E606DA" w:rsidP="00E606DA">
      <w:pPr>
        <w:rPr>
          <w:rFonts w:ascii="Calibri" w:hAnsi="Calibri" w:cs="Calibri"/>
        </w:rPr>
      </w:pPr>
      <w:r w:rsidRPr="00E606DA">
        <w:rPr>
          <w:rFonts w:ascii="Calibri" w:hAnsi="Calibri" w:cs="Calibri"/>
        </w:rPr>
        <w:t>O’Dwyer, M., Gilmore, A., &amp; Carson, D. (2009). Innovative marketing in SMEs. European Journal of Marketing, 43(1/2), 46–61.</w:t>
      </w:r>
    </w:p>
    <w:p w14:paraId="0D1A6E0B" w14:textId="77777777" w:rsidR="00E606DA" w:rsidRPr="00E606DA" w:rsidRDefault="00E606DA" w:rsidP="00E606DA">
      <w:pPr>
        <w:rPr>
          <w:rFonts w:ascii="Calibri" w:hAnsi="Calibri" w:cs="Calibri"/>
        </w:rPr>
      </w:pPr>
      <w:r w:rsidRPr="00E606DA">
        <w:rPr>
          <w:rFonts w:ascii="Calibri" w:hAnsi="Calibri" w:cs="Calibri"/>
        </w:rPr>
        <w:t>Panagiotou, G. (2003). Bringing SWOT into focus. Business Strategy Review, 14(2), 8–10.</w:t>
      </w:r>
    </w:p>
    <w:p w14:paraId="6F95C5B9" w14:textId="3558E221" w:rsidR="00E606DA" w:rsidRPr="00E606DA" w:rsidRDefault="00E606DA" w:rsidP="00E606DA">
      <w:pPr>
        <w:rPr>
          <w:rFonts w:ascii="Calibri" w:hAnsi="Calibri" w:cs="Calibri"/>
        </w:rPr>
      </w:pPr>
      <w:r w:rsidRPr="00E606DA">
        <w:rPr>
          <w:rFonts w:ascii="Calibri" w:hAnsi="Calibri" w:cs="Calibri"/>
        </w:rPr>
        <w:t>medium-sized manufacturing firms. Journal of Small Business Management, 38(1), 48–67.</w:t>
      </w:r>
    </w:p>
    <w:p w14:paraId="2A028262" w14:textId="77777777" w:rsidR="00E606DA" w:rsidRPr="00E606DA" w:rsidRDefault="00E606DA" w:rsidP="00E606DA">
      <w:pPr>
        <w:rPr>
          <w:rFonts w:ascii="Calibri" w:hAnsi="Calibri" w:cs="Calibri"/>
        </w:rPr>
      </w:pPr>
      <w:r w:rsidRPr="00E606DA">
        <w:rPr>
          <w:rFonts w:ascii="Calibri" w:hAnsi="Calibri" w:cs="Calibri"/>
        </w:rPr>
        <w:t>Pickton, D.W. &amp; Wright, S. (1998). What’s SWOT in strategic analysis? Strategic Change, 7(2), 101–109.</w:t>
      </w:r>
    </w:p>
    <w:p w14:paraId="79775C24" w14:textId="3060D61E" w:rsidR="00E606DA" w:rsidRPr="00E606DA" w:rsidRDefault="00E606DA" w:rsidP="00E606DA">
      <w:pPr>
        <w:rPr>
          <w:rFonts w:ascii="Calibri" w:hAnsi="Calibri" w:cs="Calibri"/>
        </w:rPr>
      </w:pPr>
      <w:r w:rsidRPr="00E606DA">
        <w:rPr>
          <w:rFonts w:ascii="Calibri" w:hAnsi="Calibri" w:cs="Calibri"/>
        </w:rPr>
        <w:t>Porter, M.E. (1985). Competitive Advantage: Creating and Sustaining Superior Performance. Free Press.</w:t>
      </w:r>
    </w:p>
    <w:p w14:paraId="7316C3CA" w14:textId="77777777" w:rsidR="00E606DA" w:rsidRPr="00E606DA" w:rsidRDefault="00E606DA" w:rsidP="00E606DA">
      <w:pPr>
        <w:rPr>
          <w:rFonts w:ascii="Calibri" w:hAnsi="Calibri" w:cs="Calibri"/>
        </w:rPr>
      </w:pPr>
      <w:r w:rsidRPr="00E606DA">
        <w:rPr>
          <w:rFonts w:ascii="Calibri" w:hAnsi="Calibri" w:cs="Calibri"/>
        </w:rPr>
        <w:t>Priem, R.L. &amp; Butler, J.E. (2001). Is the resource-based view a useful perspective for strategic management research? Academy of Management Review, 26(1), 22–40.</w:t>
      </w:r>
    </w:p>
    <w:p w14:paraId="0E797209" w14:textId="77777777" w:rsidR="00E606DA" w:rsidRPr="00E606DA" w:rsidRDefault="00E606DA" w:rsidP="00E606DA">
      <w:pPr>
        <w:rPr>
          <w:rFonts w:ascii="Calibri" w:hAnsi="Calibri" w:cs="Calibri"/>
        </w:rPr>
      </w:pPr>
      <w:r w:rsidRPr="00E606DA">
        <w:rPr>
          <w:rFonts w:ascii="Calibri" w:hAnsi="Calibri" w:cs="Calibri"/>
        </w:rPr>
        <w:t>Reijonen, H. (2010). Do all SMEs practice same kind of marketing? Journal of Small Business and Enterprise Development, 17(2), 279–293.</w:t>
      </w:r>
    </w:p>
    <w:p w14:paraId="19A46E28" w14:textId="77777777" w:rsidR="00E606DA" w:rsidRPr="00E606DA" w:rsidRDefault="00E606DA" w:rsidP="00E606DA">
      <w:pPr>
        <w:rPr>
          <w:rFonts w:ascii="Calibri" w:hAnsi="Calibri" w:cs="Calibri"/>
        </w:rPr>
      </w:pPr>
      <w:r w:rsidRPr="00E606DA">
        <w:rPr>
          <w:rFonts w:ascii="Calibri" w:hAnsi="Calibri" w:cs="Calibri"/>
        </w:rPr>
        <w:lastRenderedPageBreak/>
        <w:t>Resnick, S., Cheng, R., Brindley, C., &amp; Foster, C. (2011). Aligning teaching and practice: a study of SME marketing. Journal of Research in Marketing and Entrepreneurship, 13(1), 37–46.</w:t>
      </w:r>
    </w:p>
    <w:p w14:paraId="51EFF6C0" w14:textId="77777777" w:rsidR="00E606DA" w:rsidRPr="00E606DA" w:rsidRDefault="00E606DA" w:rsidP="00E606DA">
      <w:pPr>
        <w:rPr>
          <w:rFonts w:ascii="Calibri" w:hAnsi="Calibri" w:cs="Calibri"/>
        </w:rPr>
      </w:pPr>
      <w:r w:rsidRPr="00E606DA">
        <w:rPr>
          <w:rFonts w:ascii="Calibri" w:hAnsi="Calibri" w:cs="Calibri"/>
        </w:rPr>
        <w:t>Reuber, A.R. &amp; Fischer, E. (2005). The company you keep: How young firms in different competitive contexts signal reputation through their customers. Entrepreneurship Theory and Practice, 29(1), 57–78.</w:t>
      </w:r>
    </w:p>
    <w:p w14:paraId="2ED3FC2D" w14:textId="77777777" w:rsidR="00E606DA" w:rsidRPr="00E606DA" w:rsidRDefault="00E606DA" w:rsidP="00E606DA">
      <w:pPr>
        <w:rPr>
          <w:rFonts w:ascii="Calibri" w:hAnsi="Calibri" w:cs="Calibri"/>
        </w:rPr>
      </w:pPr>
      <w:r w:rsidRPr="00E606DA">
        <w:rPr>
          <w:rFonts w:ascii="Calibri" w:hAnsi="Calibri" w:cs="Calibri"/>
        </w:rPr>
        <w:t>Runyan, R., Droge, C., &amp; Swinney, J. (2008). Entrepreneurial orientation versus small business orientation: What are their relationships to firm performance? Journal of Small Business Management, 46(4), 567–588.</w:t>
      </w:r>
    </w:p>
    <w:p w14:paraId="20877669" w14:textId="77777777" w:rsidR="00E606DA" w:rsidRPr="00E606DA" w:rsidRDefault="00E606DA" w:rsidP="00E606DA">
      <w:pPr>
        <w:rPr>
          <w:rFonts w:ascii="Calibri" w:hAnsi="Calibri" w:cs="Calibri"/>
        </w:rPr>
      </w:pPr>
      <w:r w:rsidRPr="00E606DA">
        <w:rPr>
          <w:rFonts w:ascii="Calibri" w:hAnsi="Calibri" w:cs="Calibri"/>
        </w:rPr>
        <w:t xml:space="preserve">Slater, S.F. &amp; </w:t>
      </w:r>
      <w:proofErr w:type="spellStart"/>
      <w:r w:rsidRPr="00E606DA">
        <w:rPr>
          <w:rFonts w:ascii="Calibri" w:hAnsi="Calibri" w:cs="Calibri"/>
        </w:rPr>
        <w:t>Narver</w:t>
      </w:r>
      <w:proofErr w:type="spellEnd"/>
      <w:r w:rsidRPr="00E606DA">
        <w:rPr>
          <w:rFonts w:ascii="Calibri" w:hAnsi="Calibri" w:cs="Calibri"/>
        </w:rPr>
        <w:t>, J.C. (2000). The positive effect of a market orientation on business profitability: A balanced replication. Journal of Business Research, 48(1), 69–73.</w:t>
      </w:r>
    </w:p>
    <w:p w14:paraId="43559F78" w14:textId="77777777" w:rsidR="00E606DA" w:rsidRPr="00E606DA" w:rsidRDefault="00E606DA" w:rsidP="00E606DA">
      <w:pPr>
        <w:rPr>
          <w:rFonts w:ascii="Calibri" w:hAnsi="Calibri" w:cs="Calibri"/>
        </w:rPr>
      </w:pPr>
      <w:r w:rsidRPr="00E606DA">
        <w:rPr>
          <w:rFonts w:ascii="Calibri" w:hAnsi="Calibri" w:cs="Calibri"/>
        </w:rPr>
        <w:t>Smith, J. &amp; Williams, K. (2021). Marketing challenges in the security systems industry: The SME perspective. Journal of Marketing in Security Solutions, 10(2), 67–82.</w:t>
      </w:r>
    </w:p>
    <w:p w14:paraId="3DAB7615" w14:textId="77777777" w:rsidR="00E606DA" w:rsidRPr="00E606DA" w:rsidRDefault="00E606DA" w:rsidP="00E606DA">
      <w:pPr>
        <w:rPr>
          <w:rFonts w:ascii="Calibri" w:hAnsi="Calibri" w:cs="Calibri"/>
        </w:rPr>
      </w:pPr>
      <w:r w:rsidRPr="00E606DA">
        <w:rPr>
          <w:rFonts w:ascii="Calibri" w:hAnsi="Calibri" w:cs="Calibri"/>
        </w:rPr>
        <w:t>Spencer, B., Joiner, T.A., &amp; Salmon, S. (2009). Differentiation strategy, performance measurement systems and organizational performance. Journal of Business Research, 62(8), 790–797.</w:t>
      </w:r>
    </w:p>
    <w:p w14:paraId="5DA27DF3" w14:textId="77777777" w:rsidR="00E606DA" w:rsidRPr="00E606DA" w:rsidRDefault="00E606DA" w:rsidP="00E606DA">
      <w:pPr>
        <w:rPr>
          <w:rFonts w:ascii="Calibri" w:hAnsi="Calibri" w:cs="Calibri"/>
        </w:rPr>
      </w:pPr>
      <w:r w:rsidRPr="00E606DA">
        <w:rPr>
          <w:rFonts w:ascii="Calibri" w:hAnsi="Calibri" w:cs="Calibri"/>
        </w:rPr>
        <w:t>Stokes, D. (2000). Putting entrepreneurship into marketing. Journal of Research in Marketing and Entrepreneurship, 2(1), 1–16.</w:t>
      </w:r>
    </w:p>
    <w:p w14:paraId="0E80F4CF" w14:textId="77777777" w:rsidR="00E606DA" w:rsidRPr="00E606DA" w:rsidRDefault="00E606DA" w:rsidP="00E606DA">
      <w:pPr>
        <w:rPr>
          <w:rFonts w:ascii="Calibri" w:hAnsi="Calibri" w:cs="Calibri"/>
        </w:rPr>
      </w:pPr>
      <w:r w:rsidRPr="00E606DA">
        <w:rPr>
          <w:rFonts w:ascii="Calibri" w:hAnsi="Calibri" w:cs="Calibri"/>
        </w:rPr>
        <w:t>Stokes, D. &amp; Wilson, N. (2010). Small business management and entrepreneurship. Cengage Learning EMEA.</w:t>
      </w:r>
    </w:p>
    <w:p w14:paraId="20CAE39C" w14:textId="77777777" w:rsidR="00E606DA" w:rsidRPr="00E606DA" w:rsidRDefault="00E606DA" w:rsidP="00E606DA">
      <w:pPr>
        <w:rPr>
          <w:rFonts w:ascii="Calibri" w:hAnsi="Calibri" w:cs="Calibri"/>
        </w:rPr>
      </w:pPr>
      <w:proofErr w:type="spellStart"/>
      <w:r w:rsidRPr="00E606DA">
        <w:rPr>
          <w:rFonts w:ascii="Calibri" w:hAnsi="Calibri" w:cs="Calibri"/>
        </w:rPr>
        <w:t>Vrontis</w:t>
      </w:r>
      <w:proofErr w:type="spellEnd"/>
      <w:r w:rsidRPr="00E606DA">
        <w:rPr>
          <w:rFonts w:ascii="Calibri" w:hAnsi="Calibri" w:cs="Calibri"/>
        </w:rPr>
        <w:t xml:space="preserve">, D., </w:t>
      </w:r>
      <w:proofErr w:type="spellStart"/>
      <w:r w:rsidRPr="00E606DA">
        <w:rPr>
          <w:rFonts w:ascii="Calibri" w:hAnsi="Calibri" w:cs="Calibri"/>
        </w:rPr>
        <w:t>Thrassou</w:t>
      </w:r>
      <w:proofErr w:type="spellEnd"/>
      <w:r w:rsidRPr="00E606DA">
        <w:rPr>
          <w:rFonts w:ascii="Calibri" w:hAnsi="Calibri" w:cs="Calibri"/>
        </w:rPr>
        <w:t xml:space="preserve">, A., &amp; </w:t>
      </w:r>
      <w:proofErr w:type="spellStart"/>
      <w:r w:rsidRPr="00E606DA">
        <w:rPr>
          <w:rFonts w:ascii="Calibri" w:hAnsi="Calibri" w:cs="Calibri"/>
        </w:rPr>
        <w:t>Lamprianou</w:t>
      </w:r>
      <w:proofErr w:type="spellEnd"/>
      <w:r w:rsidRPr="00E606DA">
        <w:rPr>
          <w:rFonts w:ascii="Calibri" w:hAnsi="Calibri" w:cs="Calibri"/>
        </w:rPr>
        <w:t>, I. (2009). International marketing adaptation versus standardisation of multinational companies. International Marketing Review, 26(4/5), 477–500.</w:t>
      </w:r>
    </w:p>
    <w:p w14:paraId="38A43B7E" w14:textId="77777777" w:rsidR="00E606DA" w:rsidRPr="00E606DA" w:rsidRDefault="00E606DA" w:rsidP="00E606DA">
      <w:pPr>
        <w:rPr>
          <w:rFonts w:ascii="Calibri" w:hAnsi="Calibri" w:cs="Calibri"/>
        </w:rPr>
      </w:pPr>
      <w:r w:rsidRPr="00E606DA">
        <w:rPr>
          <w:rFonts w:ascii="Calibri" w:hAnsi="Calibri" w:cs="Calibri"/>
        </w:rPr>
        <w:t>Wernerfelt, B. (1984). A resource‐based view of the firm. Strategic Management Journal, 5(2), 171–180.</w:t>
      </w:r>
    </w:p>
    <w:p w14:paraId="2111374F" w14:textId="77777777" w:rsidR="00E606DA" w:rsidRDefault="00E606DA" w:rsidP="00E606DA">
      <w:pPr>
        <w:rPr>
          <w:rFonts w:ascii="Calibri" w:hAnsi="Calibri" w:cs="Calibri"/>
        </w:rPr>
      </w:pPr>
      <w:r w:rsidRPr="00E606DA">
        <w:rPr>
          <w:rFonts w:ascii="Calibri" w:hAnsi="Calibri" w:cs="Calibri"/>
        </w:rPr>
        <w:t>Wright, M., Roper, S., Hart, M., &amp; Carter, S. (2015). Joining the dots: Building the evidence base for SME growth policy. International Small Business Journal, 33(1), 3–11.</w:t>
      </w:r>
    </w:p>
    <w:p w14:paraId="740AB989" w14:textId="77777777" w:rsidR="00E606DA" w:rsidRPr="00AE0986" w:rsidRDefault="00E606DA" w:rsidP="00062407">
      <w:pPr>
        <w:rPr>
          <w:rFonts w:ascii="Calibri" w:hAnsi="Calibri" w:cs="Calibri"/>
        </w:rPr>
      </w:pPr>
    </w:p>
    <w:sectPr w:rsidR="00E606DA" w:rsidRPr="00AE098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6A632" w14:textId="77777777" w:rsidR="00923D3E" w:rsidRDefault="00923D3E" w:rsidP="000552C0">
      <w:pPr>
        <w:spacing w:after="0" w:line="240" w:lineRule="auto"/>
      </w:pPr>
      <w:r>
        <w:separator/>
      </w:r>
    </w:p>
  </w:endnote>
  <w:endnote w:type="continuationSeparator" w:id="0">
    <w:p w14:paraId="067F7E14" w14:textId="77777777" w:rsidR="00923D3E" w:rsidRDefault="00923D3E" w:rsidP="00055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786B5" w14:textId="77777777" w:rsidR="000552C0" w:rsidRDefault="000552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E152A" w14:textId="77777777" w:rsidR="000552C0" w:rsidRDefault="000552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4295F" w14:textId="77777777" w:rsidR="000552C0" w:rsidRDefault="00055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B00C3" w14:textId="77777777" w:rsidR="00923D3E" w:rsidRDefault="00923D3E" w:rsidP="000552C0">
      <w:pPr>
        <w:spacing w:after="0" w:line="240" w:lineRule="auto"/>
      </w:pPr>
      <w:r>
        <w:separator/>
      </w:r>
    </w:p>
  </w:footnote>
  <w:footnote w:type="continuationSeparator" w:id="0">
    <w:p w14:paraId="6B600520" w14:textId="77777777" w:rsidR="00923D3E" w:rsidRDefault="00923D3E" w:rsidP="00055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AF46B" w14:textId="77777777" w:rsidR="000552C0" w:rsidRDefault="000552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D9E5C" w14:textId="77777777" w:rsidR="000552C0" w:rsidRDefault="000552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6E452" w14:textId="77777777" w:rsidR="000552C0" w:rsidRDefault="000552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65CD4"/>
    <w:multiLevelType w:val="hybridMultilevel"/>
    <w:tmpl w:val="4BC437B8"/>
    <w:lvl w:ilvl="0" w:tplc="ADC4DBC8">
      <w:start w:val="5"/>
      <w:numFmt w:val="bullet"/>
      <w:lvlText w:val="-"/>
      <w:lvlJc w:val="left"/>
      <w:pPr>
        <w:ind w:left="456" w:hanging="360"/>
      </w:pPr>
      <w:rPr>
        <w:rFonts w:ascii="Calibri" w:eastAsiaTheme="minorHAnsi" w:hAnsi="Calibri" w:cs="Calibri" w:hint="default"/>
      </w:rPr>
    </w:lvl>
    <w:lvl w:ilvl="1" w:tplc="08090003" w:tentative="1">
      <w:start w:val="1"/>
      <w:numFmt w:val="bullet"/>
      <w:lvlText w:val="o"/>
      <w:lvlJc w:val="left"/>
      <w:pPr>
        <w:ind w:left="1176" w:hanging="360"/>
      </w:pPr>
      <w:rPr>
        <w:rFonts w:ascii="Courier New" w:hAnsi="Courier New" w:cs="Courier New" w:hint="default"/>
      </w:rPr>
    </w:lvl>
    <w:lvl w:ilvl="2" w:tplc="08090005" w:tentative="1">
      <w:start w:val="1"/>
      <w:numFmt w:val="bullet"/>
      <w:lvlText w:val=""/>
      <w:lvlJc w:val="left"/>
      <w:pPr>
        <w:ind w:left="1896" w:hanging="360"/>
      </w:pPr>
      <w:rPr>
        <w:rFonts w:ascii="Wingdings" w:hAnsi="Wingdings" w:hint="default"/>
      </w:rPr>
    </w:lvl>
    <w:lvl w:ilvl="3" w:tplc="08090001" w:tentative="1">
      <w:start w:val="1"/>
      <w:numFmt w:val="bullet"/>
      <w:lvlText w:val=""/>
      <w:lvlJc w:val="left"/>
      <w:pPr>
        <w:ind w:left="2616" w:hanging="360"/>
      </w:pPr>
      <w:rPr>
        <w:rFonts w:ascii="Symbol" w:hAnsi="Symbol" w:hint="default"/>
      </w:rPr>
    </w:lvl>
    <w:lvl w:ilvl="4" w:tplc="08090003" w:tentative="1">
      <w:start w:val="1"/>
      <w:numFmt w:val="bullet"/>
      <w:lvlText w:val="o"/>
      <w:lvlJc w:val="left"/>
      <w:pPr>
        <w:ind w:left="3336" w:hanging="360"/>
      </w:pPr>
      <w:rPr>
        <w:rFonts w:ascii="Courier New" w:hAnsi="Courier New" w:cs="Courier New" w:hint="default"/>
      </w:rPr>
    </w:lvl>
    <w:lvl w:ilvl="5" w:tplc="08090005" w:tentative="1">
      <w:start w:val="1"/>
      <w:numFmt w:val="bullet"/>
      <w:lvlText w:val=""/>
      <w:lvlJc w:val="left"/>
      <w:pPr>
        <w:ind w:left="4056" w:hanging="360"/>
      </w:pPr>
      <w:rPr>
        <w:rFonts w:ascii="Wingdings" w:hAnsi="Wingdings" w:hint="default"/>
      </w:rPr>
    </w:lvl>
    <w:lvl w:ilvl="6" w:tplc="08090001" w:tentative="1">
      <w:start w:val="1"/>
      <w:numFmt w:val="bullet"/>
      <w:lvlText w:val=""/>
      <w:lvlJc w:val="left"/>
      <w:pPr>
        <w:ind w:left="4776" w:hanging="360"/>
      </w:pPr>
      <w:rPr>
        <w:rFonts w:ascii="Symbol" w:hAnsi="Symbol" w:hint="default"/>
      </w:rPr>
    </w:lvl>
    <w:lvl w:ilvl="7" w:tplc="08090003" w:tentative="1">
      <w:start w:val="1"/>
      <w:numFmt w:val="bullet"/>
      <w:lvlText w:val="o"/>
      <w:lvlJc w:val="left"/>
      <w:pPr>
        <w:ind w:left="5496" w:hanging="360"/>
      </w:pPr>
      <w:rPr>
        <w:rFonts w:ascii="Courier New" w:hAnsi="Courier New" w:cs="Courier New" w:hint="default"/>
      </w:rPr>
    </w:lvl>
    <w:lvl w:ilvl="8" w:tplc="08090005" w:tentative="1">
      <w:start w:val="1"/>
      <w:numFmt w:val="bullet"/>
      <w:lvlText w:val=""/>
      <w:lvlJc w:val="left"/>
      <w:pPr>
        <w:ind w:left="6216" w:hanging="360"/>
      </w:pPr>
      <w:rPr>
        <w:rFonts w:ascii="Wingdings" w:hAnsi="Wingdings" w:hint="default"/>
      </w:rPr>
    </w:lvl>
  </w:abstractNum>
  <w:abstractNum w:abstractNumId="1" w15:restartNumberingAfterBreak="0">
    <w:nsid w:val="332D041B"/>
    <w:multiLevelType w:val="multilevel"/>
    <w:tmpl w:val="CFE4FA44"/>
    <w:lvl w:ilvl="0">
      <w:start w:val="1"/>
      <w:numFmt w:val="decimal"/>
      <w:lvlText w:val="%1."/>
      <w:lvlJc w:val="left"/>
      <w:pPr>
        <w:ind w:left="786"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0FF114F"/>
    <w:multiLevelType w:val="multilevel"/>
    <w:tmpl w:val="5F328D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08997511">
    <w:abstractNumId w:val="0"/>
  </w:num>
  <w:num w:numId="2" w16cid:durableId="1905221211">
    <w:abstractNumId w:val="1"/>
  </w:num>
  <w:num w:numId="3" w16cid:durableId="993266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959"/>
    <w:rsid w:val="00045E07"/>
    <w:rsid w:val="000552C0"/>
    <w:rsid w:val="00062407"/>
    <w:rsid w:val="00170B5C"/>
    <w:rsid w:val="001F244C"/>
    <w:rsid w:val="003212AA"/>
    <w:rsid w:val="003477F2"/>
    <w:rsid w:val="0036153D"/>
    <w:rsid w:val="003E298E"/>
    <w:rsid w:val="00400E5B"/>
    <w:rsid w:val="00406036"/>
    <w:rsid w:val="00472DB9"/>
    <w:rsid w:val="00480ECA"/>
    <w:rsid w:val="004D07BF"/>
    <w:rsid w:val="00504BAF"/>
    <w:rsid w:val="007F23B5"/>
    <w:rsid w:val="007F5240"/>
    <w:rsid w:val="00815DBE"/>
    <w:rsid w:val="00923D3E"/>
    <w:rsid w:val="009A33C8"/>
    <w:rsid w:val="009C4C35"/>
    <w:rsid w:val="00A0462C"/>
    <w:rsid w:val="00A55959"/>
    <w:rsid w:val="00AC341B"/>
    <w:rsid w:val="00AE0986"/>
    <w:rsid w:val="00B11635"/>
    <w:rsid w:val="00BA3EC6"/>
    <w:rsid w:val="00CB2895"/>
    <w:rsid w:val="00CD1D2C"/>
    <w:rsid w:val="00CD2555"/>
    <w:rsid w:val="00D06A96"/>
    <w:rsid w:val="00D9288D"/>
    <w:rsid w:val="00DE1AF5"/>
    <w:rsid w:val="00E606DA"/>
    <w:rsid w:val="00EA7ED0"/>
    <w:rsid w:val="00EF6AA1"/>
    <w:rsid w:val="00F35D49"/>
    <w:rsid w:val="00F43650"/>
    <w:rsid w:val="00F76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068E0"/>
  <w15:chartTrackingRefBased/>
  <w15:docId w15:val="{0AD70B65-AB87-4180-95C6-E70C06783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A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1A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555"/>
    <w:pPr>
      <w:ind w:left="720"/>
      <w:contextualSpacing/>
    </w:pPr>
  </w:style>
  <w:style w:type="character" w:styleId="Strong">
    <w:name w:val="Strong"/>
    <w:basedOn w:val="DefaultParagraphFont"/>
    <w:uiPriority w:val="22"/>
    <w:qFormat/>
    <w:rsid w:val="00D9288D"/>
    <w:rPr>
      <w:b/>
      <w:bCs/>
    </w:rPr>
  </w:style>
  <w:style w:type="table" w:styleId="TableGrid">
    <w:name w:val="Table Grid"/>
    <w:basedOn w:val="TableNormal"/>
    <w:uiPriority w:val="39"/>
    <w:rsid w:val="007F5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06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E1A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1AF5"/>
    <w:pPr>
      <w:outlineLvl w:val="9"/>
    </w:pPr>
    <w:rPr>
      <w:kern w:val="0"/>
      <w:lang w:val="en-US"/>
      <w14:ligatures w14:val="none"/>
    </w:rPr>
  </w:style>
  <w:style w:type="paragraph" w:styleId="TOC1">
    <w:name w:val="toc 1"/>
    <w:basedOn w:val="Normal"/>
    <w:next w:val="Normal"/>
    <w:autoRedefine/>
    <w:uiPriority w:val="39"/>
    <w:unhideWhenUsed/>
    <w:rsid w:val="00DE1AF5"/>
    <w:pPr>
      <w:spacing w:after="100"/>
    </w:pPr>
  </w:style>
  <w:style w:type="character" w:styleId="Hyperlink">
    <w:name w:val="Hyperlink"/>
    <w:basedOn w:val="DefaultParagraphFont"/>
    <w:uiPriority w:val="99"/>
    <w:unhideWhenUsed/>
    <w:rsid w:val="00DE1AF5"/>
    <w:rPr>
      <w:color w:val="0563C1" w:themeColor="hyperlink"/>
      <w:u w:val="single"/>
    </w:rPr>
  </w:style>
  <w:style w:type="paragraph" w:styleId="Subtitle">
    <w:name w:val="Subtitle"/>
    <w:basedOn w:val="Normal"/>
    <w:next w:val="Normal"/>
    <w:link w:val="SubtitleChar"/>
    <w:uiPriority w:val="11"/>
    <w:qFormat/>
    <w:rsid w:val="00DE1AF5"/>
  </w:style>
  <w:style w:type="character" w:customStyle="1" w:styleId="SubtitleChar">
    <w:name w:val="Subtitle Char"/>
    <w:basedOn w:val="DefaultParagraphFont"/>
    <w:link w:val="Subtitle"/>
    <w:uiPriority w:val="11"/>
    <w:rsid w:val="00DE1AF5"/>
  </w:style>
  <w:style w:type="character" w:customStyle="1" w:styleId="Heading2Char">
    <w:name w:val="Heading 2 Char"/>
    <w:basedOn w:val="DefaultParagraphFont"/>
    <w:link w:val="Heading2"/>
    <w:uiPriority w:val="9"/>
    <w:rsid w:val="00DE1A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E1AF5"/>
    <w:pPr>
      <w:spacing w:after="100"/>
      <w:ind w:left="220"/>
    </w:pPr>
  </w:style>
  <w:style w:type="paragraph" w:styleId="Header">
    <w:name w:val="header"/>
    <w:basedOn w:val="Normal"/>
    <w:link w:val="HeaderChar"/>
    <w:uiPriority w:val="99"/>
    <w:unhideWhenUsed/>
    <w:rsid w:val="00055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2C0"/>
  </w:style>
  <w:style w:type="paragraph" w:styleId="Footer">
    <w:name w:val="footer"/>
    <w:basedOn w:val="Normal"/>
    <w:link w:val="FooterChar"/>
    <w:uiPriority w:val="99"/>
    <w:unhideWhenUsed/>
    <w:rsid w:val="00055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2C0"/>
  </w:style>
  <w:style w:type="paragraph" w:styleId="Title">
    <w:name w:val="Title"/>
    <w:basedOn w:val="Normal"/>
    <w:next w:val="Normal"/>
    <w:link w:val="TitleChar"/>
    <w:uiPriority w:val="10"/>
    <w:qFormat/>
    <w:rsid w:val="009C4C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C35"/>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9C4C3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4C3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88429">
      <w:bodyDiv w:val="1"/>
      <w:marLeft w:val="0"/>
      <w:marRight w:val="0"/>
      <w:marTop w:val="0"/>
      <w:marBottom w:val="0"/>
      <w:divBdr>
        <w:top w:val="none" w:sz="0" w:space="0" w:color="auto"/>
        <w:left w:val="none" w:sz="0" w:space="0" w:color="auto"/>
        <w:bottom w:val="none" w:sz="0" w:space="0" w:color="auto"/>
        <w:right w:val="none" w:sz="0" w:space="0" w:color="auto"/>
      </w:divBdr>
    </w:div>
    <w:div w:id="211697376">
      <w:bodyDiv w:val="1"/>
      <w:marLeft w:val="0"/>
      <w:marRight w:val="0"/>
      <w:marTop w:val="0"/>
      <w:marBottom w:val="0"/>
      <w:divBdr>
        <w:top w:val="none" w:sz="0" w:space="0" w:color="auto"/>
        <w:left w:val="none" w:sz="0" w:space="0" w:color="auto"/>
        <w:bottom w:val="none" w:sz="0" w:space="0" w:color="auto"/>
        <w:right w:val="none" w:sz="0" w:space="0" w:color="auto"/>
      </w:divBdr>
    </w:div>
    <w:div w:id="493688299">
      <w:bodyDiv w:val="1"/>
      <w:marLeft w:val="0"/>
      <w:marRight w:val="0"/>
      <w:marTop w:val="0"/>
      <w:marBottom w:val="0"/>
      <w:divBdr>
        <w:top w:val="none" w:sz="0" w:space="0" w:color="auto"/>
        <w:left w:val="none" w:sz="0" w:space="0" w:color="auto"/>
        <w:bottom w:val="none" w:sz="0" w:space="0" w:color="auto"/>
        <w:right w:val="none" w:sz="0" w:space="0" w:color="auto"/>
      </w:divBdr>
    </w:div>
    <w:div w:id="1150439115">
      <w:bodyDiv w:val="1"/>
      <w:marLeft w:val="0"/>
      <w:marRight w:val="0"/>
      <w:marTop w:val="0"/>
      <w:marBottom w:val="0"/>
      <w:divBdr>
        <w:top w:val="none" w:sz="0" w:space="0" w:color="auto"/>
        <w:left w:val="none" w:sz="0" w:space="0" w:color="auto"/>
        <w:bottom w:val="none" w:sz="0" w:space="0" w:color="auto"/>
        <w:right w:val="none" w:sz="0" w:space="0" w:color="auto"/>
      </w:divBdr>
    </w:div>
    <w:div w:id="1455560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D3553-E082-482F-98E1-2134E8E4B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Pages>
  <Words>8647</Words>
  <Characters>49294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29</cp:revision>
  <dcterms:created xsi:type="dcterms:W3CDTF">2025-02-15T08:44:00Z</dcterms:created>
  <dcterms:modified xsi:type="dcterms:W3CDTF">2025-04-04T06:57:00Z</dcterms:modified>
</cp:coreProperties>
</file>