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435C027" w14:textId="61B6F6C3" w:rsidR="009242A6" w:rsidRPr="009242A6" w:rsidRDefault="009242A6" w:rsidP="009242A6">
      <w:pPr>
        <w:jc w:val="center"/>
        <w:rPr>
          <w:rFonts w:ascii="Arial" w:hAnsi="Arial" w:cs="Arial"/>
          <w:sz w:val="26"/>
          <w:szCs w:val="26"/>
        </w:rPr>
      </w:pPr>
      <w:bookmarkStart w:id="0" w:name="_Toc158730980"/>
      <w:r w:rsidRPr="009242A6">
        <w:rPr>
          <w:rFonts w:ascii="Arial" w:hAnsi="Arial" w:cs="Arial"/>
          <w:sz w:val="26"/>
          <w:szCs w:val="26"/>
        </w:rPr>
        <w:t xml:space="preserve">Case study : Urban Height Hotel </w:t>
      </w:r>
    </w:p>
    <w:p w14:paraId="0F26EBF6" w14:textId="77777777" w:rsidR="009242A6" w:rsidRDefault="009242A6" w:rsidP="009242A6">
      <w:pPr>
        <w:jc w:val="center"/>
        <w:rPr>
          <w:rFonts w:ascii="Arial" w:hAnsi="Arial" w:cs="Arial"/>
          <w:sz w:val="26"/>
          <w:szCs w:val="26"/>
        </w:rPr>
      </w:pPr>
    </w:p>
    <w:p w14:paraId="4D198ABC" w14:textId="432575D9" w:rsidR="009242A6" w:rsidRDefault="009242A6" w:rsidP="009242A6">
      <w:pPr>
        <w:jc w:val="center"/>
        <w:rPr>
          <w:rFonts w:ascii="Arial" w:hAnsi="Arial" w:cs="Arial"/>
          <w:sz w:val="26"/>
          <w:szCs w:val="26"/>
        </w:rPr>
      </w:pPr>
      <w:r>
        <w:rPr>
          <w:rFonts w:ascii="Arial" w:hAnsi="Arial" w:cs="Arial"/>
          <w:sz w:val="26"/>
          <w:szCs w:val="26"/>
        </w:rPr>
        <w:t>Student number:</w:t>
      </w:r>
      <w:bookmarkEnd w:id="0"/>
      <w:r>
        <w:rPr>
          <w:rFonts w:ascii="Arial" w:hAnsi="Arial" w:cs="Arial"/>
          <w:sz w:val="26"/>
          <w:szCs w:val="26"/>
        </w:rPr>
        <w:t xml:space="preserve"> 2224284</w:t>
      </w:r>
    </w:p>
    <w:p w14:paraId="67EC1DCB" w14:textId="77777777" w:rsidR="009242A6" w:rsidRDefault="009242A6" w:rsidP="009242A6">
      <w:pPr>
        <w:jc w:val="center"/>
        <w:rPr>
          <w:rFonts w:ascii="Arial" w:hAnsi="Arial" w:cs="Arial"/>
          <w:sz w:val="26"/>
          <w:szCs w:val="26"/>
        </w:rPr>
      </w:pPr>
    </w:p>
    <w:p w14:paraId="683FEA3B" w14:textId="77777777" w:rsidR="009242A6" w:rsidRDefault="009242A6" w:rsidP="009242A6">
      <w:pPr>
        <w:jc w:val="center"/>
        <w:rPr>
          <w:rFonts w:ascii="Arial" w:hAnsi="Arial" w:cs="Arial"/>
          <w:sz w:val="26"/>
          <w:szCs w:val="26"/>
        </w:rPr>
      </w:pPr>
      <w:r>
        <w:rPr>
          <w:rFonts w:ascii="Arial" w:hAnsi="Arial" w:cs="Arial"/>
          <w:sz w:val="26"/>
          <w:szCs w:val="26"/>
        </w:rPr>
        <w:t>Student name: Liviu-Marius Postelnicu</w:t>
      </w:r>
    </w:p>
    <w:p w14:paraId="7709D271" w14:textId="77777777" w:rsidR="009242A6" w:rsidRDefault="009242A6" w:rsidP="009242A6">
      <w:pPr>
        <w:jc w:val="center"/>
        <w:rPr>
          <w:rFonts w:ascii="Arial" w:hAnsi="Arial" w:cs="Arial"/>
          <w:sz w:val="26"/>
          <w:szCs w:val="26"/>
        </w:rPr>
      </w:pPr>
    </w:p>
    <w:p w14:paraId="4EDB204D" w14:textId="77777777" w:rsidR="009242A6" w:rsidRDefault="009242A6" w:rsidP="009242A6">
      <w:pPr>
        <w:jc w:val="center"/>
        <w:rPr>
          <w:rFonts w:ascii="Arial" w:hAnsi="Arial" w:cs="Arial"/>
          <w:sz w:val="26"/>
          <w:szCs w:val="26"/>
        </w:rPr>
      </w:pPr>
      <w:r>
        <w:rPr>
          <w:rFonts w:ascii="Arial" w:hAnsi="Arial" w:cs="Arial"/>
          <w:sz w:val="26"/>
          <w:szCs w:val="26"/>
        </w:rPr>
        <w:t>Module title: Financial Management for the Hotel Industry</w:t>
      </w:r>
    </w:p>
    <w:p w14:paraId="47730F80" w14:textId="77777777" w:rsidR="009242A6" w:rsidRDefault="009242A6" w:rsidP="009242A6">
      <w:pPr>
        <w:jc w:val="center"/>
        <w:rPr>
          <w:rFonts w:ascii="Arial" w:hAnsi="Arial" w:cs="Arial"/>
          <w:sz w:val="26"/>
          <w:szCs w:val="26"/>
        </w:rPr>
      </w:pPr>
    </w:p>
    <w:p w14:paraId="24268010" w14:textId="77777777" w:rsidR="009242A6" w:rsidRDefault="009242A6" w:rsidP="009242A6">
      <w:pPr>
        <w:jc w:val="center"/>
        <w:rPr>
          <w:rFonts w:ascii="Arial" w:hAnsi="Arial" w:cs="Arial"/>
          <w:sz w:val="26"/>
          <w:szCs w:val="26"/>
          <w:lang w:val="fr-FR"/>
        </w:rPr>
      </w:pPr>
      <w:r>
        <w:rPr>
          <w:rFonts w:ascii="Arial" w:hAnsi="Arial" w:cs="Arial"/>
          <w:sz w:val="26"/>
          <w:szCs w:val="26"/>
          <w:lang w:val="fr-FR"/>
        </w:rPr>
        <w:t>Module code : BMIH5007</w:t>
      </w:r>
    </w:p>
    <w:p w14:paraId="740BA220" w14:textId="77777777" w:rsidR="009242A6" w:rsidRDefault="009242A6" w:rsidP="009242A6">
      <w:pPr>
        <w:jc w:val="center"/>
        <w:rPr>
          <w:rFonts w:ascii="Arial" w:hAnsi="Arial" w:cs="Arial"/>
          <w:sz w:val="26"/>
          <w:szCs w:val="26"/>
          <w:lang w:val="fr-FR"/>
        </w:rPr>
      </w:pPr>
      <w:bookmarkStart w:id="1" w:name="_Toc158730987"/>
    </w:p>
    <w:p w14:paraId="7D57AE4A" w14:textId="77777777" w:rsidR="009242A6" w:rsidRDefault="009242A6" w:rsidP="009242A6">
      <w:pPr>
        <w:jc w:val="center"/>
        <w:rPr>
          <w:rFonts w:ascii="Arial" w:hAnsi="Arial" w:cs="Arial"/>
          <w:sz w:val="26"/>
          <w:szCs w:val="26"/>
          <w:lang w:val="fr-FR"/>
        </w:rPr>
      </w:pPr>
      <w:r>
        <w:rPr>
          <w:rFonts w:ascii="Arial" w:hAnsi="Arial" w:cs="Arial"/>
          <w:sz w:val="26"/>
          <w:szCs w:val="26"/>
          <w:lang w:val="fr-FR"/>
        </w:rPr>
        <w:t>Lecturer:</w:t>
      </w:r>
      <w:bookmarkEnd w:id="1"/>
      <w:r>
        <w:rPr>
          <w:rFonts w:ascii="Arial" w:hAnsi="Arial" w:cs="Arial"/>
          <w:sz w:val="26"/>
          <w:szCs w:val="26"/>
          <w:lang w:val="fr-FR"/>
        </w:rPr>
        <w:t xml:space="preserve"> Tristan Hawkins</w:t>
      </w:r>
    </w:p>
    <w:p w14:paraId="27C65913" w14:textId="77777777" w:rsidR="009242A6" w:rsidRDefault="009242A6" w:rsidP="009242A6">
      <w:pPr>
        <w:jc w:val="center"/>
        <w:rPr>
          <w:rFonts w:ascii="Arial" w:hAnsi="Arial" w:cs="Arial"/>
          <w:sz w:val="26"/>
          <w:szCs w:val="26"/>
          <w:lang w:val="fr-FR"/>
        </w:rPr>
      </w:pPr>
    </w:p>
    <w:p w14:paraId="7F54020B" w14:textId="0FBDCFA5" w:rsidR="009242A6" w:rsidRDefault="009242A6" w:rsidP="009242A6">
      <w:pPr>
        <w:spacing w:after="0" w:line="360" w:lineRule="auto"/>
        <w:jc w:val="center"/>
        <w:rPr>
          <w:rFonts w:ascii="Arial" w:eastAsia="Times New Roman" w:hAnsi="Arial" w:cs="Arial"/>
          <w:b/>
          <w:bCs/>
          <w:kern w:val="0"/>
          <w:sz w:val="24"/>
          <w:szCs w:val="24"/>
          <w:lang w:val="en-GB"/>
          <w14:ligatures w14:val="none"/>
        </w:rPr>
      </w:pPr>
      <w:r>
        <w:rPr>
          <w:rFonts w:ascii="Arial" w:hAnsi="Arial" w:cs="Arial"/>
          <w:sz w:val="26"/>
          <w:szCs w:val="26"/>
          <w14:ligatures w14:val="none"/>
        </w:rPr>
        <w:t>Word count: 2</w:t>
      </w:r>
      <w:r w:rsidR="00822860">
        <w:rPr>
          <w:rFonts w:ascii="Arial" w:hAnsi="Arial" w:cs="Arial"/>
          <w:sz w:val="26"/>
          <w:szCs w:val="26"/>
          <w14:ligatures w14:val="none"/>
        </w:rPr>
        <w:t>266</w:t>
      </w:r>
    </w:p>
    <w:p w14:paraId="60792BCA" w14:textId="77777777" w:rsidR="009242A6" w:rsidRDefault="009242A6" w:rsidP="0001659A">
      <w:pPr>
        <w:spacing w:line="360" w:lineRule="auto"/>
        <w:jc w:val="both"/>
        <w:rPr>
          <w:rFonts w:ascii="Arial" w:hAnsi="Arial" w:cs="Arial"/>
          <w:b/>
          <w:bCs/>
          <w:sz w:val="24"/>
          <w:szCs w:val="24"/>
        </w:rPr>
      </w:pPr>
    </w:p>
    <w:p w14:paraId="2CEFF7B4" w14:textId="77777777" w:rsidR="009242A6" w:rsidRDefault="009242A6" w:rsidP="0001659A">
      <w:pPr>
        <w:spacing w:line="360" w:lineRule="auto"/>
        <w:jc w:val="both"/>
        <w:rPr>
          <w:rFonts w:ascii="Arial" w:hAnsi="Arial" w:cs="Arial"/>
          <w:b/>
          <w:bCs/>
          <w:sz w:val="24"/>
          <w:szCs w:val="24"/>
        </w:rPr>
      </w:pPr>
    </w:p>
    <w:p w14:paraId="19FCDDA1" w14:textId="77777777" w:rsidR="009242A6" w:rsidRDefault="009242A6" w:rsidP="0001659A">
      <w:pPr>
        <w:spacing w:line="360" w:lineRule="auto"/>
        <w:jc w:val="both"/>
        <w:rPr>
          <w:rFonts w:ascii="Arial" w:hAnsi="Arial" w:cs="Arial"/>
          <w:b/>
          <w:bCs/>
          <w:sz w:val="24"/>
          <w:szCs w:val="24"/>
        </w:rPr>
      </w:pPr>
    </w:p>
    <w:p w14:paraId="6A8B2AE6" w14:textId="77777777" w:rsidR="009242A6" w:rsidRDefault="009242A6" w:rsidP="0001659A">
      <w:pPr>
        <w:spacing w:line="360" w:lineRule="auto"/>
        <w:jc w:val="both"/>
        <w:rPr>
          <w:rFonts w:ascii="Arial" w:hAnsi="Arial" w:cs="Arial"/>
          <w:b/>
          <w:bCs/>
          <w:sz w:val="24"/>
          <w:szCs w:val="24"/>
        </w:rPr>
      </w:pPr>
    </w:p>
    <w:p w14:paraId="3E4D47B5" w14:textId="77777777" w:rsidR="009242A6" w:rsidRDefault="009242A6" w:rsidP="0001659A">
      <w:pPr>
        <w:spacing w:line="360" w:lineRule="auto"/>
        <w:jc w:val="both"/>
        <w:rPr>
          <w:rFonts w:ascii="Arial" w:hAnsi="Arial" w:cs="Arial"/>
          <w:b/>
          <w:bCs/>
          <w:sz w:val="24"/>
          <w:szCs w:val="24"/>
        </w:rPr>
      </w:pPr>
    </w:p>
    <w:p w14:paraId="56C86322" w14:textId="77777777" w:rsidR="009242A6" w:rsidRDefault="009242A6" w:rsidP="0001659A">
      <w:pPr>
        <w:spacing w:line="360" w:lineRule="auto"/>
        <w:jc w:val="both"/>
        <w:rPr>
          <w:rFonts w:ascii="Arial" w:hAnsi="Arial" w:cs="Arial"/>
          <w:b/>
          <w:bCs/>
          <w:sz w:val="24"/>
          <w:szCs w:val="24"/>
        </w:rPr>
      </w:pPr>
    </w:p>
    <w:p w14:paraId="0E9DEFB2" w14:textId="77777777" w:rsidR="009242A6" w:rsidRDefault="009242A6" w:rsidP="0001659A">
      <w:pPr>
        <w:spacing w:line="360" w:lineRule="auto"/>
        <w:jc w:val="both"/>
        <w:rPr>
          <w:rFonts w:ascii="Arial" w:hAnsi="Arial" w:cs="Arial"/>
          <w:b/>
          <w:bCs/>
          <w:sz w:val="24"/>
          <w:szCs w:val="24"/>
        </w:rPr>
      </w:pPr>
    </w:p>
    <w:p w14:paraId="3780A1D1" w14:textId="77777777" w:rsidR="009242A6" w:rsidRDefault="009242A6" w:rsidP="0001659A">
      <w:pPr>
        <w:spacing w:line="360" w:lineRule="auto"/>
        <w:jc w:val="both"/>
        <w:rPr>
          <w:rFonts w:ascii="Arial" w:hAnsi="Arial" w:cs="Arial"/>
          <w:b/>
          <w:bCs/>
          <w:sz w:val="24"/>
          <w:szCs w:val="24"/>
        </w:rPr>
      </w:pPr>
    </w:p>
    <w:p w14:paraId="3137071A" w14:textId="77777777" w:rsidR="009242A6" w:rsidRDefault="009242A6" w:rsidP="0001659A">
      <w:pPr>
        <w:spacing w:line="360" w:lineRule="auto"/>
        <w:jc w:val="both"/>
        <w:rPr>
          <w:rFonts w:ascii="Arial" w:hAnsi="Arial" w:cs="Arial"/>
          <w:b/>
          <w:bCs/>
          <w:sz w:val="24"/>
          <w:szCs w:val="24"/>
        </w:rPr>
      </w:pPr>
    </w:p>
    <w:p w14:paraId="5FB7B274" w14:textId="77777777" w:rsidR="009242A6" w:rsidRDefault="009242A6" w:rsidP="0001659A">
      <w:pPr>
        <w:spacing w:line="360" w:lineRule="auto"/>
        <w:jc w:val="both"/>
        <w:rPr>
          <w:rFonts w:ascii="Arial" w:hAnsi="Arial" w:cs="Arial"/>
          <w:b/>
          <w:bCs/>
          <w:sz w:val="24"/>
          <w:szCs w:val="24"/>
        </w:rPr>
      </w:pPr>
    </w:p>
    <w:p w14:paraId="58FA3CF3" w14:textId="77777777" w:rsidR="009242A6" w:rsidRDefault="009242A6" w:rsidP="0001659A">
      <w:pPr>
        <w:spacing w:line="360" w:lineRule="auto"/>
        <w:jc w:val="both"/>
        <w:rPr>
          <w:rFonts w:ascii="Arial" w:hAnsi="Arial" w:cs="Arial"/>
          <w:b/>
          <w:bCs/>
          <w:sz w:val="24"/>
          <w:szCs w:val="24"/>
        </w:rPr>
      </w:pPr>
    </w:p>
    <w:p w14:paraId="569488C0" w14:textId="77777777" w:rsidR="009242A6" w:rsidRDefault="009242A6" w:rsidP="0001659A">
      <w:pPr>
        <w:spacing w:line="360" w:lineRule="auto"/>
        <w:jc w:val="both"/>
        <w:rPr>
          <w:rFonts w:ascii="Arial" w:hAnsi="Arial" w:cs="Arial"/>
          <w:b/>
          <w:bCs/>
          <w:sz w:val="24"/>
          <w:szCs w:val="24"/>
        </w:rPr>
      </w:pPr>
    </w:p>
    <w:p w14:paraId="0C48A33B" w14:textId="33296856" w:rsidR="006A7E52" w:rsidRDefault="00554CDE" w:rsidP="0001659A">
      <w:pPr>
        <w:spacing w:line="360" w:lineRule="auto"/>
        <w:jc w:val="both"/>
        <w:rPr>
          <w:rFonts w:ascii="Arial" w:hAnsi="Arial" w:cs="Arial"/>
          <w:b/>
          <w:bCs/>
          <w:sz w:val="24"/>
          <w:szCs w:val="24"/>
        </w:rPr>
      </w:pPr>
      <w:r>
        <w:rPr>
          <w:rFonts w:ascii="Arial" w:hAnsi="Arial" w:cs="Arial"/>
          <w:b/>
          <w:bCs/>
          <w:sz w:val="24"/>
          <w:szCs w:val="24"/>
        </w:rPr>
        <w:lastRenderedPageBreak/>
        <w:t xml:space="preserve">Executive </w:t>
      </w:r>
      <w:r w:rsidR="00E85747" w:rsidRPr="007C4F68">
        <w:rPr>
          <w:rFonts w:ascii="Arial" w:hAnsi="Arial" w:cs="Arial"/>
          <w:b/>
          <w:bCs/>
          <w:sz w:val="24"/>
          <w:szCs w:val="24"/>
        </w:rPr>
        <w:t>Summary</w:t>
      </w:r>
    </w:p>
    <w:p w14:paraId="2C1891A4" w14:textId="0863A3E3" w:rsidR="00C227E8" w:rsidRPr="00C227E8" w:rsidRDefault="00387C2D" w:rsidP="00C227E8">
      <w:pPr>
        <w:spacing w:line="360" w:lineRule="auto"/>
        <w:jc w:val="both"/>
        <w:rPr>
          <w:rFonts w:ascii="Arial" w:hAnsi="Arial" w:cs="Arial"/>
          <w:sz w:val="24"/>
          <w:szCs w:val="24"/>
        </w:rPr>
      </w:pPr>
      <w:r w:rsidRPr="00387C2D">
        <w:rPr>
          <w:rFonts w:ascii="Arial" w:hAnsi="Arial" w:cs="Arial"/>
          <w:sz w:val="24"/>
          <w:szCs w:val="24"/>
        </w:rPr>
        <w:t xml:space="preserve">Previously a bustling business in the city, the Urban Heights Hotel has had serious financial difficulties throughout the last three years. In 2021, its income was £2,500,000; in 2023, it was £1,800,000; in the same period, operating costs were £1,800,000 and £2,300,000. </w:t>
      </w:r>
      <w:r w:rsidR="00C227E8" w:rsidRPr="00C227E8">
        <w:rPr>
          <w:rFonts w:ascii="Arial" w:hAnsi="Arial" w:cs="Arial"/>
          <w:sz w:val="24"/>
          <w:szCs w:val="24"/>
        </w:rPr>
        <w:t>The financial difficulties can be attributed to internal inefficiencies, such as inadequate staff training and rising operating costs, as well as external pressures, such as increased competition from Airbnb and economic uncertainties following Brexit. The hotel's decreasing income and increasing expenses highlight the pressing necessity for a thorough renovation. Significant areas of focus include the effective control of operational costs and the improvement of customer satisfaction, both of which significantly impact the hotel's financial well-being.</w:t>
      </w:r>
    </w:p>
    <w:p w14:paraId="1C3EA080" w14:textId="7E1E3F29" w:rsidR="00554CDE" w:rsidRDefault="00C227E8" w:rsidP="00C227E8">
      <w:pPr>
        <w:spacing w:line="360" w:lineRule="auto"/>
        <w:jc w:val="both"/>
        <w:rPr>
          <w:rFonts w:ascii="Arial" w:hAnsi="Arial" w:cs="Arial"/>
          <w:b/>
          <w:bCs/>
          <w:sz w:val="24"/>
          <w:szCs w:val="24"/>
        </w:rPr>
      </w:pPr>
      <w:r w:rsidRPr="00C227E8">
        <w:rPr>
          <w:rFonts w:ascii="Arial" w:hAnsi="Arial" w:cs="Arial"/>
          <w:sz w:val="24"/>
          <w:szCs w:val="24"/>
        </w:rPr>
        <w:t xml:space="preserve">To tackle these difficulties, the proposal presents a thorough plan that centres around enhancing operational efficiency, implementing creative marketing techniques, and improving the quality of service provided. </w:t>
      </w:r>
      <w:r w:rsidR="00DA361D" w:rsidRPr="00DA361D">
        <w:rPr>
          <w:rFonts w:ascii="Arial" w:hAnsi="Arial" w:cs="Arial"/>
          <w:sz w:val="24"/>
          <w:szCs w:val="24"/>
        </w:rPr>
        <w:t>To achieve this, specialist training for staff will be required to increase service quality.</w:t>
      </w:r>
      <w:r w:rsidRPr="00C227E8">
        <w:rPr>
          <w:rFonts w:ascii="Arial" w:hAnsi="Arial" w:cs="Arial"/>
          <w:sz w:val="24"/>
          <w:szCs w:val="24"/>
        </w:rPr>
        <w:t xml:space="preserve"> Additionally, the hotel should use its amenities to attract a wider range of customers. Finally, implementing strategic marketing initiatives will help increase the hotel's visibility and competitiveness. The proposed modifications aim to utilise the hotel's current assets and enhance its competitive standing in the hospitality industry. To stabilise its financial performance and regain its status as a preferred choice for urban travellers, the Urban Heights Hotel should focus on internal improvements and proactively adapt to external market conditions. This affirmation regarding the hotel's capacity to recover should elicit a feeling of hope and confidence in the audience.</w:t>
      </w:r>
    </w:p>
    <w:p w14:paraId="7ACEE19C" w14:textId="77777777" w:rsidR="00554CDE" w:rsidRDefault="00554CDE" w:rsidP="006A4E32">
      <w:pPr>
        <w:spacing w:line="360" w:lineRule="auto"/>
        <w:jc w:val="both"/>
        <w:rPr>
          <w:rFonts w:ascii="Arial" w:hAnsi="Arial" w:cs="Arial"/>
          <w:b/>
          <w:bCs/>
          <w:sz w:val="24"/>
          <w:szCs w:val="24"/>
        </w:rPr>
      </w:pPr>
    </w:p>
    <w:p w14:paraId="3A128238" w14:textId="77777777" w:rsidR="00C227E8" w:rsidRDefault="00C227E8" w:rsidP="006A4E32">
      <w:pPr>
        <w:spacing w:line="360" w:lineRule="auto"/>
        <w:jc w:val="both"/>
        <w:rPr>
          <w:rFonts w:ascii="Arial" w:hAnsi="Arial" w:cs="Arial"/>
          <w:b/>
          <w:bCs/>
          <w:sz w:val="24"/>
          <w:szCs w:val="24"/>
        </w:rPr>
      </w:pPr>
    </w:p>
    <w:p w14:paraId="7EEED05A" w14:textId="77777777" w:rsidR="008F2BCB" w:rsidRDefault="008F2BCB" w:rsidP="006A4E32">
      <w:pPr>
        <w:spacing w:line="360" w:lineRule="auto"/>
        <w:jc w:val="both"/>
        <w:rPr>
          <w:rFonts w:ascii="Arial" w:hAnsi="Arial" w:cs="Arial"/>
          <w:b/>
          <w:bCs/>
          <w:sz w:val="24"/>
          <w:szCs w:val="24"/>
        </w:rPr>
      </w:pPr>
    </w:p>
    <w:p w14:paraId="63D7FBA4" w14:textId="77777777" w:rsidR="00554CDE" w:rsidRDefault="00554CDE" w:rsidP="006A4E32">
      <w:pPr>
        <w:spacing w:line="360" w:lineRule="auto"/>
        <w:jc w:val="both"/>
        <w:rPr>
          <w:rFonts w:ascii="Arial" w:hAnsi="Arial" w:cs="Arial"/>
          <w:b/>
          <w:bCs/>
          <w:sz w:val="24"/>
          <w:szCs w:val="24"/>
        </w:rPr>
      </w:pPr>
    </w:p>
    <w:p w14:paraId="1B02D829" w14:textId="77777777" w:rsidR="009242A6" w:rsidRDefault="009242A6" w:rsidP="00E84AA8">
      <w:pPr>
        <w:spacing w:line="360" w:lineRule="auto"/>
        <w:rPr>
          <w:rFonts w:ascii="Arial" w:hAnsi="Arial" w:cs="Arial"/>
          <w:b/>
          <w:bCs/>
          <w:sz w:val="24"/>
          <w:szCs w:val="24"/>
          <w:lang w:val="en-GB"/>
        </w:rPr>
      </w:pPr>
    </w:p>
    <w:p w14:paraId="05E71CC7" w14:textId="1EDCE325" w:rsidR="00E84AA8" w:rsidRPr="00E84AA8" w:rsidRDefault="00E84AA8" w:rsidP="00E84AA8">
      <w:pPr>
        <w:spacing w:line="360" w:lineRule="auto"/>
        <w:rPr>
          <w:rFonts w:ascii="Arial" w:hAnsi="Arial" w:cs="Arial"/>
          <w:b/>
          <w:bCs/>
          <w:sz w:val="24"/>
          <w:szCs w:val="24"/>
          <w:lang w:val="en-GB"/>
        </w:rPr>
      </w:pPr>
      <w:r w:rsidRPr="00E84AA8">
        <w:rPr>
          <w:rFonts w:ascii="Arial" w:hAnsi="Arial" w:cs="Arial"/>
          <w:b/>
          <w:bCs/>
          <w:sz w:val="24"/>
          <w:szCs w:val="24"/>
          <w:lang w:val="en-GB"/>
        </w:rPr>
        <w:lastRenderedPageBreak/>
        <w:t>Table of Contents</w:t>
      </w:r>
    </w:p>
    <w:p w14:paraId="0E47C28E" w14:textId="3C25C4AE" w:rsidR="00E84AA8" w:rsidRPr="009242A6" w:rsidRDefault="00E84AA8" w:rsidP="009242A6">
      <w:pPr>
        <w:pStyle w:val="ListParagraph"/>
        <w:numPr>
          <w:ilvl w:val="0"/>
          <w:numId w:val="11"/>
        </w:numPr>
        <w:spacing w:line="360" w:lineRule="auto"/>
        <w:rPr>
          <w:rFonts w:ascii="Arial" w:hAnsi="Arial" w:cs="Arial"/>
          <w:sz w:val="24"/>
          <w:szCs w:val="24"/>
          <w:lang w:val="en-GB"/>
        </w:rPr>
      </w:pPr>
      <w:r w:rsidRPr="009242A6">
        <w:rPr>
          <w:rFonts w:ascii="Arial" w:hAnsi="Arial" w:cs="Arial"/>
          <w:sz w:val="24"/>
          <w:szCs w:val="24"/>
          <w:lang w:val="en-GB"/>
        </w:rPr>
        <w:t>Executive Summary</w:t>
      </w:r>
    </w:p>
    <w:p w14:paraId="71FF8744" w14:textId="6745515F" w:rsidR="00E84AA8" w:rsidRPr="009242A6" w:rsidRDefault="00E84AA8" w:rsidP="009242A6">
      <w:pPr>
        <w:pStyle w:val="ListParagraph"/>
        <w:numPr>
          <w:ilvl w:val="0"/>
          <w:numId w:val="11"/>
        </w:numPr>
        <w:spacing w:line="360" w:lineRule="auto"/>
        <w:rPr>
          <w:rFonts w:ascii="Arial" w:hAnsi="Arial" w:cs="Arial"/>
          <w:sz w:val="24"/>
          <w:szCs w:val="24"/>
          <w:lang w:val="en-GB"/>
        </w:rPr>
      </w:pPr>
      <w:r w:rsidRPr="009242A6">
        <w:rPr>
          <w:rFonts w:ascii="Arial" w:hAnsi="Arial" w:cs="Arial"/>
          <w:sz w:val="24"/>
          <w:szCs w:val="24"/>
          <w:lang w:val="en-GB"/>
        </w:rPr>
        <w:t>Introduction</w:t>
      </w:r>
    </w:p>
    <w:p w14:paraId="72F5390E" w14:textId="6DA868FB" w:rsidR="00E84AA8" w:rsidRPr="009242A6" w:rsidRDefault="00E84AA8" w:rsidP="009242A6">
      <w:pPr>
        <w:pStyle w:val="ListParagraph"/>
        <w:numPr>
          <w:ilvl w:val="0"/>
          <w:numId w:val="11"/>
        </w:numPr>
        <w:spacing w:line="360" w:lineRule="auto"/>
        <w:rPr>
          <w:rFonts w:ascii="Arial" w:hAnsi="Arial" w:cs="Arial"/>
          <w:sz w:val="24"/>
          <w:szCs w:val="24"/>
          <w:lang w:val="en-GB"/>
        </w:rPr>
      </w:pPr>
      <w:r w:rsidRPr="009242A6">
        <w:rPr>
          <w:rFonts w:ascii="Arial" w:hAnsi="Arial" w:cs="Arial"/>
          <w:sz w:val="24"/>
          <w:szCs w:val="24"/>
          <w:lang w:val="en-GB"/>
        </w:rPr>
        <w:t>Financial Performance Analysis</w:t>
      </w:r>
    </w:p>
    <w:p w14:paraId="31A4C286" w14:textId="0B463E06" w:rsidR="00E84AA8" w:rsidRPr="009242A6" w:rsidRDefault="00E84AA8" w:rsidP="009242A6">
      <w:pPr>
        <w:pStyle w:val="ListParagraph"/>
        <w:numPr>
          <w:ilvl w:val="0"/>
          <w:numId w:val="11"/>
        </w:numPr>
        <w:spacing w:line="360" w:lineRule="auto"/>
        <w:rPr>
          <w:rFonts w:ascii="Arial" w:hAnsi="Arial" w:cs="Arial"/>
          <w:sz w:val="24"/>
          <w:szCs w:val="24"/>
          <w:lang w:val="en-GB"/>
        </w:rPr>
      </w:pPr>
      <w:r w:rsidRPr="009242A6">
        <w:rPr>
          <w:rFonts w:ascii="Arial" w:hAnsi="Arial" w:cs="Arial"/>
          <w:sz w:val="24"/>
          <w:szCs w:val="24"/>
          <w:lang w:val="en-GB"/>
        </w:rPr>
        <w:t>Identifying the Causes of Decline</w:t>
      </w:r>
    </w:p>
    <w:p w14:paraId="408AA4B9" w14:textId="0CCD0074" w:rsidR="00E84AA8" w:rsidRPr="009242A6" w:rsidRDefault="00E84AA8" w:rsidP="009242A6">
      <w:pPr>
        <w:pStyle w:val="ListParagraph"/>
        <w:numPr>
          <w:ilvl w:val="0"/>
          <w:numId w:val="11"/>
        </w:numPr>
        <w:spacing w:line="360" w:lineRule="auto"/>
        <w:rPr>
          <w:rFonts w:ascii="Arial" w:hAnsi="Arial" w:cs="Arial"/>
          <w:sz w:val="24"/>
          <w:szCs w:val="24"/>
          <w:lang w:val="en-GB"/>
        </w:rPr>
      </w:pPr>
      <w:r w:rsidRPr="009242A6">
        <w:rPr>
          <w:rFonts w:ascii="Arial" w:hAnsi="Arial" w:cs="Arial"/>
          <w:sz w:val="24"/>
          <w:szCs w:val="24"/>
          <w:lang w:val="en-GB"/>
        </w:rPr>
        <w:t>Comparison with Chain Hotels</w:t>
      </w:r>
    </w:p>
    <w:p w14:paraId="483547FF" w14:textId="0B23F23E" w:rsidR="00E84AA8" w:rsidRPr="009242A6" w:rsidRDefault="00E84AA8" w:rsidP="009242A6">
      <w:pPr>
        <w:pStyle w:val="ListParagraph"/>
        <w:numPr>
          <w:ilvl w:val="0"/>
          <w:numId w:val="11"/>
        </w:numPr>
        <w:spacing w:line="360" w:lineRule="auto"/>
        <w:rPr>
          <w:rFonts w:ascii="Arial" w:hAnsi="Arial" w:cs="Arial"/>
          <w:sz w:val="24"/>
          <w:szCs w:val="24"/>
          <w:lang w:val="en-GB"/>
        </w:rPr>
      </w:pPr>
      <w:r w:rsidRPr="009242A6">
        <w:rPr>
          <w:rFonts w:ascii="Arial" w:hAnsi="Arial" w:cs="Arial"/>
          <w:sz w:val="24"/>
          <w:szCs w:val="24"/>
          <w:lang w:val="en-GB"/>
        </w:rPr>
        <w:t>Turnaround Strategy Development</w:t>
      </w:r>
    </w:p>
    <w:p w14:paraId="144BF565" w14:textId="2B5C8370" w:rsidR="00E84AA8" w:rsidRPr="009242A6" w:rsidRDefault="00E84AA8" w:rsidP="009242A6">
      <w:pPr>
        <w:pStyle w:val="ListParagraph"/>
        <w:numPr>
          <w:ilvl w:val="0"/>
          <w:numId w:val="11"/>
        </w:numPr>
        <w:spacing w:line="360" w:lineRule="auto"/>
        <w:rPr>
          <w:rFonts w:ascii="Arial" w:hAnsi="Arial" w:cs="Arial"/>
          <w:sz w:val="24"/>
          <w:szCs w:val="24"/>
          <w:lang w:val="en-GB"/>
        </w:rPr>
      </w:pPr>
      <w:r w:rsidRPr="009242A6">
        <w:rPr>
          <w:rFonts w:ascii="Arial" w:hAnsi="Arial" w:cs="Arial"/>
          <w:sz w:val="24"/>
          <w:szCs w:val="24"/>
          <w:lang w:val="en-GB"/>
        </w:rPr>
        <w:t>Conclusion</w:t>
      </w:r>
    </w:p>
    <w:p w14:paraId="4111D824" w14:textId="1B64BD69" w:rsidR="00E84AA8" w:rsidRPr="009242A6" w:rsidRDefault="00E84AA8" w:rsidP="009242A6">
      <w:pPr>
        <w:pStyle w:val="ListParagraph"/>
        <w:numPr>
          <w:ilvl w:val="0"/>
          <w:numId w:val="11"/>
        </w:numPr>
        <w:spacing w:line="360" w:lineRule="auto"/>
        <w:rPr>
          <w:rFonts w:ascii="Arial" w:hAnsi="Arial" w:cs="Arial"/>
          <w:sz w:val="24"/>
          <w:szCs w:val="24"/>
          <w:lang w:val="en-GB"/>
        </w:rPr>
      </w:pPr>
      <w:r w:rsidRPr="009242A6">
        <w:rPr>
          <w:rFonts w:ascii="Arial" w:hAnsi="Arial" w:cs="Arial"/>
          <w:sz w:val="24"/>
          <w:szCs w:val="24"/>
          <w:lang w:val="en-GB"/>
        </w:rPr>
        <w:t>References</w:t>
      </w:r>
    </w:p>
    <w:p w14:paraId="5092D5CA" w14:textId="77777777" w:rsidR="000D1F66" w:rsidRDefault="000D1F66" w:rsidP="006A4E32">
      <w:pPr>
        <w:spacing w:line="360" w:lineRule="auto"/>
        <w:jc w:val="both"/>
        <w:rPr>
          <w:rFonts w:ascii="Arial" w:hAnsi="Arial" w:cs="Arial"/>
          <w:sz w:val="24"/>
          <w:szCs w:val="24"/>
        </w:rPr>
      </w:pPr>
    </w:p>
    <w:p w14:paraId="5A73ECC4" w14:textId="77777777" w:rsidR="00E84AA8" w:rsidRDefault="00E84AA8" w:rsidP="006A4E32">
      <w:pPr>
        <w:spacing w:line="360" w:lineRule="auto"/>
        <w:jc w:val="both"/>
        <w:rPr>
          <w:rFonts w:ascii="Arial" w:hAnsi="Arial" w:cs="Arial"/>
          <w:sz w:val="24"/>
          <w:szCs w:val="24"/>
        </w:rPr>
      </w:pPr>
    </w:p>
    <w:p w14:paraId="6DD06502" w14:textId="77777777" w:rsidR="00E84AA8" w:rsidRDefault="00E84AA8" w:rsidP="006A4E32">
      <w:pPr>
        <w:spacing w:line="360" w:lineRule="auto"/>
        <w:jc w:val="both"/>
        <w:rPr>
          <w:rFonts w:ascii="Arial" w:hAnsi="Arial" w:cs="Arial"/>
          <w:sz w:val="24"/>
          <w:szCs w:val="24"/>
        </w:rPr>
      </w:pPr>
    </w:p>
    <w:p w14:paraId="54893BB6" w14:textId="77777777" w:rsidR="00E84AA8" w:rsidRDefault="00E84AA8" w:rsidP="006A4E32">
      <w:pPr>
        <w:spacing w:line="360" w:lineRule="auto"/>
        <w:jc w:val="both"/>
        <w:rPr>
          <w:rFonts w:ascii="Arial" w:hAnsi="Arial" w:cs="Arial"/>
          <w:sz w:val="24"/>
          <w:szCs w:val="24"/>
        </w:rPr>
      </w:pPr>
    </w:p>
    <w:p w14:paraId="21E3E7BB" w14:textId="77777777" w:rsidR="00E84AA8" w:rsidRDefault="00E84AA8" w:rsidP="006A4E32">
      <w:pPr>
        <w:spacing w:line="360" w:lineRule="auto"/>
        <w:jc w:val="both"/>
        <w:rPr>
          <w:rFonts w:ascii="Arial" w:hAnsi="Arial" w:cs="Arial"/>
          <w:sz w:val="24"/>
          <w:szCs w:val="24"/>
        </w:rPr>
      </w:pPr>
    </w:p>
    <w:p w14:paraId="3DC48031" w14:textId="77777777" w:rsidR="00E84AA8" w:rsidRDefault="00E84AA8" w:rsidP="006A4E32">
      <w:pPr>
        <w:spacing w:line="360" w:lineRule="auto"/>
        <w:jc w:val="both"/>
        <w:rPr>
          <w:rFonts w:ascii="Arial" w:hAnsi="Arial" w:cs="Arial"/>
          <w:sz w:val="24"/>
          <w:szCs w:val="24"/>
        </w:rPr>
      </w:pPr>
    </w:p>
    <w:p w14:paraId="02DFEE60" w14:textId="77777777" w:rsidR="00E84AA8" w:rsidRDefault="00E84AA8" w:rsidP="006A4E32">
      <w:pPr>
        <w:spacing w:line="360" w:lineRule="auto"/>
        <w:jc w:val="both"/>
        <w:rPr>
          <w:rFonts w:ascii="Arial" w:hAnsi="Arial" w:cs="Arial"/>
          <w:sz w:val="24"/>
          <w:szCs w:val="24"/>
        </w:rPr>
      </w:pPr>
    </w:p>
    <w:p w14:paraId="1E6439E4" w14:textId="77777777" w:rsidR="00E84AA8" w:rsidRDefault="00E84AA8" w:rsidP="006A4E32">
      <w:pPr>
        <w:spacing w:line="360" w:lineRule="auto"/>
        <w:jc w:val="both"/>
        <w:rPr>
          <w:rFonts w:ascii="Arial" w:hAnsi="Arial" w:cs="Arial"/>
          <w:sz w:val="24"/>
          <w:szCs w:val="24"/>
        </w:rPr>
      </w:pPr>
    </w:p>
    <w:p w14:paraId="54992952" w14:textId="77777777" w:rsidR="00E84AA8" w:rsidRDefault="00E84AA8" w:rsidP="006A4E32">
      <w:pPr>
        <w:spacing w:line="360" w:lineRule="auto"/>
        <w:jc w:val="both"/>
        <w:rPr>
          <w:rFonts w:ascii="Arial" w:hAnsi="Arial" w:cs="Arial"/>
          <w:sz w:val="24"/>
          <w:szCs w:val="24"/>
        </w:rPr>
      </w:pPr>
    </w:p>
    <w:p w14:paraId="48D8CDCD" w14:textId="77777777" w:rsidR="00E84AA8" w:rsidRDefault="00E84AA8" w:rsidP="006A4E32">
      <w:pPr>
        <w:spacing w:line="360" w:lineRule="auto"/>
        <w:jc w:val="both"/>
        <w:rPr>
          <w:rFonts w:ascii="Arial" w:hAnsi="Arial" w:cs="Arial"/>
          <w:sz w:val="24"/>
          <w:szCs w:val="24"/>
        </w:rPr>
      </w:pPr>
    </w:p>
    <w:p w14:paraId="26FCA44C" w14:textId="77777777" w:rsidR="00E84AA8" w:rsidRDefault="00E84AA8" w:rsidP="006A4E32">
      <w:pPr>
        <w:spacing w:line="360" w:lineRule="auto"/>
        <w:jc w:val="both"/>
        <w:rPr>
          <w:rFonts w:ascii="Arial" w:hAnsi="Arial" w:cs="Arial"/>
          <w:sz w:val="24"/>
          <w:szCs w:val="24"/>
        </w:rPr>
      </w:pPr>
    </w:p>
    <w:p w14:paraId="0482D2F8" w14:textId="77777777" w:rsidR="00E84AA8" w:rsidRDefault="00E84AA8" w:rsidP="006A4E32">
      <w:pPr>
        <w:spacing w:line="360" w:lineRule="auto"/>
        <w:jc w:val="both"/>
        <w:rPr>
          <w:rFonts w:ascii="Arial" w:hAnsi="Arial" w:cs="Arial"/>
          <w:sz w:val="24"/>
          <w:szCs w:val="24"/>
        </w:rPr>
      </w:pPr>
    </w:p>
    <w:p w14:paraId="306A423D" w14:textId="77777777" w:rsidR="00E84AA8" w:rsidRDefault="00E84AA8" w:rsidP="006A4E32">
      <w:pPr>
        <w:spacing w:line="360" w:lineRule="auto"/>
        <w:jc w:val="both"/>
        <w:rPr>
          <w:rFonts w:ascii="Arial" w:hAnsi="Arial" w:cs="Arial"/>
          <w:sz w:val="24"/>
          <w:szCs w:val="24"/>
        </w:rPr>
      </w:pPr>
    </w:p>
    <w:p w14:paraId="68731A5A" w14:textId="77777777" w:rsidR="00E84AA8" w:rsidRPr="00E84AA8" w:rsidRDefault="00E84AA8" w:rsidP="006A4E32">
      <w:pPr>
        <w:spacing w:line="360" w:lineRule="auto"/>
        <w:jc w:val="both"/>
        <w:rPr>
          <w:rFonts w:ascii="Arial" w:hAnsi="Arial" w:cs="Arial"/>
          <w:sz w:val="24"/>
          <w:szCs w:val="24"/>
        </w:rPr>
      </w:pPr>
    </w:p>
    <w:p w14:paraId="7405C943" w14:textId="77777777" w:rsidR="009242A6" w:rsidRDefault="009242A6" w:rsidP="006A4E32">
      <w:pPr>
        <w:spacing w:line="360" w:lineRule="auto"/>
        <w:jc w:val="both"/>
        <w:rPr>
          <w:rFonts w:ascii="Arial" w:hAnsi="Arial" w:cs="Arial"/>
          <w:b/>
          <w:bCs/>
          <w:sz w:val="24"/>
          <w:szCs w:val="24"/>
        </w:rPr>
      </w:pPr>
    </w:p>
    <w:p w14:paraId="2EE7078B" w14:textId="77777777" w:rsidR="009242A6" w:rsidRDefault="009242A6" w:rsidP="006A4E32">
      <w:pPr>
        <w:spacing w:line="360" w:lineRule="auto"/>
        <w:jc w:val="both"/>
        <w:rPr>
          <w:rFonts w:ascii="Arial" w:hAnsi="Arial" w:cs="Arial"/>
          <w:b/>
          <w:bCs/>
          <w:sz w:val="24"/>
          <w:szCs w:val="24"/>
        </w:rPr>
      </w:pPr>
    </w:p>
    <w:p w14:paraId="0995EBA1" w14:textId="1D06F4B8" w:rsidR="006A4E32" w:rsidRPr="006A4E32" w:rsidRDefault="006A4E32" w:rsidP="006A4E32">
      <w:pPr>
        <w:spacing w:line="360" w:lineRule="auto"/>
        <w:jc w:val="both"/>
        <w:rPr>
          <w:rFonts w:ascii="Arial" w:hAnsi="Arial" w:cs="Arial"/>
          <w:b/>
          <w:bCs/>
          <w:sz w:val="24"/>
          <w:szCs w:val="24"/>
        </w:rPr>
      </w:pPr>
      <w:r w:rsidRPr="006A4E32">
        <w:rPr>
          <w:rFonts w:ascii="Arial" w:hAnsi="Arial" w:cs="Arial"/>
          <w:b/>
          <w:bCs/>
          <w:sz w:val="24"/>
          <w:szCs w:val="24"/>
        </w:rPr>
        <w:lastRenderedPageBreak/>
        <w:t>Introduction</w:t>
      </w:r>
    </w:p>
    <w:p w14:paraId="1D10A4F8" w14:textId="6BE70BBF" w:rsidR="00267CF1" w:rsidRPr="00267CF1" w:rsidRDefault="00267CF1" w:rsidP="00267CF1">
      <w:pPr>
        <w:spacing w:line="360" w:lineRule="auto"/>
        <w:jc w:val="both"/>
        <w:rPr>
          <w:rFonts w:ascii="Arial" w:hAnsi="Arial" w:cs="Arial"/>
          <w:sz w:val="24"/>
          <w:szCs w:val="24"/>
          <w:lang w:val="en-GB"/>
        </w:rPr>
      </w:pPr>
      <w:r w:rsidRPr="00267CF1">
        <w:rPr>
          <w:rFonts w:ascii="Arial" w:hAnsi="Arial" w:cs="Arial"/>
          <w:sz w:val="24"/>
          <w:szCs w:val="24"/>
          <w:lang w:val="en-GB"/>
        </w:rPr>
        <w:t xml:space="preserve">The Urban Heights Hotel, once a successful </w:t>
      </w:r>
      <w:r>
        <w:rPr>
          <w:rFonts w:ascii="Arial" w:hAnsi="Arial" w:cs="Arial"/>
          <w:sz w:val="24"/>
          <w:szCs w:val="24"/>
          <w:lang w:val="en-GB"/>
        </w:rPr>
        <w:t>business</w:t>
      </w:r>
      <w:r w:rsidRPr="00267CF1">
        <w:rPr>
          <w:rFonts w:ascii="Arial" w:hAnsi="Arial" w:cs="Arial"/>
          <w:sz w:val="24"/>
          <w:szCs w:val="24"/>
          <w:lang w:val="en-GB"/>
        </w:rPr>
        <w:t>, has seen its revenue decline from £2,500,000 in 2021 to £1,800,000 in 2023, while operational expenses have risen, worsening net income. This decline is due to internal inefficiencies like inadequate staff training and rising costs, and external factors such as increased competition from Airbnb and economic uncertainty from Brexit.</w:t>
      </w:r>
    </w:p>
    <w:p w14:paraId="22959191" w14:textId="00A231CE" w:rsidR="00267CF1" w:rsidRPr="00267CF1" w:rsidRDefault="00E64F9B" w:rsidP="00267CF1">
      <w:pPr>
        <w:spacing w:line="360" w:lineRule="auto"/>
        <w:jc w:val="both"/>
        <w:rPr>
          <w:rFonts w:ascii="Arial" w:hAnsi="Arial" w:cs="Arial"/>
          <w:sz w:val="24"/>
          <w:szCs w:val="24"/>
          <w:lang w:val="en-GB"/>
        </w:rPr>
      </w:pPr>
      <w:r w:rsidRPr="00E64F9B">
        <w:rPr>
          <w:rFonts w:ascii="Arial" w:hAnsi="Arial" w:cs="Arial"/>
          <w:sz w:val="24"/>
          <w:szCs w:val="24"/>
          <w:lang w:val="en-GB"/>
        </w:rPr>
        <w:t xml:space="preserve">The purpose of this </w:t>
      </w:r>
      <w:r>
        <w:rPr>
          <w:rFonts w:ascii="Arial" w:hAnsi="Arial" w:cs="Arial"/>
          <w:sz w:val="24"/>
          <w:szCs w:val="24"/>
          <w:lang w:val="en-GB"/>
        </w:rPr>
        <w:t>report</w:t>
      </w:r>
      <w:r w:rsidRPr="00E64F9B">
        <w:rPr>
          <w:rFonts w:ascii="Arial" w:hAnsi="Arial" w:cs="Arial"/>
          <w:sz w:val="24"/>
          <w:szCs w:val="24"/>
          <w:lang w:val="en-GB"/>
        </w:rPr>
        <w:t xml:space="preserve"> is to assess the hotel's financial performance, identify the primary elements contributing to its decline, and devise a strategy to reverse this trend.</w:t>
      </w:r>
      <w:r w:rsidR="00267CF1" w:rsidRPr="00267CF1">
        <w:rPr>
          <w:rFonts w:ascii="Arial" w:hAnsi="Arial" w:cs="Arial"/>
          <w:sz w:val="24"/>
          <w:szCs w:val="24"/>
          <w:lang w:val="en-GB"/>
        </w:rPr>
        <w:t xml:space="preserve"> The objectives are to assess the financial condition, identify contributing factors, and propose tactics to improve operational efficiency, customer satisfaction, and economic stability, offering insights to revive the hotel's financial health and competitive advantage.</w:t>
      </w:r>
    </w:p>
    <w:p w14:paraId="6B5C95B1" w14:textId="77777777" w:rsidR="00135FDC" w:rsidRPr="006A4E32" w:rsidRDefault="00135FDC" w:rsidP="00135FDC">
      <w:pPr>
        <w:spacing w:line="360" w:lineRule="auto"/>
        <w:jc w:val="both"/>
        <w:rPr>
          <w:rFonts w:ascii="Arial" w:hAnsi="Arial" w:cs="Arial"/>
          <w:sz w:val="24"/>
          <w:szCs w:val="24"/>
        </w:rPr>
      </w:pPr>
    </w:p>
    <w:p w14:paraId="4ECCB198" w14:textId="117FC61F" w:rsidR="006A4E32" w:rsidRPr="006A4E32" w:rsidRDefault="006A4E32" w:rsidP="006A4E32">
      <w:pPr>
        <w:spacing w:line="360" w:lineRule="auto"/>
        <w:jc w:val="both"/>
        <w:rPr>
          <w:rFonts w:ascii="Arial" w:hAnsi="Arial" w:cs="Arial"/>
          <w:b/>
          <w:bCs/>
          <w:sz w:val="24"/>
          <w:szCs w:val="24"/>
        </w:rPr>
      </w:pPr>
      <w:r w:rsidRPr="006A4E32">
        <w:rPr>
          <w:rFonts w:ascii="Arial" w:hAnsi="Arial" w:cs="Arial"/>
          <w:b/>
          <w:bCs/>
          <w:sz w:val="24"/>
          <w:szCs w:val="24"/>
        </w:rPr>
        <w:t>Financial Performance Analysis</w:t>
      </w:r>
    </w:p>
    <w:p w14:paraId="1DC5ECDD" w14:textId="77777777" w:rsidR="006A4E32" w:rsidRPr="006A4E32" w:rsidRDefault="006A4E32" w:rsidP="006A4E32">
      <w:pPr>
        <w:spacing w:line="360" w:lineRule="auto"/>
        <w:jc w:val="both"/>
        <w:rPr>
          <w:rFonts w:ascii="Arial" w:hAnsi="Arial" w:cs="Arial"/>
          <w:b/>
          <w:bCs/>
          <w:sz w:val="24"/>
          <w:szCs w:val="24"/>
        </w:rPr>
      </w:pPr>
      <w:r w:rsidRPr="006A4E32">
        <w:rPr>
          <w:rFonts w:ascii="Arial" w:hAnsi="Arial" w:cs="Arial"/>
          <w:b/>
          <w:bCs/>
          <w:sz w:val="24"/>
          <w:szCs w:val="24"/>
        </w:rPr>
        <w:t>Revenue Analysis</w:t>
      </w:r>
    </w:p>
    <w:p w14:paraId="6829BFB2" w14:textId="4600CAAF" w:rsidR="00A345FB" w:rsidRPr="00A345FB" w:rsidRDefault="00DA65F0" w:rsidP="00A345FB">
      <w:pPr>
        <w:spacing w:line="360" w:lineRule="auto"/>
        <w:jc w:val="both"/>
        <w:rPr>
          <w:rFonts w:ascii="Arial" w:hAnsi="Arial" w:cs="Arial"/>
          <w:sz w:val="24"/>
          <w:szCs w:val="24"/>
          <w:lang w:val="en-GB"/>
        </w:rPr>
      </w:pPr>
      <w:r>
        <w:rPr>
          <w:noProof/>
        </w:rPr>
        <w:drawing>
          <wp:anchor distT="0" distB="0" distL="114300" distR="114300" simplePos="0" relativeHeight="251658240" behindDoc="0" locked="0" layoutInCell="1" allowOverlap="1" wp14:anchorId="276C78C9" wp14:editId="56EDBE81">
            <wp:simplePos x="0" y="0"/>
            <wp:positionH relativeFrom="column">
              <wp:posOffset>0</wp:posOffset>
            </wp:positionH>
            <wp:positionV relativeFrom="paragraph">
              <wp:posOffset>2540</wp:posOffset>
            </wp:positionV>
            <wp:extent cx="3781425" cy="2409825"/>
            <wp:effectExtent l="0" t="0" r="9525" b="9525"/>
            <wp:wrapSquare wrapText="bothSides"/>
            <wp:docPr id="1152751762" name="Chart 1">
              <a:extLst xmlns:a="http://schemas.openxmlformats.org/drawingml/2006/main">
                <a:ext uri="{FF2B5EF4-FFF2-40B4-BE49-F238E27FC236}">
                  <a16:creationId xmlns:a16="http://schemas.microsoft.com/office/drawing/2014/main" id="{00000000-0008-0000-00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anchor>
        </w:drawing>
      </w:r>
      <w:r w:rsidR="00A345FB" w:rsidRPr="00A345FB">
        <w:rPr>
          <w:rFonts w:ascii="Arial" w:hAnsi="Arial" w:cs="Arial"/>
          <w:sz w:val="24"/>
          <w:szCs w:val="24"/>
          <w:lang w:val="en-GB"/>
        </w:rPr>
        <w:t>During the last three years, the Urban Heights Hotel has experienced a steady decrease in revenue, dropping from £2,500,000 in 2021 to £1,800,000 in 2023, representing a substantial decline of 28%. This negative trend is corroborated by Santoso and Supatmi (2021), who observed similar patterns in the hotel industry, attributing them to external factors such as increased competition from alternative lodging options like Airbnb and economic uncertainties affecting tourism.</w:t>
      </w:r>
    </w:p>
    <w:p w14:paraId="24ABF86A" w14:textId="00A593CD" w:rsidR="00A345FB" w:rsidRPr="00A345FB" w:rsidRDefault="00A345FB" w:rsidP="00A345FB">
      <w:pPr>
        <w:spacing w:line="360" w:lineRule="auto"/>
        <w:jc w:val="both"/>
        <w:rPr>
          <w:rFonts w:ascii="Arial" w:hAnsi="Arial" w:cs="Arial"/>
          <w:sz w:val="24"/>
          <w:szCs w:val="24"/>
          <w:lang w:val="en-GB"/>
        </w:rPr>
      </w:pPr>
      <w:r w:rsidRPr="00A345FB">
        <w:rPr>
          <w:rFonts w:ascii="Arial" w:hAnsi="Arial" w:cs="Arial"/>
          <w:sz w:val="24"/>
          <w:szCs w:val="24"/>
          <w:lang w:val="en-GB"/>
        </w:rPr>
        <w:lastRenderedPageBreak/>
        <w:t>Key financial ratios show the hotel’s declining health</w:t>
      </w:r>
      <w:r>
        <w:rPr>
          <w:rFonts w:ascii="Arial" w:hAnsi="Arial" w:cs="Arial"/>
          <w:sz w:val="24"/>
          <w:szCs w:val="24"/>
          <w:lang w:val="en-GB"/>
        </w:rPr>
        <w:t>.</w:t>
      </w:r>
      <w:r w:rsidRPr="00A345FB">
        <w:rPr>
          <w:rFonts w:ascii="Arial" w:hAnsi="Arial" w:cs="Arial"/>
          <w:sz w:val="24"/>
          <w:szCs w:val="24"/>
          <w:lang w:val="en-GB"/>
        </w:rPr>
        <w:t xml:space="preserve"> </w:t>
      </w:r>
      <w:r w:rsidR="00D20AFE" w:rsidRPr="00D20AFE">
        <w:rPr>
          <w:rFonts w:ascii="Arial" w:hAnsi="Arial" w:cs="Arial"/>
          <w:sz w:val="24"/>
          <w:szCs w:val="24"/>
          <w:lang w:val="en-GB"/>
        </w:rPr>
        <w:t xml:space="preserve">The current ratio </w:t>
      </w:r>
      <w:r w:rsidR="00D22144">
        <w:rPr>
          <w:rFonts w:ascii="Arial" w:hAnsi="Arial" w:cs="Arial"/>
          <w:sz w:val="24"/>
          <w:szCs w:val="24"/>
          <w:lang w:val="en-GB"/>
        </w:rPr>
        <w:t>declined</w:t>
      </w:r>
      <w:r w:rsidR="00D20AFE" w:rsidRPr="00D20AFE">
        <w:rPr>
          <w:rFonts w:ascii="Arial" w:hAnsi="Arial" w:cs="Arial"/>
          <w:sz w:val="24"/>
          <w:szCs w:val="24"/>
          <w:lang w:val="en-GB"/>
        </w:rPr>
        <w:t xml:space="preserve"> from </w:t>
      </w:r>
      <w:r w:rsidR="007E51D6">
        <w:rPr>
          <w:rFonts w:ascii="Arial" w:hAnsi="Arial" w:cs="Arial"/>
          <w:sz w:val="24"/>
          <w:szCs w:val="24"/>
          <w:lang w:val="en-GB"/>
        </w:rPr>
        <w:t>2.5</w:t>
      </w:r>
      <w:r w:rsidR="00D20AFE" w:rsidRPr="00D20AFE">
        <w:rPr>
          <w:rFonts w:ascii="Arial" w:hAnsi="Arial" w:cs="Arial"/>
          <w:sz w:val="24"/>
          <w:szCs w:val="24"/>
          <w:lang w:val="en-GB"/>
        </w:rPr>
        <w:t xml:space="preserve"> in 2021 to </w:t>
      </w:r>
      <w:r w:rsidR="007E51D6">
        <w:rPr>
          <w:rFonts w:ascii="Arial" w:hAnsi="Arial" w:cs="Arial"/>
          <w:sz w:val="24"/>
          <w:szCs w:val="24"/>
          <w:lang w:val="en-GB"/>
        </w:rPr>
        <w:t>1.2</w:t>
      </w:r>
      <w:r w:rsidR="00D20AFE" w:rsidRPr="00D20AFE">
        <w:rPr>
          <w:rFonts w:ascii="Arial" w:hAnsi="Arial" w:cs="Arial"/>
          <w:sz w:val="24"/>
          <w:szCs w:val="24"/>
          <w:lang w:val="en-GB"/>
        </w:rPr>
        <w:t xml:space="preserve"> in 2023, indicating a decrease in liquidity. Simultaneously, the debt-to-equity ratio grew from 1.36 to 2.17, implying a rise in financial instability.</w:t>
      </w:r>
    </w:p>
    <w:p w14:paraId="0F126F78" w14:textId="77777777" w:rsidR="00A345FB" w:rsidRDefault="00A345FB" w:rsidP="006A4E32">
      <w:pPr>
        <w:spacing w:line="360" w:lineRule="auto"/>
        <w:jc w:val="both"/>
        <w:rPr>
          <w:rFonts w:ascii="Arial" w:hAnsi="Arial" w:cs="Arial"/>
          <w:b/>
          <w:bCs/>
          <w:sz w:val="24"/>
          <w:szCs w:val="24"/>
        </w:rPr>
      </w:pPr>
    </w:p>
    <w:p w14:paraId="429E96A6" w14:textId="636051E4" w:rsidR="006A4E32" w:rsidRPr="006A4E32" w:rsidRDefault="00C74595" w:rsidP="006A4E32">
      <w:pPr>
        <w:spacing w:line="360" w:lineRule="auto"/>
        <w:jc w:val="both"/>
        <w:rPr>
          <w:rFonts w:ascii="Arial" w:hAnsi="Arial" w:cs="Arial"/>
          <w:b/>
          <w:bCs/>
          <w:sz w:val="24"/>
          <w:szCs w:val="24"/>
        </w:rPr>
      </w:pPr>
      <w:r>
        <w:rPr>
          <w:noProof/>
        </w:rPr>
        <w:drawing>
          <wp:anchor distT="0" distB="0" distL="114300" distR="114300" simplePos="0" relativeHeight="251658241" behindDoc="0" locked="0" layoutInCell="1" allowOverlap="1" wp14:anchorId="2E6456A1" wp14:editId="013295C9">
            <wp:simplePos x="0" y="0"/>
            <wp:positionH relativeFrom="margin">
              <wp:align>left</wp:align>
            </wp:positionH>
            <wp:positionV relativeFrom="paragraph">
              <wp:posOffset>365760</wp:posOffset>
            </wp:positionV>
            <wp:extent cx="4105275" cy="2724150"/>
            <wp:effectExtent l="0" t="0" r="9525" b="0"/>
            <wp:wrapSquare wrapText="bothSides"/>
            <wp:docPr id="1852437444" name="Chart 1">
              <a:extLst xmlns:a="http://schemas.openxmlformats.org/drawingml/2006/main">
                <a:ext uri="{FF2B5EF4-FFF2-40B4-BE49-F238E27FC236}">
                  <a16:creationId xmlns:a16="http://schemas.microsoft.com/office/drawing/2014/main" id="{00000000-0008-0000-0000-000003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14:sizeRelH relativeFrom="margin">
              <wp14:pctWidth>0</wp14:pctWidth>
            </wp14:sizeRelH>
            <wp14:sizeRelV relativeFrom="margin">
              <wp14:pctHeight>0</wp14:pctHeight>
            </wp14:sizeRelV>
          </wp:anchor>
        </w:drawing>
      </w:r>
      <w:r w:rsidR="006A4E32" w:rsidRPr="006A4E32">
        <w:rPr>
          <w:rFonts w:ascii="Arial" w:hAnsi="Arial" w:cs="Arial"/>
          <w:b/>
          <w:bCs/>
          <w:sz w:val="24"/>
          <w:szCs w:val="24"/>
        </w:rPr>
        <w:t>Expense Analysis</w:t>
      </w:r>
    </w:p>
    <w:p w14:paraId="3F1B52D7" w14:textId="1ED13801" w:rsidR="00633157" w:rsidRDefault="006A4E32" w:rsidP="006A4E32">
      <w:pPr>
        <w:spacing w:line="360" w:lineRule="auto"/>
        <w:jc w:val="both"/>
        <w:rPr>
          <w:rFonts w:ascii="Arial" w:hAnsi="Arial" w:cs="Arial"/>
          <w:sz w:val="24"/>
          <w:szCs w:val="24"/>
        </w:rPr>
      </w:pPr>
      <w:r w:rsidRPr="006A4E32">
        <w:rPr>
          <w:rFonts w:ascii="Arial" w:hAnsi="Arial" w:cs="Arial"/>
          <w:sz w:val="24"/>
          <w:szCs w:val="24"/>
        </w:rPr>
        <w:t xml:space="preserve">Operating expenses experienced a significant surge of 27.8%, rising from £1,800,000 in 2021 to £2,300,000 in 2023. The increase in costs, along with the decrease in income, has exerted </w:t>
      </w:r>
      <w:r w:rsidR="00C74595" w:rsidRPr="006A4E32">
        <w:rPr>
          <w:rFonts w:ascii="Arial" w:hAnsi="Arial" w:cs="Arial"/>
          <w:sz w:val="24"/>
          <w:szCs w:val="24"/>
        </w:rPr>
        <w:t>a strain</w:t>
      </w:r>
      <w:r w:rsidRPr="006A4E32">
        <w:rPr>
          <w:rFonts w:ascii="Arial" w:hAnsi="Arial" w:cs="Arial"/>
          <w:sz w:val="24"/>
          <w:szCs w:val="24"/>
        </w:rPr>
        <w:t xml:space="preserve"> on the hotel's profitability. </w:t>
      </w:r>
      <w:r w:rsidR="00931687" w:rsidRPr="00931687">
        <w:rPr>
          <w:rFonts w:ascii="Arial" w:hAnsi="Arial" w:cs="Arial"/>
          <w:sz w:val="24"/>
          <w:szCs w:val="24"/>
        </w:rPr>
        <w:t>Chrysafis</w:t>
      </w:r>
      <w:r w:rsidR="00931687">
        <w:rPr>
          <w:rFonts w:ascii="Arial" w:hAnsi="Arial" w:cs="Arial"/>
          <w:sz w:val="24"/>
          <w:szCs w:val="24"/>
        </w:rPr>
        <w:t xml:space="preserve"> et al.</w:t>
      </w:r>
      <w:r w:rsidRPr="006A4E32">
        <w:rPr>
          <w:rFonts w:ascii="Arial" w:hAnsi="Arial" w:cs="Arial"/>
          <w:sz w:val="24"/>
          <w:szCs w:val="24"/>
        </w:rPr>
        <w:t xml:space="preserve"> (20</w:t>
      </w:r>
      <w:r w:rsidR="00931687">
        <w:rPr>
          <w:rFonts w:ascii="Arial" w:hAnsi="Arial" w:cs="Arial"/>
          <w:sz w:val="24"/>
          <w:szCs w:val="24"/>
        </w:rPr>
        <w:t>24</w:t>
      </w:r>
      <w:r w:rsidRPr="006A4E32">
        <w:rPr>
          <w:rFonts w:ascii="Arial" w:hAnsi="Arial" w:cs="Arial"/>
          <w:sz w:val="24"/>
          <w:szCs w:val="24"/>
        </w:rPr>
        <w:t>) emphasise the importance of effectively managing fixed and variable expenses to maintain financial well-being. However, Urban Heights Hotel seems to face difficulties in this regard, as evidenced by escalating costs that may be attributed to inefficient operations and increasing expenses in utilities and staff wages.</w:t>
      </w:r>
    </w:p>
    <w:p w14:paraId="5050E712" w14:textId="77777777" w:rsidR="008F2BCB" w:rsidRDefault="008F2BCB" w:rsidP="006A4E32">
      <w:pPr>
        <w:spacing w:line="360" w:lineRule="auto"/>
        <w:jc w:val="both"/>
        <w:rPr>
          <w:rFonts w:ascii="Arial" w:hAnsi="Arial" w:cs="Arial"/>
          <w:sz w:val="24"/>
          <w:szCs w:val="24"/>
        </w:rPr>
      </w:pPr>
    </w:p>
    <w:p w14:paraId="61E7326B" w14:textId="77777777" w:rsidR="008F2BCB" w:rsidRDefault="008F2BCB" w:rsidP="006A4E32">
      <w:pPr>
        <w:spacing w:line="360" w:lineRule="auto"/>
        <w:jc w:val="both"/>
        <w:rPr>
          <w:rFonts w:ascii="Arial" w:hAnsi="Arial" w:cs="Arial"/>
          <w:sz w:val="24"/>
          <w:szCs w:val="24"/>
        </w:rPr>
      </w:pPr>
    </w:p>
    <w:p w14:paraId="1B23CDF9" w14:textId="77777777" w:rsidR="008F2BCB" w:rsidRDefault="008F2BCB" w:rsidP="006A4E32">
      <w:pPr>
        <w:spacing w:line="360" w:lineRule="auto"/>
        <w:jc w:val="both"/>
        <w:rPr>
          <w:rFonts w:ascii="Arial" w:hAnsi="Arial" w:cs="Arial"/>
          <w:sz w:val="24"/>
          <w:szCs w:val="24"/>
        </w:rPr>
      </w:pPr>
    </w:p>
    <w:p w14:paraId="1A28A427" w14:textId="77777777" w:rsidR="008F2BCB" w:rsidRDefault="008F2BCB" w:rsidP="006A4E32">
      <w:pPr>
        <w:spacing w:line="360" w:lineRule="auto"/>
        <w:jc w:val="both"/>
        <w:rPr>
          <w:rFonts w:ascii="Arial" w:hAnsi="Arial" w:cs="Arial"/>
          <w:sz w:val="24"/>
          <w:szCs w:val="24"/>
        </w:rPr>
      </w:pPr>
    </w:p>
    <w:p w14:paraId="1AC5747E" w14:textId="77777777" w:rsidR="008F2BCB" w:rsidRDefault="008F2BCB" w:rsidP="006A4E32">
      <w:pPr>
        <w:spacing w:line="360" w:lineRule="auto"/>
        <w:jc w:val="both"/>
        <w:rPr>
          <w:rFonts w:ascii="Arial" w:hAnsi="Arial" w:cs="Arial"/>
          <w:sz w:val="24"/>
          <w:szCs w:val="24"/>
        </w:rPr>
      </w:pPr>
    </w:p>
    <w:p w14:paraId="7F030AC7" w14:textId="77777777" w:rsidR="008F2BCB" w:rsidRDefault="008F2BCB" w:rsidP="006A4E32">
      <w:pPr>
        <w:spacing w:line="360" w:lineRule="auto"/>
        <w:jc w:val="both"/>
        <w:rPr>
          <w:rFonts w:ascii="Arial" w:hAnsi="Arial" w:cs="Arial"/>
          <w:sz w:val="24"/>
          <w:szCs w:val="24"/>
        </w:rPr>
      </w:pPr>
    </w:p>
    <w:p w14:paraId="432337EF" w14:textId="77777777" w:rsidR="008F2BCB" w:rsidRPr="008F2BCB" w:rsidRDefault="008F2BCB" w:rsidP="006A4E32">
      <w:pPr>
        <w:spacing w:line="360" w:lineRule="auto"/>
        <w:jc w:val="both"/>
        <w:rPr>
          <w:rFonts w:ascii="Arial" w:hAnsi="Arial" w:cs="Arial"/>
          <w:sz w:val="24"/>
          <w:szCs w:val="24"/>
        </w:rPr>
      </w:pPr>
    </w:p>
    <w:p w14:paraId="5F3A2E63" w14:textId="77777777" w:rsidR="006A4E32" w:rsidRPr="006A4E32" w:rsidRDefault="006A4E32" w:rsidP="006A4E32">
      <w:pPr>
        <w:spacing w:line="360" w:lineRule="auto"/>
        <w:jc w:val="both"/>
        <w:rPr>
          <w:rFonts w:ascii="Arial" w:hAnsi="Arial" w:cs="Arial"/>
          <w:b/>
          <w:bCs/>
          <w:sz w:val="24"/>
          <w:szCs w:val="24"/>
        </w:rPr>
      </w:pPr>
      <w:r w:rsidRPr="006A4E32">
        <w:rPr>
          <w:rFonts w:ascii="Arial" w:hAnsi="Arial" w:cs="Arial"/>
          <w:b/>
          <w:bCs/>
          <w:sz w:val="24"/>
          <w:szCs w:val="24"/>
        </w:rPr>
        <w:lastRenderedPageBreak/>
        <w:t>Profitability Analysis</w:t>
      </w:r>
    </w:p>
    <w:p w14:paraId="1D2886DE" w14:textId="10FFEE55" w:rsidR="006A4E32" w:rsidRPr="006A4E32" w:rsidRDefault="00633157" w:rsidP="009242A6">
      <w:pPr>
        <w:spacing w:line="360" w:lineRule="auto"/>
        <w:rPr>
          <w:rFonts w:ascii="Arial" w:hAnsi="Arial" w:cs="Arial"/>
          <w:sz w:val="24"/>
          <w:szCs w:val="24"/>
        </w:rPr>
      </w:pPr>
      <w:r>
        <w:rPr>
          <w:noProof/>
        </w:rPr>
        <w:drawing>
          <wp:anchor distT="0" distB="0" distL="114300" distR="114300" simplePos="0" relativeHeight="251658242" behindDoc="0" locked="0" layoutInCell="1" allowOverlap="1" wp14:anchorId="4566F989" wp14:editId="5FE4F577">
            <wp:simplePos x="0" y="0"/>
            <wp:positionH relativeFrom="column">
              <wp:posOffset>0</wp:posOffset>
            </wp:positionH>
            <wp:positionV relativeFrom="paragraph">
              <wp:posOffset>0</wp:posOffset>
            </wp:positionV>
            <wp:extent cx="4572000" cy="2609850"/>
            <wp:effectExtent l="0" t="0" r="0" b="0"/>
            <wp:wrapSquare wrapText="bothSides"/>
            <wp:docPr id="799179609" name="Chart 1">
              <a:extLst xmlns:a="http://schemas.openxmlformats.org/drawingml/2006/main">
                <a:ext uri="{FF2B5EF4-FFF2-40B4-BE49-F238E27FC236}">
                  <a16:creationId xmlns:a16="http://schemas.microsoft.com/office/drawing/2014/main" id="{00000000-0008-0000-0000-000004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anchor>
        </w:drawing>
      </w:r>
      <w:r w:rsidR="006A4E32" w:rsidRPr="006A4E32">
        <w:rPr>
          <w:rFonts w:ascii="Arial" w:hAnsi="Arial" w:cs="Arial"/>
          <w:sz w:val="24"/>
          <w:szCs w:val="24"/>
        </w:rPr>
        <w:t xml:space="preserve">The net income has significantly declined, shifting from a positive of £700,000 in 2021 to a negative of £500,000 in 2023. The decrease in profitability signifies a negative pattern, suggesting that the hotel's revenue is no longer enough to pay its operational expenses. Demydyuk and Carlbäck (2023) assert that effectively controlling revenue drivers such as room prices and occupancy levels and implementing cost controls </w:t>
      </w:r>
      <w:r w:rsidR="00AA7490">
        <w:rPr>
          <w:rFonts w:ascii="Arial" w:hAnsi="Arial" w:cs="Arial"/>
          <w:sz w:val="24"/>
          <w:szCs w:val="24"/>
        </w:rPr>
        <w:t>is crucial</w:t>
      </w:r>
      <w:r w:rsidR="006A4E32" w:rsidRPr="006A4E32">
        <w:rPr>
          <w:rFonts w:ascii="Arial" w:hAnsi="Arial" w:cs="Arial"/>
          <w:sz w:val="24"/>
          <w:szCs w:val="24"/>
        </w:rPr>
        <w:t xml:space="preserve"> in sustaining profitability within the hotel business.</w:t>
      </w:r>
    </w:p>
    <w:p w14:paraId="36CAC718" w14:textId="77777777" w:rsidR="006A4E32" w:rsidRPr="006A4E32" w:rsidRDefault="006A4E32" w:rsidP="006A4E32">
      <w:pPr>
        <w:spacing w:line="360" w:lineRule="auto"/>
        <w:jc w:val="both"/>
        <w:rPr>
          <w:rFonts w:ascii="Arial" w:hAnsi="Arial" w:cs="Arial"/>
          <w:b/>
          <w:bCs/>
          <w:sz w:val="24"/>
          <w:szCs w:val="24"/>
        </w:rPr>
      </w:pPr>
      <w:r w:rsidRPr="006A4E32">
        <w:rPr>
          <w:rFonts w:ascii="Arial" w:hAnsi="Arial" w:cs="Arial"/>
          <w:b/>
          <w:bCs/>
          <w:sz w:val="24"/>
          <w:szCs w:val="24"/>
        </w:rPr>
        <w:t>Liquidity Analysis</w:t>
      </w:r>
    </w:p>
    <w:p w14:paraId="127C9BE5" w14:textId="359654CF" w:rsidR="006A4E32" w:rsidRPr="006A4E32" w:rsidRDefault="00517FC9" w:rsidP="006A4E32">
      <w:pPr>
        <w:spacing w:line="360" w:lineRule="auto"/>
        <w:jc w:val="both"/>
        <w:rPr>
          <w:rFonts w:ascii="Arial" w:hAnsi="Arial" w:cs="Arial"/>
          <w:sz w:val="24"/>
          <w:szCs w:val="24"/>
        </w:rPr>
      </w:pPr>
      <w:r w:rsidRPr="00517FC9">
        <w:rPr>
          <w:rFonts w:ascii="Arial" w:hAnsi="Arial" w:cs="Arial"/>
          <w:sz w:val="24"/>
          <w:szCs w:val="24"/>
        </w:rPr>
        <w:t>The hotel's liquidity has worsened, as its cash and equivalents have declined from £300,000 in 2021 to £100,000 in 2023.</w:t>
      </w:r>
      <w:r w:rsidR="006A4E32" w:rsidRPr="006A4E32">
        <w:rPr>
          <w:rFonts w:ascii="Arial" w:hAnsi="Arial" w:cs="Arial"/>
          <w:sz w:val="24"/>
          <w:szCs w:val="24"/>
        </w:rPr>
        <w:t xml:space="preserve"> This pattern suggests a decrease in cash availability, which could hinder the hotel's capacity to fulfil its immediate financial responsibilities. According to Santoso and Supatmi (2021), liquidity measures, such as the current ratio, are crucial for evaluating the capacity to meet short-term debts, which, in this instance, has deteriorated.</w:t>
      </w:r>
    </w:p>
    <w:p w14:paraId="51755371" w14:textId="77777777" w:rsidR="006A4E32" w:rsidRPr="006A4E32" w:rsidRDefault="006A4E32" w:rsidP="006A4E32">
      <w:pPr>
        <w:spacing w:line="360" w:lineRule="auto"/>
        <w:jc w:val="both"/>
        <w:rPr>
          <w:rFonts w:ascii="Arial" w:hAnsi="Arial" w:cs="Arial"/>
          <w:b/>
          <w:bCs/>
          <w:sz w:val="24"/>
          <w:szCs w:val="24"/>
        </w:rPr>
      </w:pPr>
      <w:r w:rsidRPr="006A4E32">
        <w:rPr>
          <w:rFonts w:ascii="Arial" w:hAnsi="Arial" w:cs="Arial"/>
          <w:b/>
          <w:bCs/>
          <w:sz w:val="24"/>
          <w:szCs w:val="24"/>
        </w:rPr>
        <w:t>Solvency Analysis</w:t>
      </w:r>
    </w:p>
    <w:p w14:paraId="627A3F76" w14:textId="248BA9FD" w:rsidR="006A4E32" w:rsidRPr="006A4E32" w:rsidRDefault="006A4E32" w:rsidP="006A4E32">
      <w:pPr>
        <w:spacing w:line="360" w:lineRule="auto"/>
        <w:jc w:val="both"/>
        <w:rPr>
          <w:rFonts w:ascii="Arial" w:hAnsi="Arial" w:cs="Arial"/>
          <w:sz w:val="24"/>
          <w:szCs w:val="24"/>
        </w:rPr>
      </w:pPr>
      <w:r w:rsidRPr="006A4E32">
        <w:rPr>
          <w:rFonts w:ascii="Arial" w:hAnsi="Arial" w:cs="Arial"/>
          <w:sz w:val="24"/>
          <w:szCs w:val="24"/>
        </w:rPr>
        <w:t xml:space="preserve">The hotel's financial stability is a cause for concern since its long-term debt has remained at £3,000,000, but its equity has decreased from £2,200,000 in 2021 to £1,380,000 in 2023. This change indicates a growing reliance on borrowed funds and a higher likelihood of being unable to meet financial obligations. Singh and Schmidgall (2013) highlight that excessive debt might jeopardise the financial health of hotels, </w:t>
      </w:r>
      <w:r w:rsidR="00AA7490">
        <w:rPr>
          <w:rFonts w:ascii="Arial" w:hAnsi="Arial" w:cs="Arial"/>
          <w:sz w:val="24"/>
          <w:szCs w:val="24"/>
        </w:rPr>
        <w:t>mainly</w:t>
      </w:r>
      <w:r w:rsidRPr="006A4E32">
        <w:rPr>
          <w:rFonts w:ascii="Arial" w:hAnsi="Arial" w:cs="Arial"/>
          <w:sz w:val="24"/>
          <w:szCs w:val="24"/>
        </w:rPr>
        <w:t xml:space="preserve"> when revenue is decreasing.</w:t>
      </w:r>
    </w:p>
    <w:p w14:paraId="60733598" w14:textId="38BADED5" w:rsidR="006A4E32" w:rsidRPr="006A4E32" w:rsidRDefault="006A4E32" w:rsidP="006A4E32">
      <w:pPr>
        <w:spacing w:line="360" w:lineRule="auto"/>
        <w:jc w:val="both"/>
        <w:rPr>
          <w:rFonts w:ascii="Arial" w:hAnsi="Arial" w:cs="Arial"/>
          <w:sz w:val="24"/>
          <w:szCs w:val="24"/>
        </w:rPr>
      </w:pPr>
      <w:r w:rsidRPr="006A4E32">
        <w:rPr>
          <w:rFonts w:ascii="Arial" w:hAnsi="Arial" w:cs="Arial"/>
          <w:sz w:val="24"/>
          <w:szCs w:val="24"/>
        </w:rPr>
        <w:lastRenderedPageBreak/>
        <w:t xml:space="preserve">The proportions indicate a requirement for strategic financial management to counteract the unfavourable patterns and enhance the hotel's financial standing, in line with the conclusions of other research on hotel financial performance (Turegun, 2019; </w:t>
      </w:r>
      <w:r w:rsidR="00931687" w:rsidRPr="00931687">
        <w:rPr>
          <w:rFonts w:ascii="Arial" w:hAnsi="Arial" w:cs="Arial"/>
          <w:sz w:val="24"/>
          <w:szCs w:val="24"/>
        </w:rPr>
        <w:t>Chrysafis</w:t>
      </w:r>
      <w:r w:rsidR="00931687">
        <w:rPr>
          <w:rFonts w:ascii="Arial" w:hAnsi="Arial" w:cs="Arial"/>
          <w:sz w:val="24"/>
          <w:szCs w:val="24"/>
        </w:rPr>
        <w:t xml:space="preserve"> et al., 2024</w:t>
      </w:r>
      <w:r w:rsidRPr="006A4E32">
        <w:rPr>
          <w:rFonts w:ascii="Arial" w:hAnsi="Arial" w:cs="Arial"/>
          <w:sz w:val="24"/>
          <w:szCs w:val="24"/>
        </w:rPr>
        <w:t>).</w:t>
      </w:r>
    </w:p>
    <w:p w14:paraId="699A43B0" w14:textId="77777777" w:rsidR="00E84AA8" w:rsidRDefault="00E84AA8" w:rsidP="006A4E32">
      <w:pPr>
        <w:spacing w:line="360" w:lineRule="auto"/>
        <w:jc w:val="both"/>
        <w:rPr>
          <w:rFonts w:ascii="Arial" w:hAnsi="Arial" w:cs="Arial"/>
          <w:b/>
          <w:bCs/>
          <w:sz w:val="24"/>
          <w:szCs w:val="24"/>
        </w:rPr>
      </w:pPr>
    </w:p>
    <w:p w14:paraId="3EDBE37B" w14:textId="1D052647" w:rsidR="006A4E32" w:rsidRPr="006A4E32" w:rsidRDefault="006A4E32" w:rsidP="006A4E32">
      <w:pPr>
        <w:spacing w:line="360" w:lineRule="auto"/>
        <w:jc w:val="both"/>
        <w:rPr>
          <w:rFonts w:ascii="Arial" w:hAnsi="Arial" w:cs="Arial"/>
          <w:b/>
          <w:bCs/>
          <w:sz w:val="24"/>
          <w:szCs w:val="24"/>
        </w:rPr>
      </w:pPr>
      <w:r w:rsidRPr="006A4E32">
        <w:rPr>
          <w:rFonts w:ascii="Arial" w:hAnsi="Arial" w:cs="Arial"/>
          <w:b/>
          <w:bCs/>
          <w:sz w:val="24"/>
          <w:szCs w:val="24"/>
        </w:rPr>
        <w:t>Identifying the Causes of Decline</w:t>
      </w:r>
    </w:p>
    <w:p w14:paraId="14B2C8AB" w14:textId="77777777" w:rsidR="006A4E32" w:rsidRPr="006A4E32" w:rsidRDefault="006A4E32" w:rsidP="006A4E32">
      <w:pPr>
        <w:spacing w:line="360" w:lineRule="auto"/>
        <w:jc w:val="both"/>
        <w:rPr>
          <w:rFonts w:ascii="Arial" w:hAnsi="Arial" w:cs="Arial"/>
          <w:b/>
          <w:bCs/>
          <w:sz w:val="24"/>
          <w:szCs w:val="24"/>
        </w:rPr>
      </w:pPr>
      <w:r w:rsidRPr="006A4E32">
        <w:rPr>
          <w:rFonts w:ascii="Arial" w:hAnsi="Arial" w:cs="Arial"/>
          <w:b/>
          <w:bCs/>
          <w:sz w:val="24"/>
          <w:szCs w:val="24"/>
        </w:rPr>
        <w:t>Internal Factors</w:t>
      </w:r>
    </w:p>
    <w:p w14:paraId="4E88DCED" w14:textId="77777777" w:rsidR="00A4192B" w:rsidRPr="00A4192B" w:rsidRDefault="006A4E32" w:rsidP="00A4192B">
      <w:pPr>
        <w:spacing w:line="360" w:lineRule="auto"/>
        <w:jc w:val="both"/>
        <w:rPr>
          <w:rFonts w:ascii="Arial" w:hAnsi="Arial" w:cs="Arial"/>
          <w:sz w:val="24"/>
          <w:szCs w:val="24"/>
        </w:rPr>
      </w:pPr>
      <w:r w:rsidRPr="006A4E32">
        <w:rPr>
          <w:rFonts w:ascii="Arial" w:hAnsi="Arial" w:cs="Arial"/>
          <w:b/>
          <w:bCs/>
          <w:sz w:val="24"/>
          <w:szCs w:val="24"/>
        </w:rPr>
        <w:t>Declining Customer Satisfaction:</w:t>
      </w:r>
      <w:r w:rsidRPr="006A4E32">
        <w:rPr>
          <w:rFonts w:ascii="Arial" w:hAnsi="Arial" w:cs="Arial"/>
          <w:sz w:val="24"/>
          <w:szCs w:val="24"/>
        </w:rPr>
        <w:t xml:space="preserve"> A pressing internal concern for the Urban Heights Hotel is the decreasing level of customer satisfaction. </w:t>
      </w:r>
      <w:r w:rsidR="00A4192B" w:rsidRPr="00A4192B">
        <w:rPr>
          <w:rFonts w:ascii="Arial" w:hAnsi="Arial" w:cs="Arial"/>
          <w:sz w:val="24"/>
          <w:szCs w:val="24"/>
        </w:rPr>
        <w:t>Li, Ye, and Law (2013) found various aspects that affect consumer happiness in hotels, such as the ease of transportation, the management of food and beverages, and the perceived value for money.</w:t>
      </w:r>
    </w:p>
    <w:p w14:paraId="1E1B51C0" w14:textId="73904776" w:rsidR="006A4E32" w:rsidRPr="006A4E32" w:rsidRDefault="006A4E32" w:rsidP="006A4E32">
      <w:pPr>
        <w:spacing w:line="360" w:lineRule="auto"/>
        <w:jc w:val="both"/>
        <w:rPr>
          <w:rFonts w:ascii="Arial" w:hAnsi="Arial" w:cs="Arial"/>
          <w:sz w:val="24"/>
          <w:szCs w:val="24"/>
        </w:rPr>
      </w:pPr>
      <w:r w:rsidRPr="006A4E32">
        <w:rPr>
          <w:rFonts w:ascii="Arial" w:hAnsi="Arial" w:cs="Arial"/>
          <w:sz w:val="24"/>
          <w:szCs w:val="24"/>
        </w:rPr>
        <w:t xml:space="preserve"> The decrease in these areas might be attributed to personnel problems, insufficient training, and subpar service quality, which are prevalent in the hotel sector. High personnel turnover and insufficient training can significantly affect service quality, resulting in customer unhappiness and unfavourable evaluations.</w:t>
      </w:r>
    </w:p>
    <w:p w14:paraId="5DB8381D" w14:textId="221FACE8" w:rsidR="006A4E32" w:rsidRPr="006A4E32" w:rsidRDefault="006A4E32" w:rsidP="006A4E32">
      <w:pPr>
        <w:spacing w:line="360" w:lineRule="auto"/>
        <w:jc w:val="both"/>
        <w:rPr>
          <w:rFonts w:ascii="Arial" w:hAnsi="Arial" w:cs="Arial"/>
          <w:sz w:val="24"/>
          <w:szCs w:val="24"/>
        </w:rPr>
      </w:pPr>
      <w:r w:rsidRPr="006A4E32">
        <w:rPr>
          <w:rFonts w:ascii="Arial" w:hAnsi="Arial" w:cs="Arial"/>
          <w:b/>
          <w:bCs/>
          <w:sz w:val="24"/>
          <w:szCs w:val="24"/>
        </w:rPr>
        <w:t>Increasing Operational Expenses:</w:t>
      </w:r>
      <w:r w:rsidRPr="006A4E32">
        <w:rPr>
          <w:rFonts w:ascii="Arial" w:hAnsi="Arial" w:cs="Arial"/>
          <w:sz w:val="24"/>
          <w:szCs w:val="24"/>
        </w:rPr>
        <w:t xml:space="preserve"> The hotel's operational costs have </w:t>
      </w:r>
      <w:r w:rsidR="00D40BDD">
        <w:rPr>
          <w:rFonts w:ascii="Arial" w:hAnsi="Arial" w:cs="Arial"/>
          <w:sz w:val="24"/>
          <w:szCs w:val="24"/>
        </w:rPr>
        <w:t>substantially increased</w:t>
      </w:r>
      <w:r w:rsidRPr="006A4E32">
        <w:rPr>
          <w:rFonts w:ascii="Arial" w:hAnsi="Arial" w:cs="Arial"/>
          <w:sz w:val="24"/>
          <w:szCs w:val="24"/>
        </w:rPr>
        <w:t xml:space="preserve"> during the previous three years. Inefficient operations and rising costs, particularly in utilities, labour, and food and beverage, can drive up expenses. </w:t>
      </w:r>
      <w:r w:rsidR="00510290" w:rsidRPr="00510290">
        <w:rPr>
          <w:rFonts w:ascii="Arial" w:hAnsi="Arial" w:cs="Arial"/>
          <w:sz w:val="24"/>
          <w:szCs w:val="24"/>
        </w:rPr>
        <w:t>Santoso and Supatmi (2021) highlighted the significance of effectively controlling both fixed and variable costs in order to maintain profitability within the hotel industry. If there is a lack of efficient operational management, costs could increase, resulting in a detrimental influence on the hotel's financial performance.</w:t>
      </w:r>
    </w:p>
    <w:p w14:paraId="7F4D8EA4" w14:textId="6902C559" w:rsidR="006A4E32" w:rsidRPr="006A4E32" w:rsidRDefault="006A4E32" w:rsidP="006A4E32">
      <w:pPr>
        <w:spacing w:line="360" w:lineRule="auto"/>
        <w:jc w:val="both"/>
        <w:rPr>
          <w:rFonts w:ascii="Arial" w:hAnsi="Arial" w:cs="Arial"/>
          <w:sz w:val="24"/>
          <w:szCs w:val="24"/>
        </w:rPr>
      </w:pPr>
      <w:r w:rsidRPr="006A4E32">
        <w:rPr>
          <w:rFonts w:ascii="Arial" w:hAnsi="Arial" w:cs="Arial"/>
          <w:b/>
          <w:bCs/>
          <w:sz w:val="24"/>
          <w:szCs w:val="24"/>
        </w:rPr>
        <w:t>Management and Strategic Issues:</w:t>
      </w:r>
      <w:r w:rsidRPr="006A4E32">
        <w:rPr>
          <w:rFonts w:ascii="Arial" w:hAnsi="Arial" w:cs="Arial"/>
          <w:sz w:val="24"/>
          <w:szCs w:val="24"/>
        </w:rPr>
        <w:t xml:space="preserve"> The downturn has been influenced by strategic errors and inadequate management decisions. </w:t>
      </w:r>
      <w:r w:rsidR="00D40BDD">
        <w:rPr>
          <w:rFonts w:ascii="Arial" w:hAnsi="Arial" w:cs="Arial"/>
          <w:sz w:val="24"/>
          <w:szCs w:val="24"/>
        </w:rPr>
        <w:t>These encompass the inability to adjust to market shifts</w:t>
      </w:r>
      <w:r w:rsidRPr="006A4E32">
        <w:rPr>
          <w:rFonts w:ascii="Arial" w:hAnsi="Arial" w:cs="Arial"/>
          <w:sz w:val="24"/>
          <w:szCs w:val="24"/>
        </w:rPr>
        <w:t>, insufficient marketing tactics, and a dearth of creativity in service offerings. Leadership and strategic planning play a vital role in successfully navigating the competitive environment of the hospitality business (Demydyuk &amp; Carlbäck, 2023).</w:t>
      </w:r>
    </w:p>
    <w:p w14:paraId="5D662F2C" w14:textId="77777777" w:rsidR="006A4E32" w:rsidRPr="006A4E32" w:rsidRDefault="006A4E32" w:rsidP="006A4E32">
      <w:pPr>
        <w:spacing w:line="360" w:lineRule="auto"/>
        <w:jc w:val="both"/>
        <w:rPr>
          <w:rFonts w:ascii="Arial" w:hAnsi="Arial" w:cs="Arial"/>
          <w:sz w:val="24"/>
          <w:szCs w:val="24"/>
        </w:rPr>
      </w:pPr>
    </w:p>
    <w:p w14:paraId="342CA618" w14:textId="77777777" w:rsidR="006A4E32" w:rsidRPr="006A4E32" w:rsidRDefault="006A4E32" w:rsidP="006A4E32">
      <w:pPr>
        <w:spacing w:line="360" w:lineRule="auto"/>
        <w:jc w:val="both"/>
        <w:rPr>
          <w:rFonts w:ascii="Arial" w:hAnsi="Arial" w:cs="Arial"/>
          <w:b/>
          <w:bCs/>
          <w:sz w:val="24"/>
          <w:szCs w:val="24"/>
        </w:rPr>
      </w:pPr>
      <w:r w:rsidRPr="006A4E32">
        <w:rPr>
          <w:rFonts w:ascii="Arial" w:hAnsi="Arial" w:cs="Arial"/>
          <w:b/>
          <w:bCs/>
          <w:sz w:val="24"/>
          <w:szCs w:val="24"/>
        </w:rPr>
        <w:t>External Factors</w:t>
      </w:r>
    </w:p>
    <w:p w14:paraId="25654500" w14:textId="5C72FD12" w:rsidR="006A4E32" w:rsidRPr="006A4E32" w:rsidRDefault="006A4E32" w:rsidP="006A4E32">
      <w:pPr>
        <w:spacing w:line="360" w:lineRule="auto"/>
        <w:jc w:val="both"/>
        <w:rPr>
          <w:rFonts w:ascii="Arial" w:hAnsi="Arial" w:cs="Arial"/>
          <w:sz w:val="24"/>
          <w:szCs w:val="24"/>
        </w:rPr>
      </w:pPr>
      <w:r w:rsidRPr="006A4E32">
        <w:rPr>
          <w:rFonts w:ascii="Arial" w:hAnsi="Arial" w:cs="Arial"/>
          <w:b/>
          <w:bCs/>
          <w:sz w:val="24"/>
          <w:szCs w:val="24"/>
        </w:rPr>
        <w:t>Economic Factors:</w:t>
      </w:r>
      <w:r w:rsidRPr="006A4E32">
        <w:rPr>
          <w:rFonts w:ascii="Arial" w:hAnsi="Arial" w:cs="Arial"/>
          <w:sz w:val="24"/>
          <w:szCs w:val="24"/>
        </w:rPr>
        <w:t xml:space="preserve"> The economic climate significantly influences the hospitality sector. The economic uncertainty caused by Brexit has </w:t>
      </w:r>
      <w:r w:rsidR="00D40BDD">
        <w:rPr>
          <w:rFonts w:ascii="Arial" w:hAnsi="Arial" w:cs="Arial"/>
          <w:sz w:val="24"/>
          <w:szCs w:val="24"/>
        </w:rPr>
        <w:t>affected the flow of tourists to the UK. Inflation and economic downturns negatively impact</w:t>
      </w:r>
      <w:r w:rsidRPr="006A4E32">
        <w:rPr>
          <w:rFonts w:ascii="Arial" w:hAnsi="Arial" w:cs="Arial"/>
          <w:sz w:val="24"/>
          <w:szCs w:val="24"/>
        </w:rPr>
        <w:t xml:space="preserve"> disposable income, resulting in a decline in travel and hotel bookings (Pappas, 2019).</w:t>
      </w:r>
    </w:p>
    <w:p w14:paraId="6CF32BCB" w14:textId="0324EF91" w:rsidR="006A4E32" w:rsidRPr="006A4E32" w:rsidRDefault="006A4E32" w:rsidP="006A4E32">
      <w:pPr>
        <w:spacing w:line="360" w:lineRule="auto"/>
        <w:jc w:val="both"/>
        <w:rPr>
          <w:rFonts w:ascii="Arial" w:hAnsi="Arial" w:cs="Arial"/>
          <w:sz w:val="24"/>
          <w:szCs w:val="24"/>
        </w:rPr>
      </w:pPr>
      <w:r w:rsidRPr="006A4E32">
        <w:rPr>
          <w:rFonts w:ascii="Arial" w:hAnsi="Arial" w:cs="Arial"/>
          <w:b/>
          <w:bCs/>
          <w:sz w:val="24"/>
          <w:szCs w:val="24"/>
        </w:rPr>
        <w:t>Competition:</w:t>
      </w:r>
      <w:r w:rsidRPr="006A4E32">
        <w:rPr>
          <w:rFonts w:ascii="Arial" w:hAnsi="Arial" w:cs="Arial"/>
          <w:sz w:val="24"/>
          <w:szCs w:val="24"/>
        </w:rPr>
        <w:t xml:space="preserve"> The emergence of alternative accommodation choices like Airbnb has heightened competition. </w:t>
      </w:r>
      <w:r w:rsidR="00527748" w:rsidRPr="00527748">
        <w:rPr>
          <w:rFonts w:ascii="Arial" w:hAnsi="Arial" w:cs="Arial"/>
          <w:sz w:val="24"/>
          <w:szCs w:val="24"/>
        </w:rPr>
        <w:t>In their study, Zervas, Proserpio, and Byers (2017) discovered that Airbnb has a significant impact on the revenues of hotels, particularly cheap hotels and those that do not cater to business travellers.</w:t>
      </w:r>
      <w:r w:rsidRPr="006A4E32">
        <w:rPr>
          <w:rFonts w:ascii="Arial" w:hAnsi="Arial" w:cs="Arial"/>
          <w:sz w:val="24"/>
          <w:szCs w:val="24"/>
        </w:rPr>
        <w:t xml:space="preserve"> The heightened competition compels hotels to reduce costs and engage in innovation to entice clients.</w:t>
      </w:r>
    </w:p>
    <w:p w14:paraId="0DB3B595" w14:textId="109AEEF5" w:rsidR="006A4E32" w:rsidRPr="006A4E32" w:rsidRDefault="006A4E32" w:rsidP="006A4E32">
      <w:pPr>
        <w:spacing w:line="360" w:lineRule="auto"/>
        <w:jc w:val="both"/>
        <w:rPr>
          <w:rFonts w:ascii="Arial" w:hAnsi="Arial" w:cs="Arial"/>
          <w:sz w:val="24"/>
          <w:szCs w:val="24"/>
        </w:rPr>
      </w:pPr>
      <w:r w:rsidRPr="006A4E32">
        <w:rPr>
          <w:rFonts w:ascii="Arial" w:hAnsi="Arial" w:cs="Arial"/>
          <w:b/>
          <w:bCs/>
          <w:sz w:val="24"/>
          <w:szCs w:val="24"/>
        </w:rPr>
        <w:t>Regulatory Factors:</w:t>
      </w:r>
      <w:r w:rsidRPr="006A4E32">
        <w:rPr>
          <w:rFonts w:ascii="Arial" w:hAnsi="Arial" w:cs="Arial"/>
          <w:sz w:val="24"/>
          <w:szCs w:val="24"/>
        </w:rPr>
        <w:t xml:space="preserve"> Modifications in aviation restrictions and other </w:t>
      </w:r>
      <w:r w:rsidR="00D40BDD">
        <w:rPr>
          <w:rFonts w:ascii="Arial" w:hAnsi="Arial" w:cs="Arial"/>
          <w:sz w:val="24"/>
          <w:szCs w:val="24"/>
        </w:rPr>
        <w:t>travel legislation can have a detrimental effect on the number of tourists visiting a destination, thereby affecting hotel occupancy rates</w:t>
      </w:r>
      <w:r w:rsidRPr="006A4E32">
        <w:rPr>
          <w:rFonts w:ascii="Arial" w:hAnsi="Arial" w:cs="Arial"/>
          <w:sz w:val="24"/>
          <w:szCs w:val="24"/>
        </w:rPr>
        <w:t>. Regulatory limitations might also augment operating expenses and impede adherence, thereby intensifying financial performance strain (Gössling et al., 2020).</w:t>
      </w:r>
    </w:p>
    <w:p w14:paraId="2622B725" w14:textId="4465F3A0" w:rsidR="006A4E32" w:rsidRPr="006A4E32" w:rsidRDefault="006A4E32" w:rsidP="006A4E32">
      <w:pPr>
        <w:spacing w:line="360" w:lineRule="auto"/>
        <w:jc w:val="both"/>
        <w:rPr>
          <w:rFonts w:ascii="Arial" w:hAnsi="Arial" w:cs="Arial"/>
          <w:sz w:val="24"/>
          <w:szCs w:val="24"/>
        </w:rPr>
      </w:pPr>
      <w:r w:rsidRPr="006A4E32">
        <w:rPr>
          <w:rFonts w:ascii="Arial" w:hAnsi="Arial" w:cs="Arial"/>
          <w:b/>
          <w:bCs/>
          <w:sz w:val="24"/>
          <w:szCs w:val="24"/>
        </w:rPr>
        <w:t>Market Trends:</w:t>
      </w:r>
      <w:r w:rsidRPr="006A4E32">
        <w:rPr>
          <w:rFonts w:ascii="Arial" w:hAnsi="Arial" w:cs="Arial"/>
          <w:sz w:val="24"/>
          <w:szCs w:val="24"/>
        </w:rPr>
        <w:t xml:space="preserve"> Changes in consumer behaviour and preferences play a crucial role in the hospitality business. Contemporary tourists desire distinctive encounters, frequently favouring unconventional lodgings such as Airbnb that provide more individualised and community-oriented experiences. </w:t>
      </w:r>
      <w:r w:rsidR="00D40BDD">
        <w:rPr>
          <w:rFonts w:ascii="Arial" w:hAnsi="Arial" w:cs="Arial"/>
          <w:sz w:val="24"/>
          <w:szCs w:val="24"/>
        </w:rPr>
        <w:t>To match customers' shifting expectations</w:t>
      </w:r>
      <w:r w:rsidRPr="006A4E32">
        <w:rPr>
          <w:rFonts w:ascii="Arial" w:hAnsi="Arial" w:cs="Arial"/>
          <w:sz w:val="24"/>
          <w:szCs w:val="24"/>
        </w:rPr>
        <w:t>, the conventional hotel business needs to undergo changes (Mody, Suess, &amp; Lehto, 2017).</w:t>
      </w:r>
    </w:p>
    <w:p w14:paraId="6C507160" w14:textId="17D0EDD5" w:rsidR="00D40BDD" w:rsidRDefault="006A4E32" w:rsidP="006A4E32">
      <w:pPr>
        <w:spacing w:line="360" w:lineRule="auto"/>
        <w:jc w:val="both"/>
        <w:rPr>
          <w:rFonts w:ascii="Arial" w:hAnsi="Arial" w:cs="Arial"/>
          <w:sz w:val="24"/>
          <w:szCs w:val="24"/>
        </w:rPr>
      </w:pPr>
      <w:r w:rsidRPr="006A4E32">
        <w:rPr>
          <w:rFonts w:ascii="Arial" w:hAnsi="Arial" w:cs="Arial"/>
          <w:b/>
          <w:bCs/>
          <w:sz w:val="24"/>
          <w:szCs w:val="24"/>
        </w:rPr>
        <w:t>Technological Factors:</w:t>
      </w:r>
      <w:r w:rsidRPr="006A4E32">
        <w:rPr>
          <w:rFonts w:ascii="Arial" w:hAnsi="Arial" w:cs="Arial"/>
          <w:sz w:val="24"/>
          <w:szCs w:val="24"/>
        </w:rPr>
        <w:t xml:space="preserve"> Technology is crucial in contemporary hotel operations. Hotels lagging in adopting technology for operations, customer service, and marketing may fall behind competitors. Customer selections are influenced by online reviews and social media; therefore, hotels need to efficiently control their online presence in order to attract and keep customers (Priporas et al., 2017).</w:t>
      </w:r>
    </w:p>
    <w:p w14:paraId="1D430D87" w14:textId="430C3FEF" w:rsidR="006A4E32" w:rsidRPr="006A4E32" w:rsidRDefault="006A4E32" w:rsidP="006A4E32">
      <w:pPr>
        <w:spacing w:line="360" w:lineRule="auto"/>
        <w:jc w:val="both"/>
        <w:rPr>
          <w:rFonts w:ascii="Arial" w:hAnsi="Arial" w:cs="Arial"/>
          <w:b/>
          <w:bCs/>
          <w:sz w:val="24"/>
          <w:szCs w:val="24"/>
        </w:rPr>
      </w:pPr>
      <w:r w:rsidRPr="006A4E32">
        <w:rPr>
          <w:rFonts w:ascii="Arial" w:hAnsi="Arial" w:cs="Arial"/>
          <w:b/>
          <w:bCs/>
          <w:sz w:val="24"/>
          <w:szCs w:val="24"/>
        </w:rPr>
        <w:t xml:space="preserve">Comparison with </w:t>
      </w:r>
      <w:r w:rsidR="00EB3F14">
        <w:rPr>
          <w:rFonts w:ascii="Arial" w:hAnsi="Arial" w:cs="Arial"/>
          <w:b/>
          <w:bCs/>
          <w:sz w:val="24"/>
          <w:szCs w:val="24"/>
        </w:rPr>
        <w:t xml:space="preserve">Other </w:t>
      </w:r>
      <w:r w:rsidRPr="006A4E32">
        <w:rPr>
          <w:rFonts w:ascii="Arial" w:hAnsi="Arial" w:cs="Arial"/>
          <w:b/>
          <w:bCs/>
          <w:sz w:val="24"/>
          <w:szCs w:val="24"/>
        </w:rPr>
        <w:t>Chain Hotels</w:t>
      </w:r>
    </w:p>
    <w:p w14:paraId="0B9FF1D4" w14:textId="1A62E601" w:rsidR="006A4E32" w:rsidRPr="006A4E32" w:rsidRDefault="006A4E32" w:rsidP="006A4E32">
      <w:pPr>
        <w:spacing w:line="360" w:lineRule="auto"/>
        <w:jc w:val="both"/>
        <w:rPr>
          <w:rFonts w:ascii="Arial" w:hAnsi="Arial" w:cs="Arial"/>
          <w:sz w:val="24"/>
          <w:szCs w:val="24"/>
        </w:rPr>
      </w:pPr>
      <w:r w:rsidRPr="006A4E32">
        <w:rPr>
          <w:rFonts w:ascii="Arial" w:hAnsi="Arial" w:cs="Arial"/>
          <w:b/>
          <w:bCs/>
          <w:sz w:val="24"/>
          <w:szCs w:val="24"/>
        </w:rPr>
        <w:lastRenderedPageBreak/>
        <w:t>Advantages of Chain Hotels:</w:t>
      </w:r>
      <w:r w:rsidRPr="006A4E32">
        <w:rPr>
          <w:rFonts w:ascii="Arial" w:hAnsi="Arial" w:cs="Arial"/>
          <w:sz w:val="24"/>
          <w:szCs w:val="24"/>
        </w:rPr>
        <w:t xml:space="preserve"> Chain hotels </w:t>
      </w:r>
      <w:r w:rsidR="00D40BDD">
        <w:rPr>
          <w:rFonts w:ascii="Arial" w:hAnsi="Arial" w:cs="Arial"/>
          <w:sz w:val="24"/>
          <w:szCs w:val="24"/>
        </w:rPr>
        <w:t>benefit from their established brand awareness, the ability to leverage economies of scale, and the presence of strong marketing networks. They can also</w:t>
      </w:r>
      <w:r w:rsidRPr="006A4E32">
        <w:rPr>
          <w:rFonts w:ascii="Arial" w:hAnsi="Arial" w:cs="Arial"/>
          <w:sz w:val="24"/>
          <w:szCs w:val="24"/>
        </w:rPr>
        <w:t xml:space="preserve"> utilize centralized resources and operational efficiencies, resulting in improved service quality and cost reduction (Dogru, Mody, &amp; Suess, 2020).</w:t>
      </w:r>
    </w:p>
    <w:p w14:paraId="1B83E2D3" w14:textId="3B15F4E1" w:rsidR="006A4E32" w:rsidRPr="006A4E32" w:rsidRDefault="006A4E32" w:rsidP="006A4E32">
      <w:pPr>
        <w:spacing w:line="360" w:lineRule="auto"/>
        <w:jc w:val="both"/>
        <w:rPr>
          <w:rFonts w:ascii="Arial" w:hAnsi="Arial" w:cs="Arial"/>
          <w:sz w:val="24"/>
          <w:szCs w:val="24"/>
        </w:rPr>
      </w:pPr>
      <w:r w:rsidRPr="006A4E32">
        <w:rPr>
          <w:rFonts w:ascii="Arial" w:hAnsi="Arial" w:cs="Arial"/>
          <w:b/>
          <w:bCs/>
          <w:sz w:val="24"/>
          <w:szCs w:val="24"/>
        </w:rPr>
        <w:t>Challenges Faced by Single Hotel Brands:</w:t>
      </w:r>
      <w:r w:rsidRPr="006A4E32">
        <w:rPr>
          <w:rFonts w:ascii="Arial" w:hAnsi="Arial" w:cs="Arial"/>
          <w:sz w:val="24"/>
          <w:szCs w:val="24"/>
        </w:rPr>
        <w:t xml:space="preserve"> Urban Heights Hotel, being a standalone hotel brand, encounters difficulties in competing with larger hotel chains. These factors encompass constrained marketing resources, diminished negotiating leverage with suppliers, and challenges in upholding uniform service standards. In addition, independent hotels may face challenges in building brand loyalty when compared to long-established hotel chains (Yang and Mao, 2017).</w:t>
      </w:r>
    </w:p>
    <w:p w14:paraId="2DA16E61" w14:textId="5508F078" w:rsidR="006A4E32" w:rsidRPr="006A4E32" w:rsidRDefault="00D40BDD" w:rsidP="006A4E32">
      <w:pPr>
        <w:spacing w:line="360" w:lineRule="auto"/>
        <w:jc w:val="both"/>
        <w:rPr>
          <w:rFonts w:ascii="Arial" w:hAnsi="Arial" w:cs="Arial"/>
          <w:sz w:val="24"/>
          <w:szCs w:val="24"/>
        </w:rPr>
      </w:pPr>
      <w:r>
        <w:rPr>
          <w:rFonts w:ascii="Arial" w:hAnsi="Arial" w:cs="Arial"/>
          <w:sz w:val="24"/>
          <w:szCs w:val="24"/>
        </w:rPr>
        <w:t>Urban Heights Hotel's decrease in performance is ascribed to a blend of internal inefficiencies and external competitive pressures. To achieve a successful recovery, the hotel must</w:t>
      </w:r>
      <w:r w:rsidR="006A4E32" w:rsidRPr="006A4E32">
        <w:rPr>
          <w:rFonts w:ascii="Arial" w:hAnsi="Arial" w:cs="Arial"/>
          <w:sz w:val="24"/>
          <w:szCs w:val="24"/>
        </w:rPr>
        <w:t xml:space="preserve"> tackle these problems by implementing strategic enhancements and capitalizing on market prospects.</w:t>
      </w:r>
    </w:p>
    <w:p w14:paraId="25143BC8" w14:textId="1436319B" w:rsidR="006A4E32" w:rsidRPr="006A4E32" w:rsidRDefault="006A4E32" w:rsidP="006A4E32">
      <w:pPr>
        <w:spacing w:line="360" w:lineRule="auto"/>
        <w:jc w:val="both"/>
        <w:rPr>
          <w:rFonts w:ascii="Arial" w:hAnsi="Arial" w:cs="Arial"/>
          <w:b/>
          <w:bCs/>
          <w:sz w:val="24"/>
          <w:szCs w:val="24"/>
        </w:rPr>
      </w:pPr>
      <w:r w:rsidRPr="006A4E32">
        <w:rPr>
          <w:rFonts w:ascii="Arial" w:hAnsi="Arial" w:cs="Arial"/>
          <w:sz w:val="24"/>
          <w:szCs w:val="24"/>
        </w:rPr>
        <w:br/>
      </w:r>
      <w:r w:rsidRPr="006A4E32">
        <w:rPr>
          <w:rFonts w:ascii="Arial" w:hAnsi="Arial" w:cs="Arial"/>
          <w:b/>
          <w:bCs/>
          <w:sz w:val="24"/>
          <w:szCs w:val="24"/>
        </w:rPr>
        <w:t>Conclusion</w:t>
      </w:r>
    </w:p>
    <w:p w14:paraId="14463882" w14:textId="77081B8B" w:rsidR="006A4E32" w:rsidRPr="006A4E32" w:rsidRDefault="00DD77DC" w:rsidP="006A4E32">
      <w:pPr>
        <w:spacing w:line="360" w:lineRule="auto"/>
        <w:jc w:val="both"/>
        <w:rPr>
          <w:rFonts w:ascii="Arial" w:hAnsi="Arial" w:cs="Arial"/>
          <w:sz w:val="24"/>
          <w:szCs w:val="24"/>
        </w:rPr>
      </w:pPr>
      <w:r w:rsidRPr="00DD77DC">
        <w:rPr>
          <w:rFonts w:ascii="Arial" w:hAnsi="Arial" w:cs="Arial"/>
          <w:sz w:val="24"/>
          <w:szCs w:val="24"/>
        </w:rPr>
        <w:t>The decline in the financial condition of Urban Heights Hotel in recent years can be ascribed to a blend of internal inefficiencies and external pressures. Internally, the key elements contributing to the problem include declining consumer satisfaction, rising operating expenses, and poor management decisions.</w:t>
      </w:r>
      <w:r w:rsidR="006A4E32" w:rsidRPr="006A4E32">
        <w:rPr>
          <w:rFonts w:ascii="Arial" w:hAnsi="Arial" w:cs="Arial"/>
          <w:sz w:val="24"/>
          <w:szCs w:val="24"/>
        </w:rPr>
        <w:t xml:space="preserve"> Externally, the hotel's performance has been further pressured by economic uncertainties such as Brexit, competition from Airbnb, and regulatory changes. By implementing strategic efforts such as staff training, focused marketing campaigns, and maximising facility utilisation, it is possible to address these difficulties and potentially reverse the poor trends in service quality. These enhancements are crucial for rejuvenating the hotel's fiscal well-being and guaranteeing its sustainability in the long run. By using these tactics, Urban Heights Hotel may effectively leverage its assets and successfully navigate the competitive landscape.</w:t>
      </w:r>
    </w:p>
    <w:p w14:paraId="471819B6" w14:textId="77777777" w:rsidR="006A4E32" w:rsidRPr="006A4E32" w:rsidRDefault="006A4E32" w:rsidP="006A4E32">
      <w:pPr>
        <w:spacing w:line="360" w:lineRule="auto"/>
        <w:jc w:val="both"/>
        <w:rPr>
          <w:rFonts w:ascii="Arial" w:hAnsi="Arial" w:cs="Arial"/>
          <w:sz w:val="24"/>
          <w:szCs w:val="24"/>
        </w:rPr>
      </w:pPr>
    </w:p>
    <w:p w14:paraId="64EB8788" w14:textId="77777777" w:rsidR="00EB3F14" w:rsidRDefault="00EB3F14" w:rsidP="006A4E32">
      <w:pPr>
        <w:spacing w:line="360" w:lineRule="auto"/>
        <w:jc w:val="both"/>
        <w:rPr>
          <w:rFonts w:ascii="Arial" w:hAnsi="Arial" w:cs="Arial"/>
          <w:b/>
          <w:bCs/>
          <w:sz w:val="24"/>
          <w:szCs w:val="24"/>
        </w:rPr>
      </w:pPr>
    </w:p>
    <w:p w14:paraId="029F22C1" w14:textId="47FD8BDD" w:rsidR="006A4E32" w:rsidRPr="006A4E32" w:rsidRDefault="006A4E32" w:rsidP="006A4E32">
      <w:pPr>
        <w:spacing w:line="360" w:lineRule="auto"/>
        <w:jc w:val="both"/>
        <w:rPr>
          <w:rFonts w:ascii="Arial" w:hAnsi="Arial" w:cs="Arial"/>
          <w:b/>
          <w:bCs/>
          <w:sz w:val="24"/>
          <w:szCs w:val="24"/>
        </w:rPr>
      </w:pPr>
      <w:r w:rsidRPr="006A4E32">
        <w:rPr>
          <w:rFonts w:ascii="Arial" w:hAnsi="Arial" w:cs="Arial"/>
          <w:b/>
          <w:bCs/>
          <w:sz w:val="24"/>
          <w:szCs w:val="24"/>
        </w:rPr>
        <w:t>Turnaround Strategy Development</w:t>
      </w:r>
    </w:p>
    <w:p w14:paraId="2E04EC1A" w14:textId="77777777" w:rsidR="006A4E32" w:rsidRPr="006A4E32" w:rsidRDefault="006A4E32" w:rsidP="006A4E32">
      <w:pPr>
        <w:spacing w:line="360" w:lineRule="auto"/>
        <w:jc w:val="both"/>
        <w:rPr>
          <w:rFonts w:ascii="Arial" w:hAnsi="Arial" w:cs="Arial"/>
          <w:b/>
          <w:bCs/>
          <w:sz w:val="24"/>
          <w:szCs w:val="24"/>
        </w:rPr>
      </w:pPr>
      <w:r w:rsidRPr="006A4E32">
        <w:rPr>
          <w:rFonts w:ascii="Arial" w:hAnsi="Arial" w:cs="Arial"/>
          <w:b/>
          <w:bCs/>
          <w:sz w:val="24"/>
          <w:szCs w:val="24"/>
        </w:rPr>
        <w:t>Operational Improvements</w:t>
      </w:r>
    </w:p>
    <w:p w14:paraId="4527A21E" w14:textId="4D482037" w:rsidR="006A4E32" w:rsidRPr="006A4E32" w:rsidRDefault="006A4E32" w:rsidP="006A4E32">
      <w:pPr>
        <w:spacing w:line="360" w:lineRule="auto"/>
        <w:jc w:val="both"/>
        <w:rPr>
          <w:rFonts w:ascii="Arial" w:hAnsi="Arial" w:cs="Arial"/>
          <w:sz w:val="24"/>
          <w:szCs w:val="24"/>
        </w:rPr>
      </w:pPr>
      <w:r w:rsidRPr="006A4E32">
        <w:rPr>
          <w:rFonts w:ascii="Arial" w:hAnsi="Arial" w:cs="Arial"/>
          <w:b/>
          <w:bCs/>
          <w:sz w:val="24"/>
          <w:szCs w:val="24"/>
        </w:rPr>
        <w:t>Enhancing Service Quality through Staff Training and Retention Programs:</w:t>
      </w:r>
      <w:r w:rsidRPr="006A4E32">
        <w:rPr>
          <w:rFonts w:ascii="Arial" w:hAnsi="Arial" w:cs="Arial"/>
          <w:sz w:val="24"/>
          <w:szCs w:val="24"/>
        </w:rPr>
        <w:t xml:space="preserve"> Enhancing client satisfaction and loyalty is contingent upon improving service quality. Implementing extensive staff training programs can enhance employees' ability to provide superior service, which is crucial for client retention. Bello’s study (2018) </w:t>
      </w:r>
      <w:r w:rsidR="00FD4974">
        <w:rPr>
          <w:rFonts w:ascii="Arial" w:hAnsi="Arial" w:cs="Arial"/>
          <w:sz w:val="24"/>
          <w:szCs w:val="24"/>
        </w:rPr>
        <w:t>argues</w:t>
      </w:r>
      <w:r w:rsidRPr="006A4E32">
        <w:rPr>
          <w:rFonts w:ascii="Arial" w:hAnsi="Arial" w:cs="Arial"/>
          <w:sz w:val="24"/>
          <w:szCs w:val="24"/>
        </w:rPr>
        <w:t xml:space="preserve"> that providing excellent service is a crucial factor in gaining a competitive edge in the hotel sector. Implementing initiatives focused on staff development and retention can effectively decrease turnover rates and guarantee a continuous level of service quality. These activities are anticipated to enhance client satisfaction by 20%, resulting in an estimated 15% rise in repeat bookings.</w:t>
      </w:r>
    </w:p>
    <w:p w14:paraId="1C83275A" w14:textId="44E3E082" w:rsidR="006A4E32" w:rsidRPr="006A4E32" w:rsidRDefault="006A4E32" w:rsidP="006A4E32">
      <w:pPr>
        <w:spacing w:line="360" w:lineRule="auto"/>
        <w:jc w:val="both"/>
        <w:rPr>
          <w:rFonts w:ascii="Arial" w:hAnsi="Arial" w:cs="Arial"/>
          <w:sz w:val="24"/>
          <w:szCs w:val="24"/>
        </w:rPr>
      </w:pPr>
      <w:r w:rsidRPr="006A4E32">
        <w:rPr>
          <w:rFonts w:ascii="Arial" w:hAnsi="Arial" w:cs="Arial"/>
          <w:b/>
          <w:bCs/>
          <w:sz w:val="24"/>
          <w:szCs w:val="24"/>
        </w:rPr>
        <w:t>Streamlining Operations to Reduce Costs:</w:t>
      </w:r>
      <w:r w:rsidRPr="006A4E32">
        <w:rPr>
          <w:rFonts w:ascii="Arial" w:hAnsi="Arial" w:cs="Arial"/>
          <w:sz w:val="24"/>
          <w:szCs w:val="24"/>
        </w:rPr>
        <w:t xml:space="preserve"> Operational efficiency can be attained through the optimisation of operations to minimise waste and enhance output. According to Stefani and Priatmodjo (2021), business process re-engineering is a method that can discover inefficiencies and streamline operations. This can involve implementing lean management methodologies, enhancing inventory management practices, and harnessing technology to automate repetitive processes, ultimately resulting in a reduction of operational expenses by around 10%. The implementation of this cost reduction strategy has the potential to result in </w:t>
      </w:r>
      <w:r w:rsidR="00D40BDD" w:rsidRPr="006A4E32">
        <w:rPr>
          <w:rFonts w:ascii="Arial" w:hAnsi="Arial" w:cs="Arial"/>
          <w:sz w:val="24"/>
          <w:szCs w:val="24"/>
        </w:rPr>
        <w:t>annual</w:t>
      </w:r>
      <w:r w:rsidRPr="006A4E32">
        <w:rPr>
          <w:rFonts w:ascii="Arial" w:hAnsi="Arial" w:cs="Arial"/>
          <w:sz w:val="24"/>
          <w:szCs w:val="24"/>
        </w:rPr>
        <w:t xml:space="preserve"> savings of £230,000 for the hotel.</w:t>
      </w:r>
    </w:p>
    <w:p w14:paraId="6E8961FD" w14:textId="269D4AF5" w:rsidR="006A4E32" w:rsidRDefault="007456E1" w:rsidP="00723D4B">
      <w:pPr>
        <w:rPr>
          <w:rFonts w:ascii="Arial" w:hAnsi="Arial" w:cs="Arial"/>
          <w:sz w:val="24"/>
          <w:szCs w:val="24"/>
        </w:rPr>
      </w:pPr>
      <w:r w:rsidRPr="007456E1">
        <w:rPr>
          <w:rFonts w:ascii="Arial" w:hAnsi="Arial" w:cs="Arial"/>
          <w:sz w:val="24"/>
          <w:szCs w:val="24"/>
        </w:rPr>
        <w:t>This strategy addresses the issue of inefficient cost management identified in the financial analysis.</w:t>
      </w:r>
    </w:p>
    <w:p w14:paraId="7BFAD94E" w14:textId="77777777" w:rsidR="00723D4B" w:rsidRPr="006A4E32" w:rsidRDefault="00723D4B" w:rsidP="00723D4B">
      <w:pPr>
        <w:rPr>
          <w:rFonts w:ascii="Arial" w:hAnsi="Arial" w:cs="Arial"/>
          <w:sz w:val="24"/>
          <w:szCs w:val="24"/>
        </w:rPr>
      </w:pPr>
    </w:p>
    <w:p w14:paraId="27810CE4" w14:textId="77777777" w:rsidR="006A4E32" w:rsidRPr="006A4E32" w:rsidRDefault="006A4E32" w:rsidP="006A4E32">
      <w:pPr>
        <w:spacing w:line="360" w:lineRule="auto"/>
        <w:jc w:val="both"/>
        <w:rPr>
          <w:rFonts w:ascii="Arial" w:hAnsi="Arial" w:cs="Arial"/>
          <w:b/>
          <w:bCs/>
          <w:sz w:val="24"/>
          <w:szCs w:val="24"/>
        </w:rPr>
      </w:pPr>
      <w:r w:rsidRPr="006A4E32">
        <w:rPr>
          <w:rFonts w:ascii="Arial" w:hAnsi="Arial" w:cs="Arial"/>
          <w:b/>
          <w:bCs/>
          <w:sz w:val="24"/>
          <w:szCs w:val="24"/>
        </w:rPr>
        <w:t>Marketing and Sales Strategies</w:t>
      </w:r>
    </w:p>
    <w:p w14:paraId="1CD8428C" w14:textId="3B5C8613" w:rsidR="006A4E32" w:rsidRPr="006A4E32" w:rsidRDefault="006A4E32" w:rsidP="006A4E32">
      <w:pPr>
        <w:spacing w:line="360" w:lineRule="auto"/>
        <w:jc w:val="both"/>
        <w:rPr>
          <w:rFonts w:ascii="Arial" w:hAnsi="Arial" w:cs="Arial"/>
          <w:sz w:val="24"/>
          <w:szCs w:val="24"/>
        </w:rPr>
      </w:pPr>
      <w:r w:rsidRPr="006A4E32">
        <w:rPr>
          <w:rFonts w:ascii="Arial" w:hAnsi="Arial" w:cs="Arial"/>
          <w:b/>
          <w:bCs/>
          <w:sz w:val="24"/>
          <w:szCs w:val="24"/>
        </w:rPr>
        <w:t>Developing Targeted Marketing Campaigns to Attract More Guests:</w:t>
      </w:r>
      <w:r w:rsidRPr="006A4E32">
        <w:rPr>
          <w:rFonts w:ascii="Arial" w:hAnsi="Arial" w:cs="Arial"/>
          <w:sz w:val="24"/>
          <w:szCs w:val="24"/>
        </w:rPr>
        <w:t xml:space="preserve"> Customized marketing strategies targeted at specific customer segments can greatly enhance occupancy rates. Moi and Cabiddu (2021) highlight the need </w:t>
      </w:r>
      <w:r w:rsidR="00D40BDD">
        <w:rPr>
          <w:rFonts w:ascii="Arial" w:hAnsi="Arial" w:cs="Arial"/>
          <w:sz w:val="24"/>
          <w:szCs w:val="24"/>
        </w:rPr>
        <w:t>to comprehend customer preferences and tailor</w:t>
      </w:r>
      <w:r w:rsidRPr="006A4E32">
        <w:rPr>
          <w:rFonts w:ascii="Arial" w:hAnsi="Arial" w:cs="Arial"/>
          <w:sz w:val="24"/>
          <w:szCs w:val="24"/>
        </w:rPr>
        <w:t xml:space="preserve"> marketing endeavours accordingly. Creating marketing campaigns that showcase the distinctive attributes and exceptional experiences provided by Urban </w:t>
      </w:r>
      <w:r w:rsidRPr="006A4E32">
        <w:rPr>
          <w:rFonts w:ascii="Arial" w:hAnsi="Arial" w:cs="Arial"/>
          <w:sz w:val="24"/>
          <w:szCs w:val="24"/>
        </w:rPr>
        <w:lastRenderedPageBreak/>
        <w:t>Heights Hotel has the potential to draw in a larger number of customers and boost reservations by 20%, leading to an extra £360,000 in yearly income.</w:t>
      </w:r>
    </w:p>
    <w:p w14:paraId="17B7D802" w14:textId="77777777" w:rsidR="00723D4B" w:rsidRPr="00723D4B" w:rsidRDefault="00723D4B" w:rsidP="00723D4B">
      <w:pPr>
        <w:rPr>
          <w:rFonts w:ascii="Arial" w:hAnsi="Arial" w:cs="Arial"/>
          <w:sz w:val="24"/>
          <w:szCs w:val="24"/>
        </w:rPr>
      </w:pPr>
      <w:r w:rsidRPr="00723D4B">
        <w:rPr>
          <w:rFonts w:ascii="Arial" w:hAnsi="Arial" w:cs="Arial"/>
          <w:sz w:val="24"/>
          <w:szCs w:val="24"/>
        </w:rPr>
        <w:t>This strategy directly tackles the issue of increased competition from alternatives like Airbnb.</w:t>
      </w:r>
    </w:p>
    <w:p w14:paraId="2F7DC5C9" w14:textId="77777777" w:rsidR="006A4E32" w:rsidRPr="006A4E32" w:rsidRDefault="006A4E32" w:rsidP="006A4E32">
      <w:pPr>
        <w:spacing w:line="360" w:lineRule="auto"/>
        <w:jc w:val="both"/>
        <w:rPr>
          <w:rFonts w:ascii="Arial" w:hAnsi="Arial" w:cs="Arial"/>
          <w:sz w:val="24"/>
          <w:szCs w:val="24"/>
        </w:rPr>
      </w:pPr>
    </w:p>
    <w:p w14:paraId="07196A18" w14:textId="5BD9E17B" w:rsidR="006A4E32" w:rsidRPr="006A4E32" w:rsidRDefault="006A4E32" w:rsidP="006A4E32">
      <w:pPr>
        <w:spacing w:line="360" w:lineRule="auto"/>
        <w:jc w:val="both"/>
        <w:rPr>
          <w:rFonts w:ascii="Arial" w:hAnsi="Arial" w:cs="Arial"/>
          <w:sz w:val="24"/>
          <w:szCs w:val="24"/>
        </w:rPr>
      </w:pPr>
      <w:r w:rsidRPr="006A4E32">
        <w:rPr>
          <w:rFonts w:ascii="Arial" w:hAnsi="Arial" w:cs="Arial"/>
          <w:b/>
          <w:bCs/>
          <w:sz w:val="24"/>
          <w:szCs w:val="24"/>
        </w:rPr>
        <w:t xml:space="preserve">Leveraging </w:t>
      </w:r>
      <w:r w:rsidR="00D40BDD">
        <w:rPr>
          <w:rFonts w:ascii="Arial" w:hAnsi="Arial" w:cs="Arial"/>
          <w:b/>
          <w:bCs/>
          <w:sz w:val="24"/>
          <w:szCs w:val="24"/>
        </w:rPr>
        <w:t>Social Media</w:t>
      </w:r>
      <w:r w:rsidRPr="006A4E32">
        <w:rPr>
          <w:rFonts w:ascii="Arial" w:hAnsi="Arial" w:cs="Arial"/>
          <w:b/>
          <w:bCs/>
          <w:sz w:val="24"/>
          <w:szCs w:val="24"/>
        </w:rPr>
        <w:t xml:space="preserve"> and Online Platforms for Better Visibility:</w:t>
      </w:r>
      <w:r w:rsidRPr="006A4E32">
        <w:rPr>
          <w:rFonts w:ascii="Arial" w:hAnsi="Arial" w:cs="Arial"/>
          <w:sz w:val="24"/>
          <w:szCs w:val="24"/>
        </w:rPr>
        <w:t xml:space="preserve"> Social media and online platforms are potent instruments for expanding one's audience and augmenting brand exposure. According to Renpeng (2018), hotels should proactively interact with clients on social media, regularly share information, and promote good ratings. By using online advertising and search engine optimisation (SEO), the hotel may attract a larger number of visitors to its website and boost direct bookings by 25%, resulting in an extra £450,000 in annual revenue.</w:t>
      </w:r>
    </w:p>
    <w:p w14:paraId="683275AC" w14:textId="77777777" w:rsidR="00723D4B" w:rsidRPr="00723D4B" w:rsidRDefault="00723D4B" w:rsidP="00723D4B">
      <w:pPr>
        <w:rPr>
          <w:rFonts w:ascii="Arial" w:hAnsi="Arial" w:cs="Arial"/>
          <w:sz w:val="24"/>
          <w:szCs w:val="24"/>
        </w:rPr>
      </w:pPr>
      <w:r w:rsidRPr="00723D4B">
        <w:rPr>
          <w:rFonts w:ascii="Arial" w:hAnsi="Arial" w:cs="Arial"/>
          <w:sz w:val="24"/>
          <w:szCs w:val="24"/>
        </w:rPr>
        <w:t>This strategy addresses the issue of increased competition by improving the hotel's market presence and customer engagement.</w:t>
      </w:r>
    </w:p>
    <w:p w14:paraId="7507C56D" w14:textId="77777777" w:rsidR="006A4E32" w:rsidRPr="006A4E32" w:rsidRDefault="006A4E32" w:rsidP="006A4E32">
      <w:pPr>
        <w:spacing w:line="360" w:lineRule="auto"/>
        <w:jc w:val="both"/>
        <w:rPr>
          <w:rFonts w:ascii="Arial" w:hAnsi="Arial" w:cs="Arial"/>
          <w:sz w:val="24"/>
          <w:szCs w:val="24"/>
        </w:rPr>
      </w:pPr>
    </w:p>
    <w:p w14:paraId="462DD4F8" w14:textId="77777777" w:rsidR="006A4E32" w:rsidRPr="006A4E32" w:rsidRDefault="006A4E32" w:rsidP="006A4E32">
      <w:pPr>
        <w:spacing w:line="360" w:lineRule="auto"/>
        <w:jc w:val="both"/>
        <w:rPr>
          <w:rFonts w:ascii="Arial" w:hAnsi="Arial" w:cs="Arial"/>
          <w:b/>
          <w:bCs/>
          <w:sz w:val="24"/>
          <w:szCs w:val="24"/>
        </w:rPr>
      </w:pPr>
      <w:r w:rsidRPr="006A4E32">
        <w:rPr>
          <w:rFonts w:ascii="Arial" w:hAnsi="Arial" w:cs="Arial"/>
          <w:b/>
          <w:bCs/>
          <w:sz w:val="24"/>
          <w:szCs w:val="24"/>
        </w:rPr>
        <w:t>Facility Utilization</w:t>
      </w:r>
    </w:p>
    <w:p w14:paraId="01C38ABA" w14:textId="55444E5A" w:rsidR="006A4E32" w:rsidRPr="006A4E32" w:rsidRDefault="006A4E32" w:rsidP="006A4E32">
      <w:pPr>
        <w:spacing w:line="360" w:lineRule="auto"/>
        <w:jc w:val="both"/>
        <w:rPr>
          <w:rFonts w:ascii="Arial" w:hAnsi="Arial" w:cs="Arial"/>
          <w:sz w:val="24"/>
          <w:szCs w:val="24"/>
        </w:rPr>
      </w:pPr>
      <w:r w:rsidRPr="006A4E32">
        <w:rPr>
          <w:rFonts w:ascii="Arial" w:hAnsi="Arial" w:cs="Arial"/>
          <w:b/>
          <w:bCs/>
          <w:sz w:val="24"/>
          <w:szCs w:val="24"/>
        </w:rPr>
        <w:t>Maximising the Use of Restaurant, Bar, and Event Facilities to Boost Revenue:</w:t>
      </w:r>
      <w:r w:rsidRPr="006A4E32">
        <w:rPr>
          <w:rFonts w:ascii="Arial" w:hAnsi="Arial" w:cs="Arial"/>
          <w:sz w:val="24"/>
          <w:szCs w:val="24"/>
        </w:rPr>
        <w:t xml:space="preserve"> </w:t>
      </w:r>
      <w:r w:rsidR="00D40BDD">
        <w:rPr>
          <w:rFonts w:ascii="Arial" w:hAnsi="Arial" w:cs="Arial"/>
          <w:sz w:val="24"/>
          <w:szCs w:val="24"/>
        </w:rPr>
        <w:t>Maximising the use of on-site facilities can create supplementary sources of income. Were and Maranga (2022) emphasise the need to use</w:t>
      </w:r>
      <w:r w:rsidRPr="006A4E32">
        <w:rPr>
          <w:rFonts w:ascii="Arial" w:hAnsi="Arial" w:cs="Arial"/>
          <w:sz w:val="24"/>
          <w:szCs w:val="24"/>
        </w:rPr>
        <w:t xml:space="preserve"> hotel amenities to attract both travellers and local patrons. By organising events, providing unique eating experiences, and actively promoting the bar, it is possible to attract a larger number of guests and increase overall income by 15%, resulting in an anticipated yearly increase of £270,000.</w:t>
      </w:r>
    </w:p>
    <w:p w14:paraId="358E4D72" w14:textId="76545C54" w:rsidR="006A4E32" w:rsidRPr="006A4E32" w:rsidRDefault="006A4E32" w:rsidP="006A4E32">
      <w:pPr>
        <w:spacing w:line="360" w:lineRule="auto"/>
        <w:jc w:val="both"/>
        <w:rPr>
          <w:rFonts w:ascii="Arial" w:hAnsi="Arial" w:cs="Arial"/>
          <w:sz w:val="24"/>
          <w:szCs w:val="24"/>
        </w:rPr>
      </w:pPr>
      <w:r w:rsidRPr="006A4E32">
        <w:rPr>
          <w:rFonts w:ascii="Arial" w:hAnsi="Arial" w:cs="Arial"/>
          <w:b/>
          <w:bCs/>
          <w:sz w:val="24"/>
          <w:szCs w:val="24"/>
        </w:rPr>
        <w:t>Offering Package Deals and Promotions to Increase Occupancy Rates:</w:t>
      </w:r>
      <w:r w:rsidRPr="006A4E32">
        <w:rPr>
          <w:rFonts w:ascii="Arial" w:hAnsi="Arial" w:cs="Arial"/>
          <w:sz w:val="24"/>
          <w:szCs w:val="24"/>
        </w:rPr>
        <w:t xml:space="preserve"> Developing compelling package packages and promotions might effectively convince potential customers to select Urban Heights Hotel over rival establishments. According to </w:t>
      </w:r>
      <w:r w:rsidR="00FD4974">
        <w:rPr>
          <w:rFonts w:ascii="Arial" w:hAnsi="Arial" w:cs="Arial"/>
          <w:sz w:val="24"/>
          <w:szCs w:val="24"/>
        </w:rPr>
        <w:t>Bello</w:t>
      </w:r>
      <w:r w:rsidRPr="006A4E32">
        <w:rPr>
          <w:rFonts w:ascii="Arial" w:hAnsi="Arial" w:cs="Arial"/>
          <w:sz w:val="24"/>
          <w:szCs w:val="24"/>
        </w:rPr>
        <w:t xml:space="preserve"> (2018), providing value-added packages, such as weekend getaways or business travel bargains, can improve the perceived value and boost occupancy rates by 10%, leading to an extra £180,000 in yearly revenue.</w:t>
      </w:r>
    </w:p>
    <w:p w14:paraId="2D6A0519" w14:textId="77777777" w:rsidR="00723D4B" w:rsidRDefault="00723D4B" w:rsidP="006A4E32">
      <w:pPr>
        <w:spacing w:line="360" w:lineRule="auto"/>
        <w:jc w:val="both"/>
        <w:rPr>
          <w:rFonts w:ascii="Arial" w:hAnsi="Arial" w:cs="Arial"/>
          <w:b/>
          <w:bCs/>
          <w:sz w:val="24"/>
          <w:szCs w:val="24"/>
        </w:rPr>
      </w:pPr>
    </w:p>
    <w:p w14:paraId="2F3DE76E" w14:textId="6CCA7150" w:rsidR="006A4E32" w:rsidRPr="006A4E32" w:rsidRDefault="006A4E32" w:rsidP="006A4E32">
      <w:pPr>
        <w:spacing w:line="360" w:lineRule="auto"/>
        <w:jc w:val="both"/>
        <w:rPr>
          <w:rFonts w:ascii="Arial" w:hAnsi="Arial" w:cs="Arial"/>
          <w:b/>
          <w:bCs/>
          <w:sz w:val="24"/>
          <w:szCs w:val="24"/>
        </w:rPr>
      </w:pPr>
      <w:r w:rsidRPr="006A4E32">
        <w:rPr>
          <w:rFonts w:ascii="Arial" w:hAnsi="Arial" w:cs="Arial"/>
          <w:b/>
          <w:bCs/>
          <w:sz w:val="24"/>
          <w:szCs w:val="24"/>
        </w:rPr>
        <w:lastRenderedPageBreak/>
        <w:t>Strategic Partnerships</w:t>
      </w:r>
    </w:p>
    <w:p w14:paraId="7260581C" w14:textId="25FE9ED2" w:rsidR="006A4E32" w:rsidRPr="006A4E32" w:rsidRDefault="006A4E32" w:rsidP="006A4E32">
      <w:pPr>
        <w:spacing w:line="360" w:lineRule="auto"/>
        <w:jc w:val="both"/>
        <w:rPr>
          <w:rFonts w:ascii="Arial" w:hAnsi="Arial" w:cs="Arial"/>
          <w:sz w:val="24"/>
          <w:szCs w:val="24"/>
        </w:rPr>
      </w:pPr>
      <w:r w:rsidRPr="006A4E32">
        <w:rPr>
          <w:rFonts w:ascii="Arial" w:hAnsi="Arial" w:cs="Arial"/>
          <w:b/>
          <w:bCs/>
          <w:sz w:val="24"/>
          <w:szCs w:val="24"/>
        </w:rPr>
        <w:t>Forming Alliances with Local Businesses and Tourism Operators:</w:t>
      </w:r>
      <w:r w:rsidRPr="006A4E32">
        <w:rPr>
          <w:rFonts w:ascii="Arial" w:hAnsi="Arial" w:cs="Arial"/>
          <w:sz w:val="24"/>
          <w:szCs w:val="24"/>
        </w:rPr>
        <w:t xml:space="preserve"> </w:t>
      </w:r>
      <w:r w:rsidR="00D40BDD">
        <w:rPr>
          <w:rFonts w:ascii="Arial" w:hAnsi="Arial" w:cs="Arial"/>
          <w:sz w:val="24"/>
          <w:szCs w:val="24"/>
        </w:rPr>
        <w:t>Cooperating</w:t>
      </w:r>
      <w:r w:rsidRPr="006A4E32">
        <w:rPr>
          <w:rFonts w:ascii="Arial" w:hAnsi="Arial" w:cs="Arial"/>
          <w:sz w:val="24"/>
          <w:szCs w:val="24"/>
        </w:rPr>
        <w:t xml:space="preserve"> with local companies and tourism operators can establish advantageous partnerships that benefit all parties involved. Mutavi and Gichinga (2019) discovered that forming strategic collaborations can expand a hotel's market coverage and provide visitors with distinctive local experiences. Collaborating with tour operators, local attractions, and event organisers can bring more customers to the hotel, resulting in an approximate 10% boost in total revenue, equivalent to £180,000 per year.</w:t>
      </w:r>
    </w:p>
    <w:p w14:paraId="6F0B975B" w14:textId="253F7F7C" w:rsidR="00D40BDD" w:rsidRPr="006A4E32" w:rsidRDefault="006A4E32" w:rsidP="006A4E32">
      <w:pPr>
        <w:spacing w:line="360" w:lineRule="auto"/>
        <w:jc w:val="both"/>
        <w:rPr>
          <w:rFonts w:ascii="Arial" w:hAnsi="Arial" w:cs="Arial"/>
          <w:sz w:val="24"/>
          <w:szCs w:val="24"/>
        </w:rPr>
      </w:pPr>
      <w:r w:rsidRPr="006A4E32">
        <w:rPr>
          <w:rFonts w:ascii="Arial" w:hAnsi="Arial" w:cs="Arial"/>
          <w:b/>
          <w:bCs/>
          <w:sz w:val="24"/>
          <w:szCs w:val="24"/>
        </w:rPr>
        <w:t>Exploring Potential Collaborations with Larger Hotel Chains for Brand Strength:</w:t>
      </w:r>
      <w:r w:rsidRPr="006A4E32">
        <w:rPr>
          <w:rFonts w:ascii="Arial" w:hAnsi="Arial" w:cs="Arial"/>
          <w:sz w:val="24"/>
          <w:szCs w:val="24"/>
        </w:rPr>
        <w:t xml:space="preserve"> </w:t>
      </w:r>
      <w:r w:rsidR="00D40BDD">
        <w:rPr>
          <w:rFonts w:ascii="Arial" w:hAnsi="Arial" w:cs="Arial"/>
          <w:sz w:val="24"/>
          <w:szCs w:val="24"/>
        </w:rPr>
        <w:t>Partnering</w:t>
      </w:r>
      <w:r w:rsidRPr="006A4E32">
        <w:rPr>
          <w:rFonts w:ascii="Arial" w:hAnsi="Arial" w:cs="Arial"/>
          <w:sz w:val="24"/>
          <w:szCs w:val="24"/>
        </w:rPr>
        <w:t xml:space="preserve"> with larger hotel chains can offer the advantage of brand awareness and the opportunity to tap into wider marketing networks. Urban Heights Hotel can benefit from leveraging the resources and knowledge of well-established brands, which will enhance its competitive advantage (Dogru et al., 2020). These collaborations have the potential to boost occupancy rates by 5%, resulting in an approximate annual increase of £90,000.</w:t>
      </w:r>
    </w:p>
    <w:p w14:paraId="78FA0FC9" w14:textId="77777777" w:rsidR="00D40BDD" w:rsidRDefault="00D40BDD" w:rsidP="006A4E32">
      <w:pPr>
        <w:spacing w:line="360" w:lineRule="auto"/>
        <w:jc w:val="both"/>
        <w:rPr>
          <w:rFonts w:ascii="Arial" w:hAnsi="Arial" w:cs="Arial"/>
          <w:b/>
          <w:bCs/>
          <w:sz w:val="24"/>
          <w:szCs w:val="24"/>
        </w:rPr>
      </w:pPr>
    </w:p>
    <w:p w14:paraId="2D9488F0" w14:textId="6D5BE200" w:rsidR="006A4E32" w:rsidRPr="006A4E32" w:rsidRDefault="006A4E32" w:rsidP="006A4E32">
      <w:pPr>
        <w:spacing w:line="360" w:lineRule="auto"/>
        <w:jc w:val="both"/>
        <w:rPr>
          <w:rFonts w:ascii="Arial" w:hAnsi="Arial" w:cs="Arial"/>
          <w:b/>
          <w:bCs/>
          <w:sz w:val="24"/>
          <w:szCs w:val="24"/>
        </w:rPr>
      </w:pPr>
      <w:r w:rsidRPr="006A4E32">
        <w:rPr>
          <w:rFonts w:ascii="Arial" w:hAnsi="Arial" w:cs="Arial"/>
          <w:b/>
          <w:bCs/>
          <w:sz w:val="24"/>
          <w:szCs w:val="24"/>
        </w:rPr>
        <w:t>Financial Restructuring</w:t>
      </w:r>
    </w:p>
    <w:p w14:paraId="7CF3AC84" w14:textId="2BAED631" w:rsidR="00D40BDD" w:rsidRDefault="006A4E32" w:rsidP="006A4E32">
      <w:pPr>
        <w:spacing w:line="360" w:lineRule="auto"/>
        <w:jc w:val="both"/>
        <w:rPr>
          <w:rFonts w:ascii="Arial" w:hAnsi="Arial" w:cs="Arial"/>
          <w:sz w:val="24"/>
          <w:szCs w:val="24"/>
        </w:rPr>
      </w:pPr>
      <w:r w:rsidRPr="006A4E32">
        <w:rPr>
          <w:rFonts w:ascii="Arial" w:hAnsi="Arial" w:cs="Arial"/>
          <w:b/>
          <w:bCs/>
          <w:sz w:val="24"/>
          <w:szCs w:val="24"/>
        </w:rPr>
        <w:t>Refinancing Debt to Reduce Financial Pressure:</w:t>
      </w:r>
      <w:r w:rsidRPr="006A4E32">
        <w:rPr>
          <w:rFonts w:ascii="Arial" w:hAnsi="Arial" w:cs="Arial"/>
          <w:sz w:val="24"/>
          <w:szCs w:val="24"/>
        </w:rPr>
        <w:t xml:space="preserve"> By refinancing current debt, individuals can reduce their interest rates and prolong the duration of their payments, thus alleviating financial strain. Mutavi and Gichinga (2019) emphasise that the process of restructuring debt can offer the essential financial adaptability to allocate funds towards turnaround measures. This can lead to yearly savings of £150,000.</w:t>
      </w:r>
    </w:p>
    <w:p w14:paraId="050D3EB2" w14:textId="14FF7D9A" w:rsidR="00821EFF" w:rsidRPr="006A4E32" w:rsidRDefault="00821EFF" w:rsidP="00821EFF">
      <w:pPr>
        <w:rPr>
          <w:rFonts w:ascii="Arial" w:hAnsi="Arial" w:cs="Arial"/>
          <w:sz w:val="24"/>
          <w:szCs w:val="24"/>
        </w:rPr>
      </w:pPr>
      <w:r w:rsidRPr="00821EFF">
        <w:rPr>
          <w:rFonts w:ascii="Arial" w:hAnsi="Arial" w:cs="Arial"/>
          <w:sz w:val="24"/>
          <w:szCs w:val="24"/>
        </w:rPr>
        <w:t>This strategy directly addresses the high debt levels and liquidity issues identified in the financial analysis, ensuring the hotel can meet its financial obligations more comfortably.</w:t>
      </w:r>
    </w:p>
    <w:p w14:paraId="736B3BCF" w14:textId="77777777" w:rsidR="00821EFF" w:rsidRDefault="006A4E32" w:rsidP="006A4E32">
      <w:pPr>
        <w:spacing w:line="360" w:lineRule="auto"/>
        <w:jc w:val="both"/>
        <w:rPr>
          <w:rFonts w:ascii="Arial" w:hAnsi="Arial" w:cs="Arial"/>
          <w:sz w:val="24"/>
          <w:szCs w:val="24"/>
        </w:rPr>
      </w:pPr>
      <w:r w:rsidRPr="006A4E32">
        <w:rPr>
          <w:rFonts w:ascii="Arial" w:hAnsi="Arial" w:cs="Arial"/>
          <w:b/>
          <w:bCs/>
          <w:sz w:val="24"/>
          <w:szCs w:val="24"/>
        </w:rPr>
        <w:t>Creating a Financial Contingency Fund:</w:t>
      </w:r>
      <w:r w:rsidRPr="006A4E32">
        <w:rPr>
          <w:rFonts w:ascii="Arial" w:hAnsi="Arial" w:cs="Arial"/>
          <w:sz w:val="24"/>
          <w:szCs w:val="24"/>
        </w:rPr>
        <w:t xml:space="preserve"> Creating a financial contingency fund might offer a safeguard during periods of reduced revenue. The purpose of this fund is to allocate resources for unforeseen costs and maintain the hotel's functionality in times of economic decline (Santoso &amp; Supatmi, 2021).</w:t>
      </w:r>
    </w:p>
    <w:p w14:paraId="5AFE3FB6" w14:textId="77777777" w:rsidR="00956789" w:rsidRPr="00956789" w:rsidRDefault="00956789" w:rsidP="00956789">
      <w:pPr>
        <w:rPr>
          <w:rFonts w:ascii="Arial" w:hAnsi="Arial" w:cs="Arial"/>
          <w:sz w:val="24"/>
          <w:szCs w:val="24"/>
        </w:rPr>
      </w:pPr>
      <w:r w:rsidRPr="00956789">
        <w:rPr>
          <w:rFonts w:ascii="Arial" w:hAnsi="Arial" w:cs="Arial"/>
          <w:sz w:val="24"/>
          <w:szCs w:val="24"/>
        </w:rPr>
        <w:t>This strategy addresses the issue of economic uncertainties by providing a financial buffer.</w:t>
      </w:r>
    </w:p>
    <w:p w14:paraId="087ACA57" w14:textId="73E25F58" w:rsidR="006A4E32" w:rsidRPr="006A4E32" w:rsidRDefault="006A4E32" w:rsidP="006A4E32">
      <w:pPr>
        <w:spacing w:line="360" w:lineRule="auto"/>
        <w:jc w:val="both"/>
        <w:rPr>
          <w:rFonts w:ascii="Arial" w:hAnsi="Arial" w:cs="Arial"/>
          <w:b/>
          <w:bCs/>
          <w:sz w:val="24"/>
          <w:szCs w:val="24"/>
        </w:rPr>
      </w:pPr>
      <w:r w:rsidRPr="006A4E32">
        <w:rPr>
          <w:rFonts w:ascii="Arial" w:hAnsi="Arial" w:cs="Arial"/>
          <w:b/>
          <w:bCs/>
          <w:sz w:val="24"/>
          <w:szCs w:val="24"/>
        </w:rPr>
        <w:lastRenderedPageBreak/>
        <w:t>Technological Enhancements</w:t>
      </w:r>
    </w:p>
    <w:p w14:paraId="69B121ED" w14:textId="3120278D" w:rsidR="006A4E32" w:rsidRPr="006A4E32" w:rsidRDefault="006A4E32" w:rsidP="006A4E32">
      <w:pPr>
        <w:spacing w:line="360" w:lineRule="auto"/>
        <w:jc w:val="both"/>
        <w:rPr>
          <w:rFonts w:ascii="Arial" w:hAnsi="Arial" w:cs="Arial"/>
          <w:sz w:val="24"/>
          <w:szCs w:val="24"/>
        </w:rPr>
      </w:pPr>
      <w:r w:rsidRPr="006A4E32">
        <w:rPr>
          <w:rFonts w:ascii="Arial" w:hAnsi="Arial" w:cs="Arial"/>
          <w:b/>
          <w:bCs/>
          <w:sz w:val="24"/>
          <w:szCs w:val="24"/>
        </w:rPr>
        <w:t>Implementing Modern Technology Solutions for Better Customer Experience and Operational Efficiency:</w:t>
      </w:r>
      <w:r w:rsidRPr="006A4E32">
        <w:rPr>
          <w:rFonts w:ascii="Arial" w:hAnsi="Arial" w:cs="Arial"/>
          <w:sz w:val="24"/>
          <w:szCs w:val="24"/>
        </w:rPr>
        <w:t xml:space="preserve"> Implementing cutting-edge technological solutions can improve both the satisfaction of customers and the effectiveness of operations. </w:t>
      </w:r>
      <w:r w:rsidR="00931687" w:rsidRPr="00931687">
        <w:rPr>
          <w:rFonts w:ascii="Arial" w:hAnsi="Arial" w:cs="Arial"/>
          <w:sz w:val="24"/>
          <w:szCs w:val="24"/>
        </w:rPr>
        <w:t>Yuan et al. (2022) suggest that incorporating property management systems, online booking platforms, and customer relationship management (CRM) systems can improve operational efficiency and service delivery.</w:t>
      </w:r>
      <w:r w:rsidRPr="006A4E32">
        <w:rPr>
          <w:rFonts w:ascii="Arial" w:hAnsi="Arial" w:cs="Arial"/>
          <w:sz w:val="24"/>
          <w:szCs w:val="24"/>
        </w:rPr>
        <w:t xml:space="preserve"> Improved operational efficiency and customer satisfaction can result in an anticipated yearly revenue gain of 10%, equivalent to £180,000.</w:t>
      </w:r>
    </w:p>
    <w:p w14:paraId="4B6F7563" w14:textId="77777777" w:rsidR="006A4E32" w:rsidRPr="006A4E32" w:rsidRDefault="006A4E32" w:rsidP="006A4E32">
      <w:pPr>
        <w:spacing w:line="360" w:lineRule="auto"/>
        <w:jc w:val="both"/>
        <w:rPr>
          <w:rFonts w:ascii="Arial" w:hAnsi="Arial" w:cs="Arial"/>
          <w:sz w:val="24"/>
          <w:szCs w:val="24"/>
        </w:rPr>
      </w:pPr>
    </w:p>
    <w:p w14:paraId="0DF72D36" w14:textId="77777777" w:rsidR="006A4E32" w:rsidRDefault="006A4E32" w:rsidP="006A4E32">
      <w:pPr>
        <w:spacing w:line="360" w:lineRule="auto"/>
        <w:jc w:val="both"/>
        <w:rPr>
          <w:rFonts w:ascii="Arial" w:hAnsi="Arial" w:cs="Arial"/>
          <w:sz w:val="24"/>
          <w:szCs w:val="24"/>
        </w:rPr>
      </w:pPr>
    </w:p>
    <w:p w14:paraId="3C97A1D0" w14:textId="77777777" w:rsidR="00D40BDD" w:rsidRDefault="00D40BDD" w:rsidP="006A4E32">
      <w:pPr>
        <w:spacing w:line="360" w:lineRule="auto"/>
        <w:jc w:val="both"/>
        <w:rPr>
          <w:rFonts w:ascii="Arial" w:hAnsi="Arial" w:cs="Arial"/>
          <w:sz w:val="24"/>
          <w:szCs w:val="24"/>
        </w:rPr>
      </w:pPr>
    </w:p>
    <w:p w14:paraId="59EB8CA5" w14:textId="77777777" w:rsidR="00956789" w:rsidRDefault="00956789" w:rsidP="006A4E32">
      <w:pPr>
        <w:spacing w:line="360" w:lineRule="auto"/>
        <w:jc w:val="both"/>
        <w:rPr>
          <w:rFonts w:ascii="Arial" w:hAnsi="Arial" w:cs="Arial"/>
          <w:sz w:val="24"/>
          <w:szCs w:val="24"/>
        </w:rPr>
      </w:pPr>
    </w:p>
    <w:p w14:paraId="0023DB01" w14:textId="77777777" w:rsidR="00956789" w:rsidRDefault="00956789" w:rsidP="006A4E32">
      <w:pPr>
        <w:spacing w:line="360" w:lineRule="auto"/>
        <w:jc w:val="both"/>
        <w:rPr>
          <w:rFonts w:ascii="Arial" w:hAnsi="Arial" w:cs="Arial"/>
          <w:sz w:val="24"/>
          <w:szCs w:val="24"/>
        </w:rPr>
      </w:pPr>
    </w:p>
    <w:p w14:paraId="51344E28" w14:textId="77777777" w:rsidR="00956789" w:rsidRDefault="00956789" w:rsidP="006A4E32">
      <w:pPr>
        <w:spacing w:line="360" w:lineRule="auto"/>
        <w:jc w:val="both"/>
        <w:rPr>
          <w:rFonts w:ascii="Arial" w:hAnsi="Arial" w:cs="Arial"/>
          <w:sz w:val="24"/>
          <w:szCs w:val="24"/>
        </w:rPr>
      </w:pPr>
    </w:p>
    <w:p w14:paraId="50B5ECA5" w14:textId="77777777" w:rsidR="00956789" w:rsidRDefault="00956789" w:rsidP="006A4E32">
      <w:pPr>
        <w:spacing w:line="360" w:lineRule="auto"/>
        <w:jc w:val="both"/>
        <w:rPr>
          <w:rFonts w:ascii="Arial" w:hAnsi="Arial" w:cs="Arial"/>
          <w:sz w:val="24"/>
          <w:szCs w:val="24"/>
        </w:rPr>
      </w:pPr>
    </w:p>
    <w:p w14:paraId="5039605C" w14:textId="77777777" w:rsidR="00956789" w:rsidRDefault="00956789" w:rsidP="006A4E32">
      <w:pPr>
        <w:spacing w:line="360" w:lineRule="auto"/>
        <w:jc w:val="both"/>
        <w:rPr>
          <w:rFonts w:ascii="Arial" w:hAnsi="Arial" w:cs="Arial"/>
          <w:sz w:val="24"/>
          <w:szCs w:val="24"/>
        </w:rPr>
      </w:pPr>
    </w:p>
    <w:p w14:paraId="607AF7AA" w14:textId="77777777" w:rsidR="00956789" w:rsidRDefault="00956789" w:rsidP="006A4E32">
      <w:pPr>
        <w:spacing w:line="360" w:lineRule="auto"/>
        <w:jc w:val="both"/>
        <w:rPr>
          <w:rFonts w:ascii="Arial" w:hAnsi="Arial" w:cs="Arial"/>
          <w:sz w:val="24"/>
          <w:szCs w:val="24"/>
        </w:rPr>
      </w:pPr>
    </w:p>
    <w:p w14:paraId="7F33DC9B" w14:textId="77777777" w:rsidR="00956789" w:rsidRDefault="00956789" w:rsidP="006A4E32">
      <w:pPr>
        <w:spacing w:line="360" w:lineRule="auto"/>
        <w:jc w:val="both"/>
        <w:rPr>
          <w:rFonts w:ascii="Arial" w:hAnsi="Arial" w:cs="Arial"/>
          <w:sz w:val="24"/>
          <w:szCs w:val="24"/>
        </w:rPr>
      </w:pPr>
    </w:p>
    <w:p w14:paraId="24AD457A" w14:textId="77777777" w:rsidR="00956789" w:rsidRDefault="00956789" w:rsidP="006A4E32">
      <w:pPr>
        <w:spacing w:line="360" w:lineRule="auto"/>
        <w:jc w:val="both"/>
        <w:rPr>
          <w:rFonts w:ascii="Arial" w:hAnsi="Arial" w:cs="Arial"/>
          <w:sz w:val="24"/>
          <w:szCs w:val="24"/>
        </w:rPr>
      </w:pPr>
    </w:p>
    <w:p w14:paraId="4528B790" w14:textId="77777777" w:rsidR="00956789" w:rsidRDefault="00956789" w:rsidP="006A4E32">
      <w:pPr>
        <w:spacing w:line="360" w:lineRule="auto"/>
        <w:jc w:val="both"/>
        <w:rPr>
          <w:rFonts w:ascii="Arial" w:hAnsi="Arial" w:cs="Arial"/>
          <w:sz w:val="24"/>
          <w:szCs w:val="24"/>
        </w:rPr>
      </w:pPr>
    </w:p>
    <w:p w14:paraId="75914AA4" w14:textId="77777777" w:rsidR="00956789" w:rsidRDefault="00956789" w:rsidP="006A4E32">
      <w:pPr>
        <w:spacing w:line="360" w:lineRule="auto"/>
        <w:jc w:val="both"/>
        <w:rPr>
          <w:rFonts w:ascii="Arial" w:hAnsi="Arial" w:cs="Arial"/>
          <w:sz w:val="24"/>
          <w:szCs w:val="24"/>
        </w:rPr>
      </w:pPr>
    </w:p>
    <w:p w14:paraId="54D3E5EA" w14:textId="77777777" w:rsidR="00956789" w:rsidRDefault="00956789" w:rsidP="006A4E32">
      <w:pPr>
        <w:spacing w:line="360" w:lineRule="auto"/>
        <w:jc w:val="both"/>
        <w:rPr>
          <w:rFonts w:ascii="Arial" w:hAnsi="Arial" w:cs="Arial"/>
          <w:sz w:val="24"/>
          <w:szCs w:val="24"/>
        </w:rPr>
      </w:pPr>
    </w:p>
    <w:p w14:paraId="01F71503" w14:textId="77777777" w:rsidR="00956789" w:rsidRDefault="00956789" w:rsidP="006A4E32">
      <w:pPr>
        <w:spacing w:line="360" w:lineRule="auto"/>
        <w:jc w:val="both"/>
        <w:rPr>
          <w:rFonts w:ascii="Arial" w:hAnsi="Arial" w:cs="Arial"/>
          <w:sz w:val="24"/>
          <w:szCs w:val="24"/>
        </w:rPr>
      </w:pPr>
    </w:p>
    <w:p w14:paraId="40B3233E" w14:textId="77777777" w:rsidR="007C4F68" w:rsidRDefault="007C4F68" w:rsidP="006A4E32">
      <w:pPr>
        <w:spacing w:line="360" w:lineRule="auto"/>
        <w:jc w:val="both"/>
        <w:rPr>
          <w:rFonts w:ascii="Arial" w:hAnsi="Arial" w:cs="Arial"/>
          <w:sz w:val="24"/>
          <w:szCs w:val="24"/>
        </w:rPr>
      </w:pPr>
    </w:p>
    <w:p w14:paraId="3F0E57A4" w14:textId="51B6868F" w:rsidR="00A84E20" w:rsidRPr="008F2BCB" w:rsidRDefault="006A4E32" w:rsidP="009242A6">
      <w:pPr>
        <w:spacing w:line="360" w:lineRule="auto"/>
        <w:rPr>
          <w:rFonts w:ascii="Arial" w:hAnsi="Arial" w:cs="Arial"/>
          <w:b/>
          <w:bCs/>
          <w:sz w:val="24"/>
          <w:szCs w:val="24"/>
        </w:rPr>
      </w:pPr>
      <w:r w:rsidRPr="00D40BDD">
        <w:rPr>
          <w:rFonts w:ascii="Arial" w:hAnsi="Arial" w:cs="Arial"/>
          <w:b/>
          <w:bCs/>
          <w:sz w:val="24"/>
          <w:szCs w:val="24"/>
        </w:rPr>
        <w:lastRenderedPageBreak/>
        <w:t>References</w:t>
      </w:r>
    </w:p>
    <w:p w14:paraId="24450AE4" w14:textId="1094629E" w:rsidR="00A84E20" w:rsidRPr="008F2BCB" w:rsidRDefault="00A84E20" w:rsidP="009242A6">
      <w:pPr>
        <w:pStyle w:val="ListParagraph"/>
        <w:numPr>
          <w:ilvl w:val="0"/>
          <w:numId w:val="10"/>
        </w:numPr>
        <w:spacing w:line="360" w:lineRule="auto"/>
        <w:rPr>
          <w:rFonts w:ascii="Arial" w:hAnsi="Arial" w:cs="Arial"/>
          <w:sz w:val="24"/>
          <w:szCs w:val="24"/>
        </w:rPr>
      </w:pPr>
      <w:r w:rsidRPr="008F2BCB">
        <w:rPr>
          <w:rFonts w:ascii="Arial" w:hAnsi="Arial" w:cs="Arial"/>
          <w:sz w:val="24"/>
          <w:szCs w:val="24"/>
        </w:rPr>
        <w:t xml:space="preserve">Bello, Y.O. and Bello, M.B., </w:t>
      </w:r>
      <w:r w:rsidR="009242A6">
        <w:rPr>
          <w:rFonts w:ascii="Arial" w:hAnsi="Arial" w:cs="Arial"/>
          <w:sz w:val="24"/>
          <w:szCs w:val="24"/>
        </w:rPr>
        <w:t>(</w:t>
      </w:r>
      <w:r w:rsidRPr="008F2BCB">
        <w:rPr>
          <w:rFonts w:ascii="Arial" w:hAnsi="Arial" w:cs="Arial"/>
          <w:sz w:val="24"/>
          <w:szCs w:val="24"/>
        </w:rPr>
        <w:t>2017</w:t>
      </w:r>
      <w:r w:rsidR="009242A6">
        <w:rPr>
          <w:rFonts w:ascii="Arial" w:hAnsi="Arial" w:cs="Arial"/>
          <w:sz w:val="24"/>
          <w:szCs w:val="24"/>
        </w:rPr>
        <w:t>)</w:t>
      </w:r>
      <w:r w:rsidRPr="008F2BCB">
        <w:rPr>
          <w:rFonts w:ascii="Arial" w:hAnsi="Arial" w:cs="Arial"/>
          <w:sz w:val="24"/>
          <w:szCs w:val="24"/>
        </w:rPr>
        <w:t xml:space="preserve">. Employees’ empowerment, service quality and customers’ satisfaction in hotel industry. Strategic Journal of Business &amp; Change Management, 4(4), pp.1001-1019. </w:t>
      </w:r>
      <w:hyperlink r:id="rId10" w:history="1">
        <w:r w:rsidRPr="008F2BCB">
          <w:rPr>
            <w:rStyle w:val="Hyperlink"/>
            <w:rFonts w:ascii="Arial" w:hAnsi="Arial" w:cs="Arial"/>
            <w:sz w:val="24"/>
            <w:szCs w:val="24"/>
          </w:rPr>
          <w:t>https://www.academia.edu/download/55029875/Published_Journal_9_2017.pdf</w:t>
        </w:r>
      </w:hyperlink>
      <w:r w:rsidRPr="008F2BCB">
        <w:rPr>
          <w:rFonts w:ascii="Arial" w:hAnsi="Arial" w:cs="Arial"/>
          <w:sz w:val="24"/>
          <w:szCs w:val="24"/>
        </w:rPr>
        <w:t xml:space="preserve"> </w:t>
      </w:r>
    </w:p>
    <w:p w14:paraId="5830A54F" w14:textId="0F6B936D" w:rsidR="006A4E32" w:rsidRPr="008F2BCB" w:rsidRDefault="006A4E32" w:rsidP="009242A6">
      <w:pPr>
        <w:pStyle w:val="ListParagraph"/>
        <w:numPr>
          <w:ilvl w:val="0"/>
          <w:numId w:val="10"/>
        </w:numPr>
        <w:spacing w:line="360" w:lineRule="auto"/>
        <w:rPr>
          <w:rFonts w:ascii="Arial" w:hAnsi="Arial" w:cs="Arial"/>
          <w:sz w:val="24"/>
          <w:szCs w:val="24"/>
        </w:rPr>
      </w:pPr>
      <w:r w:rsidRPr="008F2BCB">
        <w:rPr>
          <w:rFonts w:ascii="Arial" w:hAnsi="Arial" w:cs="Arial"/>
          <w:sz w:val="24"/>
          <w:szCs w:val="24"/>
        </w:rPr>
        <w:t xml:space="preserve">Demydyuk, G., &amp; Carlbäck, M., </w:t>
      </w:r>
      <w:r w:rsidR="009242A6">
        <w:rPr>
          <w:rFonts w:ascii="Arial" w:hAnsi="Arial" w:cs="Arial"/>
          <w:sz w:val="24"/>
          <w:szCs w:val="24"/>
        </w:rPr>
        <w:t>(</w:t>
      </w:r>
      <w:r w:rsidRPr="008F2BCB">
        <w:rPr>
          <w:rFonts w:ascii="Arial" w:hAnsi="Arial" w:cs="Arial"/>
          <w:sz w:val="24"/>
          <w:szCs w:val="24"/>
        </w:rPr>
        <w:t>2023</w:t>
      </w:r>
      <w:r w:rsidR="009242A6">
        <w:rPr>
          <w:rFonts w:ascii="Arial" w:hAnsi="Arial" w:cs="Arial"/>
          <w:sz w:val="24"/>
          <w:szCs w:val="24"/>
        </w:rPr>
        <w:t>)</w:t>
      </w:r>
      <w:r w:rsidRPr="008F2BCB">
        <w:rPr>
          <w:rFonts w:ascii="Arial" w:hAnsi="Arial" w:cs="Arial"/>
          <w:sz w:val="24"/>
          <w:szCs w:val="24"/>
        </w:rPr>
        <w:t xml:space="preserve">. Balancing short-term gains and long-term success in lodging: The role of customer satisfaction and price in hotel profitability model. Tourism Economics. </w:t>
      </w:r>
      <w:hyperlink r:id="rId11" w:history="1">
        <w:r w:rsidRPr="008F2BCB">
          <w:rPr>
            <w:rStyle w:val="Hyperlink"/>
            <w:rFonts w:ascii="Arial" w:hAnsi="Arial" w:cs="Arial"/>
            <w:sz w:val="24"/>
            <w:szCs w:val="24"/>
          </w:rPr>
          <w:t>https://doi.org/10.1177/13548166231199156</w:t>
        </w:r>
      </w:hyperlink>
      <w:r w:rsidRPr="008F2BCB">
        <w:rPr>
          <w:rFonts w:ascii="Arial" w:hAnsi="Arial" w:cs="Arial"/>
          <w:sz w:val="24"/>
          <w:szCs w:val="24"/>
        </w:rPr>
        <w:t xml:space="preserve">. </w:t>
      </w:r>
    </w:p>
    <w:p w14:paraId="5D42B278" w14:textId="784596B1" w:rsidR="006A4E32" w:rsidRPr="008F2BCB" w:rsidRDefault="006A4E32" w:rsidP="009242A6">
      <w:pPr>
        <w:pStyle w:val="ListParagraph"/>
        <w:numPr>
          <w:ilvl w:val="0"/>
          <w:numId w:val="10"/>
        </w:numPr>
        <w:spacing w:line="360" w:lineRule="auto"/>
        <w:rPr>
          <w:rFonts w:ascii="Arial" w:hAnsi="Arial" w:cs="Arial"/>
          <w:sz w:val="24"/>
          <w:szCs w:val="24"/>
        </w:rPr>
      </w:pPr>
      <w:r w:rsidRPr="008F2BCB">
        <w:rPr>
          <w:rFonts w:ascii="Arial" w:hAnsi="Arial" w:cs="Arial"/>
          <w:sz w:val="24"/>
          <w:szCs w:val="24"/>
        </w:rPr>
        <w:t xml:space="preserve">Dogru, T., Hanks, L., Mody, M., Suess, C., &amp; Sirakaya-Turk, E., </w:t>
      </w:r>
      <w:r w:rsidR="009242A6">
        <w:rPr>
          <w:rFonts w:ascii="Arial" w:hAnsi="Arial" w:cs="Arial"/>
          <w:sz w:val="24"/>
          <w:szCs w:val="24"/>
        </w:rPr>
        <w:t>(</w:t>
      </w:r>
      <w:r w:rsidRPr="008F2BCB">
        <w:rPr>
          <w:rFonts w:ascii="Arial" w:hAnsi="Arial" w:cs="Arial"/>
          <w:sz w:val="24"/>
          <w:szCs w:val="24"/>
        </w:rPr>
        <w:t>2020</w:t>
      </w:r>
      <w:r w:rsidR="009242A6">
        <w:rPr>
          <w:rFonts w:ascii="Arial" w:hAnsi="Arial" w:cs="Arial"/>
          <w:sz w:val="24"/>
          <w:szCs w:val="24"/>
        </w:rPr>
        <w:t>)</w:t>
      </w:r>
      <w:r w:rsidRPr="008F2BCB">
        <w:rPr>
          <w:rFonts w:ascii="Arial" w:hAnsi="Arial" w:cs="Arial"/>
          <w:sz w:val="24"/>
          <w:szCs w:val="24"/>
        </w:rPr>
        <w:t xml:space="preserve">. The effects of Airbnb on hotel performance: Evidence from cities beyond the United States. Tourism Management, 79, pp. 104090. </w:t>
      </w:r>
      <w:hyperlink r:id="rId12" w:history="1">
        <w:r w:rsidRPr="008F2BCB">
          <w:rPr>
            <w:rStyle w:val="Hyperlink"/>
            <w:rFonts w:ascii="Arial" w:hAnsi="Arial" w:cs="Arial"/>
            <w:sz w:val="24"/>
            <w:szCs w:val="24"/>
          </w:rPr>
          <w:t>https://doi.org/10.1016/j.tourman.2020.104090</w:t>
        </w:r>
      </w:hyperlink>
      <w:r w:rsidRPr="008F2BCB">
        <w:rPr>
          <w:rFonts w:ascii="Arial" w:hAnsi="Arial" w:cs="Arial"/>
          <w:sz w:val="24"/>
          <w:szCs w:val="24"/>
        </w:rPr>
        <w:t xml:space="preserve">. </w:t>
      </w:r>
    </w:p>
    <w:p w14:paraId="5287BF84" w14:textId="7A04EBAD" w:rsidR="006A4E32" w:rsidRPr="008F2BCB" w:rsidRDefault="006A4E32" w:rsidP="009242A6">
      <w:pPr>
        <w:pStyle w:val="ListParagraph"/>
        <w:numPr>
          <w:ilvl w:val="0"/>
          <w:numId w:val="10"/>
        </w:numPr>
        <w:spacing w:line="360" w:lineRule="auto"/>
        <w:rPr>
          <w:rFonts w:ascii="Arial" w:hAnsi="Arial" w:cs="Arial"/>
          <w:sz w:val="24"/>
          <w:szCs w:val="24"/>
        </w:rPr>
      </w:pPr>
      <w:r w:rsidRPr="008F2BCB">
        <w:rPr>
          <w:rFonts w:ascii="Arial" w:hAnsi="Arial" w:cs="Arial"/>
          <w:sz w:val="24"/>
          <w:szCs w:val="24"/>
        </w:rPr>
        <w:t xml:space="preserve">Gössling, S., Scott, D. and Hall, C.M., </w:t>
      </w:r>
      <w:r w:rsidR="009242A6">
        <w:rPr>
          <w:rFonts w:ascii="Arial" w:hAnsi="Arial" w:cs="Arial"/>
          <w:sz w:val="24"/>
          <w:szCs w:val="24"/>
        </w:rPr>
        <w:t>(</w:t>
      </w:r>
      <w:r w:rsidRPr="008F2BCB">
        <w:rPr>
          <w:rFonts w:ascii="Arial" w:hAnsi="Arial" w:cs="Arial"/>
          <w:sz w:val="24"/>
          <w:szCs w:val="24"/>
        </w:rPr>
        <w:t>2020</w:t>
      </w:r>
      <w:r w:rsidR="009242A6">
        <w:rPr>
          <w:rFonts w:ascii="Arial" w:hAnsi="Arial" w:cs="Arial"/>
          <w:sz w:val="24"/>
          <w:szCs w:val="24"/>
        </w:rPr>
        <w:t>)</w:t>
      </w:r>
      <w:r w:rsidRPr="008F2BCB">
        <w:rPr>
          <w:rFonts w:ascii="Arial" w:hAnsi="Arial" w:cs="Arial"/>
          <w:sz w:val="24"/>
          <w:szCs w:val="24"/>
        </w:rPr>
        <w:t xml:space="preserve">. Pandemics, tourism and global change: a rapid assessment of COVID-19. Journal of sustainable tourism, 29(1), pp.1-20. </w:t>
      </w:r>
      <w:hyperlink r:id="rId13" w:history="1">
        <w:r w:rsidRPr="008F2BCB">
          <w:rPr>
            <w:rStyle w:val="Hyperlink"/>
            <w:rFonts w:ascii="Arial" w:hAnsi="Arial" w:cs="Arial"/>
            <w:sz w:val="24"/>
            <w:szCs w:val="24"/>
          </w:rPr>
          <w:t>https://doi.org/10.1080/09669582.2020.1758708</w:t>
        </w:r>
      </w:hyperlink>
      <w:r w:rsidRPr="008F2BCB">
        <w:rPr>
          <w:rFonts w:ascii="Arial" w:hAnsi="Arial" w:cs="Arial"/>
          <w:sz w:val="24"/>
          <w:szCs w:val="24"/>
        </w:rPr>
        <w:t xml:space="preserve"> </w:t>
      </w:r>
    </w:p>
    <w:p w14:paraId="3CCB011F" w14:textId="01C55708" w:rsidR="006A4E32" w:rsidRPr="008F2BCB" w:rsidRDefault="006A4E32" w:rsidP="009242A6">
      <w:pPr>
        <w:pStyle w:val="ListParagraph"/>
        <w:numPr>
          <w:ilvl w:val="0"/>
          <w:numId w:val="10"/>
        </w:numPr>
        <w:spacing w:line="360" w:lineRule="auto"/>
        <w:rPr>
          <w:rFonts w:ascii="Arial" w:hAnsi="Arial" w:cs="Arial"/>
          <w:sz w:val="24"/>
          <w:szCs w:val="24"/>
        </w:rPr>
      </w:pPr>
      <w:r w:rsidRPr="008F2BCB">
        <w:rPr>
          <w:rFonts w:ascii="Arial" w:hAnsi="Arial" w:cs="Arial"/>
          <w:sz w:val="24"/>
          <w:szCs w:val="24"/>
        </w:rPr>
        <w:t xml:space="preserve">Li, H., Ye, Q., &amp; Law, R., </w:t>
      </w:r>
      <w:r w:rsidR="009242A6">
        <w:rPr>
          <w:rFonts w:ascii="Arial" w:hAnsi="Arial" w:cs="Arial"/>
          <w:sz w:val="24"/>
          <w:szCs w:val="24"/>
        </w:rPr>
        <w:t>(</w:t>
      </w:r>
      <w:r w:rsidRPr="008F2BCB">
        <w:rPr>
          <w:rFonts w:ascii="Arial" w:hAnsi="Arial" w:cs="Arial"/>
          <w:sz w:val="24"/>
          <w:szCs w:val="24"/>
        </w:rPr>
        <w:t>2013</w:t>
      </w:r>
      <w:r w:rsidR="009242A6">
        <w:rPr>
          <w:rFonts w:ascii="Arial" w:hAnsi="Arial" w:cs="Arial"/>
          <w:sz w:val="24"/>
          <w:szCs w:val="24"/>
        </w:rPr>
        <w:t>)</w:t>
      </w:r>
      <w:r w:rsidRPr="008F2BCB">
        <w:rPr>
          <w:rFonts w:ascii="Arial" w:hAnsi="Arial" w:cs="Arial"/>
          <w:sz w:val="24"/>
          <w:szCs w:val="24"/>
        </w:rPr>
        <w:t xml:space="preserve">. Determinants of Customer Satisfaction in the Hotel Industry: An Application of Online Review Analysis. Asia Pacific Journal of Tourism Research, 18, pp. 784 - 802. </w:t>
      </w:r>
      <w:hyperlink r:id="rId14" w:history="1">
        <w:r w:rsidRPr="008F2BCB">
          <w:rPr>
            <w:rStyle w:val="Hyperlink"/>
            <w:rFonts w:ascii="Arial" w:hAnsi="Arial" w:cs="Arial"/>
            <w:sz w:val="24"/>
            <w:szCs w:val="24"/>
          </w:rPr>
          <w:t>https://doi.org/10.1080/10941665.2012.708351</w:t>
        </w:r>
      </w:hyperlink>
      <w:r w:rsidRPr="008F2BCB">
        <w:rPr>
          <w:rFonts w:ascii="Arial" w:hAnsi="Arial" w:cs="Arial"/>
          <w:sz w:val="24"/>
          <w:szCs w:val="24"/>
        </w:rPr>
        <w:t>.</w:t>
      </w:r>
    </w:p>
    <w:p w14:paraId="52F6D7C1" w14:textId="7C3F0C5E" w:rsidR="006A4E32" w:rsidRPr="008F2BCB" w:rsidRDefault="006A4E32" w:rsidP="009242A6">
      <w:pPr>
        <w:pStyle w:val="ListParagraph"/>
        <w:numPr>
          <w:ilvl w:val="0"/>
          <w:numId w:val="10"/>
        </w:numPr>
        <w:spacing w:line="360" w:lineRule="auto"/>
        <w:rPr>
          <w:rFonts w:ascii="Arial" w:hAnsi="Arial" w:cs="Arial"/>
          <w:sz w:val="24"/>
          <w:szCs w:val="24"/>
        </w:rPr>
      </w:pPr>
      <w:r w:rsidRPr="008F2BCB">
        <w:rPr>
          <w:rFonts w:ascii="Arial" w:hAnsi="Arial" w:cs="Arial"/>
          <w:sz w:val="24"/>
          <w:szCs w:val="24"/>
        </w:rPr>
        <w:t xml:space="preserve">Mody, M., Suess, C., &amp; Lehto, X., </w:t>
      </w:r>
      <w:r w:rsidR="009242A6">
        <w:rPr>
          <w:rFonts w:ascii="Arial" w:hAnsi="Arial" w:cs="Arial"/>
          <w:sz w:val="24"/>
          <w:szCs w:val="24"/>
        </w:rPr>
        <w:t>(</w:t>
      </w:r>
      <w:r w:rsidRPr="008F2BCB">
        <w:rPr>
          <w:rFonts w:ascii="Arial" w:hAnsi="Arial" w:cs="Arial"/>
          <w:sz w:val="24"/>
          <w:szCs w:val="24"/>
        </w:rPr>
        <w:t>2017</w:t>
      </w:r>
      <w:r w:rsidR="009242A6">
        <w:rPr>
          <w:rFonts w:ascii="Arial" w:hAnsi="Arial" w:cs="Arial"/>
          <w:sz w:val="24"/>
          <w:szCs w:val="24"/>
        </w:rPr>
        <w:t>)</w:t>
      </w:r>
      <w:r w:rsidRPr="008F2BCB">
        <w:rPr>
          <w:rFonts w:ascii="Arial" w:hAnsi="Arial" w:cs="Arial"/>
          <w:sz w:val="24"/>
          <w:szCs w:val="24"/>
        </w:rPr>
        <w:t xml:space="preserve">. The accommodation experiencescape: a comparative assessment of hotels and Airbnb. International Journal of Contemporary Hospitality Management, 29, pp. 2377-2404. </w:t>
      </w:r>
      <w:hyperlink r:id="rId15" w:history="1">
        <w:r w:rsidRPr="008F2BCB">
          <w:rPr>
            <w:rStyle w:val="Hyperlink"/>
            <w:rFonts w:ascii="Arial" w:hAnsi="Arial" w:cs="Arial"/>
            <w:sz w:val="24"/>
            <w:szCs w:val="24"/>
          </w:rPr>
          <w:t>https://doi.org/10.1108/IJCHM-09-2016-0501</w:t>
        </w:r>
      </w:hyperlink>
      <w:r w:rsidRPr="008F2BCB">
        <w:rPr>
          <w:rFonts w:ascii="Arial" w:hAnsi="Arial" w:cs="Arial"/>
          <w:sz w:val="24"/>
          <w:szCs w:val="24"/>
        </w:rPr>
        <w:t xml:space="preserve">. </w:t>
      </w:r>
    </w:p>
    <w:p w14:paraId="4EAB8FCB" w14:textId="084648C7" w:rsidR="00A84E20" w:rsidRPr="008F2BCB" w:rsidRDefault="00A84E20" w:rsidP="009242A6">
      <w:pPr>
        <w:pStyle w:val="ListParagraph"/>
        <w:numPr>
          <w:ilvl w:val="0"/>
          <w:numId w:val="10"/>
        </w:numPr>
        <w:spacing w:line="360" w:lineRule="auto"/>
        <w:rPr>
          <w:rFonts w:ascii="Arial" w:hAnsi="Arial" w:cs="Arial"/>
          <w:sz w:val="24"/>
          <w:szCs w:val="24"/>
        </w:rPr>
      </w:pPr>
      <w:r w:rsidRPr="008F2BCB">
        <w:rPr>
          <w:rFonts w:ascii="Arial" w:hAnsi="Arial" w:cs="Arial"/>
          <w:sz w:val="24"/>
          <w:szCs w:val="24"/>
        </w:rPr>
        <w:t xml:space="preserve">Moi, L. and Cabiddu, F., </w:t>
      </w:r>
      <w:r w:rsidR="009242A6">
        <w:rPr>
          <w:rFonts w:ascii="Arial" w:hAnsi="Arial" w:cs="Arial"/>
          <w:sz w:val="24"/>
          <w:szCs w:val="24"/>
        </w:rPr>
        <w:t>(</w:t>
      </w:r>
      <w:r w:rsidRPr="008F2BCB">
        <w:rPr>
          <w:rFonts w:ascii="Arial" w:hAnsi="Arial" w:cs="Arial"/>
          <w:sz w:val="24"/>
          <w:szCs w:val="24"/>
        </w:rPr>
        <w:t>2021</w:t>
      </w:r>
      <w:r w:rsidR="009242A6">
        <w:rPr>
          <w:rFonts w:ascii="Arial" w:hAnsi="Arial" w:cs="Arial"/>
          <w:sz w:val="24"/>
          <w:szCs w:val="24"/>
        </w:rPr>
        <w:t>)</w:t>
      </w:r>
      <w:r w:rsidRPr="008F2BCB">
        <w:rPr>
          <w:rFonts w:ascii="Arial" w:hAnsi="Arial" w:cs="Arial"/>
          <w:sz w:val="24"/>
          <w:szCs w:val="24"/>
        </w:rPr>
        <w:t xml:space="preserve">. An agile marketing capability maturity framework. Tourism management, 86, p.104347. </w:t>
      </w:r>
      <w:hyperlink r:id="rId16" w:history="1">
        <w:r w:rsidRPr="008F2BCB">
          <w:rPr>
            <w:rStyle w:val="Hyperlink"/>
            <w:rFonts w:ascii="Arial" w:hAnsi="Arial" w:cs="Arial"/>
            <w:sz w:val="24"/>
            <w:szCs w:val="24"/>
          </w:rPr>
          <w:t>https://doi.org/10.1016/j.tourman.2021.104347</w:t>
        </w:r>
      </w:hyperlink>
      <w:r w:rsidRPr="008F2BCB">
        <w:rPr>
          <w:rFonts w:ascii="Arial" w:hAnsi="Arial" w:cs="Arial"/>
          <w:sz w:val="24"/>
          <w:szCs w:val="24"/>
        </w:rPr>
        <w:t xml:space="preserve">  </w:t>
      </w:r>
    </w:p>
    <w:p w14:paraId="62BFEA9E" w14:textId="6277DE55" w:rsidR="006A4E32" w:rsidRPr="008F2BCB" w:rsidRDefault="006A4E32" w:rsidP="009242A6">
      <w:pPr>
        <w:pStyle w:val="ListParagraph"/>
        <w:numPr>
          <w:ilvl w:val="0"/>
          <w:numId w:val="10"/>
        </w:numPr>
        <w:spacing w:line="360" w:lineRule="auto"/>
        <w:rPr>
          <w:rFonts w:ascii="Arial" w:hAnsi="Arial" w:cs="Arial"/>
          <w:sz w:val="24"/>
          <w:szCs w:val="24"/>
        </w:rPr>
      </w:pPr>
      <w:r w:rsidRPr="008F2BCB">
        <w:rPr>
          <w:rFonts w:ascii="Arial" w:hAnsi="Arial" w:cs="Arial"/>
          <w:sz w:val="24"/>
          <w:szCs w:val="24"/>
        </w:rPr>
        <w:t xml:space="preserve">Mutavi, I., &amp; Gichinga, L., </w:t>
      </w:r>
      <w:r w:rsidR="009242A6">
        <w:rPr>
          <w:rFonts w:ascii="Arial" w:hAnsi="Arial" w:cs="Arial"/>
          <w:sz w:val="24"/>
          <w:szCs w:val="24"/>
        </w:rPr>
        <w:t>(</w:t>
      </w:r>
      <w:r w:rsidRPr="008F2BCB">
        <w:rPr>
          <w:rFonts w:ascii="Arial" w:hAnsi="Arial" w:cs="Arial"/>
          <w:sz w:val="24"/>
          <w:szCs w:val="24"/>
        </w:rPr>
        <w:t>2019</w:t>
      </w:r>
      <w:r w:rsidR="009242A6">
        <w:rPr>
          <w:rFonts w:ascii="Arial" w:hAnsi="Arial" w:cs="Arial"/>
          <w:sz w:val="24"/>
          <w:szCs w:val="24"/>
        </w:rPr>
        <w:t>)</w:t>
      </w:r>
      <w:r w:rsidRPr="008F2BCB">
        <w:rPr>
          <w:rFonts w:ascii="Arial" w:hAnsi="Arial" w:cs="Arial"/>
          <w:sz w:val="24"/>
          <w:szCs w:val="24"/>
        </w:rPr>
        <w:t xml:space="preserve">. INFLUENCE OF TURNAROUND STRATEGIES ON ORGANIZATIONAL PERFORMANCE OF HOTEL INDUSTRY IN COAST REGION, KENYA. Strategic Journal of Business &amp; Change Management. </w:t>
      </w:r>
      <w:hyperlink r:id="rId17" w:history="1">
        <w:r w:rsidRPr="008F2BCB">
          <w:rPr>
            <w:rStyle w:val="Hyperlink"/>
            <w:rFonts w:ascii="Arial" w:hAnsi="Arial" w:cs="Arial"/>
            <w:sz w:val="24"/>
            <w:szCs w:val="24"/>
          </w:rPr>
          <w:t>https://doi.org/10.61426/sjbcm.v6i3.1335</w:t>
        </w:r>
      </w:hyperlink>
      <w:r w:rsidRPr="008F2BCB">
        <w:rPr>
          <w:rFonts w:ascii="Arial" w:hAnsi="Arial" w:cs="Arial"/>
          <w:sz w:val="24"/>
          <w:szCs w:val="24"/>
        </w:rPr>
        <w:t xml:space="preserve">. </w:t>
      </w:r>
    </w:p>
    <w:p w14:paraId="02BBF70D" w14:textId="34BD6259" w:rsidR="00A84E20" w:rsidRPr="009242A6" w:rsidRDefault="00A84E20" w:rsidP="009242A6">
      <w:pPr>
        <w:pStyle w:val="ListParagraph"/>
        <w:numPr>
          <w:ilvl w:val="0"/>
          <w:numId w:val="10"/>
        </w:numPr>
        <w:spacing w:line="360" w:lineRule="auto"/>
        <w:rPr>
          <w:rFonts w:ascii="Arial" w:hAnsi="Arial" w:cs="Arial"/>
          <w:sz w:val="24"/>
          <w:szCs w:val="24"/>
          <w:lang w:val="fr-FR"/>
        </w:rPr>
      </w:pPr>
      <w:r w:rsidRPr="008F2BCB">
        <w:rPr>
          <w:rFonts w:ascii="Arial" w:hAnsi="Arial" w:cs="Arial"/>
          <w:sz w:val="24"/>
          <w:szCs w:val="24"/>
        </w:rPr>
        <w:lastRenderedPageBreak/>
        <w:t xml:space="preserve">Pappas, N., </w:t>
      </w:r>
      <w:r w:rsidR="009242A6">
        <w:rPr>
          <w:rFonts w:ascii="Arial" w:hAnsi="Arial" w:cs="Arial"/>
          <w:sz w:val="24"/>
          <w:szCs w:val="24"/>
        </w:rPr>
        <w:t>(</w:t>
      </w:r>
      <w:r w:rsidRPr="008F2BCB">
        <w:rPr>
          <w:rFonts w:ascii="Arial" w:hAnsi="Arial" w:cs="Arial"/>
          <w:sz w:val="24"/>
          <w:szCs w:val="24"/>
        </w:rPr>
        <w:t>2019</w:t>
      </w:r>
      <w:r w:rsidR="009242A6">
        <w:rPr>
          <w:rFonts w:ascii="Arial" w:hAnsi="Arial" w:cs="Arial"/>
          <w:sz w:val="24"/>
          <w:szCs w:val="24"/>
        </w:rPr>
        <w:t>)</w:t>
      </w:r>
      <w:r w:rsidRPr="008F2BCB">
        <w:rPr>
          <w:rFonts w:ascii="Arial" w:hAnsi="Arial" w:cs="Arial"/>
          <w:sz w:val="24"/>
          <w:szCs w:val="24"/>
        </w:rPr>
        <w:t xml:space="preserve">. UK outbound travel and Brexit complexity. </w:t>
      </w:r>
      <w:r w:rsidRPr="009242A6">
        <w:rPr>
          <w:rFonts w:ascii="Arial" w:hAnsi="Arial" w:cs="Arial"/>
          <w:sz w:val="24"/>
          <w:szCs w:val="24"/>
          <w:lang w:val="fr-FR"/>
        </w:rPr>
        <w:t xml:space="preserve">Tourism Management, 72, pp.12-22. </w:t>
      </w:r>
      <w:hyperlink r:id="rId18" w:history="1">
        <w:r w:rsidRPr="009242A6">
          <w:rPr>
            <w:rStyle w:val="Hyperlink"/>
            <w:rFonts w:ascii="Arial" w:hAnsi="Arial" w:cs="Arial"/>
            <w:sz w:val="24"/>
            <w:szCs w:val="24"/>
            <w:lang w:val="fr-FR"/>
          </w:rPr>
          <w:t>https://doi.org/10.1016/j.tourman.2018.11.004</w:t>
        </w:r>
      </w:hyperlink>
      <w:r w:rsidRPr="009242A6">
        <w:rPr>
          <w:rFonts w:ascii="Arial" w:hAnsi="Arial" w:cs="Arial"/>
          <w:sz w:val="24"/>
          <w:szCs w:val="24"/>
          <w:lang w:val="fr-FR"/>
        </w:rPr>
        <w:t xml:space="preserve"> </w:t>
      </w:r>
    </w:p>
    <w:p w14:paraId="779891A0" w14:textId="2CAF0395" w:rsidR="006A4E32" w:rsidRPr="008F2BCB" w:rsidRDefault="006A4E32" w:rsidP="009242A6">
      <w:pPr>
        <w:pStyle w:val="ListParagraph"/>
        <w:numPr>
          <w:ilvl w:val="0"/>
          <w:numId w:val="10"/>
        </w:numPr>
        <w:spacing w:line="360" w:lineRule="auto"/>
        <w:rPr>
          <w:rFonts w:ascii="Arial" w:hAnsi="Arial" w:cs="Arial"/>
          <w:sz w:val="24"/>
          <w:szCs w:val="24"/>
        </w:rPr>
      </w:pPr>
      <w:r w:rsidRPr="009242A6">
        <w:rPr>
          <w:rFonts w:ascii="Arial" w:hAnsi="Arial" w:cs="Arial"/>
          <w:sz w:val="24"/>
          <w:szCs w:val="24"/>
          <w:lang w:val="fr-FR"/>
        </w:rPr>
        <w:t xml:space="preserve">Priporas, C., Stylos, N., Vedanthachari, L., &amp; Santiwatana, P., </w:t>
      </w:r>
      <w:r w:rsidR="009242A6">
        <w:rPr>
          <w:rFonts w:ascii="Arial" w:hAnsi="Arial" w:cs="Arial"/>
          <w:sz w:val="24"/>
          <w:szCs w:val="24"/>
          <w:lang w:val="fr-FR"/>
        </w:rPr>
        <w:t>(</w:t>
      </w:r>
      <w:r w:rsidRPr="009242A6">
        <w:rPr>
          <w:rFonts w:ascii="Arial" w:hAnsi="Arial" w:cs="Arial"/>
          <w:sz w:val="24"/>
          <w:szCs w:val="24"/>
          <w:lang w:val="fr-FR"/>
        </w:rPr>
        <w:t>2017</w:t>
      </w:r>
      <w:r w:rsidR="009242A6">
        <w:rPr>
          <w:rFonts w:ascii="Arial" w:hAnsi="Arial" w:cs="Arial"/>
          <w:sz w:val="24"/>
          <w:szCs w:val="24"/>
          <w:lang w:val="fr-FR"/>
        </w:rPr>
        <w:t>)</w:t>
      </w:r>
      <w:r w:rsidRPr="009242A6">
        <w:rPr>
          <w:rFonts w:ascii="Arial" w:hAnsi="Arial" w:cs="Arial"/>
          <w:sz w:val="24"/>
          <w:szCs w:val="24"/>
          <w:lang w:val="fr-FR"/>
        </w:rPr>
        <w:t xml:space="preserve">. </w:t>
      </w:r>
      <w:r w:rsidRPr="008F2BCB">
        <w:rPr>
          <w:rFonts w:ascii="Arial" w:hAnsi="Arial" w:cs="Arial"/>
          <w:sz w:val="24"/>
          <w:szCs w:val="24"/>
        </w:rPr>
        <w:t>Service quality, satisfaction, and customer loyalty in Airbnb accommodation in Thailand. International Journal of Tourism Research, 19, pp. 693-704. https://doi.org/10.1002/JTR.2141.</w:t>
      </w:r>
    </w:p>
    <w:p w14:paraId="3317AC59" w14:textId="367B98F3" w:rsidR="006A4E32" w:rsidRPr="008F2BCB" w:rsidRDefault="006A4E32" w:rsidP="009242A6">
      <w:pPr>
        <w:pStyle w:val="ListParagraph"/>
        <w:numPr>
          <w:ilvl w:val="0"/>
          <w:numId w:val="10"/>
        </w:numPr>
        <w:spacing w:line="360" w:lineRule="auto"/>
        <w:rPr>
          <w:rFonts w:ascii="Arial" w:hAnsi="Arial" w:cs="Arial"/>
          <w:sz w:val="24"/>
          <w:szCs w:val="24"/>
        </w:rPr>
      </w:pPr>
      <w:r w:rsidRPr="008F2BCB">
        <w:rPr>
          <w:rFonts w:ascii="Arial" w:hAnsi="Arial" w:cs="Arial"/>
          <w:sz w:val="24"/>
          <w:szCs w:val="24"/>
        </w:rPr>
        <w:t xml:space="preserve">Renpeng, Z., </w:t>
      </w:r>
      <w:r w:rsidR="009242A6">
        <w:rPr>
          <w:rFonts w:ascii="Arial" w:hAnsi="Arial" w:cs="Arial"/>
          <w:sz w:val="24"/>
          <w:szCs w:val="24"/>
        </w:rPr>
        <w:t>(</w:t>
      </w:r>
      <w:r w:rsidRPr="008F2BCB">
        <w:rPr>
          <w:rFonts w:ascii="Arial" w:hAnsi="Arial" w:cs="Arial"/>
          <w:sz w:val="24"/>
          <w:szCs w:val="24"/>
        </w:rPr>
        <w:t>2018</w:t>
      </w:r>
      <w:r w:rsidR="009242A6">
        <w:rPr>
          <w:rFonts w:ascii="Arial" w:hAnsi="Arial" w:cs="Arial"/>
          <w:sz w:val="24"/>
          <w:szCs w:val="24"/>
        </w:rPr>
        <w:t>)</w:t>
      </w:r>
      <w:r w:rsidRPr="008F2BCB">
        <w:rPr>
          <w:rFonts w:ascii="Arial" w:hAnsi="Arial" w:cs="Arial"/>
          <w:sz w:val="24"/>
          <w:szCs w:val="24"/>
        </w:rPr>
        <w:t xml:space="preserve">. The application of service marketing strategy in hotel management. . </w:t>
      </w:r>
      <w:hyperlink r:id="rId19" w:history="1">
        <w:r w:rsidRPr="008F2BCB">
          <w:rPr>
            <w:rStyle w:val="Hyperlink"/>
            <w:rFonts w:ascii="Arial" w:hAnsi="Arial" w:cs="Arial"/>
            <w:sz w:val="24"/>
            <w:szCs w:val="24"/>
          </w:rPr>
          <w:t>https://doi.org/10.25236/iccems.2018.07</w:t>
        </w:r>
      </w:hyperlink>
      <w:r w:rsidRPr="008F2BCB">
        <w:rPr>
          <w:rFonts w:ascii="Arial" w:hAnsi="Arial" w:cs="Arial"/>
          <w:sz w:val="24"/>
          <w:szCs w:val="24"/>
        </w:rPr>
        <w:t xml:space="preserve">. </w:t>
      </w:r>
    </w:p>
    <w:p w14:paraId="2E3BAAAD" w14:textId="381B160C" w:rsidR="006A4E32" w:rsidRPr="008F2BCB" w:rsidRDefault="006A5FE6" w:rsidP="009242A6">
      <w:pPr>
        <w:pStyle w:val="ListParagraph"/>
        <w:numPr>
          <w:ilvl w:val="0"/>
          <w:numId w:val="10"/>
        </w:numPr>
        <w:spacing w:line="360" w:lineRule="auto"/>
        <w:rPr>
          <w:rFonts w:ascii="Arial" w:hAnsi="Arial" w:cs="Arial"/>
          <w:sz w:val="24"/>
          <w:szCs w:val="24"/>
        </w:rPr>
      </w:pPr>
      <w:r w:rsidRPr="006A5FE6">
        <w:rPr>
          <w:rFonts w:ascii="Arial" w:hAnsi="Arial" w:cs="Arial"/>
          <w:sz w:val="24"/>
          <w:szCs w:val="24"/>
        </w:rPr>
        <w:t xml:space="preserve">Chrysafis, K.A., Papadopoulou, G.C. and Theotokas, I.N., </w:t>
      </w:r>
      <w:r w:rsidR="009242A6">
        <w:rPr>
          <w:rFonts w:ascii="Arial" w:hAnsi="Arial" w:cs="Arial"/>
          <w:sz w:val="24"/>
          <w:szCs w:val="24"/>
        </w:rPr>
        <w:t>(</w:t>
      </w:r>
      <w:r w:rsidRPr="006A5FE6">
        <w:rPr>
          <w:rFonts w:ascii="Arial" w:hAnsi="Arial" w:cs="Arial"/>
          <w:sz w:val="24"/>
          <w:szCs w:val="24"/>
        </w:rPr>
        <w:t>2024</w:t>
      </w:r>
      <w:r w:rsidR="009242A6">
        <w:rPr>
          <w:rFonts w:ascii="Arial" w:hAnsi="Arial" w:cs="Arial"/>
          <w:sz w:val="24"/>
          <w:szCs w:val="24"/>
        </w:rPr>
        <w:t>)</w:t>
      </w:r>
      <w:r w:rsidRPr="006A5FE6">
        <w:rPr>
          <w:rFonts w:ascii="Arial" w:hAnsi="Arial" w:cs="Arial"/>
          <w:sz w:val="24"/>
          <w:szCs w:val="24"/>
        </w:rPr>
        <w:t>. Measuring financial performance through operating business efficiency in the global cruise industry: A fuzzy benchmarking study on the “big three”. Tourism Management, 100, p.104830</w:t>
      </w:r>
      <w:r w:rsidR="006A4E32" w:rsidRPr="008F2BCB">
        <w:rPr>
          <w:rFonts w:ascii="Arial" w:hAnsi="Arial" w:cs="Arial"/>
          <w:sz w:val="24"/>
          <w:szCs w:val="24"/>
        </w:rPr>
        <w:t xml:space="preserve">. </w:t>
      </w:r>
      <w:hyperlink r:id="rId20" w:history="1">
        <w:r w:rsidRPr="007B7EA6">
          <w:rPr>
            <w:rStyle w:val="Hyperlink"/>
            <w:rFonts w:ascii="Arial" w:hAnsi="Arial" w:cs="Arial"/>
            <w:sz w:val="24"/>
            <w:szCs w:val="24"/>
          </w:rPr>
          <w:t>https://doi.org/10.1016/j.tourman.2023.104830</w:t>
        </w:r>
      </w:hyperlink>
      <w:r>
        <w:rPr>
          <w:rFonts w:ascii="Arial" w:hAnsi="Arial" w:cs="Arial"/>
          <w:sz w:val="24"/>
          <w:szCs w:val="24"/>
        </w:rPr>
        <w:t xml:space="preserve"> </w:t>
      </w:r>
    </w:p>
    <w:p w14:paraId="420F683E" w14:textId="136A603E" w:rsidR="006A4E32" w:rsidRPr="008F2BCB" w:rsidRDefault="006A4E32" w:rsidP="009242A6">
      <w:pPr>
        <w:pStyle w:val="ListParagraph"/>
        <w:numPr>
          <w:ilvl w:val="0"/>
          <w:numId w:val="10"/>
        </w:numPr>
        <w:spacing w:line="360" w:lineRule="auto"/>
        <w:rPr>
          <w:rFonts w:ascii="Arial" w:hAnsi="Arial" w:cs="Arial"/>
          <w:sz w:val="24"/>
          <w:szCs w:val="24"/>
        </w:rPr>
      </w:pPr>
      <w:r w:rsidRPr="008F2BCB">
        <w:rPr>
          <w:rFonts w:ascii="Arial" w:hAnsi="Arial" w:cs="Arial"/>
          <w:sz w:val="24"/>
          <w:szCs w:val="24"/>
        </w:rPr>
        <w:t xml:space="preserve">Santoso, T., &amp; Supatmi, S., </w:t>
      </w:r>
      <w:r w:rsidR="009242A6">
        <w:rPr>
          <w:rFonts w:ascii="Arial" w:hAnsi="Arial" w:cs="Arial"/>
          <w:sz w:val="24"/>
          <w:szCs w:val="24"/>
        </w:rPr>
        <w:t>(</w:t>
      </w:r>
      <w:r w:rsidRPr="008F2BCB">
        <w:rPr>
          <w:rFonts w:ascii="Arial" w:hAnsi="Arial" w:cs="Arial"/>
          <w:sz w:val="24"/>
          <w:szCs w:val="24"/>
        </w:rPr>
        <w:t>2021</w:t>
      </w:r>
      <w:r w:rsidR="009242A6">
        <w:rPr>
          <w:rFonts w:ascii="Arial" w:hAnsi="Arial" w:cs="Arial"/>
          <w:sz w:val="24"/>
          <w:szCs w:val="24"/>
        </w:rPr>
        <w:t>)</w:t>
      </w:r>
      <w:r w:rsidRPr="008F2BCB">
        <w:rPr>
          <w:rFonts w:ascii="Arial" w:hAnsi="Arial" w:cs="Arial"/>
          <w:sz w:val="24"/>
          <w:szCs w:val="24"/>
        </w:rPr>
        <w:t xml:space="preserve">. Financial Ratio Analysis to Assess Financial Performance of the Hotel Industry. International Journal of Social Science and Business. </w:t>
      </w:r>
      <w:hyperlink r:id="rId21" w:history="1">
        <w:r w:rsidRPr="008F2BCB">
          <w:rPr>
            <w:rStyle w:val="Hyperlink"/>
            <w:rFonts w:ascii="Arial" w:hAnsi="Arial" w:cs="Arial"/>
            <w:sz w:val="24"/>
            <w:szCs w:val="24"/>
          </w:rPr>
          <w:t>https://doi.org/10.23887/ijssb.v5i3.37003</w:t>
        </w:r>
      </w:hyperlink>
      <w:r w:rsidRPr="008F2BCB">
        <w:rPr>
          <w:rFonts w:ascii="Arial" w:hAnsi="Arial" w:cs="Arial"/>
          <w:sz w:val="24"/>
          <w:szCs w:val="24"/>
        </w:rPr>
        <w:t xml:space="preserve">. </w:t>
      </w:r>
    </w:p>
    <w:p w14:paraId="1227B468" w14:textId="21427F37" w:rsidR="006A4E32" w:rsidRPr="008F2BCB" w:rsidRDefault="006A4E32" w:rsidP="009242A6">
      <w:pPr>
        <w:pStyle w:val="ListParagraph"/>
        <w:numPr>
          <w:ilvl w:val="0"/>
          <w:numId w:val="10"/>
        </w:numPr>
        <w:spacing w:line="360" w:lineRule="auto"/>
        <w:rPr>
          <w:rFonts w:ascii="Arial" w:hAnsi="Arial" w:cs="Arial"/>
          <w:sz w:val="24"/>
          <w:szCs w:val="24"/>
        </w:rPr>
      </w:pPr>
      <w:r w:rsidRPr="008F2BCB">
        <w:rPr>
          <w:rFonts w:ascii="Arial" w:hAnsi="Arial" w:cs="Arial"/>
          <w:sz w:val="24"/>
          <w:szCs w:val="24"/>
        </w:rPr>
        <w:t xml:space="preserve">Singh, A., &amp; Schmidgall, R., </w:t>
      </w:r>
      <w:r w:rsidR="009242A6">
        <w:rPr>
          <w:rFonts w:ascii="Arial" w:hAnsi="Arial" w:cs="Arial"/>
          <w:sz w:val="24"/>
          <w:szCs w:val="24"/>
        </w:rPr>
        <w:t>(</w:t>
      </w:r>
      <w:r w:rsidRPr="008F2BCB">
        <w:rPr>
          <w:rFonts w:ascii="Arial" w:hAnsi="Arial" w:cs="Arial"/>
          <w:sz w:val="24"/>
          <w:szCs w:val="24"/>
        </w:rPr>
        <w:t>2013</w:t>
      </w:r>
      <w:r w:rsidR="009242A6">
        <w:rPr>
          <w:rFonts w:ascii="Arial" w:hAnsi="Arial" w:cs="Arial"/>
          <w:sz w:val="24"/>
          <w:szCs w:val="24"/>
        </w:rPr>
        <w:t>)</w:t>
      </w:r>
      <w:r w:rsidRPr="008F2BCB">
        <w:rPr>
          <w:rFonts w:ascii="Arial" w:hAnsi="Arial" w:cs="Arial"/>
          <w:sz w:val="24"/>
          <w:szCs w:val="24"/>
        </w:rPr>
        <w:t xml:space="preserve">. Does financial performance depend on hotel size? Analysis of the financial profile of the U.S. lodging industry.. Hospitality Review, 30, pp. 109-126. </w:t>
      </w:r>
      <w:hyperlink r:id="rId22" w:history="1">
        <w:r w:rsidRPr="008F2BCB">
          <w:rPr>
            <w:rStyle w:val="Hyperlink"/>
            <w:rFonts w:ascii="Arial" w:hAnsi="Arial" w:cs="Arial"/>
            <w:sz w:val="24"/>
            <w:szCs w:val="24"/>
          </w:rPr>
          <w:t>https://digitalcommons.fiu.edu/hospitalityreview/vol30/iss2/6</w:t>
        </w:r>
      </w:hyperlink>
      <w:r w:rsidRPr="008F2BCB">
        <w:rPr>
          <w:rFonts w:ascii="Arial" w:hAnsi="Arial" w:cs="Arial"/>
          <w:sz w:val="24"/>
          <w:szCs w:val="24"/>
        </w:rPr>
        <w:t xml:space="preserve"> </w:t>
      </w:r>
    </w:p>
    <w:p w14:paraId="1840BF3E" w14:textId="055B8874" w:rsidR="006A4E32" w:rsidRPr="008F2BCB" w:rsidRDefault="006A4E32" w:rsidP="009242A6">
      <w:pPr>
        <w:pStyle w:val="ListParagraph"/>
        <w:numPr>
          <w:ilvl w:val="0"/>
          <w:numId w:val="10"/>
        </w:numPr>
        <w:spacing w:line="360" w:lineRule="auto"/>
        <w:rPr>
          <w:rFonts w:ascii="Arial" w:hAnsi="Arial" w:cs="Arial"/>
          <w:sz w:val="24"/>
          <w:szCs w:val="24"/>
        </w:rPr>
      </w:pPr>
      <w:r w:rsidRPr="008F2BCB">
        <w:rPr>
          <w:rFonts w:ascii="Arial" w:hAnsi="Arial" w:cs="Arial"/>
          <w:sz w:val="24"/>
          <w:szCs w:val="24"/>
        </w:rPr>
        <w:t xml:space="preserve">Stefani, S., &amp; Priatmodjo, D., </w:t>
      </w:r>
      <w:r w:rsidR="009242A6">
        <w:rPr>
          <w:rFonts w:ascii="Arial" w:hAnsi="Arial" w:cs="Arial"/>
          <w:sz w:val="24"/>
          <w:szCs w:val="24"/>
        </w:rPr>
        <w:t>(</w:t>
      </w:r>
      <w:r w:rsidRPr="008F2BCB">
        <w:rPr>
          <w:rFonts w:ascii="Arial" w:hAnsi="Arial" w:cs="Arial"/>
          <w:sz w:val="24"/>
          <w:szCs w:val="24"/>
        </w:rPr>
        <w:t>2021</w:t>
      </w:r>
      <w:r w:rsidR="009242A6">
        <w:rPr>
          <w:rFonts w:ascii="Arial" w:hAnsi="Arial" w:cs="Arial"/>
          <w:sz w:val="24"/>
          <w:szCs w:val="24"/>
        </w:rPr>
        <w:t>)</w:t>
      </w:r>
      <w:r w:rsidRPr="008F2BCB">
        <w:rPr>
          <w:rFonts w:ascii="Arial" w:hAnsi="Arial" w:cs="Arial"/>
          <w:sz w:val="24"/>
          <w:szCs w:val="24"/>
        </w:rPr>
        <w:t xml:space="preserve">. TURNAROUND MANAGEMENT THROUGH BUSINESS PROCESS RE-ENGINEERING FOR SBH HOTEL BANDUNG INDONESIA. BIMP-EAGA Journal for Sustainable Tourism Development. </w:t>
      </w:r>
      <w:hyperlink r:id="rId23" w:history="1">
        <w:r w:rsidRPr="008F2BCB">
          <w:rPr>
            <w:rStyle w:val="Hyperlink"/>
            <w:rFonts w:ascii="Arial" w:hAnsi="Arial" w:cs="Arial"/>
            <w:sz w:val="24"/>
            <w:szCs w:val="24"/>
          </w:rPr>
          <w:t>https://doi.org/10.51200/bimpeagajtsd.v10i1.3635</w:t>
        </w:r>
      </w:hyperlink>
      <w:r w:rsidRPr="008F2BCB">
        <w:rPr>
          <w:rFonts w:ascii="Arial" w:hAnsi="Arial" w:cs="Arial"/>
          <w:sz w:val="24"/>
          <w:szCs w:val="24"/>
        </w:rPr>
        <w:t xml:space="preserve">. </w:t>
      </w:r>
    </w:p>
    <w:p w14:paraId="10C79575" w14:textId="2C1FABF4" w:rsidR="006A4E32" w:rsidRPr="008F2BCB" w:rsidRDefault="006A4E32" w:rsidP="009242A6">
      <w:pPr>
        <w:pStyle w:val="ListParagraph"/>
        <w:numPr>
          <w:ilvl w:val="0"/>
          <w:numId w:val="10"/>
        </w:numPr>
        <w:spacing w:line="360" w:lineRule="auto"/>
        <w:rPr>
          <w:rFonts w:ascii="Arial" w:hAnsi="Arial" w:cs="Arial"/>
          <w:sz w:val="24"/>
          <w:szCs w:val="24"/>
        </w:rPr>
      </w:pPr>
      <w:r w:rsidRPr="008F2BCB">
        <w:rPr>
          <w:rFonts w:ascii="Arial" w:hAnsi="Arial" w:cs="Arial"/>
          <w:sz w:val="24"/>
          <w:szCs w:val="24"/>
        </w:rPr>
        <w:t xml:space="preserve">Turegun, N., </w:t>
      </w:r>
      <w:r w:rsidR="009242A6">
        <w:rPr>
          <w:rFonts w:ascii="Arial" w:hAnsi="Arial" w:cs="Arial"/>
          <w:sz w:val="24"/>
          <w:szCs w:val="24"/>
        </w:rPr>
        <w:t>(</w:t>
      </w:r>
      <w:r w:rsidRPr="008F2BCB">
        <w:rPr>
          <w:rFonts w:ascii="Arial" w:hAnsi="Arial" w:cs="Arial"/>
          <w:sz w:val="24"/>
          <w:szCs w:val="24"/>
        </w:rPr>
        <w:t>2019</w:t>
      </w:r>
      <w:r w:rsidR="009242A6">
        <w:rPr>
          <w:rFonts w:ascii="Arial" w:hAnsi="Arial" w:cs="Arial"/>
          <w:sz w:val="24"/>
          <w:szCs w:val="24"/>
        </w:rPr>
        <w:t>)</w:t>
      </w:r>
      <w:r w:rsidRPr="008F2BCB">
        <w:rPr>
          <w:rFonts w:ascii="Arial" w:hAnsi="Arial" w:cs="Arial"/>
          <w:sz w:val="24"/>
          <w:szCs w:val="24"/>
        </w:rPr>
        <w:t xml:space="preserve">. Performance analysisof the restaurant and hotel industry: evidence from Borsa Istanbul. Pressacademia. </w:t>
      </w:r>
      <w:hyperlink r:id="rId24" w:history="1">
        <w:r w:rsidRPr="008F2BCB">
          <w:rPr>
            <w:rStyle w:val="Hyperlink"/>
            <w:rFonts w:ascii="Arial" w:hAnsi="Arial" w:cs="Arial"/>
            <w:sz w:val="24"/>
            <w:szCs w:val="24"/>
          </w:rPr>
          <w:t>https://doi.org/10.17261/pressacademia.2019.1110</w:t>
        </w:r>
      </w:hyperlink>
      <w:r w:rsidRPr="008F2BCB">
        <w:rPr>
          <w:rFonts w:ascii="Arial" w:hAnsi="Arial" w:cs="Arial"/>
          <w:sz w:val="24"/>
          <w:szCs w:val="24"/>
        </w:rPr>
        <w:t xml:space="preserve">. </w:t>
      </w:r>
    </w:p>
    <w:p w14:paraId="758EBE79" w14:textId="6861B99A" w:rsidR="00A84E20" w:rsidRPr="008F2BCB" w:rsidRDefault="00A84E20" w:rsidP="009242A6">
      <w:pPr>
        <w:pStyle w:val="ListParagraph"/>
        <w:numPr>
          <w:ilvl w:val="0"/>
          <w:numId w:val="10"/>
        </w:numPr>
        <w:spacing w:line="360" w:lineRule="auto"/>
        <w:rPr>
          <w:rFonts w:ascii="Arial" w:hAnsi="Arial" w:cs="Arial"/>
          <w:sz w:val="24"/>
          <w:szCs w:val="24"/>
        </w:rPr>
      </w:pPr>
      <w:r w:rsidRPr="008F2BCB">
        <w:rPr>
          <w:rFonts w:ascii="Arial" w:hAnsi="Arial" w:cs="Arial"/>
          <w:sz w:val="24"/>
          <w:szCs w:val="24"/>
        </w:rPr>
        <w:t xml:space="preserve">Were, S.O. and Maranga, V.N., </w:t>
      </w:r>
      <w:r w:rsidR="009242A6">
        <w:rPr>
          <w:rFonts w:ascii="Arial" w:hAnsi="Arial" w:cs="Arial"/>
          <w:sz w:val="24"/>
          <w:szCs w:val="24"/>
        </w:rPr>
        <w:t>(</w:t>
      </w:r>
      <w:r w:rsidRPr="008F2BCB">
        <w:rPr>
          <w:rFonts w:ascii="Arial" w:hAnsi="Arial" w:cs="Arial"/>
          <w:sz w:val="24"/>
          <w:szCs w:val="24"/>
        </w:rPr>
        <w:t>2022</w:t>
      </w:r>
      <w:r w:rsidR="009242A6">
        <w:rPr>
          <w:rFonts w:ascii="Arial" w:hAnsi="Arial" w:cs="Arial"/>
          <w:sz w:val="24"/>
          <w:szCs w:val="24"/>
        </w:rPr>
        <w:t>)</w:t>
      </w:r>
      <w:r w:rsidRPr="008F2BCB">
        <w:rPr>
          <w:rFonts w:ascii="Arial" w:hAnsi="Arial" w:cs="Arial"/>
          <w:sz w:val="24"/>
          <w:szCs w:val="24"/>
        </w:rPr>
        <w:t xml:space="preserve">. Hotel facilities’ management practices and employee performance in Kenya. Research in Hospitality Management, 12(2), pp.125-131. </w:t>
      </w:r>
      <w:hyperlink r:id="rId25" w:history="1">
        <w:r w:rsidRPr="008F2BCB">
          <w:rPr>
            <w:rStyle w:val="Hyperlink"/>
            <w:rFonts w:ascii="Arial" w:hAnsi="Arial" w:cs="Arial"/>
            <w:sz w:val="24"/>
            <w:szCs w:val="24"/>
          </w:rPr>
          <w:t>https://doi.org/10.1080/22243534.2022.2133069</w:t>
        </w:r>
      </w:hyperlink>
      <w:r w:rsidRPr="008F2BCB">
        <w:rPr>
          <w:rFonts w:ascii="Arial" w:hAnsi="Arial" w:cs="Arial"/>
          <w:sz w:val="24"/>
          <w:szCs w:val="24"/>
        </w:rPr>
        <w:t xml:space="preserve"> </w:t>
      </w:r>
    </w:p>
    <w:p w14:paraId="002E22C5" w14:textId="536455C7" w:rsidR="00A84E20" w:rsidRPr="008F2BCB" w:rsidRDefault="00A84E20" w:rsidP="009242A6">
      <w:pPr>
        <w:pStyle w:val="ListParagraph"/>
        <w:numPr>
          <w:ilvl w:val="0"/>
          <w:numId w:val="10"/>
        </w:numPr>
        <w:spacing w:line="360" w:lineRule="auto"/>
        <w:rPr>
          <w:rFonts w:ascii="Arial" w:hAnsi="Arial" w:cs="Arial"/>
          <w:sz w:val="24"/>
          <w:szCs w:val="24"/>
        </w:rPr>
      </w:pPr>
      <w:r w:rsidRPr="008F2BCB">
        <w:rPr>
          <w:rFonts w:ascii="Arial" w:hAnsi="Arial" w:cs="Arial"/>
          <w:sz w:val="24"/>
          <w:szCs w:val="24"/>
        </w:rPr>
        <w:lastRenderedPageBreak/>
        <w:t xml:space="preserve">Yang, Y. and Mao, Z.E., </w:t>
      </w:r>
      <w:r w:rsidR="00326174">
        <w:rPr>
          <w:rFonts w:ascii="Arial" w:hAnsi="Arial" w:cs="Arial"/>
          <w:sz w:val="24"/>
          <w:szCs w:val="24"/>
        </w:rPr>
        <w:t>(</w:t>
      </w:r>
      <w:r w:rsidRPr="008F2BCB">
        <w:rPr>
          <w:rFonts w:ascii="Arial" w:hAnsi="Arial" w:cs="Arial"/>
          <w:sz w:val="24"/>
          <w:szCs w:val="24"/>
        </w:rPr>
        <w:t>2017</w:t>
      </w:r>
      <w:r w:rsidR="00326174">
        <w:rPr>
          <w:rFonts w:ascii="Arial" w:hAnsi="Arial" w:cs="Arial"/>
          <w:sz w:val="24"/>
          <w:szCs w:val="24"/>
        </w:rPr>
        <w:t>)</w:t>
      </w:r>
      <w:r w:rsidRPr="008F2BCB">
        <w:rPr>
          <w:rFonts w:ascii="Arial" w:hAnsi="Arial" w:cs="Arial"/>
          <w:sz w:val="24"/>
          <w:szCs w:val="24"/>
        </w:rPr>
        <w:t xml:space="preserve">. Do independent hotels benefit from the presence of branded ones?. Journal of Business Research, 76, pp.108-117. </w:t>
      </w:r>
      <w:hyperlink r:id="rId26" w:history="1">
        <w:r w:rsidRPr="008F2BCB">
          <w:rPr>
            <w:rStyle w:val="Hyperlink"/>
            <w:rFonts w:ascii="Arial" w:hAnsi="Arial" w:cs="Arial"/>
            <w:sz w:val="24"/>
            <w:szCs w:val="24"/>
          </w:rPr>
          <w:t>https://doi.org/10.1016/j.jbusres.2017.03.014</w:t>
        </w:r>
      </w:hyperlink>
      <w:r w:rsidRPr="008F2BCB">
        <w:rPr>
          <w:rFonts w:ascii="Arial" w:hAnsi="Arial" w:cs="Arial"/>
          <w:sz w:val="24"/>
          <w:szCs w:val="24"/>
        </w:rPr>
        <w:t xml:space="preserve"> </w:t>
      </w:r>
    </w:p>
    <w:p w14:paraId="53BD5E8D" w14:textId="48E6C8E6" w:rsidR="006A4E32" w:rsidRPr="008F2BCB" w:rsidRDefault="006A4E32" w:rsidP="009242A6">
      <w:pPr>
        <w:pStyle w:val="ListParagraph"/>
        <w:numPr>
          <w:ilvl w:val="0"/>
          <w:numId w:val="10"/>
        </w:numPr>
        <w:spacing w:line="360" w:lineRule="auto"/>
        <w:rPr>
          <w:rFonts w:ascii="Arial" w:hAnsi="Arial" w:cs="Arial"/>
          <w:sz w:val="24"/>
          <w:szCs w:val="24"/>
        </w:rPr>
      </w:pPr>
      <w:r w:rsidRPr="008F2BCB">
        <w:rPr>
          <w:rFonts w:ascii="Arial" w:hAnsi="Arial" w:cs="Arial"/>
          <w:sz w:val="24"/>
          <w:szCs w:val="24"/>
        </w:rPr>
        <w:t xml:space="preserve">Yuan, Y., You, T., Xu, T., &amp; Yu, X., </w:t>
      </w:r>
      <w:r w:rsidR="00326174">
        <w:rPr>
          <w:rFonts w:ascii="Arial" w:hAnsi="Arial" w:cs="Arial"/>
          <w:sz w:val="24"/>
          <w:szCs w:val="24"/>
        </w:rPr>
        <w:t>(</w:t>
      </w:r>
      <w:r w:rsidRPr="008F2BCB">
        <w:rPr>
          <w:rFonts w:ascii="Arial" w:hAnsi="Arial" w:cs="Arial"/>
          <w:sz w:val="24"/>
          <w:szCs w:val="24"/>
        </w:rPr>
        <w:t>2022</w:t>
      </w:r>
      <w:r w:rsidR="00326174">
        <w:rPr>
          <w:rFonts w:ascii="Arial" w:hAnsi="Arial" w:cs="Arial"/>
          <w:sz w:val="24"/>
          <w:szCs w:val="24"/>
        </w:rPr>
        <w:t>)</w:t>
      </w:r>
      <w:r w:rsidRPr="008F2BCB">
        <w:rPr>
          <w:rFonts w:ascii="Arial" w:hAnsi="Arial" w:cs="Arial"/>
          <w:sz w:val="24"/>
          <w:szCs w:val="24"/>
        </w:rPr>
        <w:t xml:space="preserve">. Customer-Oriented Strategic Planning for Hotel Competitiveness Improvement Based on Online Reviews. Sustainability. </w:t>
      </w:r>
      <w:hyperlink r:id="rId27" w:history="1">
        <w:r w:rsidRPr="008F2BCB">
          <w:rPr>
            <w:rStyle w:val="Hyperlink"/>
            <w:rFonts w:ascii="Arial" w:hAnsi="Arial" w:cs="Arial"/>
            <w:sz w:val="24"/>
            <w:szCs w:val="24"/>
          </w:rPr>
          <w:t>https://doi.org/10.3390/su142215299</w:t>
        </w:r>
      </w:hyperlink>
      <w:r w:rsidRPr="008F2BCB">
        <w:rPr>
          <w:rFonts w:ascii="Arial" w:hAnsi="Arial" w:cs="Arial"/>
          <w:sz w:val="24"/>
          <w:szCs w:val="24"/>
        </w:rPr>
        <w:t xml:space="preserve">. </w:t>
      </w:r>
    </w:p>
    <w:p w14:paraId="22E13824" w14:textId="59D6D639" w:rsidR="006A4E32" w:rsidRPr="008F2BCB" w:rsidRDefault="006A4E32" w:rsidP="009242A6">
      <w:pPr>
        <w:pStyle w:val="ListParagraph"/>
        <w:numPr>
          <w:ilvl w:val="0"/>
          <w:numId w:val="10"/>
        </w:numPr>
        <w:spacing w:line="360" w:lineRule="auto"/>
        <w:rPr>
          <w:rFonts w:ascii="Arial" w:hAnsi="Arial" w:cs="Arial"/>
          <w:sz w:val="24"/>
          <w:szCs w:val="24"/>
        </w:rPr>
      </w:pPr>
      <w:r w:rsidRPr="008F2BCB">
        <w:rPr>
          <w:rFonts w:ascii="Arial" w:hAnsi="Arial" w:cs="Arial"/>
          <w:sz w:val="24"/>
          <w:szCs w:val="24"/>
        </w:rPr>
        <w:t xml:space="preserve">Zervas, G., Proserpio, D., &amp; Byers, J., </w:t>
      </w:r>
      <w:r w:rsidR="00326174">
        <w:rPr>
          <w:rFonts w:ascii="Arial" w:hAnsi="Arial" w:cs="Arial"/>
          <w:sz w:val="24"/>
          <w:szCs w:val="24"/>
        </w:rPr>
        <w:t>(</w:t>
      </w:r>
      <w:r w:rsidRPr="008F2BCB">
        <w:rPr>
          <w:rFonts w:ascii="Arial" w:hAnsi="Arial" w:cs="Arial"/>
          <w:sz w:val="24"/>
          <w:szCs w:val="24"/>
        </w:rPr>
        <w:t>2017</w:t>
      </w:r>
      <w:r w:rsidR="00326174">
        <w:rPr>
          <w:rFonts w:ascii="Arial" w:hAnsi="Arial" w:cs="Arial"/>
          <w:sz w:val="24"/>
          <w:szCs w:val="24"/>
        </w:rPr>
        <w:t>)</w:t>
      </w:r>
      <w:r w:rsidRPr="008F2BCB">
        <w:rPr>
          <w:rFonts w:ascii="Arial" w:hAnsi="Arial" w:cs="Arial"/>
          <w:sz w:val="24"/>
          <w:szCs w:val="24"/>
        </w:rPr>
        <w:t xml:space="preserve">. The Rise of the Sharing Economy: Estimating the Impact of Airbnb on the Hotel Industry. Journal of Marketing Research, 54, pp. 687 - 705. </w:t>
      </w:r>
      <w:hyperlink r:id="rId28" w:history="1">
        <w:r w:rsidRPr="008F2BCB">
          <w:rPr>
            <w:rStyle w:val="Hyperlink"/>
            <w:rFonts w:ascii="Arial" w:hAnsi="Arial" w:cs="Arial"/>
            <w:sz w:val="24"/>
            <w:szCs w:val="24"/>
          </w:rPr>
          <w:t>https://doi.org/10.1509/jmr.15.0204</w:t>
        </w:r>
      </w:hyperlink>
      <w:r w:rsidRPr="008F2BCB">
        <w:rPr>
          <w:rFonts w:ascii="Arial" w:hAnsi="Arial" w:cs="Arial"/>
          <w:sz w:val="24"/>
          <w:szCs w:val="24"/>
        </w:rPr>
        <w:t xml:space="preserve">. </w:t>
      </w:r>
    </w:p>
    <w:p w14:paraId="15A7B8C3" w14:textId="77777777" w:rsidR="006A4E32" w:rsidRPr="006A4E32" w:rsidRDefault="006A4E32" w:rsidP="008F2BCB">
      <w:pPr>
        <w:spacing w:line="360" w:lineRule="auto"/>
        <w:jc w:val="both"/>
        <w:rPr>
          <w:rFonts w:ascii="Arial" w:hAnsi="Arial" w:cs="Arial"/>
          <w:sz w:val="24"/>
          <w:szCs w:val="24"/>
        </w:rPr>
      </w:pPr>
    </w:p>
    <w:p w14:paraId="3BB70E37" w14:textId="77777777" w:rsidR="002A528A" w:rsidRPr="006A4E32" w:rsidRDefault="002A528A" w:rsidP="008F2BCB">
      <w:pPr>
        <w:spacing w:line="360" w:lineRule="auto"/>
        <w:jc w:val="both"/>
        <w:rPr>
          <w:rFonts w:ascii="Arial" w:hAnsi="Arial" w:cs="Arial"/>
          <w:sz w:val="24"/>
          <w:szCs w:val="24"/>
        </w:rPr>
      </w:pPr>
    </w:p>
    <w:sectPr w:rsidR="002A528A" w:rsidRPr="006A4E32" w:rsidSect="006A4E3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48330BC" w14:textId="77777777" w:rsidR="001A1531" w:rsidRDefault="001A1531" w:rsidP="00140DDC">
      <w:pPr>
        <w:spacing w:after="0" w:line="240" w:lineRule="auto"/>
      </w:pPr>
      <w:r>
        <w:separator/>
      </w:r>
    </w:p>
  </w:endnote>
  <w:endnote w:type="continuationSeparator" w:id="0">
    <w:p w14:paraId="3C35BF00" w14:textId="77777777" w:rsidR="001A1531" w:rsidRDefault="001A1531" w:rsidP="00140DDC">
      <w:pPr>
        <w:spacing w:after="0" w:line="240" w:lineRule="auto"/>
      </w:pPr>
      <w:r>
        <w:continuationSeparator/>
      </w:r>
    </w:p>
  </w:endnote>
  <w:endnote w:type="continuationNotice" w:id="1">
    <w:p w14:paraId="4DEA62C4" w14:textId="77777777" w:rsidR="001A1531" w:rsidRDefault="001A1531">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E7E8FD0" w14:textId="77777777" w:rsidR="001A1531" w:rsidRDefault="001A1531" w:rsidP="00140DDC">
      <w:pPr>
        <w:spacing w:after="0" w:line="240" w:lineRule="auto"/>
      </w:pPr>
      <w:r>
        <w:separator/>
      </w:r>
    </w:p>
  </w:footnote>
  <w:footnote w:type="continuationSeparator" w:id="0">
    <w:p w14:paraId="332E4B96" w14:textId="77777777" w:rsidR="001A1531" w:rsidRDefault="001A1531" w:rsidP="00140DDC">
      <w:pPr>
        <w:spacing w:after="0" w:line="240" w:lineRule="auto"/>
      </w:pPr>
      <w:r>
        <w:continuationSeparator/>
      </w:r>
    </w:p>
  </w:footnote>
  <w:footnote w:type="continuationNotice" w:id="1">
    <w:p w14:paraId="0361C09F" w14:textId="77777777" w:rsidR="001A1531" w:rsidRDefault="001A1531">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6CB2210"/>
    <w:multiLevelType w:val="multilevel"/>
    <w:tmpl w:val="00FAAD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9C12B4D"/>
    <w:multiLevelType w:val="multilevel"/>
    <w:tmpl w:val="8DE2A002"/>
    <w:lvl w:ilvl="0">
      <w:start w:val="1"/>
      <w:numFmt w:val="upperRoman"/>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9EE7879"/>
    <w:multiLevelType w:val="hybridMultilevel"/>
    <w:tmpl w:val="2BC8FA12"/>
    <w:lvl w:ilvl="0" w:tplc="24649384">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B9E2FEE"/>
    <w:multiLevelType w:val="hybridMultilevel"/>
    <w:tmpl w:val="E80E2862"/>
    <w:lvl w:ilvl="0" w:tplc="0809000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20521158"/>
    <w:multiLevelType w:val="hybridMultilevel"/>
    <w:tmpl w:val="C7882D9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8F45A10"/>
    <w:multiLevelType w:val="multilevel"/>
    <w:tmpl w:val="A23AFFB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6226338"/>
    <w:multiLevelType w:val="multilevel"/>
    <w:tmpl w:val="69BE23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07E64A8"/>
    <w:multiLevelType w:val="multilevel"/>
    <w:tmpl w:val="906891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41EE13DA"/>
    <w:multiLevelType w:val="hybridMultilevel"/>
    <w:tmpl w:val="B0B6C2A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DAC175A"/>
    <w:multiLevelType w:val="multilevel"/>
    <w:tmpl w:val="2766BC1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E574846"/>
    <w:multiLevelType w:val="hybridMultilevel"/>
    <w:tmpl w:val="D23E1FE2"/>
    <w:lvl w:ilvl="0" w:tplc="24649384">
      <w:start w:val="1"/>
      <w:numFmt w:val="upperRoman"/>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157576526">
    <w:abstractNumId w:val="7"/>
  </w:num>
  <w:num w:numId="2" w16cid:durableId="451940204">
    <w:abstractNumId w:val="1"/>
  </w:num>
  <w:num w:numId="3" w16cid:durableId="29689369">
    <w:abstractNumId w:val="6"/>
  </w:num>
  <w:num w:numId="4" w16cid:durableId="389619510">
    <w:abstractNumId w:val="5"/>
  </w:num>
  <w:num w:numId="5" w16cid:durableId="1993025900">
    <w:abstractNumId w:val="0"/>
  </w:num>
  <w:num w:numId="6" w16cid:durableId="627664255">
    <w:abstractNumId w:val="9"/>
  </w:num>
  <w:num w:numId="7" w16cid:durableId="753940164">
    <w:abstractNumId w:val="8"/>
  </w:num>
  <w:num w:numId="8" w16cid:durableId="1163814455">
    <w:abstractNumId w:val="2"/>
  </w:num>
  <w:num w:numId="9" w16cid:durableId="281765370">
    <w:abstractNumId w:val="10"/>
  </w:num>
  <w:num w:numId="10" w16cid:durableId="1818763962">
    <w:abstractNumId w:val="3"/>
  </w:num>
  <w:num w:numId="11" w16cid:durableId="122790959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removeDateAndTime/>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277DA"/>
    <w:rsid w:val="0001659A"/>
    <w:rsid w:val="00034B08"/>
    <w:rsid w:val="000625C6"/>
    <w:rsid w:val="00090AFD"/>
    <w:rsid w:val="000A10C9"/>
    <w:rsid w:val="000A160D"/>
    <w:rsid w:val="000D1F66"/>
    <w:rsid w:val="000E2DBA"/>
    <w:rsid w:val="001124FC"/>
    <w:rsid w:val="00135FDC"/>
    <w:rsid w:val="00140DDC"/>
    <w:rsid w:val="00161CFC"/>
    <w:rsid w:val="001A1531"/>
    <w:rsid w:val="001A233E"/>
    <w:rsid w:val="001C4484"/>
    <w:rsid w:val="001D1E7A"/>
    <w:rsid w:val="001D2D69"/>
    <w:rsid w:val="00220950"/>
    <w:rsid w:val="00256E84"/>
    <w:rsid w:val="00267CF1"/>
    <w:rsid w:val="00285368"/>
    <w:rsid w:val="00285C86"/>
    <w:rsid w:val="00295536"/>
    <w:rsid w:val="002A4542"/>
    <w:rsid w:val="002A528A"/>
    <w:rsid w:val="002A5CC9"/>
    <w:rsid w:val="002B4409"/>
    <w:rsid w:val="002B4861"/>
    <w:rsid w:val="002E16F7"/>
    <w:rsid w:val="00300863"/>
    <w:rsid w:val="00302804"/>
    <w:rsid w:val="00302A31"/>
    <w:rsid w:val="00316087"/>
    <w:rsid w:val="003177A0"/>
    <w:rsid w:val="00326174"/>
    <w:rsid w:val="003354BE"/>
    <w:rsid w:val="0033714C"/>
    <w:rsid w:val="00387C2D"/>
    <w:rsid w:val="003C4CD7"/>
    <w:rsid w:val="003D0E44"/>
    <w:rsid w:val="003D0EAC"/>
    <w:rsid w:val="003E04E1"/>
    <w:rsid w:val="003E56F6"/>
    <w:rsid w:val="003F252A"/>
    <w:rsid w:val="0042120B"/>
    <w:rsid w:val="00496FD7"/>
    <w:rsid w:val="004B0579"/>
    <w:rsid w:val="004B6439"/>
    <w:rsid w:val="004B739A"/>
    <w:rsid w:val="004E3817"/>
    <w:rsid w:val="004F252B"/>
    <w:rsid w:val="00505814"/>
    <w:rsid w:val="00510290"/>
    <w:rsid w:val="00516C3B"/>
    <w:rsid w:val="00517FC9"/>
    <w:rsid w:val="00522CA6"/>
    <w:rsid w:val="00527748"/>
    <w:rsid w:val="00531FEB"/>
    <w:rsid w:val="005526AB"/>
    <w:rsid w:val="00554CDE"/>
    <w:rsid w:val="00562B6D"/>
    <w:rsid w:val="005D4BAD"/>
    <w:rsid w:val="005F6811"/>
    <w:rsid w:val="00604D9F"/>
    <w:rsid w:val="006277DA"/>
    <w:rsid w:val="00633157"/>
    <w:rsid w:val="006905AC"/>
    <w:rsid w:val="006A2E54"/>
    <w:rsid w:val="006A4E32"/>
    <w:rsid w:val="006A5FE6"/>
    <w:rsid w:val="006A7BEC"/>
    <w:rsid w:val="006A7E52"/>
    <w:rsid w:val="006C70FC"/>
    <w:rsid w:val="006D06CA"/>
    <w:rsid w:val="0071309D"/>
    <w:rsid w:val="00723D4B"/>
    <w:rsid w:val="007456E1"/>
    <w:rsid w:val="00750F2A"/>
    <w:rsid w:val="007A65B2"/>
    <w:rsid w:val="007C01FC"/>
    <w:rsid w:val="007C3DEB"/>
    <w:rsid w:val="007C4F68"/>
    <w:rsid w:val="007E2F98"/>
    <w:rsid w:val="007E51D6"/>
    <w:rsid w:val="007E5CC8"/>
    <w:rsid w:val="007E76C7"/>
    <w:rsid w:val="00821EFF"/>
    <w:rsid w:val="00822860"/>
    <w:rsid w:val="008454C2"/>
    <w:rsid w:val="008C0941"/>
    <w:rsid w:val="008E5549"/>
    <w:rsid w:val="008F2BCB"/>
    <w:rsid w:val="009016A5"/>
    <w:rsid w:val="009242A6"/>
    <w:rsid w:val="00931687"/>
    <w:rsid w:val="00956789"/>
    <w:rsid w:val="009A54B5"/>
    <w:rsid w:val="009D0BC2"/>
    <w:rsid w:val="009D5503"/>
    <w:rsid w:val="009F35A3"/>
    <w:rsid w:val="00A345FB"/>
    <w:rsid w:val="00A3622D"/>
    <w:rsid w:val="00A4192B"/>
    <w:rsid w:val="00A845B3"/>
    <w:rsid w:val="00A84E20"/>
    <w:rsid w:val="00A9088D"/>
    <w:rsid w:val="00A975F0"/>
    <w:rsid w:val="00AA7490"/>
    <w:rsid w:val="00AD6368"/>
    <w:rsid w:val="00B01701"/>
    <w:rsid w:val="00B563E9"/>
    <w:rsid w:val="00BA7B0E"/>
    <w:rsid w:val="00BB1804"/>
    <w:rsid w:val="00BD0608"/>
    <w:rsid w:val="00BF7194"/>
    <w:rsid w:val="00C1192A"/>
    <w:rsid w:val="00C227E8"/>
    <w:rsid w:val="00C2312A"/>
    <w:rsid w:val="00C40175"/>
    <w:rsid w:val="00C70612"/>
    <w:rsid w:val="00C72EAE"/>
    <w:rsid w:val="00C74595"/>
    <w:rsid w:val="00C83C44"/>
    <w:rsid w:val="00C86361"/>
    <w:rsid w:val="00C90138"/>
    <w:rsid w:val="00C93AAF"/>
    <w:rsid w:val="00CB145B"/>
    <w:rsid w:val="00CF25E8"/>
    <w:rsid w:val="00D20AFE"/>
    <w:rsid w:val="00D22144"/>
    <w:rsid w:val="00D24381"/>
    <w:rsid w:val="00D40BDD"/>
    <w:rsid w:val="00D74859"/>
    <w:rsid w:val="00DA361D"/>
    <w:rsid w:val="00DA65F0"/>
    <w:rsid w:val="00DB40F9"/>
    <w:rsid w:val="00DD77DC"/>
    <w:rsid w:val="00E235A2"/>
    <w:rsid w:val="00E64F9B"/>
    <w:rsid w:val="00E84AA8"/>
    <w:rsid w:val="00E85747"/>
    <w:rsid w:val="00E965A2"/>
    <w:rsid w:val="00EB3F14"/>
    <w:rsid w:val="00EE06AE"/>
    <w:rsid w:val="00EE3484"/>
    <w:rsid w:val="00EF0711"/>
    <w:rsid w:val="00F12C6D"/>
    <w:rsid w:val="00F13DD4"/>
    <w:rsid w:val="00F15EF1"/>
    <w:rsid w:val="00F354B6"/>
    <w:rsid w:val="00F47971"/>
    <w:rsid w:val="00F807F5"/>
    <w:rsid w:val="00F8206F"/>
    <w:rsid w:val="00F85FB7"/>
    <w:rsid w:val="00FB3B1D"/>
    <w:rsid w:val="00FB6FAF"/>
    <w:rsid w:val="00FD497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BC22776"/>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277DA"/>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6277DA"/>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6277DA"/>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unhideWhenUsed/>
    <w:qFormat/>
    <w:rsid w:val="006277DA"/>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6277DA"/>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6277D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277D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277D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277D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277DA"/>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6277DA"/>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6277DA"/>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rsid w:val="006277DA"/>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6277DA"/>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6277D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277D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277D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277DA"/>
    <w:rPr>
      <w:rFonts w:eastAsiaTheme="majorEastAsia" w:cstheme="majorBidi"/>
      <w:color w:val="272727" w:themeColor="text1" w:themeTint="D8"/>
    </w:rPr>
  </w:style>
  <w:style w:type="paragraph" w:styleId="Title">
    <w:name w:val="Title"/>
    <w:basedOn w:val="Normal"/>
    <w:next w:val="Normal"/>
    <w:link w:val="TitleChar"/>
    <w:uiPriority w:val="10"/>
    <w:qFormat/>
    <w:rsid w:val="006277D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277D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277D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277D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277DA"/>
    <w:pPr>
      <w:spacing w:before="160"/>
      <w:jc w:val="center"/>
    </w:pPr>
    <w:rPr>
      <w:i/>
      <w:iCs/>
      <w:color w:val="404040" w:themeColor="text1" w:themeTint="BF"/>
    </w:rPr>
  </w:style>
  <w:style w:type="character" w:customStyle="1" w:styleId="QuoteChar">
    <w:name w:val="Quote Char"/>
    <w:basedOn w:val="DefaultParagraphFont"/>
    <w:link w:val="Quote"/>
    <w:uiPriority w:val="29"/>
    <w:rsid w:val="006277DA"/>
    <w:rPr>
      <w:i/>
      <w:iCs/>
      <w:color w:val="404040" w:themeColor="text1" w:themeTint="BF"/>
    </w:rPr>
  </w:style>
  <w:style w:type="paragraph" w:styleId="ListParagraph">
    <w:name w:val="List Paragraph"/>
    <w:basedOn w:val="Normal"/>
    <w:uiPriority w:val="34"/>
    <w:qFormat/>
    <w:rsid w:val="006277DA"/>
    <w:pPr>
      <w:ind w:left="720"/>
      <w:contextualSpacing/>
    </w:pPr>
  </w:style>
  <w:style w:type="character" w:styleId="IntenseEmphasis">
    <w:name w:val="Intense Emphasis"/>
    <w:basedOn w:val="DefaultParagraphFont"/>
    <w:uiPriority w:val="21"/>
    <w:qFormat/>
    <w:rsid w:val="006277DA"/>
    <w:rPr>
      <w:i/>
      <w:iCs/>
      <w:color w:val="2F5496" w:themeColor="accent1" w:themeShade="BF"/>
    </w:rPr>
  </w:style>
  <w:style w:type="paragraph" w:styleId="IntenseQuote">
    <w:name w:val="Intense Quote"/>
    <w:basedOn w:val="Normal"/>
    <w:next w:val="Normal"/>
    <w:link w:val="IntenseQuoteChar"/>
    <w:uiPriority w:val="30"/>
    <w:qFormat/>
    <w:rsid w:val="006277DA"/>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6277DA"/>
    <w:rPr>
      <w:i/>
      <w:iCs/>
      <w:color w:val="2F5496" w:themeColor="accent1" w:themeShade="BF"/>
    </w:rPr>
  </w:style>
  <w:style w:type="character" w:styleId="IntenseReference">
    <w:name w:val="Intense Reference"/>
    <w:basedOn w:val="DefaultParagraphFont"/>
    <w:uiPriority w:val="32"/>
    <w:qFormat/>
    <w:rsid w:val="006277DA"/>
    <w:rPr>
      <w:b/>
      <w:bCs/>
      <w:smallCaps/>
      <w:color w:val="2F5496" w:themeColor="accent1" w:themeShade="BF"/>
      <w:spacing w:val="5"/>
    </w:rPr>
  </w:style>
  <w:style w:type="paragraph" w:styleId="NormalWeb">
    <w:name w:val="Normal (Web)"/>
    <w:basedOn w:val="Normal"/>
    <w:uiPriority w:val="99"/>
    <w:semiHidden/>
    <w:unhideWhenUsed/>
    <w:rsid w:val="008C0941"/>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Strong">
    <w:name w:val="Strong"/>
    <w:basedOn w:val="DefaultParagraphFont"/>
    <w:uiPriority w:val="22"/>
    <w:qFormat/>
    <w:rsid w:val="008C0941"/>
    <w:rPr>
      <w:b/>
      <w:bCs/>
    </w:rPr>
  </w:style>
  <w:style w:type="character" w:styleId="Emphasis">
    <w:name w:val="Emphasis"/>
    <w:basedOn w:val="DefaultParagraphFont"/>
    <w:uiPriority w:val="20"/>
    <w:qFormat/>
    <w:rsid w:val="002A528A"/>
    <w:rPr>
      <w:i/>
      <w:iCs/>
    </w:rPr>
  </w:style>
  <w:style w:type="character" w:styleId="Hyperlink">
    <w:name w:val="Hyperlink"/>
    <w:basedOn w:val="DefaultParagraphFont"/>
    <w:uiPriority w:val="99"/>
    <w:unhideWhenUsed/>
    <w:rsid w:val="002A528A"/>
    <w:rPr>
      <w:color w:val="0000FF"/>
      <w:u w:val="single"/>
    </w:rPr>
  </w:style>
  <w:style w:type="character" w:styleId="FollowedHyperlink">
    <w:name w:val="FollowedHyperlink"/>
    <w:basedOn w:val="DefaultParagraphFont"/>
    <w:uiPriority w:val="99"/>
    <w:semiHidden/>
    <w:unhideWhenUsed/>
    <w:rsid w:val="000625C6"/>
    <w:rPr>
      <w:color w:val="954F72" w:themeColor="followedHyperlink"/>
      <w:u w:val="single"/>
    </w:rPr>
  </w:style>
  <w:style w:type="character" w:styleId="UnresolvedMention">
    <w:name w:val="Unresolved Mention"/>
    <w:basedOn w:val="DefaultParagraphFont"/>
    <w:uiPriority w:val="99"/>
    <w:semiHidden/>
    <w:unhideWhenUsed/>
    <w:rsid w:val="006905AC"/>
    <w:rPr>
      <w:color w:val="605E5C"/>
      <w:shd w:val="clear" w:color="auto" w:fill="E1DFDD"/>
    </w:rPr>
  </w:style>
  <w:style w:type="paragraph" w:styleId="Header">
    <w:name w:val="header"/>
    <w:basedOn w:val="Normal"/>
    <w:link w:val="HeaderChar"/>
    <w:uiPriority w:val="99"/>
    <w:unhideWhenUsed/>
    <w:rsid w:val="00140DDC"/>
    <w:pPr>
      <w:tabs>
        <w:tab w:val="center" w:pos="4513"/>
        <w:tab w:val="right" w:pos="9026"/>
      </w:tabs>
      <w:spacing w:after="0" w:line="240" w:lineRule="auto"/>
    </w:pPr>
  </w:style>
  <w:style w:type="character" w:customStyle="1" w:styleId="HeaderChar">
    <w:name w:val="Header Char"/>
    <w:basedOn w:val="DefaultParagraphFont"/>
    <w:link w:val="Header"/>
    <w:uiPriority w:val="99"/>
    <w:rsid w:val="00140DDC"/>
  </w:style>
  <w:style w:type="paragraph" w:styleId="Footer">
    <w:name w:val="footer"/>
    <w:basedOn w:val="Normal"/>
    <w:link w:val="FooterChar"/>
    <w:uiPriority w:val="99"/>
    <w:unhideWhenUsed/>
    <w:rsid w:val="00140DDC"/>
    <w:pPr>
      <w:tabs>
        <w:tab w:val="center" w:pos="4513"/>
        <w:tab w:val="right" w:pos="9026"/>
      </w:tabs>
      <w:spacing w:after="0" w:line="240" w:lineRule="auto"/>
    </w:pPr>
  </w:style>
  <w:style w:type="character" w:customStyle="1" w:styleId="FooterChar">
    <w:name w:val="Footer Char"/>
    <w:basedOn w:val="DefaultParagraphFont"/>
    <w:link w:val="Footer"/>
    <w:uiPriority w:val="99"/>
    <w:rsid w:val="00140DD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4795782">
      <w:bodyDiv w:val="1"/>
      <w:marLeft w:val="0"/>
      <w:marRight w:val="0"/>
      <w:marTop w:val="0"/>
      <w:marBottom w:val="0"/>
      <w:divBdr>
        <w:top w:val="none" w:sz="0" w:space="0" w:color="auto"/>
        <w:left w:val="none" w:sz="0" w:space="0" w:color="auto"/>
        <w:bottom w:val="none" w:sz="0" w:space="0" w:color="auto"/>
        <w:right w:val="none" w:sz="0" w:space="0" w:color="auto"/>
      </w:divBdr>
    </w:div>
    <w:div w:id="65810853">
      <w:bodyDiv w:val="1"/>
      <w:marLeft w:val="0"/>
      <w:marRight w:val="0"/>
      <w:marTop w:val="0"/>
      <w:marBottom w:val="0"/>
      <w:divBdr>
        <w:top w:val="none" w:sz="0" w:space="0" w:color="auto"/>
        <w:left w:val="none" w:sz="0" w:space="0" w:color="auto"/>
        <w:bottom w:val="none" w:sz="0" w:space="0" w:color="auto"/>
        <w:right w:val="none" w:sz="0" w:space="0" w:color="auto"/>
      </w:divBdr>
    </w:div>
    <w:div w:id="76755614">
      <w:bodyDiv w:val="1"/>
      <w:marLeft w:val="0"/>
      <w:marRight w:val="0"/>
      <w:marTop w:val="0"/>
      <w:marBottom w:val="0"/>
      <w:divBdr>
        <w:top w:val="none" w:sz="0" w:space="0" w:color="auto"/>
        <w:left w:val="none" w:sz="0" w:space="0" w:color="auto"/>
        <w:bottom w:val="none" w:sz="0" w:space="0" w:color="auto"/>
        <w:right w:val="none" w:sz="0" w:space="0" w:color="auto"/>
      </w:divBdr>
    </w:div>
    <w:div w:id="102893449">
      <w:bodyDiv w:val="1"/>
      <w:marLeft w:val="0"/>
      <w:marRight w:val="0"/>
      <w:marTop w:val="0"/>
      <w:marBottom w:val="0"/>
      <w:divBdr>
        <w:top w:val="none" w:sz="0" w:space="0" w:color="auto"/>
        <w:left w:val="none" w:sz="0" w:space="0" w:color="auto"/>
        <w:bottom w:val="none" w:sz="0" w:space="0" w:color="auto"/>
        <w:right w:val="none" w:sz="0" w:space="0" w:color="auto"/>
      </w:divBdr>
    </w:div>
    <w:div w:id="138115921">
      <w:bodyDiv w:val="1"/>
      <w:marLeft w:val="0"/>
      <w:marRight w:val="0"/>
      <w:marTop w:val="0"/>
      <w:marBottom w:val="0"/>
      <w:divBdr>
        <w:top w:val="none" w:sz="0" w:space="0" w:color="auto"/>
        <w:left w:val="none" w:sz="0" w:space="0" w:color="auto"/>
        <w:bottom w:val="none" w:sz="0" w:space="0" w:color="auto"/>
        <w:right w:val="none" w:sz="0" w:space="0" w:color="auto"/>
      </w:divBdr>
    </w:div>
    <w:div w:id="143276169">
      <w:bodyDiv w:val="1"/>
      <w:marLeft w:val="0"/>
      <w:marRight w:val="0"/>
      <w:marTop w:val="0"/>
      <w:marBottom w:val="0"/>
      <w:divBdr>
        <w:top w:val="none" w:sz="0" w:space="0" w:color="auto"/>
        <w:left w:val="none" w:sz="0" w:space="0" w:color="auto"/>
        <w:bottom w:val="none" w:sz="0" w:space="0" w:color="auto"/>
        <w:right w:val="none" w:sz="0" w:space="0" w:color="auto"/>
      </w:divBdr>
    </w:div>
    <w:div w:id="187067791">
      <w:bodyDiv w:val="1"/>
      <w:marLeft w:val="0"/>
      <w:marRight w:val="0"/>
      <w:marTop w:val="0"/>
      <w:marBottom w:val="0"/>
      <w:divBdr>
        <w:top w:val="none" w:sz="0" w:space="0" w:color="auto"/>
        <w:left w:val="none" w:sz="0" w:space="0" w:color="auto"/>
        <w:bottom w:val="none" w:sz="0" w:space="0" w:color="auto"/>
        <w:right w:val="none" w:sz="0" w:space="0" w:color="auto"/>
      </w:divBdr>
    </w:div>
    <w:div w:id="244266330">
      <w:bodyDiv w:val="1"/>
      <w:marLeft w:val="0"/>
      <w:marRight w:val="0"/>
      <w:marTop w:val="0"/>
      <w:marBottom w:val="0"/>
      <w:divBdr>
        <w:top w:val="none" w:sz="0" w:space="0" w:color="auto"/>
        <w:left w:val="none" w:sz="0" w:space="0" w:color="auto"/>
        <w:bottom w:val="none" w:sz="0" w:space="0" w:color="auto"/>
        <w:right w:val="none" w:sz="0" w:space="0" w:color="auto"/>
      </w:divBdr>
    </w:div>
    <w:div w:id="271472060">
      <w:bodyDiv w:val="1"/>
      <w:marLeft w:val="0"/>
      <w:marRight w:val="0"/>
      <w:marTop w:val="0"/>
      <w:marBottom w:val="0"/>
      <w:divBdr>
        <w:top w:val="none" w:sz="0" w:space="0" w:color="auto"/>
        <w:left w:val="none" w:sz="0" w:space="0" w:color="auto"/>
        <w:bottom w:val="none" w:sz="0" w:space="0" w:color="auto"/>
        <w:right w:val="none" w:sz="0" w:space="0" w:color="auto"/>
      </w:divBdr>
    </w:div>
    <w:div w:id="288318278">
      <w:bodyDiv w:val="1"/>
      <w:marLeft w:val="0"/>
      <w:marRight w:val="0"/>
      <w:marTop w:val="0"/>
      <w:marBottom w:val="0"/>
      <w:divBdr>
        <w:top w:val="none" w:sz="0" w:space="0" w:color="auto"/>
        <w:left w:val="none" w:sz="0" w:space="0" w:color="auto"/>
        <w:bottom w:val="none" w:sz="0" w:space="0" w:color="auto"/>
        <w:right w:val="none" w:sz="0" w:space="0" w:color="auto"/>
      </w:divBdr>
    </w:div>
    <w:div w:id="324212388">
      <w:bodyDiv w:val="1"/>
      <w:marLeft w:val="0"/>
      <w:marRight w:val="0"/>
      <w:marTop w:val="0"/>
      <w:marBottom w:val="0"/>
      <w:divBdr>
        <w:top w:val="none" w:sz="0" w:space="0" w:color="auto"/>
        <w:left w:val="none" w:sz="0" w:space="0" w:color="auto"/>
        <w:bottom w:val="none" w:sz="0" w:space="0" w:color="auto"/>
        <w:right w:val="none" w:sz="0" w:space="0" w:color="auto"/>
      </w:divBdr>
    </w:div>
    <w:div w:id="345835140">
      <w:bodyDiv w:val="1"/>
      <w:marLeft w:val="0"/>
      <w:marRight w:val="0"/>
      <w:marTop w:val="0"/>
      <w:marBottom w:val="0"/>
      <w:divBdr>
        <w:top w:val="none" w:sz="0" w:space="0" w:color="auto"/>
        <w:left w:val="none" w:sz="0" w:space="0" w:color="auto"/>
        <w:bottom w:val="none" w:sz="0" w:space="0" w:color="auto"/>
        <w:right w:val="none" w:sz="0" w:space="0" w:color="auto"/>
      </w:divBdr>
    </w:div>
    <w:div w:id="377511450">
      <w:bodyDiv w:val="1"/>
      <w:marLeft w:val="0"/>
      <w:marRight w:val="0"/>
      <w:marTop w:val="0"/>
      <w:marBottom w:val="0"/>
      <w:divBdr>
        <w:top w:val="none" w:sz="0" w:space="0" w:color="auto"/>
        <w:left w:val="none" w:sz="0" w:space="0" w:color="auto"/>
        <w:bottom w:val="none" w:sz="0" w:space="0" w:color="auto"/>
        <w:right w:val="none" w:sz="0" w:space="0" w:color="auto"/>
      </w:divBdr>
    </w:div>
    <w:div w:id="413554216">
      <w:bodyDiv w:val="1"/>
      <w:marLeft w:val="0"/>
      <w:marRight w:val="0"/>
      <w:marTop w:val="0"/>
      <w:marBottom w:val="0"/>
      <w:divBdr>
        <w:top w:val="none" w:sz="0" w:space="0" w:color="auto"/>
        <w:left w:val="none" w:sz="0" w:space="0" w:color="auto"/>
        <w:bottom w:val="none" w:sz="0" w:space="0" w:color="auto"/>
        <w:right w:val="none" w:sz="0" w:space="0" w:color="auto"/>
      </w:divBdr>
    </w:div>
    <w:div w:id="439839780">
      <w:bodyDiv w:val="1"/>
      <w:marLeft w:val="0"/>
      <w:marRight w:val="0"/>
      <w:marTop w:val="0"/>
      <w:marBottom w:val="0"/>
      <w:divBdr>
        <w:top w:val="none" w:sz="0" w:space="0" w:color="auto"/>
        <w:left w:val="none" w:sz="0" w:space="0" w:color="auto"/>
        <w:bottom w:val="none" w:sz="0" w:space="0" w:color="auto"/>
        <w:right w:val="none" w:sz="0" w:space="0" w:color="auto"/>
      </w:divBdr>
    </w:div>
    <w:div w:id="463744014">
      <w:bodyDiv w:val="1"/>
      <w:marLeft w:val="0"/>
      <w:marRight w:val="0"/>
      <w:marTop w:val="0"/>
      <w:marBottom w:val="0"/>
      <w:divBdr>
        <w:top w:val="none" w:sz="0" w:space="0" w:color="auto"/>
        <w:left w:val="none" w:sz="0" w:space="0" w:color="auto"/>
        <w:bottom w:val="none" w:sz="0" w:space="0" w:color="auto"/>
        <w:right w:val="none" w:sz="0" w:space="0" w:color="auto"/>
      </w:divBdr>
    </w:div>
    <w:div w:id="473527776">
      <w:bodyDiv w:val="1"/>
      <w:marLeft w:val="0"/>
      <w:marRight w:val="0"/>
      <w:marTop w:val="0"/>
      <w:marBottom w:val="0"/>
      <w:divBdr>
        <w:top w:val="none" w:sz="0" w:space="0" w:color="auto"/>
        <w:left w:val="none" w:sz="0" w:space="0" w:color="auto"/>
        <w:bottom w:val="none" w:sz="0" w:space="0" w:color="auto"/>
        <w:right w:val="none" w:sz="0" w:space="0" w:color="auto"/>
      </w:divBdr>
    </w:div>
    <w:div w:id="513691764">
      <w:bodyDiv w:val="1"/>
      <w:marLeft w:val="0"/>
      <w:marRight w:val="0"/>
      <w:marTop w:val="0"/>
      <w:marBottom w:val="0"/>
      <w:divBdr>
        <w:top w:val="none" w:sz="0" w:space="0" w:color="auto"/>
        <w:left w:val="none" w:sz="0" w:space="0" w:color="auto"/>
        <w:bottom w:val="none" w:sz="0" w:space="0" w:color="auto"/>
        <w:right w:val="none" w:sz="0" w:space="0" w:color="auto"/>
      </w:divBdr>
    </w:div>
    <w:div w:id="521893960">
      <w:bodyDiv w:val="1"/>
      <w:marLeft w:val="0"/>
      <w:marRight w:val="0"/>
      <w:marTop w:val="0"/>
      <w:marBottom w:val="0"/>
      <w:divBdr>
        <w:top w:val="none" w:sz="0" w:space="0" w:color="auto"/>
        <w:left w:val="none" w:sz="0" w:space="0" w:color="auto"/>
        <w:bottom w:val="none" w:sz="0" w:space="0" w:color="auto"/>
        <w:right w:val="none" w:sz="0" w:space="0" w:color="auto"/>
      </w:divBdr>
    </w:div>
    <w:div w:id="572935276">
      <w:bodyDiv w:val="1"/>
      <w:marLeft w:val="0"/>
      <w:marRight w:val="0"/>
      <w:marTop w:val="0"/>
      <w:marBottom w:val="0"/>
      <w:divBdr>
        <w:top w:val="none" w:sz="0" w:space="0" w:color="auto"/>
        <w:left w:val="none" w:sz="0" w:space="0" w:color="auto"/>
        <w:bottom w:val="none" w:sz="0" w:space="0" w:color="auto"/>
        <w:right w:val="none" w:sz="0" w:space="0" w:color="auto"/>
      </w:divBdr>
    </w:div>
    <w:div w:id="695035161">
      <w:bodyDiv w:val="1"/>
      <w:marLeft w:val="0"/>
      <w:marRight w:val="0"/>
      <w:marTop w:val="0"/>
      <w:marBottom w:val="0"/>
      <w:divBdr>
        <w:top w:val="none" w:sz="0" w:space="0" w:color="auto"/>
        <w:left w:val="none" w:sz="0" w:space="0" w:color="auto"/>
        <w:bottom w:val="none" w:sz="0" w:space="0" w:color="auto"/>
        <w:right w:val="none" w:sz="0" w:space="0" w:color="auto"/>
      </w:divBdr>
    </w:div>
    <w:div w:id="711685016">
      <w:bodyDiv w:val="1"/>
      <w:marLeft w:val="0"/>
      <w:marRight w:val="0"/>
      <w:marTop w:val="0"/>
      <w:marBottom w:val="0"/>
      <w:divBdr>
        <w:top w:val="none" w:sz="0" w:space="0" w:color="auto"/>
        <w:left w:val="none" w:sz="0" w:space="0" w:color="auto"/>
        <w:bottom w:val="none" w:sz="0" w:space="0" w:color="auto"/>
        <w:right w:val="none" w:sz="0" w:space="0" w:color="auto"/>
      </w:divBdr>
    </w:div>
    <w:div w:id="738599983">
      <w:bodyDiv w:val="1"/>
      <w:marLeft w:val="0"/>
      <w:marRight w:val="0"/>
      <w:marTop w:val="0"/>
      <w:marBottom w:val="0"/>
      <w:divBdr>
        <w:top w:val="none" w:sz="0" w:space="0" w:color="auto"/>
        <w:left w:val="none" w:sz="0" w:space="0" w:color="auto"/>
        <w:bottom w:val="none" w:sz="0" w:space="0" w:color="auto"/>
        <w:right w:val="none" w:sz="0" w:space="0" w:color="auto"/>
      </w:divBdr>
    </w:div>
    <w:div w:id="751320262">
      <w:bodyDiv w:val="1"/>
      <w:marLeft w:val="0"/>
      <w:marRight w:val="0"/>
      <w:marTop w:val="0"/>
      <w:marBottom w:val="0"/>
      <w:divBdr>
        <w:top w:val="none" w:sz="0" w:space="0" w:color="auto"/>
        <w:left w:val="none" w:sz="0" w:space="0" w:color="auto"/>
        <w:bottom w:val="none" w:sz="0" w:space="0" w:color="auto"/>
        <w:right w:val="none" w:sz="0" w:space="0" w:color="auto"/>
      </w:divBdr>
    </w:div>
    <w:div w:id="766073301">
      <w:bodyDiv w:val="1"/>
      <w:marLeft w:val="0"/>
      <w:marRight w:val="0"/>
      <w:marTop w:val="0"/>
      <w:marBottom w:val="0"/>
      <w:divBdr>
        <w:top w:val="none" w:sz="0" w:space="0" w:color="auto"/>
        <w:left w:val="none" w:sz="0" w:space="0" w:color="auto"/>
        <w:bottom w:val="none" w:sz="0" w:space="0" w:color="auto"/>
        <w:right w:val="none" w:sz="0" w:space="0" w:color="auto"/>
      </w:divBdr>
    </w:div>
    <w:div w:id="819347783">
      <w:bodyDiv w:val="1"/>
      <w:marLeft w:val="0"/>
      <w:marRight w:val="0"/>
      <w:marTop w:val="0"/>
      <w:marBottom w:val="0"/>
      <w:divBdr>
        <w:top w:val="none" w:sz="0" w:space="0" w:color="auto"/>
        <w:left w:val="none" w:sz="0" w:space="0" w:color="auto"/>
        <w:bottom w:val="none" w:sz="0" w:space="0" w:color="auto"/>
        <w:right w:val="none" w:sz="0" w:space="0" w:color="auto"/>
      </w:divBdr>
    </w:div>
    <w:div w:id="858616566">
      <w:bodyDiv w:val="1"/>
      <w:marLeft w:val="0"/>
      <w:marRight w:val="0"/>
      <w:marTop w:val="0"/>
      <w:marBottom w:val="0"/>
      <w:divBdr>
        <w:top w:val="none" w:sz="0" w:space="0" w:color="auto"/>
        <w:left w:val="none" w:sz="0" w:space="0" w:color="auto"/>
        <w:bottom w:val="none" w:sz="0" w:space="0" w:color="auto"/>
        <w:right w:val="none" w:sz="0" w:space="0" w:color="auto"/>
      </w:divBdr>
    </w:div>
    <w:div w:id="898440000">
      <w:bodyDiv w:val="1"/>
      <w:marLeft w:val="0"/>
      <w:marRight w:val="0"/>
      <w:marTop w:val="0"/>
      <w:marBottom w:val="0"/>
      <w:divBdr>
        <w:top w:val="none" w:sz="0" w:space="0" w:color="auto"/>
        <w:left w:val="none" w:sz="0" w:space="0" w:color="auto"/>
        <w:bottom w:val="none" w:sz="0" w:space="0" w:color="auto"/>
        <w:right w:val="none" w:sz="0" w:space="0" w:color="auto"/>
      </w:divBdr>
    </w:div>
    <w:div w:id="921063913">
      <w:bodyDiv w:val="1"/>
      <w:marLeft w:val="0"/>
      <w:marRight w:val="0"/>
      <w:marTop w:val="0"/>
      <w:marBottom w:val="0"/>
      <w:divBdr>
        <w:top w:val="none" w:sz="0" w:space="0" w:color="auto"/>
        <w:left w:val="none" w:sz="0" w:space="0" w:color="auto"/>
        <w:bottom w:val="none" w:sz="0" w:space="0" w:color="auto"/>
        <w:right w:val="none" w:sz="0" w:space="0" w:color="auto"/>
      </w:divBdr>
    </w:div>
    <w:div w:id="997079895">
      <w:bodyDiv w:val="1"/>
      <w:marLeft w:val="0"/>
      <w:marRight w:val="0"/>
      <w:marTop w:val="0"/>
      <w:marBottom w:val="0"/>
      <w:divBdr>
        <w:top w:val="none" w:sz="0" w:space="0" w:color="auto"/>
        <w:left w:val="none" w:sz="0" w:space="0" w:color="auto"/>
        <w:bottom w:val="none" w:sz="0" w:space="0" w:color="auto"/>
        <w:right w:val="none" w:sz="0" w:space="0" w:color="auto"/>
      </w:divBdr>
    </w:div>
    <w:div w:id="1017730515">
      <w:bodyDiv w:val="1"/>
      <w:marLeft w:val="0"/>
      <w:marRight w:val="0"/>
      <w:marTop w:val="0"/>
      <w:marBottom w:val="0"/>
      <w:divBdr>
        <w:top w:val="none" w:sz="0" w:space="0" w:color="auto"/>
        <w:left w:val="none" w:sz="0" w:space="0" w:color="auto"/>
        <w:bottom w:val="none" w:sz="0" w:space="0" w:color="auto"/>
        <w:right w:val="none" w:sz="0" w:space="0" w:color="auto"/>
      </w:divBdr>
    </w:div>
    <w:div w:id="1033652409">
      <w:bodyDiv w:val="1"/>
      <w:marLeft w:val="0"/>
      <w:marRight w:val="0"/>
      <w:marTop w:val="0"/>
      <w:marBottom w:val="0"/>
      <w:divBdr>
        <w:top w:val="none" w:sz="0" w:space="0" w:color="auto"/>
        <w:left w:val="none" w:sz="0" w:space="0" w:color="auto"/>
        <w:bottom w:val="none" w:sz="0" w:space="0" w:color="auto"/>
        <w:right w:val="none" w:sz="0" w:space="0" w:color="auto"/>
      </w:divBdr>
    </w:div>
    <w:div w:id="1035228590">
      <w:bodyDiv w:val="1"/>
      <w:marLeft w:val="0"/>
      <w:marRight w:val="0"/>
      <w:marTop w:val="0"/>
      <w:marBottom w:val="0"/>
      <w:divBdr>
        <w:top w:val="none" w:sz="0" w:space="0" w:color="auto"/>
        <w:left w:val="none" w:sz="0" w:space="0" w:color="auto"/>
        <w:bottom w:val="none" w:sz="0" w:space="0" w:color="auto"/>
        <w:right w:val="none" w:sz="0" w:space="0" w:color="auto"/>
      </w:divBdr>
    </w:div>
    <w:div w:id="1057363715">
      <w:bodyDiv w:val="1"/>
      <w:marLeft w:val="0"/>
      <w:marRight w:val="0"/>
      <w:marTop w:val="0"/>
      <w:marBottom w:val="0"/>
      <w:divBdr>
        <w:top w:val="none" w:sz="0" w:space="0" w:color="auto"/>
        <w:left w:val="none" w:sz="0" w:space="0" w:color="auto"/>
        <w:bottom w:val="none" w:sz="0" w:space="0" w:color="auto"/>
        <w:right w:val="none" w:sz="0" w:space="0" w:color="auto"/>
      </w:divBdr>
    </w:div>
    <w:div w:id="1081834784">
      <w:bodyDiv w:val="1"/>
      <w:marLeft w:val="0"/>
      <w:marRight w:val="0"/>
      <w:marTop w:val="0"/>
      <w:marBottom w:val="0"/>
      <w:divBdr>
        <w:top w:val="none" w:sz="0" w:space="0" w:color="auto"/>
        <w:left w:val="none" w:sz="0" w:space="0" w:color="auto"/>
        <w:bottom w:val="none" w:sz="0" w:space="0" w:color="auto"/>
        <w:right w:val="none" w:sz="0" w:space="0" w:color="auto"/>
      </w:divBdr>
    </w:div>
    <w:div w:id="1105078031">
      <w:bodyDiv w:val="1"/>
      <w:marLeft w:val="0"/>
      <w:marRight w:val="0"/>
      <w:marTop w:val="0"/>
      <w:marBottom w:val="0"/>
      <w:divBdr>
        <w:top w:val="none" w:sz="0" w:space="0" w:color="auto"/>
        <w:left w:val="none" w:sz="0" w:space="0" w:color="auto"/>
        <w:bottom w:val="none" w:sz="0" w:space="0" w:color="auto"/>
        <w:right w:val="none" w:sz="0" w:space="0" w:color="auto"/>
      </w:divBdr>
    </w:div>
    <w:div w:id="1106463590">
      <w:bodyDiv w:val="1"/>
      <w:marLeft w:val="0"/>
      <w:marRight w:val="0"/>
      <w:marTop w:val="0"/>
      <w:marBottom w:val="0"/>
      <w:divBdr>
        <w:top w:val="none" w:sz="0" w:space="0" w:color="auto"/>
        <w:left w:val="none" w:sz="0" w:space="0" w:color="auto"/>
        <w:bottom w:val="none" w:sz="0" w:space="0" w:color="auto"/>
        <w:right w:val="none" w:sz="0" w:space="0" w:color="auto"/>
      </w:divBdr>
    </w:div>
    <w:div w:id="1156994174">
      <w:bodyDiv w:val="1"/>
      <w:marLeft w:val="0"/>
      <w:marRight w:val="0"/>
      <w:marTop w:val="0"/>
      <w:marBottom w:val="0"/>
      <w:divBdr>
        <w:top w:val="none" w:sz="0" w:space="0" w:color="auto"/>
        <w:left w:val="none" w:sz="0" w:space="0" w:color="auto"/>
        <w:bottom w:val="none" w:sz="0" w:space="0" w:color="auto"/>
        <w:right w:val="none" w:sz="0" w:space="0" w:color="auto"/>
      </w:divBdr>
    </w:div>
    <w:div w:id="1164934424">
      <w:bodyDiv w:val="1"/>
      <w:marLeft w:val="0"/>
      <w:marRight w:val="0"/>
      <w:marTop w:val="0"/>
      <w:marBottom w:val="0"/>
      <w:divBdr>
        <w:top w:val="none" w:sz="0" w:space="0" w:color="auto"/>
        <w:left w:val="none" w:sz="0" w:space="0" w:color="auto"/>
        <w:bottom w:val="none" w:sz="0" w:space="0" w:color="auto"/>
        <w:right w:val="none" w:sz="0" w:space="0" w:color="auto"/>
      </w:divBdr>
    </w:div>
    <w:div w:id="1199319844">
      <w:bodyDiv w:val="1"/>
      <w:marLeft w:val="0"/>
      <w:marRight w:val="0"/>
      <w:marTop w:val="0"/>
      <w:marBottom w:val="0"/>
      <w:divBdr>
        <w:top w:val="none" w:sz="0" w:space="0" w:color="auto"/>
        <w:left w:val="none" w:sz="0" w:space="0" w:color="auto"/>
        <w:bottom w:val="none" w:sz="0" w:space="0" w:color="auto"/>
        <w:right w:val="none" w:sz="0" w:space="0" w:color="auto"/>
      </w:divBdr>
    </w:div>
    <w:div w:id="1233662209">
      <w:bodyDiv w:val="1"/>
      <w:marLeft w:val="0"/>
      <w:marRight w:val="0"/>
      <w:marTop w:val="0"/>
      <w:marBottom w:val="0"/>
      <w:divBdr>
        <w:top w:val="none" w:sz="0" w:space="0" w:color="auto"/>
        <w:left w:val="none" w:sz="0" w:space="0" w:color="auto"/>
        <w:bottom w:val="none" w:sz="0" w:space="0" w:color="auto"/>
        <w:right w:val="none" w:sz="0" w:space="0" w:color="auto"/>
      </w:divBdr>
    </w:div>
    <w:div w:id="1253246286">
      <w:bodyDiv w:val="1"/>
      <w:marLeft w:val="0"/>
      <w:marRight w:val="0"/>
      <w:marTop w:val="0"/>
      <w:marBottom w:val="0"/>
      <w:divBdr>
        <w:top w:val="none" w:sz="0" w:space="0" w:color="auto"/>
        <w:left w:val="none" w:sz="0" w:space="0" w:color="auto"/>
        <w:bottom w:val="none" w:sz="0" w:space="0" w:color="auto"/>
        <w:right w:val="none" w:sz="0" w:space="0" w:color="auto"/>
      </w:divBdr>
    </w:div>
    <w:div w:id="1276869057">
      <w:bodyDiv w:val="1"/>
      <w:marLeft w:val="0"/>
      <w:marRight w:val="0"/>
      <w:marTop w:val="0"/>
      <w:marBottom w:val="0"/>
      <w:divBdr>
        <w:top w:val="none" w:sz="0" w:space="0" w:color="auto"/>
        <w:left w:val="none" w:sz="0" w:space="0" w:color="auto"/>
        <w:bottom w:val="none" w:sz="0" w:space="0" w:color="auto"/>
        <w:right w:val="none" w:sz="0" w:space="0" w:color="auto"/>
      </w:divBdr>
    </w:div>
    <w:div w:id="1368216274">
      <w:bodyDiv w:val="1"/>
      <w:marLeft w:val="0"/>
      <w:marRight w:val="0"/>
      <w:marTop w:val="0"/>
      <w:marBottom w:val="0"/>
      <w:divBdr>
        <w:top w:val="none" w:sz="0" w:space="0" w:color="auto"/>
        <w:left w:val="none" w:sz="0" w:space="0" w:color="auto"/>
        <w:bottom w:val="none" w:sz="0" w:space="0" w:color="auto"/>
        <w:right w:val="none" w:sz="0" w:space="0" w:color="auto"/>
      </w:divBdr>
    </w:div>
    <w:div w:id="1458527111">
      <w:bodyDiv w:val="1"/>
      <w:marLeft w:val="0"/>
      <w:marRight w:val="0"/>
      <w:marTop w:val="0"/>
      <w:marBottom w:val="0"/>
      <w:divBdr>
        <w:top w:val="none" w:sz="0" w:space="0" w:color="auto"/>
        <w:left w:val="none" w:sz="0" w:space="0" w:color="auto"/>
        <w:bottom w:val="none" w:sz="0" w:space="0" w:color="auto"/>
        <w:right w:val="none" w:sz="0" w:space="0" w:color="auto"/>
      </w:divBdr>
    </w:div>
    <w:div w:id="1459566415">
      <w:bodyDiv w:val="1"/>
      <w:marLeft w:val="0"/>
      <w:marRight w:val="0"/>
      <w:marTop w:val="0"/>
      <w:marBottom w:val="0"/>
      <w:divBdr>
        <w:top w:val="none" w:sz="0" w:space="0" w:color="auto"/>
        <w:left w:val="none" w:sz="0" w:space="0" w:color="auto"/>
        <w:bottom w:val="none" w:sz="0" w:space="0" w:color="auto"/>
        <w:right w:val="none" w:sz="0" w:space="0" w:color="auto"/>
      </w:divBdr>
    </w:div>
    <w:div w:id="1527527299">
      <w:bodyDiv w:val="1"/>
      <w:marLeft w:val="0"/>
      <w:marRight w:val="0"/>
      <w:marTop w:val="0"/>
      <w:marBottom w:val="0"/>
      <w:divBdr>
        <w:top w:val="none" w:sz="0" w:space="0" w:color="auto"/>
        <w:left w:val="none" w:sz="0" w:space="0" w:color="auto"/>
        <w:bottom w:val="none" w:sz="0" w:space="0" w:color="auto"/>
        <w:right w:val="none" w:sz="0" w:space="0" w:color="auto"/>
      </w:divBdr>
    </w:div>
    <w:div w:id="1607498862">
      <w:bodyDiv w:val="1"/>
      <w:marLeft w:val="0"/>
      <w:marRight w:val="0"/>
      <w:marTop w:val="0"/>
      <w:marBottom w:val="0"/>
      <w:divBdr>
        <w:top w:val="none" w:sz="0" w:space="0" w:color="auto"/>
        <w:left w:val="none" w:sz="0" w:space="0" w:color="auto"/>
        <w:bottom w:val="none" w:sz="0" w:space="0" w:color="auto"/>
        <w:right w:val="none" w:sz="0" w:space="0" w:color="auto"/>
      </w:divBdr>
    </w:div>
    <w:div w:id="1706757715">
      <w:bodyDiv w:val="1"/>
      <w:marLeft w:val="0"/>
      <w:marRight w:val="0"/>
      <w:marTop w:val="0"/>
      <w:marBottom w:val="0"/>
      <w:divBdr>
        <w:top w:val="none" w:sz="0" w:space="0" w:color="auto"/>
        <w:left w:val="none" w:sz="0" w:space="0" w:color="auto"/>
        <w:bottom w:val="none" w:sz="0" w:space="0" w:color="auto"/>
        <w:right w:val="none" w:sz="0" w:space="0" w:color="auto"/>
      </w:divBdr>
    </w:div>
    <w:div w:id="1774744127">
      <w:bodyDiv w:val="1"/>
      <w:marLeft w:val="0"/>
      <w:marRight w:val="0"/>
      <w:marTop w:val="0"/>
      <w:marBottom w:val="0"/>
      <w:divBdr>
        <w:top w:val="none" w:sz="0" w:space="0" w:color="auto"/>
        <w:left w:val="none" w:sz="0" w:space="0" w:color="auto"/>
        <w:bottom w:val="none" w:sz="0" w:space="0" w:color="auto"/>
        <w:right w:val="none" w:sz="0" w:space="0" w:color="auto"/>
      </w:divBdr>
    </w:div>
    <w:div w:id="1797330312">
      <w:bodyDiv w:val="1"/>
      <w:marLeft w:val="0"/>
      <w:marRight w:val="0"/>
      <w:marTop w:val="0"/>
      <w:marBottom w:val="0"/>
      <w:divBdr>
        <w:top w:val="none" w:sz="0" w:space="0" w:color="auto"/>
        <w:left w:val="none" w:sz="0" w:space="0" w:color="auto"/>
        <w:bottom w:val="none" w:sz="0" w:space="0" w:color="auto"/>
        <w:right w:val="none" w:sz="0" w:space="0" w:color="auto"/>
      </w:divBdr>
    </w:div>
    <w:div w:id="1848014676">
      <w:bodyDiv w:val="1"/>
      <w:marLeft w:val="0"/>
      <w:marRight w:val="0"/>
      <w:marTop w:val="0"/>
      <w:marBottom w:val="0"/>
      <w:divBdr>
        <w:top w:val="none" w:sz="0" w:space="0" w:color="auto"/>
        <w:left w:val="none" w:sz="0" w:space="0" w:color="auto"/>
        <w:bottom w:val="none" w:sz="0" w:space="0" w:color="auto"/>
        <w:right w:val="none" w:sz="0" w:space="0" w:color="auto"/>
      </w:divBdr>
    </w:div>
    <w:div w:id="1881818297">
      <w:bodyDiv w:val="1"/>
      <w:marLeft w:val="0"/>
      <w:marRight w:val="0"/>
      <w:marTop w:val="0"/>
      <w:marBottom w:val="0"/>
      <w:divBdr>
        <w:top w:val="none" w:sz="0" w:space="0" w:color="auto"/>
        <w:left w:val="none" w:sz="0" w:space="0" w:color="auto"/>
        <w:bottom w:val="none" w:sz="0" w:space="0" w:color="auto"/>
        <w:right w:val="none" w:sz="0" w:space="0" w:color="auto"/>
      </w:divBdr>
    </w:div>
    <w:div w:id="1899780774">
      <w:bodyDiv w:val="1"/>
      <w:marLeft w:val="0"/>
      <w:marRight w:val="0"/>
      <w:marTop w:val="0"/>
      <w:marBottom w:val="0"/>
      <w:divBdr>
        <w:top w:val="none" w:sz="0" w:space="0" w:color="auto"/>
        <w:left w:val="none" w:sz="0" w:space="0" w:color="auto"/>
        <w:bottom w:val="none" w:sz="0" w:space="0" w:color="auto"/>
        <w:right w:val="none" w:sz="0" w:space="0" w:color="auto"/>
      </w:divBdr>
    </w:div>
    <w:div w:id="1928149225">
      <w:bodyDiv w:val="1"/>
      <w:marLeft w:val="0"/>
      <w:marRight w:val="0"/>
      <w:marTop w:val="0"/>
      <w:marBottom w:val="0"/>
      <w:divBdr>
        <w:top w:val="none" w:sz="0" w:space="0" w:color="auto"/>
        <w:left w:val="none" w:sz="0" w:space="0" w:color="auto"/>
        <w:bottom w:val="none" w:sz="0" w:space="0" w:color="auto"/>
        <w:right w:val="none" w:sz="0" w:space="0" w:color="auto"/>
      </w:divBdr>
      <w:divsChild>
        <w:div w:id="1955207938">
          <w:marLeft w:val="0"/>
          <w:marRight w:val="0"/>
          <w:marTop w:val="0"/>
          <w:marBottom w:val="0"/>
          <w:divBdr>
            <w:top w:val="single" w:sz="2" w:space="0" w:color="DEE0E3"/>
            <w:left w:val="single" w:sz="2" w:space="0" w:color="DEE0E3"/>
            <w:bottom w:val="single" w:sz="2" w:space="0" w:color="DEE0E3"/>
            <w:right w:val="single" w:sz="2" w:space="0" w:color="DEE0E3"/>
          </w:divBdr>
          <w:divsChild>
            <w:div w:id="1013726899">
              <w:marLeft w:val="0"/>
              <w:marRight w:val="0"/>
              <w:marTop w:val="0"/>
              <w:marBottom w:val="0"/>
              <w:divBdr>
                <w:top w:val="single" w:sz="2" w:space="0" w:color="DEE0E3"/>
                <w:left w:val="single" w:sz="2" w:space="0" w:color="DEE0E3"/>
                <w:bottom w:val="single" w:sz="2" w:space="0" w:color="DEE0E3"/>
                <w:right w:val="single" w:sz="2" w:space="0" w:color="DEE0E3"/>
              </w:divBdr>
              <w:divsChild>
                <w:div w:id="1660966176">
                  <w:marLeft w:val="0"/>
                  <w:marRight w:val="0"/>
                  <w:marTop w:val="0"/>
                  <w:marBottom w:val="0"/>
                  <w:divBdr>
                    <w:top w:val="single" w:sz="6" w:space="0" w:color="DEE0E3"/>
                    <w:left w:val="single" w:sz="6" w:space="0" w:color="DEE0E3"/>
                    <w:bottom w:val="single" w:sz="6" w:space="0" w:color="DEE0E3"/>
                    <w:right w:val="single" w:sz="6" w:space="0" w:color="DEE0E3"/>
                  </w:divBdr>
                  <w:divsChild>
                    <w:div w:id="212233950">
                      <w:marLeft w:val="0"/>
                      <w:marRight w:val="0"/>
                      <w:marTop w:val="0"/>
                      <w:marBottom w:val="0"/>
                      <w:divBdr>
                        <w:top w:val="single" w:sz="2" w:space="0" w:color="DEE0E3"/>
                        <w:left w:val="single" w:sz="2" w:space="0" w:color="DEE0E3"/>
                        <w:bottom w:val="single" w:sz="2" w:space="0" w:color="DEE0E3"/>
                        <w:right w:val="single" w:sz="2" w:space="0" w:color="DEE0E3"/>
                      </w:divBdr>
                      <w:divsChild>
                        <w:div w:id="1499418486">
                          <w:marLeft w:val="0"/>
                          <w:marRight w:val="0"/>
                          <w:marTop w:val="0"/>
                          <w:marBottom w:val="0"/>
                          <w:divBdr>
                            <w:top w:val="single" w:sz="2" w:space="0" w:color="DEE0E3"/>
                            <w:left w:val="single" w:sz="2" w:space="0" w:color="DEE0E3"/>
                            <w:bottom w:val="single" w:sz="2" w:space="0" w:color="DEE0E3"/>
                            <w:right w:val="single" w:sz="2" w:space="0" w:color="DEE0E3"/>
                          </w:divBdr>
                        </w:div>
                      </w:divsChild>
                    </w:div>
                  </w:divsChild>
                </w:div>
              </w:divsChild>
            </w:div>
          </w:divsChild>
        </w:div>
      </w:divsChild>
    </w:div>
    <w:div w:id="1967931012">
      <w:bodyDiv w:val="1"/>
      <w:marLeft w:val="0"/>
      <w:marRight w:val="0"/>
      <w:marTop w:val="0"/>
      <w:marBottom w:val="0"/>
      <w:divBdr>
        <w:top w:val="none" w:sz="0" w:space="0" w:color="auto"/>
        <w:left w:val="none" w:sz="0" w:space="0" w:color="auto"/>
        <w:bottom w:val="none" w:sz="0" w:space="0" w:color="auto"/>
        <w:right w:val="none" w:sz="0" w:space="0" w:color="auto"/>
      </w:divBdr>
    </w:div>
    <w:div w:id="2015262688">
      <w:bodyDiv w:val="1"/>
      <w:marLeft w:val="0"/>
      <w:marRight w:val="0"/>
      <w:marTop w:val="0"/>
      <w:marBottom w:val="0"/>
      <w:divBdr>
        <w:top w:val="none" w:sz="0" w:space="0" w:color="auto"/>
        <w:left w:val="none" w:sz="0" w:space="0" w:color="auto"/>
        <w:bottom w:val="none" w:sz="0" w:space="0" w:color="auto"/>
        <w:right w:val="none" w:sz="0" w:space="0" w:color="auto"/>
      </w:divBdr>
    </w:div>
    <w:div w:id="2047019338">
      <w:bodyDiv w:val="1"/>
      <w:marLeft w:val="0"/>
      <w:marRight w:val="0"/>
      <w:marTop w:val="0"/>
      <w:marBottom w:val="0"/>
      <w:divBdr>
        <w:top w:val="none" w:sz="0" w:space="0" w:color="auto"/>
        <w:left w:val="none" w:sz="0" w:space="0" w:color="auto"/>
        <w:bottom w:val="none" w:sz="0" w:space="0" w:color="auto"/>
        <w:right w:val="none" w:sz="0" w:space="0" w:color="auto"/>
      </w:divBdr>
    </w:div>
    <w:div w:id="2099280447">
      <w:bodyDiv w:val="1"/>
      <w:marLeft w:val="0"/>
      <w:marRight w:val="0"/>
      <w:marTop w:val="0"/>
      <w:marBottom w:val="0"/>
      <w:divBdr>
        <w:top w:val="none" w:sz="0" w:space="0" w:color="auto"/>
        <w:left w:val="none" w:sz="0" w:space="0" w:color="auto"/>
        <w:bottom w:val="none" w:sz="0" w:space="0" w:color="auto"/>
        <w:right w:val="none" w:sz="0" w:space="0" w:color="auto"/>
      </w:divBdr>
    </w:div>
    <w:div w:id="2114014076">
      <w:bodyDiv w:val="1"/>
      <w:marLeft w:val="0"/>
      <w:marRight w:val="0"/>
      <w:marTop w:val="0"/>
      <w:marBottom w:val="0"/>
      <w:divBdr>
        <w:top w:val="none" w:sz="0" w:space="0" w:color="auto"/>
        <w:left w:val="none" w:sz="0" w:space="0" w:color="auto"/>
        <w:bottom w:val="none" w:sz="0" w:space="0" w:color="auto"/>
        <w:right w:val="none" w:sz="0" w:space="0" w:color="auto"/>
      </w:divBdr>
    </w:div>
    <w:div w:id="2120293377">
      <w:bodyDiv w:val="1"/>
      <w:marLeft w:val="0"/>
      <w:marRight w:val="0"/>
      <w:marTop w:val="0"/>
      <w:marBottom w:val="0"/>
      <w:divBdr>
        <w:top w:val="none" w:sz="0" w:space="0" w:color="auto"/>
        <w:left w:val="none" w:sz="0" w:space="0" w:color="auto"/>
        <w:bottom w:val="none" w:sz="0" w:space="0" w:color="auto"/>
        <w:right w:val="none" w:sz="0" w:space="0" w:color="auto"/>
      </w:divBdr>
    </w:div>
    <w:div w:id="21263893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2.xml"/><Relationship Id="rId13" Type="http://schemas.openxmlformats.org/officeDocument/2006/relationships/hyperlink" Target="https://doi.org/10.1080/09669582.2020.1758708" TargetMode="External"/><Relationship Id="rId18" Type="http://schemas.openxmlformats.org/officeDocument/2006/relationships/hyperlink" Target="https://doi.org/10.1016/j.tourman.2018.11.004" TargetMode="External"/><Relationship Id="rId26" Type="http://schemas.openxmlformats.org/officeDocument/2006/relationships/hyperlink" Target="https://doi.org/10.1016/j.jbusres.2017.03.014" TargetMode="External"/><Relationship Id="rId3" Type="http://schemas.openxmlformats.org/officeDocument/2006/relationships/settings" Target="settings.xml"/><Relationship Id="rId21" Type="http://schemas.openxmlformats.org/officeDocument/2006/relationships/hyperlink" Target="https://doi.org/10.23887/ijssb.v5i3.37003" TargetMode="External"/><Relationship Id="rId7" Type="http://schemas.openxmlformats.org/officeDocument/2006/relationships/chart" Target="charts/chart1.xml"/><Relationship Id="rId12" Type="http://schemas.openxmlformats.org/officeDocument/2006/relationships/hyperlink" Target="https://doi.org/10.1016/j.tourman.2020.104090" TargetMode="External"/><Relationship Id="rId17" Type="http://schemas.openxmlformats.org/officeDocument/2006/relationships/hyperlink" Target="https://doi.org/10.61426/sjbcm.v6i3.1335" TargetMode="External"/><Relationship Id="rId25" Type="http://schemas.openxmlformats.org/officeDocument/2006/relationships/hyperlink" Target="https://doi.org/10.1080/22243534.2022.2133069" TargetMode="External"/><Relationship Id="rId2" Type="http://schemas.openxmlformats.org/officeDocument/2006/relationships/styles" Target="styles.xml"/><Relationship Id="rId16" Type="http://schemas.openxmlformats.org/officeDocument/2006/relationships/hyperlink" Target="https://doi.org/10.1016/j.tourman.2021.104347" TargetMode="External"/><Relationship Id="rId20" Type="http://schemas.openxmlformats.org/officeDocument/2006/relationships/hyperlink" Target="https://doi.org/10.1016/j.tourman.2023.104830" TargetMode="External"/><Relationship Id="rId29"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oi.org/10.1177/13548166231199156" TargetMode="External"/><Relationship Id="rId24" Type="http://schemas.openxmlformats.org/officeDocument/2006/relationships/hyperlink" Target="https://doi.org/10.17261/pressacademia.2019.1110" TargetMode="External"/><Relationship Id="rId5" Type="http://schemas.openxmlformats.org/officeDocument/2006/relationships/footnotes" Target="footnotes.xml"/><Relationship Id="rId15" Type="http://schemas.openxmlformats.org/officeDocument/2006/relationships/hyperlink" Target="https://doi.org/10.1108/IJCHM-09-2016-0501" TargetMode="External"/><Relationship Id="rId23" Type="http://schemas.openxmlformats.org/officeDocument/2006/relationships/hyperlink" Target="https://doi.org/10.51200/bimpeagajtsd.v10i1.3635" TargetMode="External"/><Relationship Id="rId28" Type="http://schemas.openxmlformats.org/officeDocument/2006/relationships/hyperlink" Target="https://doi.org/10.1509/jmr.15.0204" TargetMode="External"/><Relationship Id="rId10" Type="http://schemas.openxmlformats.org/officeDocument/2006/relationships/hyperlink" Target="https://www.academia.edu/download/55029875/Published_Journal_9_2017.pdf" TargetMode="External"/><Relationship Id="rId19" Type="http://schemas.openxmlformats.org/officeDocument/2006/relationships/hyperlink" Target="https://doi.org/10.25236/iccems.2018.07" TargetMode="External"/><Relationship Id="rId4" Type="http://schemas.openxmlformats.org/officeDocument/2006/relationships/webSettings" Target="webSettings.xml"/><Relationship Id="rId9" Type="http://schemas.openxmlformats.org/officeDocument/2006/relationships/chart" Target="charts/chart3.xml"/><Relationship Id="rId14" Type="http://schemas.openxmlformats.org/officeDocument/2006/relationships/hyperlink" Target="https://doi.org/10.1080/10941665.2012.708351" TargetMode="External"/><Relationship Id="rId22" Type="http://schemas.openxmlformats.org/officeDocument/2006/relationships/hyperlink" Target="https://digitalcommons.fiu.edu/hospitalityreview/vol30/iss2/6" TargetMode="External"/><Relationship Id="rId27" Type="http://schemas.openxmlformats.org/officeDocument/2006/relationships/hyperlink" Target="https://doi.org/10.3390/su142215299" TargetMode="External"/><Relationship Id="rId30" Type="http://schemas.openxmlformats.org/officeDocument/2006/relationships/theme" Target="theme/theme1.xml"/></Relationships>
</file>

<file path=word/charts/_rels/chart1.xml.rels><?xml version="1.0" encoding="UTF-8" standalone="yes"?>
<Relationships xmlns="http://schemas.openxmlformats.org/package/2006/relationships"><Relationship Id="rId1" Type="http://schemas.openxmlformats.org/officeDocument/2006/relationships/oleObject" Target="file:///C:\Users\USER\Downloads\Financial_Trends.xlsx"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file:///C:\Users\USER\Downloads\Financial_Trends.xlsx" TargetMode="External"/></Relationships>
</file>

<file path=word/charts/_rels/chart3.xml.rels><?xml version="1.0" encoding="UTF-8" standalone="yes"?>
<Relationships xmlns="http://schemas.openxmlformats.org/package/2006/relationships"><Relationship Id="rId1" Type="http://schemas.openxmlformats.org/officeDocument/2006/relationships/oleObject" Target="file:///C:\Users\USER\Downloads\Financial_Trends.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n-US"/>
              <a:t>Revenue Trend</a:t>
            </a:r>
          </a:p>
        </c:rich>
      </c:tx>
      <c:overlay val="0"/>
    </c:title>
    <c:autoTitleDeleted val="0"/>
    <c:plotArea>
      <c:layout/>
      <c:lineChart>
        <c:grouping val="standard"/>
        <c:varyColors val="0"/>
        <c:ser>
          <c:idx val="0"/>
          <c:order val="0"/>
          <c:tx>
            <c:v>Revenue</c:v>
          </c:tx>
          <c:marker>
            <c:symbol val="none"/>
          </c:marker>
          <c:val>
            <c:numRef>
              <c:f>Financial Data!$B$2:$B$4</c:f>
              <c:numCache>
                <c:formatCode>General</c:formatCode>
                <c:ptCount val="3"/>
                <c:pt idx="0">
                  <c:v>2500000</c:v>
                </c:pt>
                <c:pt idx="1">
                  <c:v>2100000</c:v>
                </c:pt>
                <c:pt idx="2">
                  <c:v>1800000</c:v>
                </c:pt>
              </c:numCache>
            </c:numRef>
          </c:val>
          <c:smooth val="0"/>
          <c:extLst>
            <c:ext xmlns:c15="http://schemas.microsoft.com/office/drawing/2012/chart" uri="{02D57815-91ED-43cb-92C2-25804820EDAC}">
              <c15:filteredCategoryTitle>
                <c15:cat>
                  <c:numRef>
                    <c:extLst>
                      <c:ext uri="{02D57815-91ED-43cb-92C2-25804820EDAC}">
                        <c15:formulaRef>
                          <c15:sqref>Financial Data!$A$2:$A$4</c15:sqref>
                        </c15:formulaRef>
                      </c:ext>
                    </c:extLst>
                    <c:numCache>
                      <c:formatCode>General</c:formatCode>
                      <c:ptCount val="3"/>
                      <c:pt idx="0">
                        <c:v>2021</c:v>
                      </c:pt>
                      <c:pt idx="1">
                        <c:v>2022</c:v>
                      </c:pt>
                      <c:pt idx="2">
                        <c:v>2023</c:v>
                      </c:pt>
                    </c:numCache>
                  </c:numRef>
                </c15:cat>
              </c15:filteredCategoryTitle>
            </c:ext>
            <c:ext xmlns:c16="http://schemas.microsoft.com/office/drawing/2014/chart" uri="{C3380CC4-5D6E-409C-BE32-E72D297353CC}">
              <c16:uniqueId val="{00000000-386E-43FA-9BF5-8DA96FF56DC1}"/>
            </c:ext>
          </c:extLst>
        </c:ser>
        <c:dLbls>
          <c:showLegendKey val="0"/>
          <c:showVal val="0"/>
          <c:showCatName val="0"/>
          <c:showSerName val="0"/>
          <c:showPercent val="0"/>
          <c:showBubbleSize val="0"/>
        </c:dLbls>
        <c:smooth val="0"/>
        <c:axId val="50010001"/>
        <c:axId val="50010002"/>
      </c:lineChart>
      <c:catAx>
        <c:axId val="50010001"/>
        <c:scaling>
          <c:orientation val="minMax"/>
        </c:scaling>
        <c:delete val="0"/>
        <c:axPos val="b"/>
        <c:title>
          <c:tx>
            <c:rich>
              <a:bodyPr/>
              <a:lstStyle/>
              <a:p>
                <a:pPr>
                  <a:defRPr/>
                </a:pPr>
                <a:r>
                  <a:rPr lang="en-US"/>
                  <a:t>Year</a:t>
                </a:r>
              </a:p>
            </c:rich>
          </c:tx>
          <c:overlay val="0"/>
        </c:title>
        <c:numFmt formatCode="General" sourceLinked="1"/>
        <c:majorTickMark val="out"/>
        <c:minorTickMark val="none"/>
        <c:tickLblPos val="nextTo"/>
        <c:crossAx val="50010002"/>
        <c:crosses val="autoZero"/>
        <c:auto val="1"/>
        <c:lblAlgn val="ctr"/>
        <c:lblOffset val="100"/>
        <c:noMultiLvlLbl val="0"/>
      </c:catAx>
      <c:valAx>
        <c:axId val="50010002"/>
        <c:scaling>
          <c:orientation val="minMax"/>
        </c:scaling>
        <c:delete val="0"/>
        <c:axPos val="l"/>
        <c:majorGridlines/>
        <c:title>
          <c:tx>
            <c:rich>
              <a:bodyPr rot="-5400000" vert="horz"/>
              <a:lstStyle/>
              <a:p>
                <a:pPr>
                  <a:defRPr/>
                </a:pPr>
                <a:r>
                  <a:rPr lang="en-US"/>
                  <a:t>Amount (£)</a:t>
                </a:r>
              </a:p>
            </c:rich>
          </c:tx>
          <c:overlay val="0"/>
        </c:title>
        <c:numFmt formatCode="General" sourceLinked="1"/>
        <c:majorTickMark val="out"/>
        <c:minorTickMark val="none"/>
        <c:tickLblPos val="nextTo"/>
        <c:crossAx val="50010001"/>
        <c:crosses val="autoZero"/>
        <c:crossBetween val="between"/>
      </c:valAx>
    </c:plotArea>
    <c:legend>
      <c:legendPos val="r"/>
      <c:overlay val="0"/>
    </c:legend>
    <c:plotVisOnly val="1"/>
    <c:dispBlanksAs val="gap"/>
    <c:showDLblsOverMax val="0"/>
  </c:chart>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n-US"/>
              <a:t>Expense Trend</a:t>
            </a:r>
          </a:p>
        </c:rich>
      </c:tx>
      <c:overlay val="0"/>
    </c:title>
    <c:autoTitleDeleted val="0"/>
    <c:plotArea>
      <c:layout/>
      <c:lineChart>
        <c:grouping val="standard"/>
        <c:varyColors val="0"/>
        <c:ser>
          <c:idx val="0"/>
          <c:order val="0"/>
          <c:tx>
            <c:v>Expenses</c:v>
          </c:tx>
          <c:marker>
            <c:symbol val="none"/>
          </c:marker>
          <c:val>
            <c:numRef>
              <c:f>Financial Data!$C$2:$C$4</c:f>
              <c:numCache>
                <c:formatCode>General</c:formatCode>
                <c:ptCount val="3"/>
                <c:pt idx="0">
                  <c:v>1800000</c:v>
                </c:pt>
                <c:pt idx="1">
                  <c:v>2000000</c:v>
                </c:pt>
                <c:pt idx="2">
                  <c:v>2300000</c:v>
                </c:pt>
              </c:numCache>
            </c:numRef>
          </c:val>
          <c:smooth val="0"/>
          <c:extLst>
            <c:ext xmlns:c15="http://schemas.microsoft.com/office/drawing/2012/chart" uri="{02D57815-91ED-43cb-92C2-25804820EDAC}">
              <c15:filteredCategoryTitle>
                <c15:cat>
                  <c:numRef>
                    <c:extLst>
                      <c:ext uri="{02D57815-91ED-43cb-92C2-25804820EDAC}">
                        <c15:formulaRef>
                          <c15:sqref>Financial Data!$A$2:$A$4</c15:sqref>
                        </c15:formulaRef>
                      </c:ext>
                    </c:extLst>
                    <c:numCache>
                      <c:formatCode>General</c:formatCode>
                      <c:ptCount val="3"/>
                      <c:pt idx="0">
                        <c:v>2021</c:v>
                      </c:pt>
                      <c:pt idx="1">
                        <c:v>2022</c:v>
                      </c:pt>
                      <c:pt idx="2">
                        <c:v>2023</c:v>
                      </c:pt>
                    </c:numCache>
                  </c:numRef>
                </c15:cat>
              </c15:filteredCategoryTitle>
            </c:ext>
            <c:ext xmlns:c16="http://schemas.microsoft.com/office/drawing/2014/chart" uri="{C3380CC4-5D6E-409C-BE32-E72D297353CC}">
              <c16:uniqueId val="{00000000-5DA5-469F-A12F-FD77D6BCF956}"/>
            </c:ext>
          </c:extLst>
        </c:ser>
        <c:dLbls>
          <c:showLegendKey val="0"/>
          <c:showVal val="0"/>
          <c:showCatName val="0"/>
          <c:showSerName val="0"/>
          <c:showPercent val="0"/>
          <c:showBubbleSize val="0"/>
        </c:dLbls>
        <c:smooth val="0"/>
        <c:axId val="50020001"/>
        <c:axId val="50020002"/>
      </c:lineChart>
      <c:catAx>
        <c:axId val="50020001"/>
        <c:scaling>
          <c:orientation val="minMax"/>
        </c:scaling>
        <c:delete val="0"/>
        <c:axPos val="b"/>
        <c:title>
          <c:tx>
            <c:rich>
              <a:bodyPr/>
              <a:lstStyle/>
              <a:p>
                <a:pPr>
                  <a:defRPr/>
                </a:pPr>
                <a:r>
                  <a:rPr lang="en-US"/>
                  <a:t>Year</a:t>
                </a:r>
              </a:p>
            </c:rich>
          </c:tx>
          <c:overlay val="0"/>
        </c:title>
        <c:numFmt formatCode="General" sourceLinked="1"/>
        <c:majorTickMark val="out"/>
        <c:minorTickMark val="none"/>
        <c:tickLblPos val="nextTo"/>
        <c:crossAx val="50020002"/>
        <c:crosses val="autoZero"/>
        <c:auto val="1"/>
        <c:lblAlgn val="ctr"/>
        <c:lblOffset val="100"/>
        <c:noMultiLvlLbl val="0"/>
      </c:catAx>
      <c:valAx>
        <c:axId val="50020002"/>
        <c:scaling>
          <c:orientation val="minMax"/>
        </c:scaling>
        <c:delete val="0"/>
        <c:axPos val="l"/>
        <c:majorGridlines/>
        <c:title>
          <c:tx>
            <c:rich>
              <a:bodyPr rot="-5400000" vert="horz"/>
              <a:lstStyle/>
              <a:p>
                <a:pPr>
                  <a:defRPr/>
                </a:pPr>
                <a:r>
                  <a:rPr lang="en-US"/>
                  <a:t>Amount (£)</a:t>
                </a:r>
              </a:p>
            </c:rich>
          </c:tx>
          <c:overlay val="0"/>
        </c:title>
        <c:numFmt formatCode="General" sourceLinked="1"/>
        <c:majorTickMark val="out"/>
        <c:minorTickMark val="none"/>
        <c:tickLblPos val="nextTo"/>
        <c:crossAx val="50020001"/>
        <c:crosses val="autoZero"/>
        <c:crossBetween val="between"/>
      </c:valAx>
    </c:plotArea>
    <c:legend>
      <c:legendPos val="r"/>
      <c:overlay val="0"/>
    </c:legend>
    <c:plotVisOnly val="1"/>
    <c:dispBlanksAs val="gap"/>
    <c:showDLblsOverMax val="0"/>
  </c:chart>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n-US"/>
              <a:t>Profitability Trend</a:t>
            </a:r>
          </a:p>
        </c:rich>
      </c:tx>
      <c:overlay val="0"/>
    </c:title>
    <c:autoTitleDeleted val="0"/>
    <c:plotArea>
      <c:layout/>
      <c:barChart>
        <c:barDir val="col"/>
        <c:grouping val="clustered"/>
        <c:varyColors val="0"/>
        <c:ser>
          <c:idx val="0"/>
          <c:order val="0"/>
          <c:tx>
            <c:v>Profitability</c:v>
          </c:tx>
          <c:invertIfNegative val="0"/>
          <c:val>
            <c:numRef>
              <c:f>Financial Data!$D$2:$D$4</c:f>
              <c:numCache>
                <c:formatCode>General</c:formatCode>
                <c:ptCount val="3"/>
                <c:pt idx="0">
                  <c:v>700000</c:v>
                </c:pt>
                <c:pt idx="1">
                  <c:v>100000</c:v>
                </c:pt>
                <c:pt idx="2">
                  <c:v>-500000</c:v>
                </c:pt>
              </c:numCache>
            </c:numRef>
          </c:val>
          <c:extLst>
            <c:ext xmlns:c15="http://schemas.microsoft.com/office/drawing/2012/chart" uri="{02D57815-91ED-43cb-92C2-25804820EDAC}">
              <c15:filteredCategoryTitle>
                <c15:cat>
                  <c:numRef>
                    <c:extLst>
                      <c:ext uri="{02D57815-91ED-43cb-92C2-25804820EDAC}">
                        <c15:formulaRef>
                          <c15:sqref>Financial Data!$A$2:$A$4</c15:sqref>
                        </c15:formulaRef>
                      </c:ext>
                    </c:extLst>
                    <c:numCache>
                      <c:formatCode>General</c:formatCode>
                      <c:ptCount val="3"/>
                      <c:pt idx="0">
                        <c:v>2021</c:v>
                      </c:pt>
                      <c:pt idx="1">
                        <c:v>2022</c:v>
                      </c:pt>
                      <c:pt idx="2">
                        <c:v>2023</c:v>
                      </c:pt>
                    </c:numCache>
                  </c:numRef>
                </c15:cat>
              </c15:filteredCategoryTitle>
            </c:ext>
            <c:ext xmlns:c16="http://schemas.microsoft.com/office/drawing/2014/chart" uri="{C3380CC4-5D6E-409C-BE32-E72D297353CC}">
              <c16:uniqueId val="{00000000-877C-466D-BE71-73563129BE0F}"/>
            </c:ext>
          </c:extLst>
        </c:ser>
        <c:dLbls>
          <c:showLegendKey val="0"/>
          <c:showVal val="0"/>
          <c:showCatName val="0"/>
          <c:showSerName val="0"/>
          <c:showPercent val="0"/>
          <c:showBubbleSize val="0"/>
        </c:dLbls>
        <c:gapWidth val="150"/>
        <c:axId val="50030001"/>
        <c:axId val="50030002"/>
      </c:barChart>
      <c:catAx>
        <c:axId val="50030001"/>
        <c:scaling>
          <c:orientation val="minMax"/>
        </c:scaling>
        <c:delete val="0"/>
        <c:axPos val="b"/>
        <c:title>
          <c:tx>
            <c:rich>
              <a:bodyPr/>
              <a:lstStyle/>
              <a:p>
                <a:pPr>
                  <a:defRPr/>
                </a:pPr>
                <a:r>
                  <a:rPr lang="en-US"/>
                  <a:t>Year</a:t>
                </a:r>
              </a:p>
            </c:rich>
          </c:tx>
          <c:overlay val="0"/>
        </c:title>
        <c:numFmt formatCode="General" sourceLinked="1"/>
        <c:majorTickMark val="out"/>
        <c:minorTickMark val="none"/>
        <c:tickLblPos val="nextTo"/>
        <c:crossAx val="50030002"/>
        <c:crosses val="autoZero"/>
        <c:auto val="1"/>
        <c:lblAlgn val="ctr"/>
        <c:lblOffset val="100"/>
        <c:noMultiLvlLbl val="0"/>
      </c:catAx>
      <c:valAx>
        <c:axId val="50030002"/>
        <c:scaling>
          <c:orientation val="minMax"/>
        </c:scaling>
        <c:delete val="0"/>
        <c:axPos val="l"/>
        <c:majorGridlines/>
        <c:title>
          <c:tx>
            <c:rich>
              <a:bodyPr/>
              <a:lstStyle/>
              <a:p>
                <a:pPr>
                  <a:defRPr/>
                </a:pPr>
                <a:r>
                  <a:rPr lang="en-US"/>
                  <a:t>Amount (£)</a:t>
                </a:r>
              </a:p>
            </c:rich>
          </c:tx>
          <c:overlay val="0"/>
        </c:title>
        <c:numFmt formatCode="General" sourceLinked="1"/>
        <c:majorTickMark val="out"/>
        <c:minorTickMark val="none"/>
        <c:tickLblPos val="nextTo"/>
        <c:crossAx val="50030001"/>
        <c:crosses val="autoZero"/>
        <c:crossBetween val="between"/>
      </c:valAx>
    </c:plotArea>
    <c:legend>
      <c:legendPos val="r"/>
      <c:overlay val="0"/>
    </c:legend>
    <c:plotVisOnly val="1"/>
    <c:dispBlanksAs val="gap"/>
    <c:showDLblsOverMax val="0"/>
  </c:chart>
  <c:externalData r:id="rId1">
    <c:autoUpdate val="0"/>
  </c:externalData>
</c:chartSpace>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16</Pages>
  <Words>3615</Words>
  <Characters>20610</Characters>
  <Application>Microsoft Office Word</Application>
  <DocSecurity>0</DocSecurity>
  <Lines>171</Lines>
  <Paragraphs>48</Paragraphs>
  <ScaleCrop>false</ScaleCrop>
  <Company/>
  <LinksUpToDate>false</LinksUpToDate>
  <CharactersWithSpaces>24177</CharactersWithSpaces>
  <SharedDoc>false</SharedDoc>
  <HLinks>
    <vt:vector size="114" baseType="variant">
      <vt:variant>
        <vt:i4>6619235</vt:i4>
      </vt:variant>
      <vt:variant>
        <vt:i4>54</vt:i4>
      </vt:variant>
      <vt:variant>
        <vt:i4>0</vt:i4>
      </vt:variant>
      <vt:variant>
        <vt:i4>5</vt:i4>
      </vt:variant>
      <vt:variant>
        <vt:lpwstr>https://doi.org/10.1509/jmr.15.0204</vt:lpwstr>
      </vt:variant>
      <vt:variant>
        <vt:lpwstr/>
      </vt:variant>
      <vt:variant>
        <vt:i4>6750250</vt:i4>
      </vt:variant>
      <vt:variant>
        <vt:i4>51</vt:i4>
      </vt:variant>
      <vt:variant>
        <vt:i4>0</vt:i4>
      </vt:variant>
      <vt:variant>
        <vt:i4>5</vt:i4>
      </vt:variant>
      <vt:variant>
        <vt:lpwstr>https://doi.org/10.3390/su142215299</vt:lpwstr>
      </vt:variant>
      <vt:variant>
        <vt:lpwstr/>
      </vt:variant>
      <vt:variant>
        <vt:i4>5111814</vt:i4>
      </vt:variant>
      <vt:variant>
        <vt:i4>48</vt:i4>
      </vt:variant>
      <vt:variant>
        <vt:i4>0</vt:i4>
      </vt:variant>
      <vt:variant>
        <vt:i4>5</vt:i4>
      </vt:variant>
      <vt:variant>
        <vt:lpwstr>https://doi.org/10.1016/j.jbusres.2017.03.014</vt:lpwstr>
      </vt:variant>
      <vt:variant>
        <vt:lpwstr/>
      </vt:variant>
      <vt:variant>
        <vt:i4>393287</vt:i4>
      </vt:variant>
      <vt:variant>
        <vt:i4>45</vt:i4>
      </vt:variant>
      <vt:variant>
        <vt:i4>0</vt:i4>
      </vt:variant>
      <vt:variant>
        <vt:i4>5</vt:i4>
      </vt:variant>
      <vt:variant>
        <vt:lpwstr>https://doi.org/10.1080/22243534.2022.2133069</vt:lpwstr>
      </vt:variant>
      <vt:variant>
        <vt:lpwstr/>
      </vt:variant>
      <vt:variant>
        <vt:i4>5111902</vt:i4>
      </vt:variant>
      <vt:variant>
        <vt:i4>42</vt:i4>
      </vt:variant>
      <vt:variant>
        <vt:i4>0</vt:i4>
      </vt:variant>
      <vt:variant>
        <vt:i4>5</vt:i4>
      </vt:variant>
      <vt:variant>
        <vt:lpwstr>https://doi.org/10.17261/pressacademia.2019.1110</vt:lpwstr>
      </vt:variant>
      <vt:variant>
        <vt:lpwstr/>
      </vt:variant>
      <vt:variant>
        <vt:i4>4521994</vt:i4>
      </vt:variant>
      <vt:variant>
        <vt:i4>39</vt:i4>
      </vt:variant>
      <vt:variant>
        <vt:i4>0</vt:i4>
      </vt:variant>
      <vt:variant>
        <vt:i4>5</vt:i4>
      </vt:variant>
      <vt:variant>
        <vt:lpwstr>https://doi.org/10.51200/bimpeagajtsd.v10i1.3635</vt:lpwstr>
      </vt:variant>
      <vt:variant>
        <vt:lpwstr/>
      </vt:variant>
      <vt:variant>
        <vt:i4>393242</vt:i4>
      </vt:variant>
      <vt:variant>
        <vt:i4>36</vt:i4>
      </vt:variant>
      <vt:variant>
        <vt:i4>0</vt:i4>
      </vt:variant>
      <vt:variant>
        <vt:i4>5</vt:i4>
      </vt:variant>
      <vt:variant>
        <vt:lpwstr>https://digitalcommons.fiu.edu/hospitalityreview/vol30/iss2/6</vt:lpwstr>
      </vt:variant>
      <vt:variant>
        <vt:lpwstr/>
      </vt:variant>
      <vt:variant>
        <vt:i4>5111884</vt:i4>
      </vt:variant>
      <vt:variant>
        <vt:i4>33</vt:i4>
      </vt:variant>
      <vt:variant>
        <vt:i4>0</vt:i4>
      </vt:variant>
      <vt:variant>
        <vt:i4>5</vt:i4>
      </vt:variant>
      <vt:variant>
        <vt:lpwstr>https://doi.org/10.23887/ijssb.v5i3.37003</vt:lpwstr>
      </vt:variant>
      <vt:variant>
        <vt:lpwstr/>
      </vt:variant>
      <vt:variant>
        <vt:i4>1441887</vt:i4>
      </vt:variant>
      <vt:variant>
        <vt:i4>30</vt:i4>
      </vt:variant>
      <vt:variant>
        <vt:i4>0</vt:i4>
      </vt:variant>
      <vt:variant>
        <vt:i4>5</vt:i4>
      </vt:variant>
      <vt:variant>
        <vt:lpwstr>https://doi.org/10.1177/1938965514538314</vt:lpwstr>
      </vt:variant>
      <vt:variant>
        <vt:lpwstr/>
      </vt:variant>
      <vt:variant>
        <vt:i4>7995435</vt:i4>
      </vt:variant>
      <vt:variant>
        <vt:i4>27</vt:i4>
      </vt:variant>
      <vt:variant>
        <vt:i4>0</vt:i4>
      </vt:variant>
      <vt:variant>
        <vt:i4>5</vt:i4>
      </vt:variant>
      <vt:variant>
        <vt:lpwstr>https://doi.org/10.25236/iccems.2018.07</vt:lpwstr>
      </vt:variant>
      <vt:variant>
        <vt:lpwstr/>
      </vt:variant>
      <vt:variant>
        <vt:i4>4784152</vt:i4>
      </vt:variant>
      <vt:variant>
        <vt:i4>24</vt:i4>
      </vt:variant>
      <vt:variant>
        <vt:i4>0</vt:i4>
      </vt:variant>
      <vt:variant>
        <vt:i4>5</vt:i4>
      </vt:variant>
      <vt:variant>
        <vt:lpwstr>https://doi.org/10.1016/j.tourman.2018.11.004</vt:lpwstr>
      </vt:variant>
      <vt:variant>
        <vt:lpwstr/>
      </vt:variant>
      <vt:variant>
        <vt:i4>4325462</vt:i4>
      </vt:variant>
      <vt:variant>
        <vt:i4>21</vt:i4>
      </vt:variant>
      <vt:variant>
        <vt:i4>0</vt:i4>
      </vt:variant>
      <vt:variant>
        <vt:i4>5</vt:i4>
      </vt:variant>
      <vt:variant>
        <vt:lpwstr>https://doi.org/10.61426/sjbcm.v6i3.1335</vt:lpwstr>
      </vt:variant>
      <vt:variant>
        <vt:lpwstr/>
      </vt:variant>
      <vt:variant>
        <vt:i4>6160409</vt:i4>
      </vt:variant>
      <vt:variant>
        <vt:i4>18</vt:i4>
      </vt:variant>
      <vt:variant>
        <vt:i4>0</vt:i4>
      </vt:variant>
      <vt:variant>
        <vt:i4>5</vt:i4>
      </vt:variant>
      <vt:variant>
        <vt:lpwstr>https://doi.org/10.1016/j.tourman.2021.104347</vt:lpwstr>
      </vt:variant>
      <vt:variant>
        <vt:lpwstr/>
      </vt:variant>
      <vt:variant>
        <vt:i4>3080239</vt:i4>
      </vt:variant>
      <vt:variant>
        <vt:i4>15</vt:i4>
      </vt:variant>
      <vt:variant>
        <vt:i4>0</vt:i4>
      </vt:variant>
      <vt:variant>
        <vt:i4>5</vt:i4>
      </vt:variant>
      <vt:variant>
        <vt:lpwstr>https://doi.org/10.1108/IJCHM-09-2016-0501</vt:lpwstr>
      </vt:variant>
      <vt:variant>
        <vt:lpwstr/>
      </vt:variant>
      <vt:variant>
        <vt:i4>196675</vt:i4>
      </vt:variant>
      <vt:variant>
        <vt:i4>12</vt:i4>
      </vt:variant>
      <vt:variant>
        <vt:i4>0</vt:i4>
      </vt:variant>
      <vt:variant>
        <vt:i4>5</vt:i4>
      </vt:variant>
      <vt:variant>
        <vt:lpwstr>https://doi.org/10.1080/10941665.2012.708351</vt:lpwstr>
      </vt:variant>
      <vt:variant>
        <vt:lpwstr/>
      </vt:variant>
      <vt:variant>
        <vt:i4>131136</vt:i4>
      </vt:variant>
      <vt:variant>
        <vt:i4>9</vt:i4>
      </vt:variant>
      <vt:variant>
        <vt:i4>0</vt:i4>
      </vt:variant>
      <vt:variant>
        <vt:i4>5</vt:i4>
      </vt:variant>
      <vt:variant>
        <vt:lpwstr>https://doi.org/10.1080/09669582.2020.1758708</vt:lpwstr>
      </vt:variant>
      <vt:variant>
        <vt:lpwstr/>
      </vt:variant>
      <vt:variant>
        <vt:i4>5373978</vt:i4>
      </vt:variant>
      <vt:variant>
        <vt:i4>6</vt:i4>
      </vt:variant>
      <vt:variant>
        <vt:i4>0</vt:i4>
      </vt:variant>
      <vt:variant>
        <vt:i4>5</vt:i4>
      </vt:variant>
      <vt:variant>
        <vt:lpwstr>https://doi.org/10.1016/j.tourman.2020.104090</vt:lpwstr>
      </vt:variant>
      <vt:variant>
        <vt:lpwstr/>
      </vt:variant>
      <vt:variant>
        <vt:i4>1704029</vt:i4>
      </vt:variant>
      <vt:variant>
        <vt:i4>3</vt:i4>
      </vt:variant>
      <vt:variant>
        <vt:i4>0</vt:i4>
      </vt:variant>
      <vt:variant>
        <vt:i4>5</vt:i4>
      </vt:variant>
      <vt:variant>
        <vt:lpwstr>https://doi.org/10.1177/13548166231199156</vt:lpwstr>
      </vt:variant>
      <vt:variant>
        <vt:lpwstr/>
      </vt:variant>
      <vt:variant>
        <vt:i4>7471196</vt:i4>
      </vt:variant>
      <vt:variant>
        <vt:i4>0</vt:i4>
      </vt:variant>
      <vt:variant>
        <vt:i4>0</vt:i4>
      </vt:variant>
      <vt:variant>
        <vt:i4>5</vt:i4>
      </vt:variant>
      <vt:variant>
        <vt:lpwstr>https://www.academia.edu/download/55029875/Published_Journal_9_2017.pdf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2024-06-06T19:37:00Z</dcterms:created>
  <dcterms:modified xsi:type="dcterms:W3CDTF">2024-06-06T21:12:00Z</dcterms:modified>
</cp:coreProperties>
</file>