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02E3" w:rsidRPr="00FB3058" w:rsidRDefault="00FB3058" w:rsidP="00CA01C8">
      <w:pPr>
        <w:spacing w:line="480" w:lineRule="auto"/>
        <w:jc w:val="center"/>
        <w:rPr>
          <w:b/>
          <w:sz w:val="36"/>
        </w:rPr>
      </w:pPr>
      <w:r w:rsidRPr="00FB3058">
        <w:rPr>
          <w:rFonts w:ascii="Arial" w:hAnsi="Arial" w:cs="Arial"/>
          <w:noProof/>
        </w:rPr>
        <w:drawing>
          <wp:anchor distT="0" distB="0" distL="114300" distR="114300" simplePos="0" relativeHeight="251659264" behindDoc="0" locked="0" layoutInCell="1" allowOverlap="1" wp14:anchorId="3AE294BD" wp14:editId="2170F898">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3D02E3" w:rsidRPr="00FB3058" w:rsidRDefault="003D02E3" w:rsidP="00CA01C8">
      <w:pPr>
        <w:spacing w:line="480" w:lineRule="auto"/>
        <w:jc w:val="center"/>
        <w:rPr>
          <w:b/>
          <w:sz w:val="36"/>
        </w:rPr>
      </w:pPr>
    </w:p>
    <w:p w:rsidR="00CE4DA2" w:rsidRPr="00FB3058" w:rsidRDefault="000B6E5B" w:rsidP="00CA01C8">
      <w:pPr>
        <w:spacing w:line="480" w:lineRule="auto"/>
        <w:rPr>
          <w:b/>
          <w:sz w:val="36"/>
        </w:rPr>
      </w:pPr>
      <w:r w:rsidRPr="00FB3058">
        <w:rPr>
          <w:b/>
          <w:sz w:val="36"/>
        </w:rPr>
        <w:t xml:space="preserve"> </w:t>
      </w:r>
    </w:p>
    <w:p w:rsidR="003D02E3" w:rsidRPr="00FB3058" w:rsidRDefault="000B6E5B" w:rsidP="00CA01C8">
      <w:pPr>
        <w:spacing w:line="480" w:lineRule="auto"/>
        <w:jc w:val="center"/>
        <w:rPr>
          <w:b/>
          <w:color w:val="000000"/>
          <w:sz w:val="40"/>
          <w:szCs w:val="27"/>
        </w:rPr>
      </w:pPr>
      <w:r w:rsidRPr="00FB3058">
        <w:rPr>
          <w:b/>
          <w:color w:val="000000"/>
          <w:sz w:val="40"/>
          <w:szCs w:val="27"/>
        </w:rPr>
        <w:t>Legal Process</w:t>
      </w:r>
    </w:p>
    <w:p w:rsidR="003D02E3" w:rsidRPr="00FB3058" w:rsidRDefault="000B6E5B" w:rsidP="00CA01C8">
      <w:pPr>
        <w:spacing w:line="480" w:lineRule="auto"/>
        <w:jc w:val="center"/>
        <w:rPr>
          <w:b/>
          <w:color w:val="000000"/>
          <w:sz w:val="56"/>
          <w:szCs w:val="56"/>
        </w:rPr>
      </w:pPr>
      <w:r w:rsidRPr="00FB3058">
        <w:rPr>
          <w:b/>
          <w:color w:val="000000"/>
          <w:sz w:val="56"/>
          <w:szCs w:val="56"/>
        </w:rPr>
        <w:t>How Lay people uphold Judicial Fairness</w:t>
      </w:r>
    </w:p>
    <w:p w:rsidR="00FB3058" w:rsidRPr="00FB3058" w:rsidRDefault="00FB3058" w:rsidP="00CA01C8">
      <w:pPr>
        <w:spacing w:line="480" w:lineRule="auto"/>
        <w:jc w:val="center"/>
        <w:rPr>
          <w:b/>
          <w:color w:val="000000"/>
          <w:sz w:val="36"/>
          <w:szCs w:val="27"/>
        </w:rPr>
      </w:pPr>
    </w:p>
    <w:p w:rsidR="003D02E3" w:rsidRPr="00FB3058" w:rsidRDefault="000B6E5B" w:rsidP="00CA01C8">
      <w:pPr>
        <w:spacing w:line="480" w:lineRule="auto"/>
        <w:jc w:val="center"/>
        <w:rPr>
          <w:b/>
          <w:color w:val="000000"/>
          <w:sz w:val="36"/>
          <w:szCs w:val="27"/>
        </w:rPr>
      </w:pPr>
      <w:r w:rsidRPr="00FB3058">
        <w:rPr>
          <w:b/>
          <w:color w:val="000000"/>
          <w:sz w:val="36"/>
          <w:szCs w:val="27"/>
        </w:rPr>
        <w:t>Essay</w:t>
      </w:r>
    </w:p>
    <w:p w:rsidR="00FB3058" w:rsidRPr="00FB3058" w:rsidRDefault="00FB3058" w:rsidP="00CA01C8">
      <w:pPr>
        <w:spacing w:line="480" w:lineRule="auto"/>
        <w:rPr>
          <w:color w:val="000000"/>
          <w:sz w:val="32"/>
          <w:szCs w:val="27"/>
        </w:rPr>
      </w:pPr>
    </w:p>
    <w:p w:rsidR="003D02E3" w:rsidRPr="00FB3058" w:rsidRDefault="000B6E5B" w:rsidP="00CA01C8">
      <w:pPr>
        <w:spacing w:line="480" w:lineRule="auto"/>
        <w:jc w:val="center"/>
        <w:rPr>
          <w:color w:val="000000"/>
          <w:sz w:val="32"/>
          <w:szCs w:val="27"/>
        </w:rPr>
      </w:pPr>
      <w:r w:rsidRPr="00FB3058">
        <w:rPr>
          <w:color w:val="000000"/>
          <w:sz w:val="32"/>
          <w:szCs w:val="27"/>
        </w:rPr>
        <w:t>Student Name:</w:t>
      </w:r>
    </w:p>
    <w:p w:rsidR="003D02E3" w:rsidRPr="00FB3058" w:rsidRDefault="000B6E5B" w:rsidP="00CA01C8">
      <w:pPr>
        <w:spacing w:line="480" w:lineRule="auto"/>
        <w:jc w:val="center"/>
        <w:rPr>
          <w:sz w:val="32"/>
        </w:rPr>
      </w:pPr>
      <w:r w:rsidRPr="00FB3058">
        <w:rPr>
          <w:color w:val="000000"/>
          <w:sz w:val="32"/>
          <w:szCs w:val="27"/>
        </w:rPr>
        <w:t>Student ID:</w:t>
      </w:r>
    </w:p>
    <w:p w:rsidR="00B461C8" w:rsidRPr="00FB3058" w:rsidRDefault="00B461C8" w:rsidP="00CA01C8">
      <w:pPr>
        <w:spacing w:line="480" w:lineRule="auto"/>
        <w:rPr>
          <w:b/>
        </w:rPr>
      </w:pPr>
    </w:p>
    <w:sdt>
      <w:sdtPr>
        <w:rPr>
          <w:rFonts w:ascii="Times New Roman" w:eastAsiaTheme="minorHAnsi" w:hAnsi="Times New Roman" w:cstheme="minorBidi"/>
          <w:color w:val="000000" w:themeColor="text1"/>
          <w:kern w:val="2"/>
          <w:sz w:val="24"/>
          <w:szCs w:val="22"/>
          <w:lang w:val="en-GB"/>
          <w14:ligatures w14:val="standardContextual"/>
        </w:rPr>
        <w:id w:val="463015185"/>
        <w:docPartObj>
          <w:docPartGallery w:val="Table of Contents"/>
          <w:docPartUnique/>
        </w:docPartObj>
      </w:sdtPr>
      <w:sdtEndPr>
        <w:rPr>
          <w:b/>
          <w:bCs/>
          <w:noProof/>
        </w:rPr>
      </w:sdtEndPr>
      <w:sdtContent>
        <w:p w:rsidR="003B222E" w:rsidRPr="00FB3058" w:rsidRDefault="000B6E5B" w:rsidP="00CA01C8">
          <w:pPr>
            <w:pStyle w:val="TOCHeading"/>
            <w:spacing w:line="480" w:lineRule="auto"/>
            <w:jc w:val="center"/>
            <w:rPr>
              <w:rFonts w:ascii="Times New Roman" w:hAnsi="Times New Roman" w:cs="Times New Roman"/>
              <w:b/>
              <w:color w:val="auto"/>
              <w:lang w:val="en-GB"/>
            </w:rPr>
          </w:pPr>
          <w:r w:rsidRPr="00FB3058">
            <w:rPr>
              <w:rFonts w:ascii="Times New Roman" w:hAnsi="Times New Roman" w:cs="Times New Roman"/>
              <w:b/>
              <w:color w:val="auto"/>
              <w:lang w:val="en-GB"/>
            </w:rPr>
            <w:t>Table of Contents</w:t>
          </w:r>
        </w:p>
        <w:p w:rsidR="003B222E" w:rsidRPr="00FB3058" w:rsidRDefault="000B6E5B" w:rsidP="00CA01C8">
          <w:pPr>
            <w:pStyle w:val="TOC1"/>
            <w:tabs>
              <w:tab w:val="right" w:leader="dot" w:pos="9350"/>
            </w:tabs>
            <w:spacing w:line="480" w:lineRule="auto"/>
            <w:rPr>
              <w:noProof/>
            </w:rPr>
          </w:pPr>
          <w:r w:rsidRPr="00FB3058">
            <w:fldChar w:fldCharType="begin"/>
          </w:r>
          <w:r w:rsidRPr="00FB3058">
            <w:instrText xml:space="preserve"> TOC \o "1-3" \h \z \u </w:instrText>
          </w:r>
          <w:r w:rsidRPr="00FB3058">
            <w:fldChar w:fldCharType="separate"/>
          </w:r>
          <w:hyperlink w:anchor="_Toc140324502" w:history="1">
            <w:r w:rsidRPr="00FB3058">
              <w:rPr>
                <w:rStyle w:val="Hyperlink"/>
                <w:noProof/>
              </w:rPr>
              <w:t>Introduction</w:t>
            </w:r>
            <w:r w:rsidRPr="00FB3058">
              <w:rPr>
                <w:noProof/>
                <w:webHidden/>
              </w:rPr>
              <w:tab/>
            </w:r>
            <w:r w:rsidRPr="00FB3058">
              <w:rPr>
                <w:noProof/>
                <w:webHidden/>
              </w:rPr>
              <w:fldChar w:fldCharType="begin"/>
            </w:r>
            <w:r w:rsidRPr="00FB3058">
              <w:rPr>
                <w:noProof/>
                <w:webHidden/>
              </w:rPr>
              <w:instrText xml:space="preserve"> PAGEREF _Toc140324502 \h </w:instrText>
            </w:r>
            <w:r w:rsidRPr="00FB3058">
              <w:rPr>
                <w:noProof/>
                <w:webHidden/>
              </w:rPr>
            </w:r>
            <w:r w:rsidRPr="00FB3058">
              <w:rPr>
                <w:noProof/>
                <w:webHidden/>
              </w:rPr>
              <w:fldChar w:fldCharType="separate"/>
            </w:r>
            <w:r w:rsidRPr="00FB3058">
              <w:rPr>
                <w:noProof/>
                <w:webHidden/>
              </w:rPr>
              <w:t>3</w:t>
            </w:r>
            <w:r w:rsidRPr="00FB3058">
              <w:rPr>
                <w:noProof/>
                <w:webHidden/>
              </w:rPr>
              <w:fldChar w:fldCharType="end"/>
            </w:r>
          </w:hyperlink>
        </w:p>
        <w:p w:rsidR="003B222E" w:rsidRPr="00FB3058" w:rsidRDefault="00353F65" w:rsidP="00CA01C8">
          <w:pPr>
            <w:pStyle w:val="TOC1"/>
            <w:tabs>
              <w:tab w:val="right" w:leader="dot" w:pos="9350"/>
            </w:tabs>
            <w:spacing w:line="480" w:lineRule="auto"/>
            <w:rPr>
              <w:noProof/>
            </w:rPr>
          </w:pPr>
          <w:hyperlink w:anchor="_Toc140324503" w:history="1">
            <w:r w:rsidR="000B6E5B" w:rsidRPr="00FB3058">
              <w:rPr>
                <w:rStyle w:val="Hyperlink"/>
                <w:noProof/>
              </w:rPr>
              <w:t>Main Body:</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_Toc140324503 \h </w:instrText>
            </w:r>
            <w:r w:rsidR="000B6E5B" w:rsidRPr="00FB3058">
              <w:rPr>
                <w:noProof/>
                <w:webHidden/>
              </w:rPr>
            </w:r>
            <w:r w:rsidR="000B6E5B" w:rsidRPr="00FB3058">
              <w:rPr>
                <w:noProof/>
                <w:webHidden/>
              </w:rPr>
              <w:fldChar w:fldCharType="separate"/>
            </w:r>
            <w:r w:rsidR="000B6E5B" w:rsidRPr="00FB3058">
              <w:rPr>
                <w:noProof/>
                <w:webHidden/>
              </w:rPr>
              <w:t>4</w:t>
            </w:r>
            <w:r w:rsidR="000B6E5B" w:rsidRPr="00FB3058">
              <w:rPr>
                <w:noProof/>
                <w:webHidden/>
              </w:rPr>
              <w:fldChar w:fldCharType="end"/>
            </w:r>
          </w:hyperlink>
        </w:p>
        <w:p w:rsidR="003B222E" w:rsidRPr="00FB3058" w:rsidRDefault="00353F65" w:rsidP="00CA01C8">
          <w:pPr>
            <w:pStyle w:val="TOC1"/>
            <w:tabs>
              <w:tab w:val="right" w:leader="dot" w:pos="9350"/>
            </w:tabs>
            <w:spacing w:line="480" w:lineRule="auto"/>
            <w:rPr>
              <w:noProof/>
            </w:rPr>
          </w:pPr>
          <w:hyperlink w:anchor="_Toc140324504" w:history="1">
            <w:r w:rsidR="000B6E5B" w:rsidRPr="00FB3058">
              <w:rPr>
                <w:rStyle w:val="Hyperlink"/>
                <w:noProof/>
              </w:rPr>
              <w:t>Conclusion:</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_Toc140324504 \h </w:instrText>
            </w:r>
            <w:r w:rsidR="000B6E5B" w:rsidRPr="00FB3058">
              <w:rPr>
                <w:noProof/>
                <w:webHidden/>
              </w:rPr>
            </w:r>
            <w:r w:rsidR="000B6E5B" w:rsidRPr="00FB3058">
              <w:rPr>
                <w:noProof/>
                <w:webHidden/>
              </w:rPr>
              <w:fldChar w:fldCharType="separate"/>
            </w:r>
            <w:r w:rsidR="000B6E5B" w:rsidRPr="00FB3058">
              <w:rPr>
                <w:noProof/>
                <w:webHidden/>
              </w:rPr>
              <w:t>8</w:t>
            </w:r>
            <w:r w:rsidR="000B6E5B" w:rsidRPr="00FB3058">
              <w:rPr>
                <w:noProof/>
                <w:webHidden/>
              </w:rPr>
              <w:fldChar w:fldCharType="end"/>
            </w:r>
          </w:hyperlink>
        </w:p>
        <w:p w:rsidR="003B222E" w:rsidRPr="00FB3058" w:rsidRDefault="00353F65" w:rsidP="00CA01C8">
          <w:pPr>
            <w:pStyle w:val="TOC1"/>
            <w:tabs>
              <w:tab w:val="right" w:leader="dot" w:pos="9350"/>
            </w:tabs>
            <w:spacing w:line="480" w:lineRule="auto"/>
            <w:rPr>
              <w:noProof/>
            </w:rPr>
          </w:pPr>
          <w:hyperlink w:anchor="_Toc140324505" w:history="1">
            <w:r w:rsidR="000B6E5B" w:rsidRPr="00FB3058">
              <w:rPr>
                <w:rStyle w:val="Hyperlink"/>
                <w:noProof/>
              </w:rPr>
              <w:t>References</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_Toc140324505 \h </w:instrText>
            </w:r>
            <w:r w:rsidR="000B6E5B" w:rsidRPr="00FB3058">
              <w:rPr>
                <w:noProof/>
                <w:webHidden/>
              </w:rPr>
            </w:r>
            <w:r w:rsidR="000B6E5B" w:rsidRPr="00FB3058">
              <w:rPr>
                <w:noProof/>
                <w:webHidden/>
              </w:rPr>
              <w:fldChar w:fldCharType="separate"/>
            </w:r>
            <w:r w:rsidR="000B6E5B" w:rsidRPr="00FB3058">
              <w:rPr>
                <w:noProof/>
                <w:webHidden/>
              </w:rPr>
              <w:t>9</w:t>
            </w:r>
            <w:r w:rsidR="000B6E5B" w:rsidRPr="00FB3058">
              <w:rPr>
                <w:noProof/>
                <w:webHidden/>
              </w:rPr>
              <w:fldChar w:fldCharType="end"/>
            </w:r>
          </w:hyperlink>
        </w:p>
        <w:p w:rsidR="003B222E" w:rsidRPr="00FB3058" w:rsidRDefault="000B6E5B" w:rsidP="00CA01C8">
          <w:pPr>
            <w:spacing w:line="480" w:lineRule="auto"/>
          </w:pPr>
          <w:r w:rsidRPr="00FB3058">
            <w:rPr>
              <w:b/>
              <w:bCs/>
              <w:noProof/>
            </w:rPr>
            <w:fldChar w:fldCharType="end"/>
          </w:r>
        </w:p>
      </w:sdtContent>
    </w:sdt>
    <w:p w:rsidR="003B222E" w:rsidRPr="00FB3058" w:rsidRDefault="000B6E5B" w:rsidP="00CA01C8">
      <w:pPr>
        <w:spacing w:line="480" w:lineRule="auto"/>
        <w:rPr>
          <w:rFonts w:eastAsiaTheme="majorEastAsia" w:cstheme="majorBidi"/>
          <w:b/>
          <w:bCs/>
          <w:kern w:val="0"/>
          <w:sz w:val="36"/>
          <w:szCs w:val="28"/>
          <w14:ligatures w14:val="none"/>
        </w:rPr>
      </w:pPr>
      <w:r w:rsidRPr="00FB3058">
        <w:br w:type="page"/>
      </w:r>
    </w:p>
    <w:p w:rsidR="00DC50E8" w:rsidRPr="00FB3058" w:rsidRDefault="000B6E5B" w:rsidP="00CA01C8">
      <w:pPr>
        <w:pStyle w:val="Heading1"/>
        <w:spacing w:line="480" w:lineRule="auto"/>
      </w:pPr>
      <w:bookmarkStart w:id="0" w:name="_Toc140324502"/>
      <w:r w:rsidRPr="00FB3058">
        <w:lastRenderedPageBreak/>
        <w:t>Introduction</w:t>
      </w:r>
      <w:bookmarkEnd w:id="0"/>
    </w:p>
    <w:p w:rsidR="00467D41" w:rsidRPr="00467D41" w:rsidRDefault="000B6E5B" w:rsidP="00CA01C8">
      <w:pPr>
        <w:spacing w:before="72" w:after="72" w:line="480" w:lineRule="auto"/>
      </w:pPr>
      <w:r w:rsidRPr="00FB3058">
        <w:t>A more impartial and just judicial process is said to result from the participation of laypeople in the legal system, such as judges and jurors. By addressing the claims that juries protect the accused via unfair convictions and make sure justice for all, whereas magistrates face critique for their absence of diversity as well as perceived detachment via the people they judge, this essay seeks to examine the significance of lay individuals in the legal syste</w:t>
      </w:r>
      <w:bookmarkStart w:id="1" w:name="_GoBack"/>
      <w:bookmarkEnd w:id="1"/>
      <w:r w:rsidRPr="00FB3058">
        <w:t xml:space="preserve">m. The </w:t>
      </w:r>
      <w:r w:rsidR="00DC50E8" w:rsidRPr="00FB3058">
        <w:t>essay</w:t>
      </w:r>
      <w:r w:rsidRPr="00FB3058">
        <w:t xml:space="preserve"> will look at the methods used in the hiring and choosing of magistrates, analyse their demographics, and go through the prerequisites. It will also examine the requirements for jury duty, examine the jury selection process, and evaluate whether juries guarantee justice &amp; a fair trial.</w:t>
      </w:r>
      <w:bookmarkStart w:id="2" w:name="_Toc140324503"/>
    </w:p>
    <w:p w:rsidR="00DC50E8" w:rsidRPr="00FB3058" w:rsidRDefault="000B6E5B" w:rsidP="00CA01C8">
      <w:pPr>
        <w:pStyle w:val="Heading1"/>
        <w:spacing w:line="480" w:lineRule="auto"/>
      </w:pPr>
      <w:r w:rsidRPr="00FB3058">
        <w:t>Main Body:</w:t>
      </w:r>
      <w:bookmarkEnd w:id="2"/>
    </w:p>
    <w:p w:rsidR="00CE4DA2" w:rsidRPr="00FB3058" w:rsidRDefault="000B6E5B" w:rsidP="00CA01C8">
      <w:pPr>
        <w:spacing w:before="72" w:after="72" w:line="480" w:lineRule="auto"/>
      </w:pPr>
      <w:r w:rsidRPr="00FB3058">
        <w:rPr>
          <w:b/>
        </w:rPr>
        <w:t>Magistrates:</w:t>
      </w:r>
      <w:r w:rsidRPr="00FB3058">
        <w:t xml:space="preserve"> Magistrates preside over lower-level criminal proceedings and provide judgements on guilt or innocence, playing a significant role in the judicial system. Assessing the significance of magistrates requires an understanding of their recruitment, appointment, and selection processes</w:t>
      </w:r>
      <w:r w:rsidR="00A95610" w:rsidRPr="00FB3058">
        <w:t xml:space="preserve"> (Guinchard and Granger, 2016)</w:t>
      </w:r>
      <w:r w:rsidRPr="00FB3058">
        <w:t xml:space="preserve">. </w:t>
      </w:r>
    </w:p>
    <w:p w:rsidR="00CE4DA2" w:rsidRPr="00FB3058" w:rsidRDefault="000B6E5B" w:rsidP="00CA01C8">
      <w:pPr>
        <w:spacing w:before="72" w:after="72" w:line="480" w:lineRule="auto"/>
      </w:pPr>
      <w:r w:rsidRPr="00FB3058">
        <w:t>Magistrates are those who preside over lower-level judicial proceedings like judges. They are crucial in determining the result of criminal trials, as well as in establishing innocence or guilt and calculating the proper punishments</w:t>
      </w:r>
      <w:r w:rsidR="00A95610" w:rsidRPr="00FB3058">
        <w:t xml:space="preserve"> (Snacken, 2016)</w:t>
      </w:r>
      <w:r w:rsidRPr="00FB3058">
        <w:t xml:space="preserve">. Magistrates often lack proper legal training since they are laypeople. They do, however, acquire instruction to comprehend legal ideas and practises. Magistrates have three most important responsibilities: making sure trials are conducted well, retaining the regulations of justice, and defending the rights of everyone involved. Their contribution to the effectiveness of the court system is crucial in reducing the pressure on higher </w:t>
      </w:r>
      <w:r w:rsidRPr="00FB3058">
        <w:lastRenderedPageBreak/>
        <w:t>courts as well as providing prompt justice for small</w:t>
      </w:r>
      <w:r w:rsidR="00A95610" w:rsidRPr="00FB3058">
        <w:t xml:space="preserve"> offences</w:t>
      </w:r>
      <w:r w:rsidR="009B318D" w:rsidRPr="00FB3058">
        <w:t xml:space="preserve"> (Court of Protection Practice (with CD-ROM), 2023)</w:t>
      </w:r>
      <w:r w:rsidR="00A95610" w:rsidRPr="00FB3058">
        <w:t>.</w:t>
      </w:r>
    </w:p>
    <w:p w:rsidR="00CE4DA2" w:rsidRPr="00FB3058" w:rsidRDefault="000B6E5B" w:rsidP="00CA01C8">
      <w:pPr>
        <w:spacing w:before="72" w:after="72" w:line="480" w:lineRule="auto"/>
        <w:rPr>
          <w:b/>
        </w:rPr>
      </w:pPr>
      <w:r w:rsidRPr="00FB3058">
        <w:rPr>
          <w:b/>
        </w:rPr>
        <w:t>Selection and Recruitment</w:t>
      </w:r>
      <w:r w:rsidR="00A95610" w:rsidRPr="00FB3058">
        <w:rPr>
          <w:b/>
        </w:rPr>
        <w:t xml:space="preserve">: </w:t>
      </w:r>
      <w:r w:rsidRPr="00FB3058">
        <w:t>Magistrates are chosen through a multi-stage procedure that makes sure they have the qualifications, characteristics, and objectivity needed to carry out their jobs well. Applications, interviews, and references are frequently part of the hiring process, which gives applicants the chance to reveal that they may be qualified for the job. A legal foundation for the appointment and choice of magistrates is provided by legislation like the Courts Act of 2003 as well as the Judicial Appointment Regulations. The honesty and equity of the process are to be upheld by this framework. To address the issue that there is not enough diversity among magistrates, recent initiatives have been made. Increased diversity, inclusion, and a more representative judiciary are all goals of programmes like the Ministry of Justice's Inclusion and Diversity Action Plan</w:t>
      </w:r>
      <w:r w:rsidR="00A95610" w:rsidRPr="00FB3058">
        <w:t xml:space="preserve"> (Grasso, 2016)</w:t>
      </w:r>
      <w:r w:rsidRPr="00FB3058">
        <w:t>.</w:t>
      </w:r>
    </w:p>
    <w:p w:rsidR="00CE4DA2" w:rsidRPr="00FB3058" w:rsidRDefault="000B6E5B" w:rsidP="00CA01C8">
      <w:pPr>
        <w:spacing w:before="72" w:after="72" w:line="480" w:lineRule="auto"/>
        <w:rPr>
          <w:b/>
        </w:rPr>
      </w:pPr>
      <w:r w:rsidRPr="00FB3058">
        <w:rPr>
          <w:b/>
        </w:rPr>
        <w:t>Demographics:</w:t>
      </w:r>
      <w:r w:rsidR="00A95610" w:rsidRPr="00FB3058">
        <w:rPr>
          <w:b/>
        </w:rPr>
        <w:t xml:space="preserve"> </w:t>
      </w:r>
      <w:r w:rsidRPr="00FB3058">
        <w:t xml:space="preserve">It has long been argued that the lack of variety among magistrates makes it difficult for them to administer fair justice. However, initiatives to address this problem and advance diversity within the </w:t>
      </w:r>
      <w:r w:rsidR="00FB3058" w:rsidRPr="00FB3058">
        <w:t>magistrate</w:t>
      </w:r>
      <w:r w:rsidRPr="00FB3058">
        <w:t xml:space="preserve"> have recently been made. It is critical to study the makeup of the magistrates these days, taking into account elements like race, ethnic background, age, and socioeconomic status.</w:t>
      </w:r>
    </w:p>
    <w:p w:rsidR="00CE4DA2" w:rsidRPr="00FB3058" w:rsidRDefault="000B6E5B" w:rsidP="00CA01C8">
      <w:pPr>
        <w:spacing w:before="72" w:after="72" w:line="480" w:lineRule="auto"/>
      </w:pPr>
      <w:r w:rsidRPr="00FB3058">
        <w:rPr>
          <w:b/>
        </w:rPr>
        <w:t>Requirements and Commitment:</w:t>
      </w:r>
      <w:r w:rsidRPr="00FB3058">
        <w:t xml:space="preserve"> To be appointed a magistrate, candidates must fulfil several conditions, including being of excellent moral character, having certain traits, and fulfilling eligibility standards. A major time and effort commitment is also required to become a magistrate because the position is unpaid and requires continual training in addition to frequent court attendance</w:t>
      </w:r>
      <w:r w:rsidR="009B318D" w:rsidRPr="00FB3058">
        <w:t xml:space="preserve"> (Anthony and Berryman’s Magistrates' Court Guide, 2022)</w:t>
      </w:r>
      <w:r w:rsidRPr="00FB3058">
        <w:t>.</w:t>
      </w:r>
    </w:p>
    <w:p w:rsidR="00CE4DA2" w:rsidRPr="00FB3058" w:rsidRDefault="000B6E5B" w:rsidP="00CA01C8">
      <w:pPr>
        <w:spacing w:before="72" w:after="72" w:line="480" w:lineRule="auto"/>
      </w:pPr>
      <w:r w:rsidRPr="00FB3058">
        <w:lastRenderedPageBreak/>
        <w:t>People must meet criteria and exhibit certain traits to become magistrates. Prospective judges must fulfil eligibility requirements, including may include becoming a British citizen and a resident of the area where they plan to serve, in addition to possessing a high moral character. Additionally, people need to have traits like justice, objectivity, and good judgement. It's crucial to remember that serving as a magistrate requires a sizable time and effort commitment. Despite getting an unpaid position, judges must routinely attend court and participate in continuous training to keep their knowledge and abilities up to date. This commitment demonstrates the devotion required to carry out their responsibilities successfully and protect the f</w:t>
      </w:r>
      <w:r w:rsidR="00A95610" w:rsidRPr="00FB3058">
        <w:t>airness of the judicial system (Murphy, 2016).</w:t>
      </w:r>
    </w:p>
    <w:p w:rsidR="00CE4DA2" w:rsidRPr="00FB3058" w:rsidRDefault="000B6E5B" w:rsidP="00CA01C8">
      <w:pPr>
        <w:spacing w:before="72" w:after="72" w:line="480" w:lineRule="auto"/>
      </w:pPr>
      <w:r w:rsidRPr="00FB3058">
        <w:rPr>
          <w:b/>
        </w:rPr>
        <w:t>Responding to Criticisms:</w:t>
      </w:r>
      <w:r w:rsidRPr="00FB3058">
        <w:t xml:space="preserve"> It has been extensively argued that magistrates are excessively male, too white, too middle-class, and too elderly. To address this issue, initiatives have been put in place, such as the Diversity &amp; inclusion Action Plan unveiled by the Minister of </w:t>
      </w:r>
      <w:r w:rsidR="00801DD2" w:rsidRPr="00FB3058">
        <w:t>Justice</w:t>
      </w:r>
      <w:r w:rsidRPr="00FB3058">
        <w:t>. The strategy attempts to enhance inclusion, diversify the magistrate workforce, and correct what is thought to be a representational imbalance.</w:t>
      </w:r>
    </w:p>
    <w:p w:rsidR="00CE4DA2" w:rsidRPr="00FB3058" w:rsidRDefault="000B6E5B" w:rsidP="00CA01C8">
      <w:pPr>
        <w:spacing w:before="72" w:after="72" w:line="480" w:lineRule="auto"/>
      </w:pPr>
      <w:r w:rsidRPr="00FB3058">
        <w:rPr>
          <w:b/>
        </w:rPr>
        <w:t>Initiatives are being put into effect</w:t>
      </w:r>
      <w:r w:rsidRPr="00FB3058">
        <w:t xml:space="preserve"> to solve this problem since </w:t>
      </w:r>
      <w:r w:rsidR="00801DD2" w:rsidRPr="00FB3058">
        <w:t>inclusion and representation must be</w:t>
      </w:r>
      <w:r w:rsidRPr="00FB3058">
        <w:t xml:space="preserve"> both present. To create a more inclusive court and boost diversity among magistrates, the Ministry of Justice has unveiled the Diversity &amp; Inclusion Action Plan</w:t>
      </w:r>
      <w:r w:rsidR="00A95610" w:rsidRPr="00FB3058">
        <w:t xml:space="preserve"> (Lawrence and Taylor, 2020)</w:t>
      </w:r>
      <w:r w:rsidRPr="00FB3058">
        <w:t>. This strategy calls for actions including specialised recruiting efforts, education on unconscious prejudice, and the creation of assistance networks among underrepresented groups. These actions show a dedication to responding to criticism and establishing a more varied</w:t>
      </w:r>
      <w:r w:rsidR="00DC50E8" w:rsidRPr="00FB3058">
        <w:t xml:space="preserve"> and representative magistracy.</w:t>
      </w:r>
    </w:p>
    <w:p w:rsidR="00CE4DA2" w:rsidRPr="00FB3058" w:rsidRDefault="000B6E5B" w:rsidP="00CA01C8">
      <w:pPr>
        <w:spacing w:before="72" w:after="72" w:line="480" w:lineRule="auto"/>
        <w:rPr>
          <w:b/>
        </w:rPr>
      </w:pPr>
      <w:r w:rsidRPr="00FB3058">
        <w:rPr>
          <w:b/>
        </w:rPr>
        <w:t>Juries:</w:t>
      </w:r>
    </w:p>
    <w:p w:rsidR="00CE4DA2" w:rsidRPr="00FB3058" w:rsidRDefault="000B6E5B" w:rsidP="00CA01C8">
      <w:pPr>
        <w:spacing w:before="72" w:after="72" w:line="480" w:lineRule="auto"/>
      </w:pPr>
      <w:r w:rsidRPr="00FB3058">
        <w:lastRenderedPageBreak/>
        <w:t xml:space="preserve">Juries preserve a significant position within the legal system because they play a significant role in deciding whether defendants are guilty or innocent according to the evidence provided in a trial. Their function of evaluating the evidence, assessing </w:t>
      </w:r>
      <w:r w:rsidR="00801DD2" w:rsidRPr="00FB3058">
        <w:t>observing</w:t>
      </w:r>
      <w:r w:rsidRPr="00FB3058">
        <w:t xml:space="preserve"> credibility, and collectively deliberating reflects the principles </w:t>
      </w:r>
      <w:r w:rsidR="00801DD2" w:rsidRPr="00FB3058">
        <w:t>of</w:t>
      </w:r>
      <w:r w:rsidRPr="00FB3058">
        <w:t xml:space="preserve"> fairness and equity. Juries also ensure that verdicts do not rely only on legal </w:t>
      </w:r>
      <w:r w:rsidR="00DC50E8" w:rsidRPr="00FB3058">
        <w:t>experts</w:t>
      </w:r>
      <w:r w:rsidR="00443589" w:rsidRPr="00FB3058">
        <w:t xml:space="preserve"> (Keay, 2020)</w:t>
      </w:r>
      <w:r w:rsidR="00DC50E8" w:rsidRPr="00FB3058">
        <w:t xml:space="preserve">. </w:t>
      </w:r>
    </w:p>
    <w:p w:rsidR="00CE4DA2" w:rsidRPr="00FB3058" w:rsidRDefault="000B6E5B" w:rsidP="00CA01C8">
      <w:pPr>
        <w:spacing w:before="72" w:after="72" w:line="480" w:lineRule="auto"/>
      </w:pPr>
      <w:r w:rsidRPr="00FB3058">
        <w:rPr>
          <w:b/>
        </w:rPr>
        <w:t>Limitations:</w:t>
      </w:r>
      <w:r w:rsidRPr="00FB3058">
        <w:t xml:space="preserve"> People need to satisfy certain necessities </w:t>
      </w:r>
      <w:r w:rsidR="00801DD2" w:rsidRPr="00FB3058">
        <w:t>to</w:t>
      </w:r>
      <w:r w:rsidRPr="00FB3058">
        <w:t xml:space="preserve"> be eligible for service on a jury, such as being on the voter registration list and being at least 18 years old. There are regulations on jury responsibility, although. </w:t>
      </w:r>
      <w:r w:rsidR="00801DD2" w:rsidRPr="00FB3058">
        <w:t>People with criminal histories or mental impairments can be</w:t>
      </w:r>
      <w:r w:rsidRPr="00FB3058">
        <w:t xml:space="preserve"> excluded from jury obligation. These regulations are put in place to make certain that the jurors have the training and abilities necessary to render truthful decisions in light of the evidence given during a trial. The legal system strives to preserve the fairness and integrity of jury judgements by respecting these eligibility requirements and restrictions, fosterin</w:t>
      </w:r>
      <w:r w:rsidR="00A95610" w:rsidRPr="00FB3058">
        <w:t>g trust in the judicial system (Cumberbatch and Barnes, 2018).</w:t>
      </w:r>
    </w:p>
    <w:p w:rsidR="00CE4DA2" w:rsidRPr="00FB3058" w:rsidRDefault="000B6E5B" w:rsidP="00CA01C8">
      <w:pPr>
        <w:spacing w:before="72" w:after="72" w:line="480" w:lineRule="auto"/>
      </w:pPr>
      <w:r w:rsidRPr="00FB3058">
        <w:rPr>
          <w:b/>
        </w:rPr>
        <w:t>Process of Selection:</w:t>
      </w:r>
      <w:r w:rsidRPr="00FB3058">
        <w:t xml:space="preserve"> To ensure a fair and accurate cross-section of society, jurors are chosen using a random and unbiased process. A jury summoning registry or the electoral register </w:t>
      </w:r>
      <w:r w:rsidR="00801DD2" w:rsidRPr="00FB3058">
        <w:t>is</w:t>
      </w:r>
      <w:r w:rsidRPr="00FB3058">
        <w:t xml:space="preserve"> used to choose potential jurors. </w:t>
      </w:r>
      <w:r w:rsidR="00801DD2" w:rsidRPr="00FB3058">
        <w:t>To</w:t>
      </w:r>
      <w:r w:rsidRPr="00FB3058">
        <w:t xml:space="preserve"> avoid biases or manipulations during the jury selection procedure, a random selection approach was used. The legal system strives to safeguard the ideal of fairness and guarantee that judgements are made according to the evidence given in court by making sure that jurors are selected without bias or favouritism</w:t>
      </w:r>
      <w:r w:rsidR="00A95610" w:rsidRPr="00FB3058">
        <w:t xml:space="preserve"> (Mannila, 2021).</w:t>
      </w:r>
    </w:p>
    <w:p w:rsidR="00CE4DA2" w:rsidRPr="00FB3058" w:rsidRDefault="000B6E5B" w:rsidP="00CA01C8">
      <w:pPr>
        <w:spacing w:before="72" w:after="72" w:line="480" w:lineRule="auto"/>
        <w:rPr>
          <w:b/>
        </w:rPr>
      </w:pPr>
      <w:r w:rsidRPr="00FB3058">
        <w:rPr>
          <w:b/>
        </w:rPr>
        <w:t xml:space="preserve">Selection process: </w:t>
      </w:r>
      <w:r w:rsidRPr="00FB3058">
        <w:t xml:space="preserve">Juries are universally acknowledged as being essential in protecting defendants from unfair convictions and upholding the concepts of justice. Through their participation, the community's values and common sense are incorporated into the judicial procedures, adding a unique perspective. Juries are essential for guaranteeing that justice is done for all parties involved </w:t>
      </w:r>
      <w:r w:rsidRPr="00FB3058">
        <w:lastRenderedPageBreak/>
        <w:t>in a case by deciding on the evidence given as a group. By including regular people in the decision-making process, the legal system gains a democratic component that encourages fairness and transparency in the delivery of justice.</w:t>
      </w:r>
    </w:p>
    <w:p w:rsidR="00CE4DA2" w:rsidRPr="00FB3058" w:rsidRDefault="000B6E5B" w:rsidP="00CA01C8">
      <w:pPr>
        <w:spacing w:before="72" w:after="72" w:line="480" w:lineRule="auto"/>
      </w:pPr>
      <w:r w:rsidRPr="00FB3058">
        <w:rPr>
          <w:b/>
        </w:rPr>
        <w:t>Fairness and Trial by Jury</w:t>
      </w:r>
      <w:r w:rsidRPr="00FB3058">
        <w:t xml:space="preserve">: The legal system's basic tenet of trial by jury is often viewed as being crucial to maintaining trial fairness. It enables those who have been charged with a crime to get their case heard &amp; resolved by a jury of their peers. This method of impartial decision-making guarantees that judgements are not entirely decided by the government and judicial authority, which is an essential protection against </w:t>
      </w:r>
      <w:r w:rsidR="00DC50E8" w:rsidRPr="00FB3058">
        <w:t>possible misuse of state power</w:t>
      </w:r>
      <w:r w:rsidR="00A95610" w:rsidRPr="00FB3058">
        <w:t xml:space="preserve"> (Nonet, Selznick and Kagan, 2017)</w:t>
      </w:r>
      <w:r w:rsidR="00DC50E8" w:rsidRPr="00FB3058">
        <w:t>.</w:t>
      </w:r>
    </w:p>
    <w:p w:rsidR="00CE4DA2" w:rsidRPr="00FB3058" w:rsidRDefault="000B6E5B" w:rsidP="00CA01C8">
      <w:pPr>
        <w:spacing w:before="72" w:after="72" w:line="480" w:lineRule="auto"/>
      </w:pPr>
      <w:r w:rsidRPr="00FB3058">
        <w:t xml:space="preserve">Trial by jury also encourages openness and public trust in the judicial system. Participation of regular people in decision-making processes provides a variety of viewpoints and common sense thinking to the courts. As members of the community, jurors are said to contribute empathy and justice to the proceedings. The jury members' consensus-based collective decision-making adds a democratic component to the administration </w:t>
      </w:r>
      <w:r w:rsidR="00801DD2" w:rsidRPr="00FB3058">
        <w:t>of</w:t>
      </w:r>
      <w:r w:rsidR="00DC50E8" w:rsidRPr="00FB3058">
        <w:t xml:space="preserve"> justice</w:t>
      </w:r>
      <w:r w:rsidR="009B318D" w:rsidRPr="00FB3058">
        <w:t xml:space="preserve"> (Maine jury instruction manual, 2023)</w:t>
      </w:r>
      <w:r w:rsidR="00DC50E8" w:rsidRPr="00FB3058">
        <w:t>.</w:t>
      </w:r>
      <w:r w:rsidR="009B318D" w:rsidRPr="00FB3058">
        <w:t xml:space="preserve"> </w:t>
      </w:r>
    </w:p>
    <w:p w:rsidR="00CE4DA2" w:rsidRPr="00FB3058" w:rsidRDefault="000B6E5B" w:rsidP="00CA01C8">
      <w:pPr>
        <w:spacing w:before="72" w:after="72" w:line="480" w:lineRule="auto"/>
      </w:pPr>
      <w:r w:rsidRPr="00FB3058">
        <w:t xml:space="preserve">Trials by jury are not without their difficulties and detractors, though. One worry is the possibility of jury bias, wherein jurors may be swayed by individual biases or outside forces, which might affect the trial's impartiality. Through fair jury selection techniques and random selection processes, the selection process seeks to minimise such biases. Additionally, jurors may have trouble understanding and analysing the evidence provided because </w:t>
      </w:r>
      <w:r w:rsidR="00801DD2" w:rsidRPr="00FB3058">
        <w:t>of</w:t>
      </w:r>
      <w:r w:rsidRPr="00FB3058">
        <w:t xml:space="preserve"> the complexity of some cases, such as those demanding technical or specialised expertise</w:t>
      </w:r>
      <w:r w:rsidR="00A95610" w:rsidRPr="00FB3058">
        <w:t xml:space="preserve"> (Donnelly and MacDonald, 2018)</w:t>
      </w:r>
      <w:r w:rsidRPr="00FB3058">
        <w:t>.</w:t>
      </w:r>
    </w:p>
    <w:p w:rsidR="00CE4DA2" w:rsidRPr="00FB3058" w:rsidRDefault="000B6E5B" w:rsidP="00CA01C8">
      <w:pPr>
        <w:spacing w:before="72" w:after="72" w:line="480" w:lineRule="auto"/>
      </w:pPr>
      <w:r w:rsidRPr="00FB3058">
        <w:t xml:space="preserve">Trial by jury, which balances the power dynamics </w:t>
      </w:r>
      <w:r w:rsidR="00801DD2" w:rsidRPr="00FB3058">
        <w:t>between</w:t>
      </w:r>
      <w:r w:rsidRPr="00FB3058">
        <w:t xml:space="preserve"> the government and the accused and makes sure that justice is administered in a way that is indicative of the community's beliefs and </w:t>
      </w:r>
      <w:r w:rsidRPr="00FB3058">
        <w:lastRenderedPageBreak/>
        <w:t>norms, continues to be a crucial component of the legal system despite these difficulties. Constant efforts are made to resolve issues, such as offering jurors the proper direction and assistance during complicated trials and educating the general public about the value and role of juries in the judicial system</w:t>
      </w:r>
      <w:r w:rsidR="009B318D" w:rsidRPr="00FB3058">
        <w:t xml:space="preserve"> (Pattern jury instructions law books | lexisnexis store, 2023)</w:t>
      </w:r>
      <w:r w:rsidRPr="00FB3058">
        <w:t>.</w:t>
      </w:r>
    </w:p>
    <w:p w:rsidR="00A95610" w:rsidRPr="00FB3058" w:rsidRDefault="000B6E5B" w:rsidP="00CA01C8">
      <w:pPr>
        <w:spacing w:line="480" w:lineRule="auto"/>
        <w:rPr>
          <w:b/>
        </w:rPr>
      </w:pPr>
      <w:r w:rsidRPr="00FB3058">
        <w:rPr>
          <w:b/>
        </w:rPr>
        <w:br w:type="page"/>
      </w:r>
    </w:p>
    <w:p w:rsidR="00DC50E8" w:rsidRPr="00FB3058" w:rsidRDefault="000B6E5B" w:rsidP="00CA01C8">
      <w:pPr>
        <w:pStyle w:val="Heading1"/>
        <w:spacing w:line="480" w:lineRule="auto"/>
      </w:pPr>
      <w:bookmarkStart w:id="3" w:name="_Toc140324504"/>
      <w:r w:rsidRPr="00FB3058">
        <w:lastRenderedPageBreak/>
        <w:t>Conclusion:</w:t>
      </w:r>
      <w:bookmarkEnd w:id="3"/>
      <w:r w:rsidRPr="00FB3058">
        <w:t xml:space="preserve"> </w:t>
      </w:r>
    </w:p>
    <w:p w:rsidR="00CE4DA2" w:rsidRPr="00FB3058" w:rsidRDefault="000B6E5B" w:rsidP="00CA01C8">
      <w:pPr>
        <w:spacing w:before="72" w:after="72" w:line="480" w:lineRule="auto"/>
      </w:pPr>
      <w:r w:rsidRPr="00FB3058">
        <w:t xml:space="preserve">The maintenance of judicial impartiality within the legal system depends critically on laypeople, especially jurors and magistrates. Magistrates give their time, knowledge, and impartiality to ensure that the proceedings are fair. To improve their representativeness, efforts have been undertaken to overcome the lack of diversity </w:t>
      </w:r>
      <w:r w:rsidR="00801DD2" w:rsidRPr="00FB3058">
        <w:t>among</w:t>
      </w:r>
      <w:r w:rsidRPr="00FB3058">
        <w:t xml:space="preserve"> magistrates. On the opposite hand, </w:t>
      </w:r>
      <w:r w:rsidR="00801DD2" w:rsidRPr="00FB3058">
        <w:t>using</w:t>
      </w:r>
      <w:r w:rsidRPr="00FB3058">
        <w:t xml:space="preserve"> taking part </w:t>
      </w:r>
      <w:r w:rsidR="00801DD2" w:rsidRPr="00FB3058">
        <w:t>in</w:t>
      </w:r>
      <w:r w:rsidRPr="00FB3058">
        <w:t xml:space="preserve"> the decision-making process, juries protect the rights of defendants and uphold the rule of law. A fair trial still requires a jury trial, despite problems and restrictions that must be acknowledged &amp; resolved. The legal system may better sustain judicial integrity &amp; public confidence by acknowledging the importance of lay individuals and consistently pursuing inclusion and justice.</w:t>
      </w:r>
    </w:p>
    <w:p w:rsidR="00354A16" w:rsidRPr="00FB3058" w:rsidRDefault="000B6E5B" w:rsidP="00CA01C8">
      <w:pPr>
        <w:spacing w:line="480" w:lineRule="auto"/>
      </w:pPr>
      <w:r w:rsidRPr="00FB3058">
        <w:br w:type="page"/>
      </w:r>
    </w:p>
    <w:p w:rsidR="00D70DB8" w:rsidRPr="00FB3058" w:rsidRDefault="000B6E5B" w:rsidP="00CA01C8">
      <w:pPr>
        <w:pStyle w:val="Heading1"/>
        <w:spacing w:line="480" w:lineRule="auto"/>
      </w:pPr>
      <w:bookmarkStart w:id="4" w:name="_Toc140324505"/>
      <w:r w:rsidRPr="00FB3058">
        <w:lastRenderedPageBreak/>
        <w:t>References</w:t>
      </w:r>
      <w:bookmarkEnd w:id="4"/>
    </w:p>
    <w:p w:rsidR="00467D41" w:rsidRPr="00FB3058" w:rsidRDefault="00467D41" w:rsidP="00CA01C8">
      <w:pPr>
        <w:pStyle w:val="ListParagraph"/>
        <w:numPr>
          <w:ilvl w:val="0"/>
          <w:numId w:val="1"/>
        </w:numPr>
        <w:spacing w:line="480" w:lineRule="auto"/>
      </w:pPr>
      <w:r w:rsidRPr="00FB3058">
        <w:t xml:space="preserve">Anthony and Berryman’s Magistrates’ Court Guide (2022) LexisNexis UK. Available at: https://www.lexisnexis.co.uk/store/categories/legal/litigation-criminal-75/anthony-and-berrymans-magistrates-court-guide-2023-skuuksku9781474320726ABMC788715/details (Accessed: 15 July 2023). </w:t>
      </w:r>
    </w:p>
    <w:p w:rsidR="00467D41" w:rsidRPr="00FB3058" w:rsidRDefault="00467D41" w:rsidP="00CA01C8">
      <w:pPr>
        <w:pStyle w:val="ListParagraph"/>
        <w:numPr>
          <w:ilvl w:val="0"/>
          <w:numId w:val="1"/>
        </w:numPr>
        <w:spacing w:line="480" w:lineRule="auto"/>
      </w:pPr>
      <w:r w:rsidRPr="00FB3058">
        <w:t xml:space="preserve">Court of Protection Practice (with CD-ROM) (2023) LexisNexis UK. Available at: https://www.lexisnexis.co.uk/store/categories/legal/practice-procedure-60/court-of-protection-practice-with-cdrom-2023-skuuksku9781784735005COPP90563/details (Accessed: 15 July 2023). </w:t>
      </w:r>
    </w:p>
    <w:p w:rsidR="00467D41" w:rsidRPr="00FB3058" w:rsidRDefault="00467D41" w:rsidP="00CA01C8">
      <w:pPr>
        <w:pStyle w:val="ListParagraph"/>
        <w:numPr>
          <w:ilvl w:val="0"/>
          <w:numId w:val="1"/>
        </w:numPr>
        <w:spacing w:line="480" w:lineRule="auto"/>
      </w:pPr>
      <w:r w:rsidRPr="00FB3058">
        <w:t>Cumberbatch, J.R. and Barnes, G.C., (2018). This nudge was not enough: a randomised trial of text message reminders of court dates to victims and witnesses. Cambridge Journal of Evidence-Based Policing, 2, pp.35-51.</w:t>
      </w:r>
    </w:p>
    <w:p w:rsidR="00467D41" w:rsidRPr="00FB3058" w:rsidRDefault="00467D41" w:rsidP="00CA01C8">
      <w:pPr>
        <w:pStyle w:val="ListParagraph"/>
        <w:numPr>
          <w:ilvl w:val="0"/>
          <w:numId w:val="1"/>
        </w:numPr>
        <w:spacing w:line="480" w:lineRule="auto"/>
      </w:pPr>
      <w:r w:rsidRPr="00FB3058">
        <w:t>Donnelly, E.A. and MacDonald, J.M., (2018). The downstream effects of bail and pretrial detention on racial disparities in incarceration. J. Crim. l. &amp; CriminoloGY, 108, p.775.</w:t>
      </w:r>
    </w:p>
    <w:p w:rsidR="00467D41" w:rsidRPr="00FB3058" w:rsidRDefault="00467D41" w:rsidP="00CA01C8">
      <w:pPr>
        <w:pStyle w:val="ListParagraph"/>
        <w:numPr>
          <w:ilvl w:val="0"/>
          <w:numId w:val="1"/>
        </w:numPr>
        <w:spacing w:line="480" w:lineRule="auto"/>
      </w:pPr>
      <w:r w:rsidRPr="00FB3058">
        <w:t>Grasso, C., (2016). Peaks and troughs of the UK deferred prosecution agreement: The lesson learned from the first-ever DPA between the SFO and ICBC SB PLC. Journal of Business Law, Sweet and Maxwell (Forthcoming), Queen Mary School of Law Legal Studies Research Paper, (223).</w:t>
      </w:r>
    </w:p>
    <w:p w:rsidR="00467D41" w:rsidRPr="00FB3058" w:rsidRDefault="00467D41" w:rsidP="00CA01C8">
      <w:pPr>
        <w:pStyle w:val="ListParagraph"/>
        <w:numPr>
          <w:ilvl w:val="0"/>
          <w:numId w:val="1"/>
        </w:numPr>
        <w:spacing w:line="480" w:lineRule="auto"/>
      </w:pPr>
      <w:r w:rsidRPr="00FB3058">
        <w:t>Guinchard, E. and Granger, M.P. eds., (2016). The new EU judiciary: an analysis of current judicial reforms. Kluwer Law International BV.</w:t>
      </w:r>
    </w:p>
    <w:p w:rsidR="00467D41" w:rsidRPr="00FB3058" w:rsidRDefault="00467D41" w:rsidP="00CA01C8">
      <w:pPr>
        <w:pStyle w:val="ListParagraph"/>
        <w:numPr>
          <w:ilvl w:val="0"/>
          <w:numId w:val="1"/>
        </w:numPr>
        <w:spacing w:line="480" w:lineRule="auto"/>
      </w:pPr>
      <w:r w:rsidRPr="00FB3058">
        <w:t>Keay, P.A. (2020) Directors’ duties fourth edition, LexisNexis UK. Available at: https://www.lexisnexis.co.uk/store/products/directors-duties-fourth-edition-skuuksku9781784734541DD483781/details (Accessed: 15 July 2023).</w:t>
      </w:r>
    </w:p>
    <w:p w:rsidR="00467D41" w:rsidRPr="00FB3058" w:rsidRDefault="00467D41" w:rsidP="00CA01C8">
      <w:pPr>
        <w:pStyle w:val="ListParagraph"/>
        <w:numPr>
          <w:ilvl w:val="0"/>
          <w:numId w:val="1"/>
        </w:numPr>
        <w:spacing w:line="480" w:lineRule="auto"/>
      </w:pPr>
      <w:r w:rsidRPr="00FB3058">
        <w:lastRenderedPageBreak/>
        <w:t>Lawrence, M. and Taylor, Y., (2020). The UK government LGBT Action Plan: Discourses of progress, enduring stasis, and LGBTQI+ lives ‘getting better’. Critical social policy, 40(4), pp.586-607.</w:t>
      </w:r>
    </w:p>
    <w:p w:rsidR="00467D41" w:rsidRPr="00FB3058" w:rsidRDefault="00467D41" w:rsidP="00CA01C8">
      <w:pPr>
        <w:pStyle w:val="ListParagraph"/>
        <w:numPr>
          <w:ilvl w:val="0"/>
          <w:numId w:val="1"/>
        </w:numPr>
        <w:spacing w:line="480" w:lineRule="auto"/>
      </w:pPr>
      <w:r w:rsidRPr="00FB3058">
        <w:t>Maine jury instruction manual (2023) LexisNexis Store. Available at: https://store.lexisnexis.com/categories/area-of-practice/civil-procedure-154/maine-jury-instruction-manual-skuusSku7266 (Accessed: 15 July 2023).</w:t>
      </w:r>
    </w:p>
    <w:p w:rsidR="00467D41" w:rsidRPr="00FB3058" w:rsidRDefault="00467D41" w:rsidP="00CA01C8">
      <w:pPr>
        <w:pStyle w:val="ListParagraph"/>
        <w:numPr>
          <w:ilvl w:val="0"/>
          <w:numId w:val="1"/>
        </w:numPr>
        <w:spacing w:line="480" w:lineRule="auto"/>
      </w:pPr>
      <w:r w:rsidRPr="00FB3058">
        <w:t>Mannila, S., (2021). Discrimination in Finland 2017-2019: Data report.</w:t>
      </w:r>
    </w:p>
    <w:p w:rsidR="00467D41" w:rsidRPr="00FB3058" w:rsidRDefault="00467D41" w:rsidP="00CA01C8">
      <w:pPr>
        <w:pStyle w:val="ListParagraph"/>
        <w:numPr>
          <w:ilvl w:val="0"/>
          <w:numId w:val="1"/>
        </w:numPr>
        <w:spacing w:line="480" w:lineRule="auto"/>
      </w:pPr>
      <w:r w:rsidRPr="00FB3058">
        <w:t>Murphy, W.F., (2016). Elements of judicial strategy (Vol. 17). Quid Pro Books.</w:t>
      </w:r>
    </w:p>
    <w:p w:rsidR="00467D41" w:rsidRPr="00FB3058" w:rsidRDefault="00467D41" w:rsidP="00CA01C8">
      <w:pPr>
        <w:pStyle w:val="ListParagraph"/>
        <w:numPr>
          <w:ilvl w:val="0"/>
          <w:numId w:val="1"/>
        </w:numPr>
        <w:spacing w:line="480" w:lineRule="auto"/>
      </w:pPr>
      <w:r w:rsidRPr="00FB3058">
        <w:t>Nonet, P., Selznick, P. and Kagan, R.A., (2017). Law and society in transition: Toward responsive law. Routledge.</w:t>
      </w:r>
    </w:p>
    <w:p w:rsidR="00467D41" w:rsidRPr="00FB3058" w:rsidRDefault="00467D41" w:rsidP="00CA01C8">
      <w:pPr>
        <w:pStyle w:val="ListParagraph"/>
        <w:numPr>
          <w:ilvl w:val="0"/>
          <w:numId w:val="1"/>
        </w:numPr>
        <w:spacing w:line="480" w:lineRule="auto"/>
      </w:pPr>
      <w:r w:rsidRPr="00FB3058">
        <w:t>Pattern jury instructions law books | lexisnexis store (2023). Available at: https://store.lexisnexis.com/categories/content-type/pattern-jury-instructions-685 (Accessed: 15 July 2023).</w:t>
      </w:r>
    </w:p>
    <w:p w:rsidR="00467D41" w:rsidRPr="00FB3058" w:rsidRDefault="00467D41" w:rsidP="00CA01C8">
      <w:pPr>
        <w:pStyle w:val="ListParagraph"/>
        <w:numPr>
          <w:ilvl w:val="0"/>
          <w:numId w:val="1"/>
        </w:numPr>
        <w:spacing w:line="480" w:lineRule="auto"/>
      </w:pPr>
      <w:r w:rsidRPr="00FB3058">
        <w:t>Snacken, S., (2016). Punishment, legitimacy and the role of the state. Justice and Penal Reform: Re-shaping the penal landscape, p.47.</w:t>
      </w:r>
    </w:p>
    <w:sectPr w:rsidR="00467D41" w:rsidRPr="00FB305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3F65" w:rsidRDefault="00353F65" w:rsidP="003D02E3">
      <w:pPr>
        <w:spacing w:before="0" w:after="0" w:line="240" w:lineRule="auto"/>
      </w:pPr>
      <w:r>
        <w:separator/>
      </w:r>
    </w:p>
  </w:endnote>
  <w:endnote w:type="continuationSeparator" w:id="0">
    <w:p w:rsidR="00353F65" w:rsidRDefault="00353F65" w:rsidP="003D02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3C38" w:rsidRDefault="00F23C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9797957"/>
      <w:docPartObj>
        <w:docPartGallery w:val="Page Numbers (Bottom of Page)"/>
        <w:docPartUnique/>
      </w:docPartObj>
    </w:sdtPr>
    <w:sdtEndPr>
      <w:rPr>
        <w:noProof/>
      </w:rPr>
    </w:sdtEndPr>
    <w:sdtContent>
      <w:p w:rsidR="003D02E3" w:rsidRDefault="000B6E5B">
        <w:pPr>
          <w:pStyle w:val="Footer"/>
          <w:jc w:val="right"/>
        </w:pPr>
        <w:r>
          <w:fldChar w:fldCharType="begin"/>
        </w:r>
        <w:r>
          <w:instrText xml:space="preserve"> PAGE   \* MERGEFORMAT </w:instrText>
        </w:r>
        <w:r>
          <w:fldChar w:fldCharType="separate"/>
        </w:r>
        <w:r w:rsidR="00F23C38">
          <w:rPr>
            <w:noProof/>
          </w:rPr>
          <w:t>1</w:t>
        </w:r>
        <w:r>
          <w:rPr>
            <w:noProof/>
          </w:rPr>
          <w:fldChar w:fldCharType="end"/>
        </w:r>
      </w:p>
    </w:sdtContent>
  </w:sdt>
  <w:p w:rsidR="003D02E3" w:rsidRDefault="003D02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3C38" w:rsidRDefault="00F2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3F65" w:rsidRDefault="00353F65" w:rsidP="003D02E3">
      <w:pPr>
        <w:spacing w:before="0" w:after="0" w:line="240" w:lineRule="auto"/>
      </w:pPr>
      <w:r>
        <w:separator/>
      </w:r>
    </w:p>
  </w:footnote>
  <w:footnote w:type="continuationSeparator" w:id="0">
    <w:p w:rsidR="00353F65" w:rsidRDefault="00353F65" w:rsidP="003D02E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3C38" w:rsidRDefault="00F23C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3C38" w:rsidRDefault="00F23C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3C38" w:rsidRDefault="00F23C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BB1D7D"/>
    <w:multiLevelType w:val="hybridMultilevel"/>
    <w:tmpl w:val="0BFE76C8"/>
    <w:lvl w:ilvl="0" w:tplc="15722EE8">
      <w:start w:val="1"/>
      <w:numFmt w:val="decimal"/>
      <w:lvlText w:val="%1."/>
      <w:lvlJc w:val="left"/>
      <w:pPr>
        <w:ind w:left="360" w:hanging="360"/>
      </w:pPr>
    </w:lvl>
    <w:lvl w:ilvl="1" w:tplc="C666E89C" w:tentative="1">
      <w:start w:val="1"/>
      <w:numFmt w:val="lowerLetter"/>
      <w:lvlText w:val="%2."/>
      <w:lvlJc w:val="left"/>
      <w:pPr>
        <w:ind w:left="1080" w:hanging="360"/>
      </w:pPr>
    </w:lvl>
    <w:lvl w:ilvl="2" w:tplc="59F8D4EA" w:tentative="1">
      <w:start w:val="1"/>
      <w:numFmt w:val="lowerRoman"/>
      <w:lvlText w:val="%3."/>
      <w:lvlJc w:val="right"/>
      <w:pPr>
        <w:ind w:left="1800" w:hanging="180"/>
      </w:pPr>
    </w:lvl>
    <w:lvl w:ilvl="3" w:tplc="9BFA35AA" w:tentative="1">
      <w:start w:val="1"/>
      <w:numFmt w:val="decimal"/>
      <w:lvlText w:val="%4."/>
      <w:lvlJc w:val="left"/>
      <w:pPr>
        <w:ind w:left="2520" w:hanging="360"/>
      </w:pPr>
    </w:lvl>
    <w:lvl w:ilvl="4" w:tplc="2398F89A" w:tentative="1">
      <w:start w:val="1"/>
      <w:numFmt w:val="lowerLetter"/>
      <w:lvlText w:val="%5."/>
      <w:lvlJc w:val="left"/>
      <w:pPr>
        <w:ind w:left="3240" w:hanging="360"/>
      </w:pPr>
    </w:lvl>
    <w:lvl w:ilvl="5" w:tplc="C8B42C38" w:tentative="1">
      <w:start w:val="1"/>
      <w:numFmt w:val="lowerRoman"/>
      <w:lvlText w:val="%6."/>
      <w:lvlJc w:val="right"/>
      <w:pPr>
        <w:ind w:left="3960" w:hanging="180"/>
      </w:pPr>
    </w:lvl>
    <w:lvl w:ilvl="6" w:tplc="D048FB14" w:tentative="1">
      <w:start w:val="1"/>
      <w:numFmt w:val="decimal"/>
      <w:lvlText w:val="%7."/>
      <w:lvlJc w:val="left"/>
      <w:pPr>
        <w:ind w:left="4680" w:hanging="360"/>
      </w:pPr>
    </w:lvl>
    <w:lvl w:ilvl="7" w:tplc="EDCC4022" w:tentative="1">
      <w:start w:val="1"/>
      <w:numFmt w:val="lowerLetter"/>
      <w:lvlText w:val="%8."/>
      <w:lvlJc w:val="left"/>
      <w:pPr>
        <w:ind w:left="5400" w:hanging="360"/>
      </w:pPr>
    </w:lvl>
    <w:lvl w:ilvl="8" w:tplc="AAC014CE"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DA2"/>
    <w:rsid w:val="000044E1"/>
    <w:rsid w:val="00032F91"/>
    <w:rsid w:val="00056869"/>
    <w:rsid w:val="000B6E5B"/>
    <w:rsid w:val="00105975"/>
    <w:rsid w:val="001E46AF"/>
    <w:rsid w:val="00242DAC"/>
    <w:rsid w:val="0029501B"/>
    <w:rsid w:val="002F32D6"/>
    <w:rsid w:val="00316E48"/>
    <w:rsid w:val="00337176"/>
    <w:rsid w:val="003530C8"/>
    <w:rsid w:val="00353F65"/>
    <w:rsid w:val="00354A16"/>
    <w:rsid w:val="00365707"/>
    <w:rsid w:val="003B222E"/>
    <w:rsid w:val="003D02E3"/>
    <w:rsid w:val="00441BC9"/>
    <w:rsid w:val="00443589"/>
    <w:rsid w:val="00457427"/>
    <w:rsid w:val="00467D41"/>
    <w:rsid w:val="0048487D"/>
    <w:rsid w:val="004B19A8"/>
    <w:rsid w:val="005379BF"/>
    <w:rsid w:val="005556AA"/>
    <w:rsid w:val="00571D05"/>
    <w:rsid w:val="0058164B"/>
    <w:rsid w:val="006525E3"/>
    <w:rsid w:val="00672FE0"/>
    <w:rsid w:val="007D77B5"/>
    <w:rsid w:val="00801DD2"/>
    <w:rsid w:val="008F1CFB"/>
    <w:rsid w:val="00974694"/>
    <w:rsid w:val="009B318D"/>
    <w:rsid w:val="00A95610"/>
    <w:rsid w:val="00AE6EFD"/>
    <w:rsid w:val="00B41565"/>
    <w:rsid w:val="00B461C8"/>
    <w:rsid w:val="00B70E5F"/>
    <w:rsid w:val="00BC2F32"/>
    <w:rsid w:val="00BD1296"/>
    <w:rsid w:val="00C50371"/>
    <w:rsid w:val="00CA01C8"/>
    <w:rsid w:val="00CE4DA2"/>
    <w:rsid w:val="00D70DB8"/>
    <w:rsid w:val="00DC50E8"/>
    <w:rsid w:val="00E2711F"/>
    <w:rsid w:val="00E6429A"/>
    <w:rsid w:val="00EB3283"/>
    <w:rsid w:val="00EC5BE1"/>
    <w:rsid w:val="00ED209D"/>
    <w:rsid w:val="00EE4691"/>
    <w:rsid w:val="00F23C38"/>
    <w:rsid w:val="00FB30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BB6D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3283"/>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autoRedefine/>
    <w:uiPriority w:val="9"/>
    <w:qFormat/>
    <w:rsid w:val="008F1CFB"/>
    <w:pPr>
      <w:keepNext/>
      <w:keepLines/>
      <w:spacing w:before="480" w:after="0" w:line="276" w:lineRule="auto"/>
      <w:jc w:val="left"/>
      <w:outlineLvl w:val="0"/>
    </w:pPr>
    <w:rPr>
      <w:rFonts w:eastAsiaTheme="majorEastAsia" w:cstheme="majorBidi"/>
      <w:b/>
      <w:bCs/>
      <w:kern w:val="0"/>
      <w:sz w:val="36"/>
      <w:szCs w:val="28"/>
      <w14:ligatures w14:val="none"/>
    </w:rPr>
  </w:style>
  <w:style w:type="paragraph" w:styleId="Heading2">
    <w:name w:val="heading 2"/>
    <w:basedOn w:val="Normal"/>
    <w:next w:val="Normal"/>
    <w:link w:val="Heading2Char"/>
    <w:autoRedefine/>
    <w:uiPriority w:val="9"/>
    <w:unhideWhenUsed/>
    <w:qFormat/>
    <w:rsid w:val="000044E1"/>
    <w:pPr>
      <w:keepNext/>
      <w:keepLines/>
      <w:spacing w:before="40" w:after="0" w:line="276" w:lineRule="auto"/>
      <w:jc w:val="left"/>
      <w:outlineLvl w:val="1"/>
    </w:pPr>
    <w:rPr>
      <w:rFonts w:eastAsiaTheme="majorEastAsia" w:cstheme="majorBidi"/>
      <w:b/>
      <w:kern w:val="0"/>
      <w:sz w:val="32"/>
      <w:szCs w:val="26"/>
      <w14:ligatures w14:val="none"/>
    </w:rPr>
  </w:style>
  <w:style w:type="paragraph" w:styleId="Heading3">
    <w:name w:val="heading 3"/>
    <w:basedOn w:val="Normal"/>
    <w:next w:val="Normal"/>
    <w:link w:val="Heading3Char"/>
    <w:autoRedefine/>
    <w:uiPriority w:val="9"/>
    <w:unhideWhenUsed/>
    <w:qFormat/>
    <w:rsid w:val="00974694"/>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autoRedefine/>
    <w:uiPriority w:val="9"/>
    <w:unhideWhenUsed/>
    <w:qFormat/>
    <w:rsid w:val="00337176"/>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CFB"/>
    <w:rPr>
      <w:rFonts w:ascii="Times New Roman" w:eastAsiaTheme="majorEastAsia" w:hAnsi="Times New Roman" w:cstheme="majorBidi"/>
      <w:b/>
      <w:bCs/>
      <w:color w:val="000000" w:themeColor="text1"/>
      <w:sz w:val="36"/>
      <w:szCs w:val="28"/>
      <w:lang w:val="en-GB"/>
    </w:rPr>
  </w:style>
  <w:style w:type="character" w:customStyle="1" w:styleId="Heading2Char">
    <w:name w:val="Heading 2 Char"/>
    <w:basedOn w:val="DefaultParagraphFont"/>
    <w:link w:val="Heading2"/>
    <w:uiPriority w:val="9"/>
    <w:rsid w:val="000044E1"/>
    <w:rPr>
      <w:rFonts w:ascii="Times New Roman" w:eastAsiaTheme="majorEastAsia" w:hAnsi="Times New Roman" w:cstheme="majorBidi"/>
      <w:b/>
      <w:color w:val="000000" w:themeColor="text1"/>
      <w:sz w:val="32"/>
      <w:szCs w:val="26"/>
      <w:lang w:val="en-GB"/>
    </w:rPr>
  </w:style>
  <w:style w:type="character" w:customStyle="1" w:styleId="Heading3Char">
    <w:name w:val="Heading 3 Char"/>
    <w:basedOn w:val="DefaultParagraphFont"/>
    <w:link w:val="Heading3"/>
    <w:uiPriority w:val="9"/>
    <w:rsid w:val="00974694"/>
    <w:rPr>
      <w:rFonts w:ascii="Times New Roman" w:eastAsiaTheme="majorEastAsia" w:hAnsi="Times New Roman" w:cstheme="majorBidi"/>
      <w:b/>
      <w:sz w:val="28"/>
      <w:szCs w:val="24"/>
      <w:lang w:val="en-GB"/>
    </w:rPr>
  </w:style>
  <w:style w:type="paragraph" w:styleId="Title">
    <w:name w:val="Title"/>
    <w:basedOn w:val="Normal"/>
    <w:next w:val="Normal"/>
    <w:link w:val="TitleChar"/>
    <w:autoRedefine/>
    <w:uiPriority w:val="10"/>
    <w:qFormat/>
    <w:rsid w:val="00BC2F32"/>
    <w:pPr>
      <w:pBdr>
        <w:bottom w:val="single" w:sz="8" w:space="4" w:color="5B9BD5" w:themeColor="accent1"/>
      </w:pBdr>
      <w:spacing w:before="0" w:after="300" w:line="240" w:lineRule="auto"/>
      <w:contextualSpacing/>
      <w:jc w:val="left"/>
    </w:pPr>
    <w:rPr>
      <w:rFonts w:eastAsiaTheme="majorEastAsia" w:cstheme="majorBidi"/>
      <w:color w:val="auto"/>
      <w:spacing w:val="5"/>
      <w:kern w:val="28"/>
      <w:sz w:val="28"/>
      <w:szCs w:val="52"/>
      <w14:ligatures w14:val="none"/>
    </w:rPr>
  </w:style>
  <w:style w:type="character" w:customStyle="1" w:styleId="TitleChar">
    <w:name w:val="Title Char"/>
    <w:basedOn w:val="DefaultParagraphFont"/>
    <w:link w:val="Title"/>
    <w:uiPriority w:val="10"/>
    <w:rsid w:val="00BC2F32"/>
    <w:rPr>
      <w:rFonts w:ascii="Times New Roman" w:eastAsiaTheme="majorEastAsia" w:hAnsi="Times New Roman" w:cstheme="majorBidi"/>
      <w:spacing w:val="5"/>
      <w:kern w:val="28"/>
      <w:sz w:val="28"/>
      <w:szCs w:val="52"/>
      <w:lang w:val="en-GB"/>
    </w:rPr>
  </w:style>
  <w:style w:type="character" w:customStyle="1" w:styleId="Heading4Char">
    <w:name w:val="Heading 4 Char"/>
    <w:basedOn w:val="DefaultParagraphFont"/>
    <w:link w:val="Heading4"/>
    <w:uiPriority w:val="9"/>
    <w:rsid w:val="00337176"/>
    <w:rPr>
      <w:rFonts w:ascii="Times New Roman" w:eastAsiaTheme="majorEastAsia" w:hAnsi="Times New Roman" w:cstheme="majorBidi"/>
      <w:b/>
      <w:iCs/>
      <w:color w:val="000000" w:themeColor="text1"/>
      <w:kern w:val="2"/>
      <w:sz w:val="24"/>
      <w:lang w:val="en-GB"/>
      <w14:ligatures w14:val="standardContextual"/>
    </w:rPr>
  </w:style>
  <w:style w:type="character" w:styleId="Hyperlink">
    <w:name w:val="Hyperlink"/>
    <w:basedOn w:val="DefaultParagraphFont"/>
    <w:uiPriority w:val="99"/>
    <w:unhideWhenUsed/>
    <w:rsid w:val="009B318D"/>
    <w:rPr>
      <w:color w:val="0563C1" w:themeColor="hyperlink"/>
      <w:u w:val="single"/>
    </w:rPr>
  </w:style>
  <w:style w:type="paragraph" w:styleId="ListParagraph">
    <w:name w:val="List Paragraph"/>
    <w:basedOn w:val="Normal"/>
    <w:uiPriority w:val="34"/>
    <w:qFormat/>
    <w:rsid w:val="00B461C8"/>
    <w:pPr>
      <w:ind w:left="720"/>
      <w:contextualSpacing/>
    </w:pPr>
  </w:style>
  <w:style w:type="paragraph" w:styleId="Header">
    <w:name w:val="header"/>
    <w:basedOn w:val="Normal"/>
    <w:link w:val="HeaderChar"/>
    <w:uiPriority w:val="99"/>
    <w:unhideWhenUsed/>
    <w:rsid w:val="003D02E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D02E3"/>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3D02E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D02E3"/>
    <w:rPr>
      <w:rFonts w:ascii="Times New Roman" w:hAnsi="Times New Roman"/>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3B222E"/>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3B22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BDABA4-9F95-4B64-B5F1-A35202131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2029</Words>
  <Characters>11730</Characters>
  <Application>Microsoft Office Word</Application>
  <DocSecurity>0</DocSecurity>
  <Lines>733</Lines>
  <Paragraphs>154</Paragraphs>
  <ScaleCrop>false</ScaleCrop>
  <Company/>
  <LinksUpToDate>false</LinksUpToDate>
  <CharactersWithSpaces>13605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2023-07-19T06:00:00Z</dcterms:created>
  <dcterms:modified xsi:type="dcterms:W3CDTF">2023-07-19T06:00:00Z</dcterms:modified>
</cp:coreProperties>
</file>