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B0947" w:rsidRDefault="00D70056">
      <w:pPr>
        <w:jc w:val="center"/>
        <w:rPr>
          <w:sz w:val="48"/>
          <w:szCs w:val="48"/>
          <w14:textOutline w14:w="0" w14:cap="flat" w14:cmpd="sng" w14:algn="ctr">
            <w14:noFill/>
            <w14:prstDash w14:val="solid"/>
            <w14:bevel/>
          </w14:textOutline>
          <w14:textFill>
            <w14:gradFill>
              <w14:gsLst>
                <w14:gs w14:pos="21000">
                  <w14:srgbClr w14:val="53575C"/>
                </w14:gs>
                <w14:gs w14:pos="88000">
                  <w14:srgbClr w14:val="C5C7CA"/>
                </w14:gs>
              </w14:gsLst>
              <w14:lin w14:ang="5400000" w14:scaled="0"/>
            </w14:gradFill>
          </w14:textFill>
        </w:rPr>
      </w:pPr>
      <w:r>
        <w:rPr>
          <w:sz w:val="48"/>
          <w:szCs w:val="48"/>
          <w14:textOutline w14:w="0" w14:cap="flat" w14:cmpd="sng" w14:algn="ctr">
            <w14:noFill/>
            <w14:prstDash w14:val="solid"/>
            <w14:bevel/>
          </w14:textOutline>
          <w14:textFill>
            <w14:gradFill>
              <w14:gsLst>
                <w14:gs w14:pos="21000">
                  <w14:srgbClr w14:val="53575C"/>
                </w14:gs>
                <w14:gs w14:pos="88000">
                  <w14:srgbClr w14:val="C5C7CA"/>
                </w14:gs>
              </w14:gsLst>
              <w14:lin w14:ang="5400000" w14:scaled="0"/>
            </w14:gradFill>
          </w14:textFill>
        </w:rPr>
        <w:t>BA Business Management (BABM)</w:t>
      </w:r>
    </w:p>
    <w:p w:rsidR="002B0947" w:rsidRDefault="00D70056">
      <w:pPr>
        <w:jc w:val="center"/>
        <w:rPr>
          <w:sz w:val="48"/>
          <w:szCs w:val="48"/>
          <w14:textOutline w14:w="0" w14:cap="flat" w14:cmpd="sng" w14:algn="ctr">
            <w14:noFill/>
            <w14:prstDash w14:val="solid"/>
            <w14:bevel/>
          </w14:textOutline>
          <w14:textFill>
            <w14:gradFill>
              <w14:gsLst>
                <w14:gs w14:pos="21000">
                  <w14:srgbClr w14:val="53575C"/>
                </w14:gs>
                <w14:gs w14:pos="88000">
                  <w14:srgbClr w14:val="C5C7CA"/>
                </w14:gs>
              </w14:gsLst>
              <w14:lin w14:ang="5400000" w14:scaled="0"/>
            </w14:gradFill>
          </w14:textFill>
        </w:rPr>
      </w:pPr>
      <w:r>
        <w:rPr>
          <w:sz w:val="48"/>
          <w:szCs w:val="48"/>
          <w14:textOutline w14:w="0" w14:cap="flat" w14:cmpd="sng" w14:algn="ctr">
            <w14:noFill/>
            <w14:prstDash w14:val="solid"/>
            <w14:bevel/>
          </w14:textOutline>
          <w14:textFill>
            <w14:gradFill>
              <w14:gsLst>
                <w14:gs w14:pos="21000">
                  <w14:srgbClr w14:val="53575C"/>
                </w14:gs>
                <w14:gs w14:pos="88000">
                  <w14:srgbClr w14:val="C5C7CA"/>
                </w14:gs>
              </w14:gsLst>
              <w14:lin w14:ang="5400000" w14:scaled="0"/>
            </w14:gradFill>
          </w14:textFill>
        </w:rPr>
        <w:t>LCBB4001 Accounting Fundamental A1</w:t>
      </w:r>
    </w:p>
    <w:p w:rsidR="002B0947" w:rsidRDefault="00D70056">
      <w:pPr>
        <w:jc w:val="center"/>
        <w:rPr>
          <w:sz w:val="48"/>
          <w:szCs w:val="48"/>
          <w14:textOutline w14:w="0" w14:cap="flat" w14:cmpd="sng" w14:algn="ctr">
            <w14:noFill/>
            <w14:prstDash w14:val="solid"/>
            <w14:bevel/>
          </w14:textOutline>
          <w14:textFill>
            <w14:gradFill>
              <w14:gsLst>
                <w14:gs w14:pos="21000">
                  <w14:srgbClr w14:val="53575C"/>
                </w14:gs>
                <w14:gs w14:pos="88000">
                  <w14:srgbClr w14:val="C5C7CA"/>
                </w14:gs>
              </w14:gsLst>
              <w14:lin w14:ang="5400000" w14:scaled="0"/>
            </w14:gradFill>
          </w14:textFill>
        </w:rPr>
      </w:pPr>
      <w:r>
        <w:rPr>
          <w:sz w:val="48"/>
          <w:szCs w:val="48"/>
          <w:lang w:val="en-US"/>
          <w14:textOutline w14:w="0" w14:cap="flat" w14:cmpd="sng" w14:algn="ctr">
            <w14:noFill/>
            <w14:prstDash w14:val="solid"/>
            <w14:bevel/>
          </w14:textOutline>
          <w14:textFill>
            <w14:gradFill>
              <w14:gsLst>
                <w14:gs w14:pos="21000">
                  <w14:srgbClr w14:val="53575C"/>
                </w14:gs>
                <w14:gs w14:pos="88000">
                  <w14:srgbClr w14:val="C5C7CA"/>
                </w14:gs>
              </w14:gsLst>
              <w14:lin w14:ang="5400000" w14:scaled="0"/>
            </w14:gradFill>
          </w14:textFill>
        </w:rPr>
        <w:t>Student ID :2123930</w:t>
      </w:r>
    </w:p>
    <w:p w:rsidR="002B0947" w:rsidRDefault="00D70056">
      <w:pPr>
        <w:jc w:val="center"/>
        <w:rPr>
          <w:sz w:val="48"/>
          <w:szCs w:val="48"/>
          <w14:textOutline w14:w="0" w14:cap="flat" w14:cmpd="sng" w14:algn="ctr">
            <w14:noFill/>
            <w14:prstDash w14:val="solid"/>
            <w14:bevel/>
          </w14:textOutline>
          <w14:textFill>
            <w14:gradFill>
              <w14:gsLst>
                <w14:gs w14:pos="21000">
                  <w14:srgbClr w14:val="53575C"/>
                </w14:gs>
                <w14:gs w14:pos="88000">
                  <w14:srgbClr w14:val="C5C7CA"/>
                </w14:gs>
              </w14:gsLst>
              <w14:lin w14:ang="5400000" w14:scaled="0"/>
            </w14:gradFill>
          </w14:textFill>
        </w:rPr>
      </w:pPr>
      <w:r>
        <w:rPr>
          <w:sz w:val="48"/>
          <w:szCs w:val="48"/>
          <w:lang w:val="en-US"/>
          <w14:textOutline w14:w="0" w14:cap="flat" w14:cmpd="sng" w14:algn="ctr">
            <w14:noFill/>
            <w14:prstDash w14:val="solid"/>
            <w14:bevel/>
          </w14:textOutline>
          <w14:textFill>
            <w14:gradFill>
              <w14:gsLst>
                <w14:gs w14:pos="21000">
                  <w14:srgbClr w14:val="53575C"/>
                </w14:gs>
                <w14:gs w14:pos="88000">
                  <w14:srgbClr w14:val="C5C7CA"/>
                </w14:gs>
              </w14:gsLst>
              <w14:lin w14:ang="5400000" w14:scaled="0"/>
            </w14:gradFill>
          </w14:textFill>
        </w:rPr>
        <w:t>Student name: Valentina Stefanovska</w:t>
      </w:r>
    </w:p>
    <w:p w:rsidR="002B0947" w:rsidRDefault="00D70056">
      <w:pPr>
        <w:spacing w:line="259" w:lineRule="auto"/>
        <w:jc w:val="left"/>
      </w:pPr>
      <w:r>
        <w:br w:type="page"/>
      </w:r>
    </w:p>
    <w:p w:rsidR="002B0947" w:rsidRDefault="00D70056">
      <w:pPr>
        <w:pStyle w:val="TOCHeading"/>
        <w:jc w:val="center"/>
      </w:pPr>
      <w:r>
        <w:lastRenderedPageBreak/>
        <w:t>Table of Contents</w:t>
      </w:r>
    </w:p>
    <w:p w:rsidR="002B0947" w:rsidRDefault="00D70056">
      <w:pPr>
        <w:pStyle w:val="TOC1"/>
        <w:tabs>
          <w:tab w:val="right" w:leader="dot" w:pos="9350"/>
        </w:tabs>
        <w:rPr>
          <w:noProof/>
        </w:rPr>
      </w:pPr>
      <w:r>
        <w:fldChar w:fldCharType="begin"/>
      </w:r>
      <w:r>
        <w:instrText xml:space="preserve"> TOC \o "1-3" \h \z \u </w:instrText>
      </w:r>
      <w:r>
        <w:fldChar w:fldCharType="separate"/>
      </w:r>
      <w:hyperlink w:anchor="_Toc111416387" w:history="1">
        <w:r>
          <w:rPr>
            <w:rStyle w:val="Hyperlink"/>
            <w:noProof/>
          </w:rPr>
          <w:t>Question 1</w:t>
        </w:r>
        <w:r>
          <w:rPr>
            <w:noProof/>
            <w:webHidden/>
          </w:rPr>
          <w:tab/>
        </w:r>
        <w:r>
          <w:rPr>
            <w:noProof/>
            <w:webHidden/>
          </w:rPr>
          <w:fldChar w:fldCharType="begin"/>
        </w:r>
        <w:r>
          <w:rPr>
            <w:noProof/>
            <w:webHidden/>
          </w:rPr>
          <w:instrText xml:space="preserve"> PAGEREF _Toc111416387 \h </w:instrText>
        </w:r>
        <w:r>
          <w:rPr>
            <w:noProof/>
            <w:webHidden/>
          </w:rPr>
        </w:r>
        <w:r>
          <w:rPr>
            <w:noProof/>
            <w:webHidden/>
          </w:rPr>
          <w:fldChar w:fldCharType="separate"/>
        </w:r>
        <w:r>
          <w:rPr>
            <w:noProof/>
            <w:webHidden/>
          </w:rPr>
          <w:t>3</w:t>
        </w:r>
        <w:r>
          <w:rPr>
            <w:noProof/>
            <w:webHidden/>
          </w:rPr>
          <w:fldChar w:fldCharType="end"/>
        </w:r>
      </w:hyperlink>
    </w:p>
    <w:p w:rsidR="002B0947" w:rsidRDefault="00D70056">
      <w:pPr>
        <w:pStyle w:val="TOC2"/>
        <w:tabs>
          <w:tab w:val="right" w:leader="dot" w:pos="9350"/>
        </w:tabs>
        <w:rPr>
          <w:noProof/>
        </w:rPr>
      </w:pPr>
      <w:hyperlink w:anchor="_Toc111416388" w:history="1">
        <w:r>
          <w:rPr>
            <w:rStyle w:val="Hyperlink"/>
            <w:noProof/>
          </w:rPr>
          <w:t>Requirement a</w:t>
        </w:r>
        <w:r>
          <w:rPr>
            <w:noProof/>
            <w:webHidden/>
          </w:rPr>
          <w:tab/>
        </w:r>
        <w:r>
          <w:rPr>
            <w:noProof/>
            <w:webHidden/>
          </w:rPr>
          <w:fldChar w:fldCharType="begin"/>
        </w:r>
        <w:r>
          <w:rPr>
            <w:noProof/>
            <w:webHidden/>
          </w:rPr>
          <w:instrText xml:space="preserve"> PAGEREF _Toc111416388 \h </w:instrText>
        </w:r>
        <w:r>
          <w:rPr>
            <w:noProof/>
            <w:webHidden/>
          </w:rPr>
        </w:r>
        <w:r>
          <w:rPr>
            <w:noProof/>
            <w:webHidden/>
          </w:rPr>
          <w:fldChar w:fldCharType="separate"/>
        </w:r>
        <w:r>
          <w:rPr>
            <w:noProof/>
            <w:webHidden/>
          </w:rPr>
          <w:t>3</w:t>
        </w:r>
        <w:r>
          <w:rPr>
            <w:noProof/>
            <w:webHidden/>
          </w:rPr>
          <w:fldChar w:fldCharType="end"/>
        </w:r>
      </w:hyperlink>
    </w:p>
    <w:p w:rsidR="002B0947" w:rsidRDefault="00D70056">
      <w:pPr>
        <w:pStyle w:val="TOC2"/>
        <w:tabs>
          <w:tab w:val="right" w:leader="dot" w:pos="9350"/>
        </w:tabs>
        <w:rPr>
          <w:noProof/>
        </w:rPr>
      </w:pPr>
      <w:hyperlink w:anchor="_Toc111416389" w:history="1">
        <w:r>
          <w:rPr>
            <w:rStyle w:val="Hyperlink"/>
            <w:noProof/>
          </w:rPr>
          <w:t xml:space="preserve">Requirement </w:t>
        </w:r>
        <w:r>
          <w:rPr>
            <w:rStyle w:val="Hyperlink"/>
            <w:noProof/>
          </w:rPr>
          <w:t>b</w:t>
        </w:r>
        <w:r>
          <w:rPr>
            <w:noProof/>
            <w:webHidden/>
          </w:rPr>
          <w:tab/>
        </w:r>
        <w:r>
          <w:rPr>
            <w:noProof/>
            <w:webHidden/>
          </w:rPr>
          <w:fldChar w:fldCharType="begin"/>
        </w:r>
        <w:r>
          <w:rPr>
            <w:noProof/>
            <w:webHidden/>
          </w:rPr>
          <w:instrText xml:space="preserve"> PAGEREF _Toc111416389 \h </w:instrText>
        </w:r>
        <w:r>
          <w:rPr>
            <w:noProof/>
            <w:webHidden/>
          </w:rPr>
        </w:r>
        <w:r>
          <w:rPr>
            <w:noProof/>
            <w:webHidden/>
          </w:rPr>
          <w:fldChar w:fldCharType="separate"/>
        </w:r>
        <w:r>
          <w:rPr>
            <w:noProof/>
            <w:webHidden/>
          </w:rPr>
          <w:t>4</w:t>
        </w:r>
        <w:r>
          <w:rPr>
            <w:noProof/>
            <w:webHidden/>
          </w:rPr>
          <w:fldChar w:fldCharType="end"/>
        </w:r>
      </w:hyperlink>
    </w:p>
    <w:p w:rsidR="002B0947" w:rsidRDefault="00D70056">
      <w:pPr>
        <w:pStyle w:val="TOC1"/>
        <w:tabs>
          <w:tab w:val="right" w:leader="dot" w:pos="9350"/>
        </w:tabs>
        <w:rPr>
          <w:noProof/>
        </w:rPr>
      </w:pPr>
      <w:hyperlink w:anchor="_Toc111416390" w:history="1">
        <w:r>
          <w:rPr>
            <w:rStyle w:val="Hyperlink"/>
            <w:noProof/>
          </w:rPr>
          <w:t>Question 2</w:t>
        </w:r>
        <w:r>
          <w:rPr>
            <w:noProof/>
            <w:webHidden/>
          </w:rPr>
          <w:tab/>
        </w:r>
        <w:r>
          <w:rPr>
            <w:noProof/>
            <w:webHidden/>
          </w:rPr>
          <w:fldChar w:fldCharType="begin"/>
        </w:r>
        <w:r>
          <w:rPr>
            <w:noProof/>
            <w:webHidden/>
          </w:rPr>
          <w:instrText xml:space="preserve"> PAGEREF _Toc111416390 \h </w:instrText>
        </w:r>
        <w:r>
          <w:rPr>
            <w:noProof/>
            <w:webHidden/>
          </w:rPr>
        </w:r>
        <w:r>
          <w:rPr>
            <w:noProof/>
            <w:webHidden/>
          </w:rPr>
          <w:fldChar w:fldCharType="separate"/>
        </w:r>
        <w:r>
          <w:rPr>
            <w:noProof/>
            <w:webHidden/>
          </w:rPr>
          <w:t>8</w:t>
        </w:r>
        <w:r>
          <w:rPr>
            <w:noProof/>
            <w:webHidden/>
          </w:rPr>
          <w:fldChar w:fldCharType="end"/>
        </w:r>
      </w:hyperlink>
    </w:p>
    <w:p w:rsidR="002B0947" w:rsidRDefault="00D70056">
      <w:pPr>
        <w:pStyle w:val="TOC3"/>
        <w:tabs>
          <w:tab w:val="right" w:leader="dot" w:pos="9350"/>
        </w:tabs>
        <w:rPr>
          <w:noProof/>
        </w:rPr>
      </w:pPr>
      <w:hyperlink w:anchor="_Toc111416391" w:history="1">
        <w:r>
          <w:rPr>
            <w:rStyle w:val="Hyperlink"/>
            <w:noProof/>
          </w:rPr>
          <w:t>1 – ROCE</w:t>
        </w:r>
        <w:r>
          <w:rPr>
            <w:noProof/>
            <w:webHidden/>
          </w:rPr>
          <w:tab/>
        </w:r>
        <w:r>
          <w:rPr>
            <w:noProof/>
            <w:webHidden/>
          </w:rPr>
          <w:fldChar w:fldCharType="begin"/>
        </w:r>
        <w:r>
          <w:rPr>
            <w:noProof/>
            <w:webHidden/>
          </w:rPr>
          <w:instrText xml:space="preserve"> PAGEREF _Toc111416391 \h </w:instrText>
        </w:r>
        <w:r>
          <w:rPr>
            <w:noProof/>
            <w:webHidden/>
          </w:rPr>
        </w:r>
        <w:r>
          <w:rPr>
            <w:noProof/>
            <w:webHidden/>
          </w:rPr>
          <w:fldChar w:fldCharType="separate"/>
        </w:r>
        <w:r>
          <w:rPr>
            <w:noProof/>
            <w:webHidden/>
          </w:rPr>
          <w:t>8</w:t>
        </w:r>
        <w:r>
          <w:rPr>
            <w:noProof/>
            <w:webHidden/>
          </w:rPr>
          <w:fldChar w:fldCharType="end"/>
        </w:r>
      </w:hyperlink>
    </w:p>
    <w:p w:rsidR="002B0947" w:rsidRDefault="00D70056">
      <w:pPr>
        <w:pStyle w:val="TOC3"/>
        <w:tabs>
          <w:tab w:val="right" w:leader="dot" w:pos="9350"/>
        </w:tabs>
        <w:rPr>
          <w:noProof/>
        </w:rPr>
      </w:pPr>
      <w:hyperlink w:anchor="_Toc111416392" w:history="1">
        <w:r>
          <w:rPr>
            <w:rStyle w:val="Hyperlink"/>
            <w:noProof/>
          </w:rPr>
          <w:t>2 – ROE</w:t>
        </w:r>
        <w:r>
          <w:rPr>
            <w:noProof/>
            <w:webHidden/>
          </w:rPr>
          <w:tab/>
        </w:r>
        <w:r>
          <w:rPr>
            <w:noProof/>
            <w:webHidden/>
          </w:rPr>
          <w:fldChar w:fldCharType="begin"/>
        </w:r>
        <w:r>
          <w:rPr>
            <w:noProof/>
            <w:webHidden/>
          </w:rPr>
          <w:instrText xml:space="preserve"> PAGEREF _Toc111416392 \h </w:instrText>
        </w:r>
        <w:r>
          <w:rPr>
            <w:noProof/>
            <w:webHidden/>
          </w:rPr>
        </w:r>
        <w:r>
          <w:rPr>
            <w:noProof/>
            <w:webHidden/>
          </w:rPr>
          <w:fldChar w:fldCharType="separate"/>
        </w:r>
        <w:r>
          <w:rPr>
            <w:noProof/>
            <w:webHidden/>
          </w:rPr>
          <w:t>9</w:t>
        </w:r>
        <w:r>
          <w:rPr>
            <w:noProof/>
            <w:webHidden/>
          </w:rPr>
          <w:fldChar w:fldCharType="end"/>
        </w:r>
      </w:hyperlink>
    </w:p>
    <w:p w:rsidR="002B0947" w:rsidRDefault="00D70056">
      <w:pPr>
        <w:pStyle w:val="TOC3"/>
        <w:tabs>
          <w:tab w:val="right" w:leader="dot" w:pos="9350"/>
        </w:tabs>
        <w:rPr>
          <w:noProof/>
        </w:rPr>
      </w:pPr>
      <w:hyperlink w:anchor="_Toc111416393" w:history="1">
        <w:r>
          <w:rPr>
            <w:rStyle w:val="Hyperlink"/>
            <w:noProof/>
          </w:rPr>
          <w:t>3 – EPS</w:t>
        </w:r>
        <w:r>
          <w:rPr>
            <w:noProof/>
            <w:webHidden/>
          </w:rPr>
          <w:tab/>
        </w:r>
        <w:r>
          <w:rPr>
            <w:noProof/>
            <w:webHidden/>
          </w:rPr>
          <w:fldChar w:fldCharType="begin"/>
        </w:r>
        <w:r>
          <w:rPr>
            <w:noProof/>
            <w:webHidden/>
          </w:rPr>
          <w:instrText xml:space="preserve"> PAGEREF _Toc111416393 \h </w:instrText>
        </w:r>
        <w:r>
          <w:rPr>
            <w:noProof/>
            <w:webHidden/>
          </w:rPr>
        </w:r>
        <w:r>
          <w:rPr>
            <w:noProof/>
            <w:webHidden/>
          </w:rPr>
          <w:fldChar w:fldCharType="separate"/>
        </w:r>
        <w:r>
          <w:rPr>
            <w:noProof/>
            <w:webHidden/>
          </w:rPr>
          <w:t>9</w:t>
        </w:r>
        <w:r>
          <w:rPr>
            <w:noProof/>
            <w:webHidden/>
          </w:rPr>
          <w:fldChar w:fldCharType="end"/>
        </w:r>
      </w:hyperlink>
    </w:p>
    <w:p w:rsidR="002B0947" w:rsidRDefault="00D70056">
      <w:pPr>
        <w:pStyle w:val="TOC3"/>
        <w:tabs>
          <w:tab w:val="right" w:leader="dot" w:pos="9350"/>
        </w:tabs>
        <w:rPr>
          <w:noProof/>
        </w:rPr>
      </w:pPr>
      <w:hyperlink w:anchor="_Toc111416394" w:history="1">
        <w:r>
          <w:rPr>
            <w:rStyle w:val="Hyperlink"/>
            <w:noProof/>
          </w:rPr>
          <w:t>4 – Net Profit Margin</w:t>
        </w:r>
        <w:r>
          <w:rPr>
            <w:noProof/>
            <w:webHidden/>
          </w:rPr>
          <w:tab/>
        </w:r>
        <w:r>
          <w:rPr>
            <w:noProof/>
            <w:webHidden/>
          </w:rPr>
          <w:fldChar w:fldCharType="begin"/>
        </w:r>
        <w:r>
          <w:rPr>
            <w:noProof/>
            <w:webHidden/>
          </w:rPr>
          <w:instrText xml:space="preserve"> PAGEREF _Toc111416394 \h </w:instrText>
        </w:r>
        <w:r>
          <w:rPr>
            <w:noProof/>
            <w:webHidden/>
          </w:rPr>
        </w:r>
        <w:r>
          <w:rPr>
            <w:noProof/>
            <w:webHidden/>
          </w:rPr>
          <w:fldChar w:fldCharType="separate"/>
        </w:r>
        <w:r>
          <w:rPr>
            <w:noProof/>
            <w:webHidden/>
          </w:rPr>
          <w:t>10</w:t>
        </w:r>
        <w:r>
          <w:rPr>
            <w:noProof/>
            <w:webHidden/>
          </w:rPr>
          <w:fldChar w:fldCharType="end"/>
        </w:r>
      </w:hyperlink>
    </w:p>
    <w:p w:rsidR="002B0947" w:rsidRDefault="00D70056">
      <w:pPr>
        <w:pStyle w:val="TOC3"/>
        <w:tabs>
          <w:tab w:val="right" w:leader="dot" w:pos="9350"/>
        </w:tabs>
        <w:rPr>
          <w:noProof/>
        </w:rPr>
      </w:pPr>
      <w:hyperlink w:anchor="_Toc111416395" w:history="1">
        <w:r>
          <w:rPr>
            <w:rStyle w:val="Hyperlink"/>
            <w:noProof/>
          </w:rPr>
          <w:t>5 – Asset Turnover</w:t>
        </w:r>
        <w:r>
          <w:rPr>
            <w:noProof/>
            <w:webHidden/>
          </w:rPr>
          <w:tab/>
        </w:r>
        <w:r>
          <w:rPr>
            <w:noProof/>
            <w:webHidden/>
          </w:rPr>
          <w:fldChar w:fldCharType="begin"/>
        </w:r>
        <w:r>
          <w:rPr>
            <w:noProof/>
            <w:webHidden/>
          </w:rPr>
          <w:instrText xml:space="preserve"> PAGEREF _Toc111416395 \h </w:instrText>
        </w:r>
        <w:r>
          <w:rPr>
            <w:noProof/>
            <w:webHidden/>
          </w:rPr>
        </w:r>
        <w:r>
          <w:rPr>
            <w:noProof/>
            <w:webHidden/>
          </w:rPr>
          <w:fldChar w:fldCharType="separate"/>
        </w:r>
        <w:r>
          <w:rPr>
            <w:noProof/>
            <w:webHidden/>
          </w:rPr>
          <w:t>11</w:t>
        </w:r>
        <w:r>
          <w:rPr>
            <w:noProof/>
            <w:webHidden/>
          </w:rPr>
          <w:fldChar w:fldCharType="end"/>
        </w:r>
      </w:hyperlink>
    </w:p>
    <w:p w:rsidR="002B0947" w:rsidRDefault="00D70056">
      <w:pPr>
        <w:pStyle w:val="TOC3"/>
        <w:tabs>
          <w:tab w:val="right" w:leader="dot" w:pos="9350"/>
        </w:tabs>
        <w:rPr>
          <w:noProof/>
        </w:rPr>
      </w:pPr>
      <w:hyperlink w:anchor="_Toc111416396" w:history="1">
        <w:r>
          <w:rPr>
            <w:rStyle w:val="Hyperlink"/>
            <w:noProof/>
          </w:rPr>
          <w:t>6 – Stock Holding Days</w:t>
        </w:r>
        <w:r>
          <w:rPr>
            <w:noProof/>
            <w:webHidden/>
          </w:rPr>
          <w:tab/>
        </w:r>
        <w:r>
          <w:rPr>
            <w:noProof/>
            <w:webHidden/>
          </w:rPr>
          <w:fldChar w:fldCharType="begin"/>
        </w:r>
        <w:r>
          <w:rPr>
            <w:noProof/>
            <w:webHidden/>
          </w:rPr>
          <w:instrText xml:space="preserve"> PAGEREF _Toc111416396 \h </w:instrText>
        </w:r>
        <w:r>
          <w:rPr>
            <w:noProof/>
            <w:webHidden/>
          </w:rPr>
        </w:r>
        <w:r>
          <w:rPr>
            <w:noProof/>
            <w:webHidden/>
          </w:rPr>
          <w:fldChar w:fldCharType="separate"/>
        </w:r>
        <w:r>
          <w:rPr>
            <w:noProof/>
            <w:webHidden/>
          </w:rPr>
          <w:t>11</w:t>
        </w:r>
        <w:r>
          <w:rPr>
            <w:noProof/>
            <w:webHidden/>
          </w:rPr>
          <w:fldChar w:fldCharType="end"/>
        </w:r>
      </w:hyperlink>
    </w:p>
    <w:p w:rsidR="002B0947" w:rsidRDefault="00D70056">
      <w:pPr>
        <w:pStyle w:val="TOC3"/>
        <w:tabs>
          <w:tab w:val="right" w:leader="dot" w:pos="9350"/>
        </w:tabs>
        <w:rPr>
          <w:noProof/>
        </w:rPr>
      </w:pPr>
      <w:hyperlink w:anchor="_Toc111416397" w:history="1">
        <w:r>
          <w:rPr>
            <w:rStyle w:val="Hyperlink"/>
            <w:noProof/>
          </w:rPr>
          <w:t>7 – Debtors’ collection period</w:t>
        </w:r>
        <w:r>
          <w:rPr>
            <w:noProof/>
            <w:webHidden/>
          </w:rPr>
          <w:tab/>
        </w:r>
        <w:r>
          <w:rPr>
            <w:noProof/>
            <w:webHidden/>
          </w:rPr>
          <w:fldChar w:fldCharType="begin"/>
        </w:r>
        <w:r>
          <w:rPr>
            <w:noProof/>
            <w:webHidden/>
          </w:rPr>
          <w:instrText xml:space="preserve"> PAGEREF _Toc111416397 \h </w:instrText>
        </w:r>
        <w:r>
          <w:rPr>
            <w:noProof/>
            <w:webHidden/>
          </w:rPr>
        </w:r>
        <w:r>
          <w:rPr>
            <w:noProof/>
            <w:webHidden/>
          </w:rPr>
          <w:fldChar w:fldCharType="separate"/>
        </w:r>
        <w:r>
          <w:rPr>
            <w:noProof/>
            <w:webHidden/>
          </w:rPr>
          <w:t>12</w:t>
        </w:r>
        <w:r>
          <w:rPr>
            <w:noProof/>
            <w:webHidden/>
          </w:rPr>
          <w:fldChar w:fldCharType="end"/>
        </w:r>
      </w:hyperlink>
    </w:p>
    <w:p w:rsidR="002B0947" w:rsidRDefault="00D70056">
      <w:pPr>
        <w:pStyle w:val="TOC3"/>
        <w:tabs>
          <w:tab w:val="right" w:leader="dot" w:pos="9350"/>
        </w:tabs>
        <w:rPr>
          <w:noProof/>
        </w:rPr>
      </w:pPr>
      <w:hyperlink w:anchor="_Toc111416398" w:history="1">
        <w:r>
          <w:rPr>
            <w:rStyle w:val="Hyperlink"/>
            <w:noProof/>
          </w:rPr>
          <w:t>8 – Current Ratio</w:t>
        </w:r>
        <w:r>
          <w:rPr>
            <w:noProof/>
            <w:webHidden/>
          </w:rPr>
          <w:tab/>
        </w:r>
        <w:r>
          <w:rPr>
            <w:noProof/>
            <w:webHidden/>
          </w:rPr>
          <w:fldChar w:fldCharType="begin"/>
        </w:r>
        <w:r>
          <w:rPr>
            <w:noProof/>
            <w:webHidden/>
          </w:rPr>
          <w:instrText xml:space="preserve"> PAGEREF _Toc111416398 \h </w:instrText>
        </w:r>
        <w:r>
          <w:rPr>
            <w:noProof/>
            <w:webHidden/>
          </w:rPr>
        </w:r>
        <w:r>
          <w:rPr>
            <w:noProof/>
            <w:webHidden/>
          </w:rPr>
          <w:fldChar w:fldCharType="separate"/>
        </w:r>
        <w:r>
          <w:rPr>
            <w:noProof/>
            <w:webHidden/>
          </w:rPr>
          <w:t>13</w:t>
        </w:r>
        <w:r>
          <w:rPr>
            <w:noProof/>
            <w:webHidden/>
          </w:rPr>
          <w:fldChar w:fldCharType="end"/>
        </w:r>
      </w:hyperlink>
    </w:p>
    <w:p w:rsidR="002B0947" w:rsidRDefault="00D70056">
      <w:pPr>
        <w:pStyle w:val="TOC3"/>
        <w:tabs>
          <w:tab w:val="right" w:leader="dot" w:pos="9350"/>
        </w:tabs>
        <w:rPr>
          <w:noProof/>
        </w:rPr>
      </w:pPr>
      <w:hyperlink w:anchor="_Toc111416399" w:history="1">
        <w:r>
          <w:rPr>
            <w:rStyle w:val="Hyperlink"/>
            <w:noProof/>
          </w:rPr>
          <w:t>9 – Gearing Ratio</w:t>
        </w:r>
        <w:r>
          <w:rPr>
            <w:noProof/>
            <w:webHidden/>
          </w:rPr>
          <w:tab/>
        </w:r>
        <w:r>
          <w:rPr>
            <w:noProof/>
            <w:webHidden/>
          </w:rPr>
          <w:fldChar w:fldCharType="begin"/>
        </w:r>
        <w:r>
          <w:rPr>
            <w:noProof/>
            <w:webHidden/>
          </w:rPr>
          <w:instrText xml:space="preserve"> PAGEREF _Toc111416399 \h </w:instrText>
        </w:r>
        <w:r>
          <w:rPr>
            <w:noProof/>
            <w:webHidden/>
          </w:rPr>
        </w:r>
        <w:r>
          <w:rPr>
            <w:noProof/>
            <w:webHidden/>
          </w:rPr>
          <w:fldChar w:fldCharType="separate"/>
        </w:r>
        <w:r>
          <w:rPr>
            <w:noProof/>
            <w:webHidden/>
          </w:rPr>
          <w:t>13</w:t>
        </w:r>
        <w:r>
          <w:rPr>
            <w:noProof/>
            <w:webHidden/>
          </w:rPr>
          <w:fldChar w:fldCharType="end"/>
        </w:r>
      </w:hyperlink>
    </w:p>
    <w:p w:rsidR="002B0947" w:rsidRDefault="00D70056">
      <w:pPr>
        <w:pStyle w:val="TOC3"/>
        <w:tabs>
          <w:tab w:val="right" w:leader="dot" w:pos="9350"/>
        </w:tabs>
        <w:rPr>
          <w:noProof/>
        </w:rPr>
      </w:pPr>
      <w:hyperlink w:anchor="_Toc111416400" w:history="1">
        <w:r>
          <w:rPr>
            <w:rStyle w:val="Hyperlink"/>
            <w:noProof/>
          </w:rPr>
          <w:t>10 – Interest Cover</w:t>
        </w:r>
        <w:r>
          <w:rPr>
            <w:noProof/>
            <w:webHidden/>
          </w:rPr>
          <w:tab/>
        </w:r>
        <w:r>
          <w:rPr>
            <w:noProof/>
            <w:webHidden/>
          </w:rPr>
          <w:fldChar w:fldCharType="begin"/>
        </w:r>
        <w:r>
          <w:rPr>
            <w:noProof/>
            <w:webHidden/>
          </w:rPr>
          <w:instrText xml:space="preserve"> PAGEREF _Toc111416400 \h </w:instrText>
        </w:r>
        <w:r>
          <w:rPr>
            <w:noProof/>
            <w:webHidden/>
          </w:rPr>
        </w:r>
        <w:r>
          <w:rPr>
            <w:noProof/>
            <w:webHidden/>
          </w:rPr>
          <w:fldChar w:fldCharType="separate"/>
        </w:r>
        <w:r>
          <w:rPr>
            <w:noProof/>
            <w:webHidden/>
          </w:rPr>
          <w:t>15</w:t>
        </w:r>
        <w:r>
          <w:rPr>
            <w:noProof/>
            <w:webHidden/>
          </w:rPr>
          <w:fldChar w:fldCharType="end"/>
        </w:r>
      </w:hyperlink>
    </w:p>
    <w:p w:rsidR="002B0947" w:rsidRDefault="00D70056">
      <w:pPr>
        <w:pStyle w:val="TOC1"/>
        <w:tabs>
          <w:tab w:val="right" w:leader="dot" w:pos="9350"/>
        </w:tabs>
        <w:rPr>
          <w:noProof/>
        </w:rPr>
      </w:pPr>
      <w:hyperlink w:anchor="_Toc111416401" w:history="1">
        <w:r>
          <w:rPr>
            <w:rStyle w:val="Hyperlink"/>
            <w:noProof/>
          </w:rPr>
          <w:t>References</w:t>
        </w:r>
        <w:r>
          <w:rPr>
            <w:noProof/>
            <w:webHidden/>
          </w:rPr>
          <w:tab/>
        </w:r>
        <w:r>
          <w:rPr>
            <w:noProof/>
            <w:webHidden/>
          </w:rPr>
          <w:fldChar w:fldCharType="begin"/>
        </w:r>
        <w:r>
          <w:rPr>
            <w:noProof/>
            <w:webHidden/>
          </w:rPr>
          <w:instrText xml:space="preserve"> PAGEREF _Toc111416401 \h </w:instrText>
        </w:r>
        <w:r>
          <w:rPr>
            <w:noProof/>
            <w:webHidden/>
          </w:rPr>
        </w:r>
        <w:r>
          <w:rPr>
            <w:noProof/>
            <w:webHidden/>
          </w:rPr>
          <w:fldChar w:fldCharType="separate"/>
        </w:r>
        <w:r>
          <w:rPr>
            <w:noProof/>
            <w:webHidden/>
          </w:rPr>
          <w:t>16</w:t>
        </w:r>
        <w:r>
          <w:rPr>
            <w:noProof/>
            <w:webHidden/>
          </w:rPr>
          <w:fldChar w:fldCharType="end"/>
        </w:r>
      </w:hyperlink>
    </w:p>
    <w:p w:rsidR="002B0947" w:rsidRDefault="00D70056">
      <w:r>
        <w:rPr>
          <w:b/>
          <w:bCs/>
          <w:noProof/>
        </w:rPr>
        <w:fldChar w:fldCharType="end"/>
      </w:r>
    </w:p>
    <w:p w:rsidR="002B0947" w:rsidRDefault="00D70056">
      <w:pPr>
        <w:spacing w:line="259" w:lineRule="auto"/>
        <w:jc w:val="left"/>
        <w:rPr>
          <w:rFonts w:eastAsia="SimSun" w:cs="Times New Roman"/>
          <w:b/>
          <w:color w:val="2F5496"/>
          <w:sz w:val="32"/>
          <w:szCs w:val="32"/>
        </w:rPr>
      </w:pPr>
      <w:bookmarkStart w:id="0" w:name="_Toc111416387"/>
      <w:r>
        <w:br w:type="page"/>
      </w:r>
    </w:p>
    <w:p w:rsidR="002B0947" w:rsidRDefault="00D70056">
      <w:pPr>
        <w:pStyle w:val="Heading1"/>
      </w:pPr>
      <w:r>
        <w:lastRenderedPageBreak/>
        <w:t>Question 1</w:t>
      </w:r>
      <w:bookmarkEnd w:id="0"/>
    </w:p>
    <w:p w:rsidR="002B0947" w:rsidRDefault="00D70056">
      <w:pPr>
        <w:pStyle w:val="Heading2"/>
      </w:pPr>
      <w:bookmarkStart w:id="1" w:name="_Toc111416388"/>
      <w:r>
        <w:t>Requirement a</w:t>
      </w:r>
      <w:bookmarkEnd w:id="1"/>
    </w:p>
    <w:p w:rsidR="002B0947" w:rsidRDefault="00D70056">
      <w:pPr>
        <w:jc w:val="center"/>
        <w:rPr>
          <w:b/>
          <w:bCs/>
          <w:color w:val="0070C0"/>
        </w:rPr>
      </w:pPr>
      <w:r>
        <w:rPr>
          <w:b/>
          <w:bCs/>
          <w:color w:val="0070C0"/>
        </w:rPr>
        <w:t>Statement of income</w:t>
      </w:r>
    </w:p>
    <w:tbl>
      <w:tblPr>
        <w:tblStyle w:val="PlainTable21"/>
        <w:tblW w:w="5000" w:type="pct"/>
        <w:tblLook w:val="04A0" w:firstRow="1" w:lastRow="0" w:firstColumn="1" w:lastColumn="0" w:noHBand="0" w:noVBand="1"/>
      </w:tblPr>
      <w:tblGrid>
        <w:gridCol w:w="4104"/>
        <w:gridCol w:w="2628"/>
        <w:gridCol w:w="2628"/>
      </w:tblGrid>
      <w:tr w:rsidR="002B0947" w:rsidTr="002B0947">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color w:val="000000"/>
                <w:szCs w:val="24"/>
              </w:rPr>
              <w:t> </w:t>
            </w:r>
          </w:p>
        </w:tc>
        <w:tc>
          <w:tcPr>
            <w:tcW w:w="1404"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Amount</w:t>
            </w:r>
          </w:p>
        </w:tc>
        <w:tc>
          <w:tcPr>
            <w:tcW w:w="1404"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Amount</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Revenue</w:t>
            </w:r>
          </w:p>
        </w:tc>
        <w:tc>
          <w:tcPr>
            <w:tcW w:w="14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£800,980</w:t>
            </w:r>
          </w:p>
        </w:tc>
        <w:tc>
          <w:tcPr>
            <w:tcW w:w="1404"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 COGS</w:t>
            </w:r>
          </w:p>
        </w:tc>
        <w:tc>
          <w:tcPr>
            <w:tcW w:w="140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r>
              <w:rPr>
                <w:rFonts w:eastAsia="Times New Roman" w:cs="Times New Roman"/>
                <w:color w:val="000000"/>
                <w:szCs w:val="24"/>
                <w:u w:val="single"/>
              </w:rPr>
              <w:t>-£578,650</w:t>
            </w:r>
          </w:p>
        </w:tc>
        <w:tc>
          <w:tcPr>
            <w:tcW w:w="1404"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rsidR="002B0947" w:rsidRDefault="00D70056">
            <w:pPr>
              <w:spacing w:line="240" w:lineRule="auto"/>
              <w:jc w:val="right"/>
              <w:rPr>
                <w:rFonts w:eastAsia="Times New Roman" w:cs="Times New Roman"/>
                <w:color w:val="000000"/>
                <w:szCs w:val="24"/>
              </w:rPr>
            </w:pPr>
            <w:r>
              <w:rPr>
                <w:rFonts w:eastAsia="Times New Roman" w:cs="Times New Roman"/>
                <w:b w:val="0"/>
                <w:bCs w:val="0"/>
                <w:color w:val="000000"/>
                <w:szCs w:val="24"/>
              </w:rPr>
              <w:t xml:space="preserve">Gross </w:t>
            </w:r>
            <w:r>
              <w:rPr>
                <w:rFonts w:eastAsia="Times New Roman" w:cs="Times New Roman"/>
                <w:b w:val="0"/>
                <w:bCs w:val="0"/>
                <w:color w:val="000000"/>
                <w:szCs w:val="24"/>
              </w:rPr>
              <w:t>Profit</w:t>
            </w:r>
          </w:p>
        </w:tc>
        <w:tc>
          <w:tcPr>
            <w:tcW w:w="1404"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14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£222,330</w:t>
            </w: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 Operating expenses:</w:t>
            </w:r>
          </w:p>
        </w:tc>
        <w:tc>
          <w:tcPr>
            <w:tcW w:w="1404"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404"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Administrative expenses</w:t>
            </w:r>
          </w:p>
        </w:tc>
        <w:tc>
          <w:tcPr>
            <w:tcW w:w="14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-£30,000</w:t>
            </w:r>
          </w:p>
        </w:tc>
        <w:tc>
          <w:tcPr>
            <w:tcW w:w="1404"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Directors’ remuneration</w:t>
            </w:r>
          </w:p>
        </w:tc>
        <w:tc>
          <w:tcPr>
            <w:tcW w:w="140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-£5,000</w:t>
            </w:r>
          </w:p>
        </w:tc>
        <w:tc>
          <w:tcPr>
            <w:tcW w:w="1404"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Distribution</w:t>
            </w:r>
          </w:p>
        </w:tc>
        <w:tc>
          <w:tcPr>
            <w:tcW w:w="14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-£31,000</w:t>
            </w:r>
          </w:p>
        </w:tc>
        <w:tc>
          <w:tcPr>
            <w:tcW w:w="1404"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Ordinary dividend</w:t>
            </w:r>
          </w:p>
        </w:tc>
        <w:tc>
          <w:tcPr>
            <w:tcW w:w="140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-£20,000</w:t>
            </w:r>
          </w:p>
        </w:tc>
        <w:tc>
          <w:tcPr>
            <w:tcW w:w="1404"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Preference dividend</w:t>
            </w:r>
          </w:p>
        </w:tc>
        <w:tc>
          <w:tcPr>
            <w:tcW w:w="14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-£30,000</w:t>
            </w:r>
          </w:p>
        </w:tc>
        <w:tc>
          <w:tcPr>
            <w:tcW w:w="1404"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Interest</w:t>
            </w:r>
          </w:p>
        </w:tc>
        <w:tc>
          <w:tcPr>
            <w:tcW w:w="140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r>
              <w:rPr>
                <w:rFonts w:eastAsia="Times New Roman" w:cs="Times New Roman"/>
                <w:color w:val="000000"/>
                <w:szCs w:val="24"/>
                <w:u w:val="single"/>
              </w:rPr>
              <w:t>-£4,000</w:t>
            </w:r>
          </w:p>
        </w:tc>
        <w:tc>
          <w:tcPr>
            <w:tcW w:w="1404"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 </w:t>
            </w:r>
          </w:p>
        </w:tc>
        <w:tc>
          <w:tcPr>
            <w:tcW w:w="1404"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rPr>
            </w:pPr>
          </w:p>
        </w:tc>
        <w:tc>
          <w:tcPr>
            <w:tcW w:w="14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rPr>
            </w:pPr>
            <w:r>
              <w:rPr>
                <w:rFonts w:eastAsia="Times New Roman" w:cs="Times New Roman"/>
                <w:color w:val="000000"/>
                <w:szCs w:val="24"/>
                <w:u w:val="single"/>
              </w:rPr>
              <w:t>-£120,000</w:t>
            </w: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PBT</w:t>
            </w:r>
          </w:p>
        </w:tc>
        <w:tc>
          <w:tcPr>
            <w:tcW w:w="1404"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40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£102,330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Tax</w:t>
            </w:r>
          </w:p>
        </w:tc>
        <w:tc>
          <w:tcPr>
            <w:tcW w:w="1404"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14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rPr>
            </w:pPr>
            <w:r>
              <w:rPr>
                <w:rFonts w:eastAsia="Times New Roman" w:cs="Times New Roman"/>
                <w:color w:val="000000"/>
                <w:szCs w:val="24"/>
                <w:u w:val="single"/>
              </w:rPr>
              <w:t>-£100,000</w:t>
            </w: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PAT</w:t>
            </w:r>
          </w:p>
        </w:tc>
        <w:tc>
          <w:tcPr>
            <w:tcW w:w="1404"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40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£2,330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Retained income:</w:t>
            </w:r>
          </w:p>
        </w:tc>
        <w:tc>
          <w:tcPr>
            <w:tcW w:w="1404"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1404"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C/F</w:t>
            </w:r>
          </w:p>
        </w:tc>
        <w:tc>
          <w:tcPr>
            <w:tcW w:w="1404"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40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r>
              <w:rPr>
                <w:rFonts w:eastAsia="Times New Roman" w:cs="Times New Roman"/>
                <w:color w:val="000000"/>
                <w:szCs w:val="24"/>
                <w:u w:val="single"/>
              </w:rPr>
              <w:t>£132,000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B/F</w:t>
            </w:r>
          </w:p>
        </w:tc>
        <w:tc>
          <w:tcPr>
            <w:tcW w:w="1404"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14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£134,330</w:t>
            </w:r>
          </w:p>
        </w:tc>
      </w:tr>
    </w:tbl>
    <w:p w:rsidR="002B0947" w:rsidRDefault="002B0947"/>
    <w:p w:rsidR="002B0947" w:rsidRDefault="00D70056">
      <w:pPr>
        <w:jc w:val="center"/>
        <w:rPr>
          <w:b/>
          <w:bCs/>
          <w:color w:val="0070C0"/>
        </w:rPr>
      </w:pPr>
      <w:r>
        <w:rPr>
          <w:b/>
          <w:bCs/>
          <w:color w:val="0070C0"/>
        </w:rPr>
        <w:t>Statement of Financial Position</w:t>
      </w:r>
    </w:p>
    <w:tbl>
      <w:tblPr>
        <w:tblStyle w:val="PlainTable41"/>
        <w:tblW w:w="5000" w:type="pct"/>
        <w:tblLook w:val="04A0" w:firstRow="1" w:lastRow="0" w:firstColumn="1" w:lastColumn="0" w:noHBand="0" w:noVBand="1"/>
      </w:tblPr>
      <w:tblGrid>
        <w:gridCol w:w="3627"/>
        <w:gridCol w:w="2027"/>
        <w:gridCol w:w="2027"/>
        <w:gridCol w:w="1679"/>
      </w:tblGrid>
      <w:tr w:rsidR="002B0947" w:rsidTr="002B0947">
        <w:trPr>
          <w:cnfStyle w:val="100000000000" w:firstRow="1" w:lastRow="0" w:firstColumn="0" w:lastColumn="0" w:oddVBand="0" w:evenVBand="0" w:oddHBand="0"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center"/>
              <w:rPr>
                <w:rFonts w:eastAsia="Times New Roman" w:cs="Times New Roman"/>
                <w:szCs w:val="24"/>
              </w:rPr>
            </w:pPr>
            <w:r>
              <w:rPr>
                <w:rFonts w:eastAsia="Times New Roman" w:cs="Times New Roman"/>
                <w:b w:val="0"/>
                <w:bCs w:val="0"/>
                <w:szCs w:val="24"/>
              </w:rPr>
              <w:t> </w:t>
            </w:r>
          </w:p>
        </w:tc>
        <w:tc>
          <w:tcPr>
            <w:tcW w:w="1083"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Amount</w:t>
            </w:r>
          </w:p>
        </w:tc>
        <w:tc>
          <w:tcPr>
            <w:tcW w:w="1083"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Amount</w:t>
            </w:r>
          </w:p>
        </w:tc>
        <w:tc>
          <w:tcPr>
            <w:tcW w:w="898"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Amount</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center"/>
              <w:rPr>
                <w:rFonts w:eastAsia="Times New Roman" w:cs="Times New Roman"/>
                <w:szCs w:val="24"/>
                <w:u w:val="single"/>
              </w:rPr>
            </w:pPr>
            <w:r>
              <w:rPr>
                <w:rFonts w:eastAsia="Times New Roman" w:cs="Times New Roman"/>
                <w:b w:val="0"/>
                <w:bCs w:val="0"/>
                <w:szCs w:val="24"/>
                <w:u w:val="single"/>
              </w:rPr>
              <w:t>Assets</w:t>
            </w:r>
          </w:p>
        </w:tc>
        <w:tc>
          <w:tcPr>
            <w:tcW w:w="1083"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1083"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898"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left"/>
              <w:rPr>
                <w:rFonts w:eastAsia="Times New Roman" w:cs="Times New Roman"/>
                <w:i/>
                <w:iCs/>
                <w:szCs w:val="24"/>
                <w:u w:val="single"/>
              </w:rPr>
            </w:pPr>
            <w:r>
              <w:rPr>
                <w:rFonts w:eastAsia="Times New Roman" w:cs="Times New Roman"/>
                <w:b w:val="0"/>
                <w:bCs w:val="0"/>
                <w:i/>
                <w:iCs/>
                <w:szCs w:val="24"/>
                <w:u w:val="single"/>
              </w:rPr>
              <w:t>Current assets</w:t>
            </w:r>
          </w:p>
        </w:tc>
        <w:tc>
          <w:tcPr>
            <w:tcW w:w="1083"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1083"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898"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left"/>
              <w:rPr>
                <w:rFonts w:eastAsia="Times New Roman" w:cs="Times New Roman"/>
                <w:szCs w:val="24"/>
              </w:rPr>
            </w:pPr>
            <w:r>
              <w:rPr>
                <w:rFonts w:eastAsia="Times New Roman" w:cs="Times New Roman"/>
                <w:b w:val="0"/>
                <w:bCs w:val="0"/>
                <w:szCs w:val="24"/>
              </w:rPr>
              <w:t>Cash and bank</w:t>
            </w:r>
          </w:p>
        </w:tc>
        <w:tc>
          <w:tcPr>
            <w:tcW w:w="1083"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76,250.00</w:t>
            </w:r>
          </w:p>
        </w:tc>
        <w:tc>
          <w:tcPr>
            <w:tcW w:w="1083"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898"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left"/>
              <w:rPr>
                <w:rFonts w:eastAsia="Times New Roman" w:cs="Times New Roman"/>
                <w:szCs w:val="24"/>
              </w:rPr>
            </w:pPr>
            <w:r>
              <w:rPr>
                <w:rFonts w:eastAsia="Times New Roman" w:cs="Times New Roman"/>
                <w:b w:val="0"/>
                <w:bCs w:val="0"/>
                <w:szCs w:val="24"/>
              </w:rPr>
              <w:t>Inventory</w:t>
            </w:r>
          </w:p>
        </w:tc>
        <w:tc>
          <w:tcPr>
            <w:tcW w:w="1083"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330,600.00</w:t>
            </w:r>
          </w:p>
        </w:tc>
        <w:tc>
          <w:tcPr>
            <w:tcW w:w="1083"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898"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left"/>
              <w:rPr>
                <w:rFonts w:eastAsia="Times New Roman" w:cs="Times New Roman"/>
                <w:szCs w:val="24"/>
              </w:rPr>
            </w:pPr>
            <w:r>
              <w:rPr>
                <w:rFonts w:eastAsia="Times New Roman" w:cs="Times New Roman"/>
                <w:b w:val="0"/>
                <w:bCs w:val="0"/>
                <w:szCs w:val="24"/>
              </w:rPr>
              <w:t>Debtors</w:t>
            </w:r>
          </w:p>
        </w:tc>
        <w:tc>
          <w:tcPr>
            <w:tcW w:w="1083"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u w:val="single"/>
              </w:rPr>
            </w:pPr>
            <w:r>
              <w:rPr>
                <w:rFonts w:eastAsia="Times New Roman" w:cs="Times New Roman"/>
                <w:szCs w:val="24"/>
                <w:u w:val="single"/>
              </w:rPr>
              <w:t>171,105.00</w:t>
            </w:r>
          </w:p>
        </w:tc>
        <w:tc>
          <w:tcPr>
            <w:tcW w:w="1083"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898"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right"/>
              <w:rPr>
                <w:rFonts w:eastAsia="Times New Roman" w:cs="Times New Roman"/>
                <w:i/>
                <w:iCs/>
                <w:szCs w:val="24"/>
              </w:rPr>
            </w:pPr>
            <w:r>
              <w:rPr>
                <w:rFonts w:eastAsia="Times New Roman" w:cs="Times New Roman"/>
                <w:b w:val="0"/>
                <w:bCs w:val="0"/>
                <w:i/>
                <w:iCs/>
                <w:szCs w:val="24"/>
              </w:rPr>
              <w:t>Total CA</w:t>
            </w:r>
          </w:p>
        </w:tc>
        <w:tc>
          <w:tcPr>
            <w:tcW w:w="1083"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1083"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577,955.00</w:t>
            </w:r>
          </w:p>
        </w:tc>
        <w:tc>
          <w:tcPr>
            <w:tcW w:w="898"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left"/>
              <w:rPr>
                <w:rFonts w:eastAsia="Times New Roman" w:cs="Times New Roman"/>
                <w:i/>
                <w:iCs/>
                <w:szCs w:val="24"/>
                <w:u w:val="single"/>
              </w:rPr>
            </w:pPr>
            <w:r>
              <w:rPr>
                <w:rFonts w:eastAsia="Times New Roman" w:cs="Times New Roman"/>
                <w:b w:val="0"/>
                <w:bCs w:val="0"/>
                <w:i/>
                <w:iCs/>
                <w:szCs w:val="24"/>
                <w:u w:val="single"/>
              </w:rPr>
              <w:t>Non-current assets</w:t>
            </w:r>
          </w:p>
        </w:tc>
        <w:tc>
          <w:tcPr>
            <w:tcW w:w="1083"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1083"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898"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left"/>
              <w:rPr>
                <w:rFonts w:eastAsia="Times New Roman" w:cs="Times New Roman"/>
                <w:szCs w:val="24"/>
              </w:rPr>
            </w:pPr>
            <w:r>
              <w:rPr>
                <w:rFonts w:eastAsia="Times New Roman" w:cs="Times New Roman"/>
                <w:b w:val="0"/>
                <w:bCs w:val="0"/>
                <w:szCs w:val="24"/>
              </w:rPr>
              <w:t>Plant and equipment</w:t>
            </w:r>
          </w:p>
        </w:tc>
        <w:tc>
          <w:tcPr>
            <w:tcW w:w="1083"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u w:val="single"/>
              </w:rPr>
            </w:pPr>
            <w:r>
              <w:rPr>
                <w:rFonts w:eastAsia="Times New Roman" w:cs="Times New Roman"/>
                <w:szCs w:val="24"/>
                <w:u w:val="single"/>
              </w:rPr>
              <w:t>650,000.00</w:t>
            </w:r>
          </w:p>
        </w:tc>
        <w:tc>
          <w:tcPr>
            <w:tcW w:w="1083"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898"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right"/>
              <w:rPr>
                <w:rFonts w:eastAsia="Times New Roman" w:cs="Times New Roman"/>
                <w:i/>
                <w:iCs/>
                <w:szCs w:val="24"/>
              </w:rPr>
            </w:pPr>
            <w:r>
              <w:rPr>
                <w:rFonts w:eastAsia="Times New Roman" w:cs="Times New Roman"/>
                <w:b w:val="0"/>
                <w:bCs w:val="0"/>
                <w:i/>
                <w:iCs/>
                <w:szCs w:val="24"/>
              </w:rPr>
              <w:t>Total NCA</w:t>
            </w:r>
          </w:p>
        </w:tc>
        <w:tc>
          <w:tcPr>
            <w:tcW w:w="1083"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u w:val="single"/>
              </w:rPr>
            </w:pPr>
          </w:p>
        </w:tc>
        <w:tc>
          <w:tcPr>
            <w:tcW w:w="1083"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u w:val="single"/>
              </w:rPr>
            </w:pPr>
            <w:r>
              <w:rPr>
                <w:rFonts w:eastAsia="Times New Roman" w:cs="Times New Roman"/>
                <w:szCs w:val="24"/>
                <w:u w:val="single"/>
              </w:rPr>
              <w:t>650,000.00</w:t>
            </w:r>
          </w:p>
        </w:tc>
        <w:tc>
          <w:tcPr>
            <w:tcW w:w="898"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right"/>
              <w:rPr>
                <w:rFonts w:eastAsia="Times New Roman" w:cs="Times New Roman"/>
                <w:szCs w:val="24"/>
              </w:rPr>
            </w:pPr>
            <w:r>
              <w:rPr>
                <w:rFonts w:eastAsia="Times New Roman" w:cs="Times New Roman"/>
                <w:b w:val="0"/>
                <w:bCs w:val="0"/>
                <w:szCs w:val="24"/>
              </w:rPr>
              <w:t>Total assets</w:t>
            </w:r>
          </w:p>
        </w:tc>
        <w:tc>
          <w:tcPr>
            <w:tcW w:w="1083"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p>
        </w:tc>
        <w:tc>
          <w:tcPr>
            <w:tcW w:w="1083"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898"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u w:val="double"/>
              </w:rPr>
            </w:pPr>
            <w:r>
              <w:rPr>
                <w:rFonts w:eastAsia="Times New Roman" w:cs="Times New Roman"/>
                <w:b/>
                <w:bCs/>
                <w:szCs w:val="24"/>
                <w:u w:val="double"/>
              </w:rPr>
              <w:t>1,227,955.00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center"/>
              <w:rPr>
                <w:rFonts w:eastAsia="Times New Roman" w:cs="Times New Roman"/>
                <w:szCs w:val="24"/>
                <w:u w:val="single"/>
              </w:rPr>
            </w:pPr>
            <w:r>
              <w:rPr>
                <w:rFonts w:eastAsia="Times New Roman" w:cs="Times New Roman"/>
                <w:b w:val="0"/>
                <w:bCs w:val="0"/>
                <w:szCs w:val="24"/>
                <w:u w:val="single"/>
              </w:rPr>
              <w:t>Liabilities and Owner's Equity</w:t>
            </w:r>
          </w:p>
        </w:tc>
        <w:tc>
          <w:tcPr>
            <w:tcW w:w="1083"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1083"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898"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left"/>
              <w:rPr>
                <w:rFonts w:eastAsia="Times New Roman" w:cs="Times New Roman"/>
                <w:i/>
                <w:iCs/>
                <w:szCs w:val="24"/>
                <w:u w:val="single"/>
              </w:rPr>
            </w:pPr>
            <w:r>
              <w:rPr>
                <w:rFonts w:eastAsia="Times New Roman" w:cs="Times New Roman"/>
                <w:b w:val="0"/>
                <w:bCs w:val="0"/>
                <w:i/>
                <w:iCs/>
                <w:szCs w:val="24"/>
                <w:u w:val="single"/>
              </w:rPr>
              <w:t>Current liabilities</w:t>
            </w:r>
          </w:p>
        </w:tc>
        <w:tc>
          <w:tcPr>
            <w:tcW w:w="1083"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1083"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898"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left"/>
              <w:rPr>
                <w:rFonts w:eastAsia="Times New Roman" w:cs="Times New Roman"/>
                <w:szCs w:val="24"/>
              </w:rPr>
            </w:pPr>
            <w:r>
              <w:rPr>
                <w:rFonts w:eastAsia="Times New Roman" w:cs="Times New Roman"/>
                <w:b w:val="0"/>
                <w:bCs w:val="0"/>
                <w:szCs w:val="24"/>
              </w:rPr>
              <w:lastRenderedPageBreak/>
              <w:t>Trade payables</w:t>
            </w:r>
          </w:p>
        </w:tc>
        <w:tc>
          <w:tcPr>
            <w:tcW w:w="1083"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188,625.00</w:t>
            </w:r>
          </w:p>
        </w:tc>
        <w:tc>
          <w:tcPr>
            <w:tcW w:w="1083"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898"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left"/>
              <w:rPr>
                <w:rFonts w:eastAsia="Times New Roman" w:cs="Times New Roman"/>
                <w:szCs w:val="24"/>
              </w:rPr>
            </w:pPr>
            <w:r>
              <w:rPr>
                <w:rFonts w:eastAsia="Times New Roman" w:cs="Times New Roman"/>
                <w:b w:val="0"/>
                <w:bCs w:val="0"/>
                <w:szCs w:val="24"/>
              </w:rPr>
              <w:t>Accrued Tax</w:t>
            </w:r>
          </w:p>
        </w:tc>
        <w:tc>
          <w:tcPr>
            <w:tcW w:w="1083"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100,000.00</w:t>
            </w:r>
          </w:p>
        </w:tc>
        <w:tc>
          <w:tcPr>
            <w:tcW w:w="1083"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898"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left"/>
              <w:rPr>
                <w:rFonts w:eastAsia="Times New Roman" w:cs="Times New Roman"/>
                <w:szCs w:val="24"/>
              </w:rPr>
            </w:pPr>
            <w:r>
              <w:rPr>
                <w:rFonts w:eastAsia="Times New Roman" w:cs="Times New Roman"/>
                <w:b w:val="0"/>
                <w:bCs w:val="0"/>
                <w:szCs w:val="24"/>
              </w:rPr>
              <w:t xml:space="preserve">Accrued </w:t>
            </w:r>
            <w:r>
              <w:rPr>
                <w:rFonts w:eastAsia="Times New Roman" w:cs="Times New Roman"/>
                <w:b w:val="0"/>
                <w:bCs w:val="0"/>
                <w:szCs w:val="24"/>
              </w:rPr>
              <w:t>interest</w:t>
            </w:r>
          </w:p>
        </w:tc>
        <w:tc>
          <w:tcPr>
            <w:tcW w:w="1083"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2,000.00</w:t>
            </w:r>
          </w:p>
        </w:tc>
        <w:tc>
          <w:tcPr>
            <w:tcW w:w="1083"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898"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left"/>
              <w:rPr>
                <w:rFonts w:eastAsia="Times New Roman" w:cs="Times New Roman"/>
                <w:szCs w:val="24"/>
              </w:rPr>
            </w:pPr>
            <w:r>
              <w:rPr>
                <w:rFonts w:eastAsia="Times New Roman" w:cs="Times New Roman"/>
                <w:b w:val="0"/>
                <w:bCs w:val="0"/>
                <w:szCs w:val="24"/>
              </w:rPr>
              <w:t>Accrued commission</w:t>
            </w:r>
          </w:p>
        </w:tc>
        <w:tc>
          <w:tcPr>
            <w:tcW w:w="1083"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u w:val="single"/>
              </w:rPr>
            </w:pPr>
            <w:r>
              <w:rPr>
                <w:rFonts w:eastAsia="Times New Roman" w:cs="Times New Roman"/>
                <w:szCs w:val="24"/>
                <w:u w:val="single"/>
              </w:rPr>
              <w:t>3,000.00</w:t>
            </w:r>
          </w:p>
        </w:tc>
        <w:tc>
          <w:tcPr>
            <w:tcW w:w="1083"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898"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right"/>
              <w:rPr>
                <w:rFonts w:eastAsia="Times New Roman" w:cs="Times New Roman"/>
                <w:i/>
                <w:iCs/>
                <w:szCs w:val="24"/>
              </w:rPr>
            </w:pPr>
            <w:r>
              <w:rPr>
                <w:rFonts w:eastAsia="Times New Roman" w:cs="Times New Roman"/>
                <w:b w:val="0"/>
                <w:bCs w:val="0"/>
                <w:i/>
                <w:iCs/>
                <w:szCs w:val="24"/>
              </w:rPr>
              <w:t>Total CL</w:t>
            </w:r>
          </w:p>
        </w:tc>
        <w:tc>
          <w:tcPr>
            <w:tcW w:w="1083"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rPr>
            </w:pPr>
          </w:p>
        </w:tc>
        <w:tc>
          <w:tcPr>
            <w:tcW w:w="1083"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293,625.00</w:t>
            </w:r>
          </w:p>
        </w:tc>
        <w:tc>
          <w:tcPr>
            <w:tcW w:w="898"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left"/>
              <w:rPr>
                <w:rFonts w:eastAsia="Times New Roman" w:cs="Times New Roman"/>
                <w:i/>
                <w:iCs/>
                <w:szCs w:val="24"/>
                <w:u w:val="single"/>
              </w:rPr>
            </w:pPr>
            <w:r>
              <w:rPr>
                <w:rFonts w:eastAsia="Times New Roman" w:cs="Times New Roman"/>
                <w:b w:val="0"/>
                <w:bCs w:val="0"/>
                <w:i/>
                <w:iCs/>
                <w:szCs w:val="24"/>
                <w:u w:val="single"/>
              </w:rPr>
              <w:t>Non-current liabilities</w:t>
            </w:r>
          </w:p>
        </w:tc>
        <w:tc>
          <w:tcPr>
            <w:tcW w:w="1083"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1083"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898"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left"/>
              <w:rPr>
                <w:rFonts w:eastAsia="Times New Roman" w:cs="Times New Roman"/>
                <w:szCs w:val="24"/>
              </w:rPr>
            </w:pPr>
            <w:r>
              <w:rPr>
                <w:rFonts w:eastAsia="Times New Roman" w:cs="Times New Roman"/>
                <w:b w:val="0"/>
                <w:bCs w:val="0"/>
                <w:szCs w:val="24"/>
              </w:rPr>
              <w:t>4% Debentures</w:t>
            </w:r>
          </w:p>
        </w:tc>
        <w:tc>
          <w:tcPr>
            <w:tcW w:w="1083"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u w:val="single"/>
              </w:rPr>
            </w:pPr>
            <w:r>
              <w:rPr>
                <w:rFonts w:eastAsia="Times New Roman" w:cs="Times New Roman"/>
                <w:szCs w:val="24"/>
                <w:u w:val="single"/>
              </w:rPr>
              <w:t>100,000.00</w:t>
            </w:r>
          </w:p>
        </w:tc>
        <w:tc>
          <w:tcPr>
            <w:tcW w:w="1083"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898"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right"/>
              <w:rPr>
                <w:rFonts w:eastAsia="Times New Roman" w:cs="Times New Roman"/>
                <w:i/>
                <w:iCs/>
                <w:szCs w:val="24"/>
              </w:rPr>
            </w:pPr>
            <w:r>
              <w:rPr>
                <w:rFonts w:eastAsia="Times New Roman" w:cs="Times New Roman"/>
                <w:b w:val="0"/>
                <w:bCs w:val="0"/>
                <w:i/>
                <w:iCs/>
                <w:szCs w:val="24"/>
              </w:rPr>
              <w:t>Total NCL</w:t>
            </w:r>
          </w:p>
        </w:tc>
        <w:tc>
          <w:tcPr>
            <w:tcW w:w="1083"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p>
        </w:tc>
        <w:tc>
          <w:tcPr>
            <w:tcW w:w="1083"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u w:val="single"/>
              </w:rPr>
            </w:pPr>
            <w:r>
              <w:rPr>
                <w:rFonts w:eastAsia="Times New Roman" w:cs="Times New Roman"/>
                <w:szCs w:val="24"/>
                <w:u w:val="single"/>
              </w:rPr>
              <w:t>100,000.00</w:t>
            </w:r>
          </w:p>
        </w:tc>
        <w:tc>
          <w:tcPr>
            <w:tcW w:w="898"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right"/>
              <w:rPr>
                <w:rFonts w:eastAsia="Times New Roman" w:cs="Times New Roman"/>
                <w:szCs w:val="24"/>
              </w:rPr>
            </w:pPr>
            <w:r>
              <w:rPr>
                <w:rFonts w:eastAsia="Times New Roman" w:cs="Times New Roman"/>
                <w:b w:val="0"/>
                <w:bCs w:val="0"/>
                <w:szCs w:val="24"/>
              </w:rPr>
              <w:t>Total Liabilities</w:t>
            </w:r>
          </w:p>
        </w:tc>
        <w:tc>
          <w:tcPr>
            <w:tcW w:w="1083"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rPr>
            </w:pPr>
          </w:p>
        </w:tc>
        <w:tc>
          <w:tcPr>
            <w:tcW w:w="1083"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393,625.00</w:t>
            </w:r>
          </w:p>
        </w:tc>
        <w:tc>
          <w:tcPr>
            <w:tcW w:w="898"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left"/>
              <w:rPr>
                <w:rFonts w:eastAsia="Times New Roman" w:cs="Times New Roman"/>
                <w:i/>
                <w:iCs/>
                <w:szCs w:val="24"/>
                <w:u w:val="single"/>
              </w:rPr>
            </w:pPr>
            <w:r>
              <w:rPr>
                <w:rFonts w:eastAsia="Times New Roman" w:cs="Times New Roman"/>
                <w:b w:val="0"/>
                <w:bCs w:val="0"/>
                <w:i/>
                <w:iCs/>
                <w:szCs w:val="24"/>
                <w:u w:val="single"/>
              </w:rPr>
              <w:t>Equity:</w:t>
            </w:r>
          </w:p>
        </w:tc>
        <w:tc>
          <w:tcPr>
            <w:tcW w:w="1083"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1083"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898"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left"/>
              <w:rPr>
                <w:rFonts w:eastAsia="Times New Roman" w:cs="Times New Roman"/>
                <w:szCs w:val="24"/>
              </w:rPr>
            </w:pPr>
            <w:r>
              <w:rPr>
                <w:rFonts w:eastAsia="Times New Roman" w:cs="Times New Roman"/>
                <w:b w:val="0"/>
                <w:bCs w:val="0"/>
                <w:szCs w:val="24"/>
              </w:rPr>
              <w:t>£1 ordinary shares</w:t>
            </w:r>
          </w:p>
        </w:tc>
        <w:tc>
          <w:tcPr>
            <w:tcW w:w="1083"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500,000.00</w:t>
            </w:r>
          </w:p>
        </w:tc>
        <w:tc>
          <w:tcPr>
            <w:tcW w:w="1083"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898"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left"/>
              <w:rPr>
                <w:rFonts w:eastAsia="Times New Roman" w:cs="Times New Roman"/>
                <w:szCs w:val="24"/>
              </w:rPr>
            </w:pPr>
            <w:r>
              <w:rPr>
                <w:rFonts w:eastAsia="Times New Roman" w:cs="Times New Roman"/>
                <w:b w:val="0"/>
                <w:bCs w:val="0"/>
                <w:szCs w:val="24"/>
              </w:rPr>
              <w:t xml:space="preserve">10% £1 </w:t>
            </w:r>
            <w:r>
              <w:rPr>
                <w:rFonts w:eastAsia="Times New Roman" w:cs="Times New Roman"/>
                <w:b w:val="0"/>
                <w:bCs w:val="0"/>
                <w:szCs w:val="24"/>
              </w:rPr>
              <w:t>preference shares</w:t>
            </w:r>
          </w:p>
        </w:tc>
        <w:tc>
          <w:tcPr>
            <w:tcW w:w="1083"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200,000.00</w:t>
            </w:r>
          </w:p>
        </w:tc>
        <w:tc>
          <w:tcPr>
            <w:tcW w:w="1083"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898"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left"/>
              <w:rPr>
                <w:rFonts w:eastAsia="Times New Roman" w:cs="Times New Roman"/>
                <w:szCs w:val="24"/>
              </w:rPr>
            </w:pPr>
            <w:r>
              <w:rPr>
                <w:rFonts w:eastAsia="Times New Roman" w:cs="Times New Roman"/>
                <w:b w:val="0"/>
                <w:bCs w:val="0"/>
                <w:szCs w:val="24"/>
              </w:rPr>
              <w:t>Retained profit C/F</w:t>
            </w:r>
          </w:p>
        </w:tc>
        <w:tc>
          <w:tcPr>
            <w:tcW w:w="1083"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u w:val="single"/>
              </w:rPr>
            </w:pPr>
            <w:r>
              <w:rPr>
                <w:rFonts w:eastAsia="Times New Roman" w:cs="Times New Roman"/>
                <w:szCs w:val="24"/>
                <w:u w:val="single"/>
              </w:rPr>
              <w:t>134,330.00</w:t>
            </w:r>
          </w:p>
        </w:tc>
        <w:tc>
          <w:tcPr>
            <w:tcW w:w="1083"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898"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left"/>
              <w:rPr>
                <w:rFonts w:eastAsia="Times New Roman" w:cs="Times New Roman"/>
                <w:szCs w:val="24"/>
              </w:rPr>
            </w:pPr>
            <w:r>
              <w:rPr>
                <w:rFonts w:eastAsia="Times New Roman" w:cs="Times New Roman"/>
                <w:b w:val="0"/>
                <w:bCs w:val="0"/>
                <w:szCs w:val="24"/>
              </w:rPr>
              <w:t>Total equity</w:t>
            </w:r>
          </w:p>
        </w:tc>
        <w:tc>
          <w:tcPr>
            <w:tcW w:w="1083"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p>
        </w:tc>
        <w:tc>
          <w:tcPr>
            <w:tcW w:w="1083"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u w:val="single"/>
              </w:rPr>
            </w:pPr>
            <w:r>
              <w:rPr>
                <w:rFonts w:eastAsia="Times New Roman" w:cs="Times New Roman"/>
                <w:szCs w:val="24"/>
                <w:u w:val="single"/>
              </w:rPr>
              <w:t>834,330.00</w:t>
            </w:r>
          </w:p>
        </w:tc>
        <w:tc>
          <w:tcPr>
            <w:tcW w:w="898"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rsidR="002B0947" w:rsidRDefault="00D70056">
            <w:pPr>
              <w:spacing w:line="240" w:lineRule="auto"/>
              <w:jc w:val="right"/>
              <w:rPr>
                <w:rFonts w:eastAsia="Times New Roman" w:cs="Times New Roman"/>
                <w:szCs w:val="24"/>
              </w:rPr>
            </w:pPr>
            <w:r>
              <w:rPr>
                <w:rFonts w:eastAsia="Times New Roman" w:cs="Times New Roman"/>
                <w:b w:val="0"/>
                <w:bCs w:val="0"/>
                <w:szCs w:val="24"/>
              </w:rPr>
              <w:t>Total liability and equity</w:t>
            </w:r>
          </w:p>
        </w:tc>
        <w:tc>
          <w:tcPr>
            <w:tcW w:w="1083"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rPr>
            </w:pPr>
          </w:p>
        </w:tc>
        <w:tc>
          <w:tcPr>
            <w:tcW w:w="1083"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rPr>
            </w:pPr>
          </w:p>
        </w:tc>
        <w:tc>
          <w:tcPr>
            <w:tcW w:w="898"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u w:val="double"/>
              </w:rPr>
            </w:pPr>
            <w:r>
              <w:rPr>
                <w:rFonts w:eastAsia="Times New Roman" w:cs="Times New Roman"/>
                <w:b/>
                <w:bCs/>
                <w:szCs w:val="24"/>
                <w:u w:val="double"/>
              </w:rPr>
              <w:t>1,227,955.00</w:t>
            </w:r>
          </w:p>
        </w:tc>
      </w:tr>
    </w:tbl>
    <w:p w:rsidR="002B0947" w:rsidRDefault="002B0947"/>
    <w:p w:rsidR="002B0947" w:rsidRDefault="00D70056">
      <w:pPr>
        <w:pStyle w:val="Heading2"/>
      </w:pPr>
      <w:bookmarkStart w:id="2" w:name="_Toc111416389"/>
      <w:r>
        <w:t>Requirement b</w:t>
      </w:r>
      <w:bookmarkEnd w:id="2"/>
    </w:p>
    <w:p w:rsidR="002B0947" w:rsidRDefault="00D70056">
      <w:r>
        <w:t>Financial accounting shares the financial statements that include the statement of financial position. A statement of financial position is the statement that states the year-end assets and liabilities. Normally, other financial statements state the figure</w:t>
      </w:r>
      <w:r>
        <w:t xml:space="preserve">s for the whole year, but the statement of financial position states the figure for the year-end only. </w:t>
      </w:r>
    </w:p>
    <w:p w:rsidR="002B0947" w:rsidRDefault="00D70056">
      <w:r>
        <w:t>Statement of financial position includes assets and liabilities. And the assets and liabilities are classified into current and non-current portions.</w:t>
      </w:r>
    </w:p>
    <w:p w:rsidR="002B0947" w:rsidRDefault="00D70056">
      <w:r>
        <w:t>Th</w:t>
      </w:r>
      <w:r>
        <w:t>e current portion of assets includes all the liquid or near to liquid assets. Such as cash in hand, bank balances, receivables, inventories (closing), prepaid expenses, etc. Non-current portion of assets includes the investment of the company such as machi</w:t>
      </w:r>
      <w:r>
        <w:t xml:space="preserve">nes, long-term investments, property plant, and equipment, etc. </w:t>
      </w:r>
    </w:p>
    <w:p w:rsidR="002B0947" w:rsidRDefault="00D70056">
      <w:r>
        <w:t>The current portion of liabilities includes bank overdraft, payables, expenses that are accrued, etc. The non-current portion of liabilities includes long-term liabilities like debentures, bo</w:t>
      </w:r>
      <w:r>
        <w:t xml:space="preserve">nds, and the equity portion of the company. Basically, equity is also a liability, but it is internal liability and due to this reason, it is under the liability portion. </w:t>
      </w:r>
    </w:p>
    <w:p w:rsidR="002B0947" w:rsidRDefault="00D70056">
      <w:r>
        <w:lastRenderedPageBreak/>
        <w:t>Normally the reason behind of balancing both sides of financial position is the doub</w:t>
      </w:r>
      <w:r>
        <w:t>le entry system. And this can be proved by using the accounting equation. Accounting equation is an equation that is used in accounting. There are several forms of accounting equation. Such as:</w:t>
      </w:r>
    </w:p>
    <w:p w:rsidR="002B0947" w:rsidRDefault="00D70056">
      <w:pPr>
        <w:pStyle w:val="ListParagraph"/>
        <w:numPr>
          <w:ilvl w:val="0"/>
          <w:numId w:val="1"/>
        </w:numPr>
      </w:pPr>
      <w:r>
        <w:t>Asset = Liability; Here, this is the basic scenario explanatio</w:t>
      </w:r>
      <w:r>
        <w:t>n of the financial position. It has already been mentioned that liability has two parts. One is internal liability and the other is external liability. To show that internal liability separately, another version of accounting equation has been introduced.</w:t>
      </w:r>
    </w:p>
    <w:p w:rsidR="002B0947" w:rsidRDefault="00D70056">
      <w:pPr>
        <w:pStyle w:val="ListParagraph"/>
        <w:numPr>
          <w:ilvl w:val="0"/>
          <w:numId w:val="1"/>
        </w:numPr>
      </w:pPr>
      <w:r>
        <w:t>Asset = Liability + Equity; Here the internal liability has been shown separately.</w:t>
      </w:r>
    </w:p>
    <w:p w:rsidR="002B0947" w:rsidRDefault="00D70056">
      <w:pPr>
        <w:pStyle w:val="ListParagraph"/>
        <w:numPr>
          <w:ilvl w:val="0"/>
          <w:numId w:val="1"/>
        </w:numPr>
      </w:pPr>
      <w:r>
        <w:t>Asset = Liability + (Revenue – Expense – Drawings + Capital); Here, all the break-down of equity has been shown.</w:t>
      </w:r>
    </w:p>
    <w:p w:rsidR="002B0947" w:rsidRDefault="00D70056">
      <w:r>
        <w:t>So, by using any one of the above equations, it can be easil</w:t>
      </w:r>
      <w:r>
        <w:t>y proved that due to double entry system, financial position is balanced. Five arbitrary examples have been shown through accounting equation.</w:t>
      </w:r>
    </w:p>
    <w:p w:rsidR="002B0947" w:rsidRDefault="00D70056">
      <w:pPr>
        <w:pStyle w:val="ListParagraph"/>
        <w:numPr>
          <w:ilvl w:val="0"/>
          <w:numId w:val="2"/>
        </w:numPr>
        <w:rPr>
          <w:b/>
          <w:bCs/>
        </w:rPr>
      </w:pPr>
      <w:r>
        <w:rPr>
          <w:b/>
          <w:bCs/>
        </w:rPr>
        <w:t xml:space="preserve">Purchase of machine at </w:t>
      </w:r>
      <w:r>
        <w:rPr>
          <w:rFonts w:cs="Times New Roman"/>
          <w:b/>
          <w:bCs/>
        </w:rPr>
        <w:t>£</w:t>
      </w:r>
      <w:r>
        <w:rPr>
          <w:b/>
          <w:bCs/>
        </w:rPr>
        <w:t>1,000 for cash.</w:t>
      </w:r>
    </w:p>
    <w:tbl>
      <w:tblPr>
        <w:tblW w:w="3246" w:type="dxa"/>
        <w:tblLook w:val="04A0" w:firstRow="1" w:lastRow="0" w:firstColumn="1" w:lastColumn="0" w:noHBand="0" w:noVBand="1"/>
      </w:tblPr>
      <w:tblGrid>
        <w:gridCol w:w="960"/>
        <w:gridCol w:w="352"/>
        <w:gridCol w:w="1043"/>
        <w:gridCol w:w="352"/>
        <w:gridCol w:w="960"/>
      </w:tblGrid>
      <w:tr w:rsidR="002B0947">
        <w:trPr>
          <w:trHeight w:val="315"/>
        </w:trPr>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Asset</w:t>
            </w:r>
          </w:p>
        </w:tc>
        <w:tc>
          <w:tcPr>
            <w:tcW w:w="166"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w:t>
            </w:r>
          </w:p>
        </w:tc>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Liability</w:t>
            </w:r>
          </w:p>
        </w:tc>
        <w:tc>
          <w:tcPr>
            <w:tcW w:w="20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w:t>
            </w:r>
          </w:p>
        </w:tc>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Equity</w:t>
            </w:r>
          </w:p>
        </w:tc>
      </w:tr>
      <w:tr w:rsidR="002B0947">
        <w:trPr>
          <w:trHeight w:val="315"/>
        </w:trPr>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-1,000</w:t>
            </w:r>
          </w:p>
        </w:tc>
        <w:tc>
          <w:tcPr>
            <w:tcW w:w="166" w:type="dxa"/>
            <w:tcBorders>
              <w:top w:val="nil"/>
              <w:left w:val="nil"/>
              <w:bottom w:val="nil"/>
              <w:right w:val="nil"/>
            </w:tcBorders>
            <w:shd w:val="clear" w:color="auto" w:fill="auto"/>
            <w:noWrap/>
            <w:vAlign w:val="bottom"/>
            <w:hideMark/>
          </w:tcPr>
          <w:p w:rsidR="002B0947" w:rsidRDefault="002B0947">
            <w:pPr>
              <w:spacing w:after="0" w:line="240" w:lineRule="auto"/>
              <w:jc w:val="center"/>
              <w:rPr>
                <w:rFonts w:eastAsia="Times New Roman" w:cs="Times New Roman"/>
                <w:color w:val="000000"/>
                <w:szCs w:val="24"/>
                <w:lang w:eastAsia="en-GB"/>
              </w:rPr>
            </w:pPr>
          </w:p>
        </w:tc>
        <w:tc>
          <w:tcPr>
            <w:tcW w:w="960" w:type="dxa"/>
            <w:tcBorders>
              <w:top w:val="nil"/>
              <w:left w:val="nil"/>
              <w:bottom w:val="nil"/>
              <w:right w:val="nil"/>
            </w:tcBorders>
            <w:shd w:val="clear" w:color="auto" w:fill="auto"/>
            <w:noWrap/>
            <w:vAlign w:val="bottom"/>
            <w:hideMark/>
          </w:tcPr>
          <w:p w:rsidR="002B0947" w:rsidRDefault="002B0947">
            <w:pPr>
              <w:spacing w:after="0" w:line="240" w:lineRule="auto"/>
              <w:jc w:val="center"/>
              <w:rPr>
                <w:rFonts w:eastAsia="Times New Roman" w:cs="Times New Roman"/>
                <w:sz w:val="20"/>
                <w:szCs w:val="20"/>
                <w:lang w:eastAsia="en-GB"/>
              </w:rPr>
            </w:pPr>
          </w:p>
        </w:tc>
        <w:tc>
          <w:tcPr>
            <w:tcW w:w="200" w:type="dxa"/>
            <w:tcBorders>
              <w:top w:val="nil"/>
              <w:left w:val="nil"/>
              <w:bottom w:val="nil"/>
              <w:right w:val="nil"/>
            </w:tcBorders>
            <w:shd w:val="clear" w:color="auto" w:fill="auto"/>
            <w:noWrap/>
            <w:vAlign w:val="bottom"/>
            <w:hideMark/>
          </w:tcPr>
          <w:p w:rsidR="002B0947" w:rsidRDefault="002B0947">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2B0947" w:rsidRDefault="002B0947">
            <w:pPr>
              <w:spacing w:after="0" w:line="240" w:lineRule="auto"/>
              <w:jc w:val="center"/>
              <w:rPr>
                <w:rFonts w:eastAsia="Times New Roman" w:cs="Times New Roman"/>
                <w:sz w:val="20"/>
                <w:szCs w:val="20"/>
                <w:lang w:eastAsia="en-GB"/>
              </w:rPr>
            </w:pPr>
          </w:p>
        </w:tc>
      </w:tr>
      <w:tr w:rsidR="002B0947">
        <w:trPr>
          <w:trHeight w:val="315"/>
        </w:trPr>
        <w:tc>
          <w:tcPr>
            <w:tcW w:w="960" w:type="dxa"/>
            <w:tcBorders>
              <w:top w:val="nil"/>
              <w:left w:val="nil"/>
              <w:bottom w:val="single" w:sz="4" w:space="0" w:color="auto"/>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1,000</w:t>
            </w:r>
          </w:p>
        </w:tc>
        <w:tc>
          <w:tcPr>
            <w:tcW w:w="166" w:type="dxa"/>
            <w:tcBorders>
              <w:top w:val="nil"/>
              <w:left w:val="nil"/>
              <w:bottom w:val="single" w:sz="4" w:space="0" w:color="auto"/>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 </w:t>
            </w:r>
          </w:p>
        </w:tc>
        <w:tc>
          <w:tcPr>
            <w:tcW w:w="960" w:type="dxa"/>
            <w:tcBorders>
              <w:top w:val="nil"/>
              <w:left w:val="nil"/>
              <w:bottom w:val="single" w:sz="4" w:space="0" w:color="auto"/>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 </w:t>
            </w:r>
          </w:p>
        </w:tc>
        <w:tc>
          <w:tcPr>
            <w:tcW w:w="200" w:type="dxa"/>
            <w:tcBorders>
              <w:top w:val="nil"/>
              <w:left w:val="nil"/>
              <w:bottom w:val="single" w:sz="4" w:space="0" w:color="auto"/>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 </w:t>
            </w:r>
          </w:p>
        </w:tc>
        <w:tc>
          <w:tcPr>
            <w:tcW w:w="960" w:type="dxa"/>
            <w:tcBorders>
              <w:top w:val="nil"/>
              <w:left w:val="nil"/>
              <w:bottom w:val="single" w:sz="4" w:space="0" w:color="auto"/>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 </w:t>
            </w:r>
          </w:p>
        </w:tc>
      </w:tr>
      <w:tr w:rsidR="002B0947">
        <w:trPr>
          <w:trHeight w:val="315"/>
        </w:trPr>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0</w:t>
            </w:r>
          </w:p>
        </w:tc>
        <w:tc>
          <w:tcPr>
            <w:tcW w:w="166" w:type="dxa"/>
            <w:tcBorders>
              <w:top w:val="nil"/>
              <w:left w:val="nil"/>
              <w:bottom w:val="nil"/>
              <w:right w:val="nil"/>
            </w:tcBorders>
            <w:shd w:val="clear" w:color="auto" w:fill="auto"/>
            <w:noWrap/>
            <w:vAlign w:val="bottom"/>
            <w:hideMark/>
          </w:tcPr>
          <w:p w:rsidR="002B0947" w:rsidRDefault="002B0947">
            <w:pPr>
              <w:spacing w:after="0" w:line="240" w:lineRule="auto"/>
              <w:jc w:val="center"/>
              <w:rPr>
                <w:rFonts w:eastAsia="Times New Roman" w:cs="Times New Roman"/>
                <w:color w:val="000000"/>
                <w:szCs w:val="24"/>
                <w:lang w:eastAsia="en-GB"/>
              </w:rPr>
            </w:pPr>
          </w:p>
        </w:tc>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0</w:t>
            </w:r>
          </w:p>
        </w:tc>
        <w:tc>
          <w:tcPr>
            <w:tcW w:w="200" w:type="dxa"/>
            <w:tcBorders>
              <w:top w:val="nil"/>
              <w:left w:val="nil"/>
              <w:bottom w:val="nil"/>
              <w:right w:val="nil"/>
            </w:tcBorders>
            <w:shd w:val="clear" w:color="auto" w:fill="auto"/>
            <w:noWrap/>
            <w:vAlign w:val="bottom"/>
            <w:hideMark/>
          </w:tcPr>
          <w:p w:rsidR="002B0947" w:rsidRDefault="002B0947">
            <w:pPr>
              <w:spacing w:after="0" w:line="240" w:lineRule="auto"/>
              <w:jc w:val="center"/>
              <w:rPr>
                <w:rFonts w:eastAsia="Times New Roman" w:cs="Times New Roman"/>
                <w:color w:val="000000"/>
                <w:szCs w:val="24"/>
                <w:lang w:eastAsia="en-GB"/>
              </w:rPr>
            </w:pPr>
          </w:p>
        </w:tc>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0</w:t>
            </w:r>
          </w:p>
        </w:tc>
      </w:tr>
    </w:tbl>
    <w:p w:rsidR="002B0947" w:rsidRDefault="002B0947"/>
    <w:p w:rsidR="002B0947" w:rsidRDefault="00D70056">
      <w:pPr>
        <w:rPr>
          <w:b/>
          <w:bCs/>
        </w:rPr>
      </w:pPr>
      <w:r>
        <w:rPr>
          <w:b/>
          <w:bCs/>
          <w:color w:val="4472C4"/>
        </w:rPr>
        <w:t>Analysis:</w:t>
      </w:r>
      <w:r>
        <w:rPr>
          <w:b/>
          <w:bCs/>
        </w:rPr>
        <w:t xml:space="preserve"> </w:t>
      </w:r>
      <w:r>
        <w:t>Here, both the entries are related to Asset. First of all, there are two parts to this transaction. In one part, asset (machine) increased, and in the other part asset (cash) decreased. As both the parts are related to the asset, so both the entr</w:t>
      </w:r>
      <w:r>
        <w:t>ies have been given to the asset side. As a result, both the sides are equal.</w:t>
      </w:r>
      <w:r>
        <w:rPr>
          <w:b/>
          <w:bCs/>
        </w:rPr>
        <w:t xml:space="preserve"> </w:t>
      </w:r>
    </w:p>
    <w:p w:rsidR="002B0947" w:rsidRDefault="00D70056">
      <w:pPr>
        <w:pStyle w:val="ListParagraph"/>
        <w:numPr>
          <w:ilvl w:val="0"/>
          <w:numId w:val="2"/>
        </w:numPr>
        <w:rPr>
          <w:b/>
          <w:bCs/>
        </w:rPr>
      </w:pPr>
      <w:r>
        <w:rPr>
          <w:b/>
          <w:bCs/>
        </w:rPr>
        <w:t xml:space="preserve">Purchase of machine at </w:t>
      </w:r>
      <w:r>
        <w:rPr>
          <w:rFonts w:cs="Times New Roman"/>
          <w:b/>
          <w:bCs/>
        </w:rPr>
        <w:t>£</w:t>
      </w:r>
      <w:r>
        <w:rPr>
          <w:b/>
          <w:bCs/>
        </w:rPr>
        <w:t>1,000 for credit.</w:t>
      </w:r>
    </w:p>
    <w:tbl>
      <w:tblPr>
        <w:tblW w:w="3246" w:type="dxa"/>
        <w:tblLook w:val="04A0" w:firstRow="1" w:lastRow="0" w:firstColumn="1" w:lastColumn="0" w:noHBand="0" w:noVBand="1"/>
      </w:tblPr>
      <w:tblGrid>
        <w:gridCol w:w="960"/>
        <w:gridCol w:w="352"/>
        <w:gridCol w:w="1043"/>
        <w:gridCol w:w="352"/>
        <w:gridCol w:w="960"/>
      </w:tblGrid>
      <w:tr w:rsidR="002B0947">
        <w:trPr>
          <w:trHeight w:val="315"/>
        </w:trPr>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Asset</w:t>
            </w:r>
          </w:p>
        </w:tc>
        <w:tc>
          <w:tcPr>
            <w:tcW w:w="166"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w:t>
            </w:r>
          </w:p>
        </w:tc>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Liability</w:t>
            </w:r>
          </w:p>
        </w:tc>
        <w:tc>
          <w:tcPr>
            <w:tcW w:w="20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w:t>
            </w:r>
          </w:p>
        </w:tc>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Equity</w:t>
            </w:r>
          </w:p>
        </w:tc>
      </w:tr>
      <w:tr w:rsidR="002B0947">
        <w:trPr>
          <w:trHeight w:val="315"/>
        </w:trPr>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1,000</w:t>
            </w:r>
          </w:p>
        </w:tc>
        <w:tc>
          <w:tcPr>
            <w:tcW w:w="166"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w:t>
            </w:r>
          </w:p>
        </w:tc>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sz w:val="20"/>
                <w:szCs w:val="20"/>
                <w:lang w:eastAsia="en-GB"/>
              </w:rPr>
            </w:pPr>
            <w:r>
              <w:rPr>
                <w:rFonts w:eastAsia="Times New Roman" w:cs="Times New Roman"/>
                <w:color w:val="000000"/>
                <w:szCs w:val="24"/>
                <w:lang w:eastAsia="en-GB"/>
              </w:rPr>
              <w:t>1,000</w:t>
            </w:r>
          </w:p>
        </w:tc>
        <w:tc>
          <w:tcPr>
            <w:tcW w:w="200" w:type="dxa"/>
            <w:tcBorders>
              <w:top w:val="nil"/>
              <w:left w:val="nil"/>
              <w:bottom w:val="nil"/>
              <w:right w:val="nil"/>
            </w:tcBorders>
            <w:shd w:val="clear" w:color="auto" w:fill="auto"/>
            <w:noWrap/>
            <w:vAlign w:val="bottom"/>
            <w:hideMark/>
          </w:tcPr>
          <w:p w:rsidR="002B0947" w:rsidRDefault="002B0947">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2B0947" w:rsidRDefault="002B0947">
            <w:pPr>
              <w:spacing w:after="0" w:line="240" w:lineRule="auto"/>
              <w:jc w:val="center"/>
              <w:rPr>
                <w:rFonts w:eastAsia="Times New Roman" w:cs="Times New Roman"/>
                <w:sz w:val="20"/>
                <w:szCs w:val="20"/>
                <w:lang w:eastAsia="en-GB"/>
              </w:rPr>
            </w:pPr>
          </w:p>
        </w:tc>
      </w:tr>
      <w:tr w:rsidR="002B0947">
        <w:trPr>
          <w:trHeight w:val="315"/>
        </w:trPr>
        <w:tc>
          <w:tcPr>
            <w:tcW w:w="960" w:type="dxa"/>
            <w:tcBorders>
              <w:top w:val="nil"/>
              <w:left w:val="nil"/>
              <w:bottom w:val="single" w:sz="4" w:space="0" w:color="auto"/>
              <w:right w:val="nil"/>
            </w:tcBorders>
            <w:shd w:val="clear" w:color="auto" w:fill="auto"/>
            <w:noWrap/>
            <w:vAlign w:val="bottom"/>
            <w:hideMark/>
          </w:tcPr>
          <w:p w:rsidR="002B0947" w:rsidRDefault="002B0947">
            <w:pPr>
              <w:spacing w:after="0" w:line="240" w:lineRule="auto"/>
              <w:jc w:val="center"/>
              <w:rPr>
                <w:rFonts w:eastAsia="Times New Roman" w:cs="Times New Roman"/>
                <w:color w:val="000000"/>
                <w:szCs w:val="24"/>
                <w:lang w:eastAsia="en-GB"/>
              </w:rPr>
            </w:pPr>
          </w:p>
        </w:tc>
        <w:tc>
          <w:tcPr>
            <w:tcW w:w="166" w:type="dxa"/>
            <w:tcBorders>
              <w:top w:val="nil"/>
              <w:left w:val="nil"/>
              <w:bottom w:val="single" w:sz="4" w:space="0" w:color="auto"/>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 </w:t>
            </w:r>
          </w:p>
        </w:tc>
        <w:tc>
          <w:tcPr>
            <w:tcW w:w="960" w:type="dxa"/>
            <w:tcBorders>
              <w:top w:val="nil"/>
              <w:left w:val="nil"/>
              <w:bottom w:val="single" w:sz="4" w:space="0" w:color="auto"/>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 </w:t>
            </w:r>
          </w:p>
        </w:tc>
        <w:tc>
          <w:tcPr>
            <w:tcW w:w="200" w:type="dxa"/>
            <w:tcBorders>
              <w:top w:val="nil"/>
              <w:left w:val="nil"/>
              <w:bottom w:val="single" w:sz="4" w:space="0" w:color="auto"/>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 </w:t>
            </w:r>
          </w:p>
        </w:tc>
        <w:tc>
          <w:tcPr>
            <w:tcW w:w="960" w:type="dxa"/>
            <w:tcBorders>
              <w:top w:val="nil"/>
              <w:left w:val="nil"/>
              <w:bottom w:val="single" w:sz="4" w:space="0" w:color="auto"/>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 </w:t>
            </w:r>
          </w:p>
        </w:tc>
      </w:tr>
      <w:tr w:rsidR="002B0947">
        <w:trPr>
          <w:trHeight w:val="315"/>
        </w:trPr>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1,000</w:t>
            </w:r>
          </w:p>
        </w:tc>
        <w:tc>
          <w:tcPr>
            <w:tcW w:w="166" w:type="dxa"/>
            <w:tcBorders>
              <w:top w:val="nil"/>
              <w:left w:val="nil"/>
              <w:bottom w:val="nil"/>
              <w:right w:val="nil"/>
            </w:tcBorders>
            <w:shd w:val="clear" w:color="auto" w:fill="auto"/>
            <w:noWrap/>
            <w:vAlign w:val="bottom"/>
            <w:hideMark/>
          </w:tcPr>
          <w:p w:rsidR="002B0947" w:rsidRDefault="002B0947">
            <w:pPr>
              <w:spacing w:after="0" w:line="240" w:lineRule="auto"/>
              <w:jc w:val="center"/>
              <w:rPr>
                <w:rFonts w:eastAsia="Times New Roman" w:cs="Times New Roman"/>
                <w:color w:val="000000"/>
                <w:szCs w:val="24"/>
                <w:lang w:eastAsia="en-GB"/>
              </w:rPr>
            </w:pPr>
          </w:p>
        </w:tc>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1,000</w:t>
            </w:r>
          </w:p>
        </w:tc>
        <w:tc>
          <w:tcPr>
            <w:tcW w:w="200" w:type="dxa"/>
            <w:tcBorders>
              <w:top w:val="nil"/>
              <w:left w:val="nil"/>
              <w:bottom w:val="nil"/>
              <w:right w:val="nil"/>
            </w:tcBorders>
            <w:shd w:val="clear" w:color="auto" w:fill="auto"/>
            <w:noWrap/>
            <w:vAlign w:val="bottom"/>
            <w:hideMark/>
          </w:tcPr>
          <w:p w:rsidR="002B0947" w:rsidRDefault="002B0947">
            <w:pPr>
              <w:spacing w:after="0" w:line="240" w:lineRule="auto"/>
              <w:jc w:val="center"/>
              <w:rPr>
                <w:rFonts w:eastAsia="Times New Roman" w:cs="Times New Roman"/>
                <w:color w:val="000000"/>
                <w:szCs w:val="24"/>
                <w:lang w:eastAsia="en-GB"/>
              </w:rPr>
            </w:pPr>
          </w:p>
        </w:tc>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0</w:t>
            </w:r>
          </w:p>
        </w:tc>
      </w:tr>
    </w:tbl>
    <w:p w:rsidR="002B0947" w:rsidRDefault="002B0947"/>
    <w:p w:rsidR="002B0947" w:rsidRDefault="00D70056">
      <w:r>
        <w:rPr>
          <w:b/>
          <w:bCs/>
          <w:color w:val="4472C4"/>
        </w:rPr>
        <w:t>Analysis:</w:t>
      </w:r>
      <w:r>
        <w:rPr>
          <w:b/>
          <w:bCs/>
        </w:rPr>
        <w:t xml:space="preserve"> </w:t>
      </w:r>
      <w:r>
        <w:t>Here,</w:t>
      </w:r>
      <w:r>
        <w:t xml:space="preserve"> the transaction has affected asset and liability both. First, due to procure of asset, the company’s asset has increased and due to the purchase of that asset at credit, the liability or </w:t>
      </w:r>
      <w:r>
        <w:lastRenderedPageBreak/>
        <w:t xml:space="preserve">payable has increased. So, this transaction has affected both sides </w:t>
      </w:r>
      <w:r>
        <w:t>of the equation with the same equal amount. And, due to this double entry, the equation is equal, and hence both sides of the financial position are balanced.</w:t>
      </w:r>
    </w:p>
    <w:p w:rsidR="002B0947" w:rsidRDefault="00D70056">
      <w:pPr>
        <w:pStyle w:val="ListParagraph"/>
        <w:numPr>
          <w:ilvl w:val="0"/>
          <w:numId w:val="2"/>
        </w:numPr>
        <w:rPr>
          <w:b/>
          <w:bCs/>
        </w:rPr>
      </w:pPr>
      <w:r>
        <w:rPr>
          <w:b/>
          <w:bCs/>
        </w:rPr>
        <w:t xml:space="preserve">Goods are sold to consumers at </w:t>
      </w:r>
      <w:r>
        <w:rPr>
          <w:rFonts w:cs="Times New Roman"/>
          <w:b/>
          <w:bCs/>
        </w:rPr>
        <w:t>£</w:t>
      </w:r>
      <w:r>
        <w:rPr>
          <w:b/>
          <w:bCs/>
        </w:rPr>
        <w:t>1,000 for cash.</w:t>
      </w:r>
    </w:p>
    <w:tbl>
      <w:tblPr>
        <w:tblW w:w="3246" w:type="dxa"/>
        <w:tblLook w:val="04A0" w:firstRow="1" w:lastRow="0" w:firstColumn="1" w:lastColumn="0" w:noHBand="0" w:noVBand="1"/>
      </w:tblPr>
      <w:tblGrid>
        <w:gridCol w:w="960"/>
        <w:gridCol w:w="352"/>
        <w:gridCol w:w="1043"/>
        <w:gridCol w:w="352"/>
        <w:gridCol w:w="960"/>
      </w:tblGrid>
      <w:tr w:rsidR="002B0947">
        <w:trPr>
          <w:trHeight w:val="315"/>
        </w:trPr>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Asset</w:t>
            </w:r>
          </w:p>
        </w:tc>
        <w:tc>
          <w:tcPr>
            <w:tcW w:w="166"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w:t>
            </w:r>
          </w:p>
        </w:tc>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Liability</w:t>
            </w:r>
          </w:p>
        </w:tc>
        <w:tc>
          <w:tcPr>
            <w:tcW w:w="20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w:t>
            </w:r>
          </w:p>
        </w:tc>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Equity</w:t>
            </w:r>
          </w:p>
        </w:tc>
      </w:tr>
      <w:tr w:rsidR="002B0947">
        <w:trPr>
          <w:trHeight w:val="315"/>
        </w:trPr>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1,000</w:t>
            </w:r>
          </w:p>
        </w:tc>
        <w:tc>
          <w:tcPr>
            <w:tcW w:w="166"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w:t>
            </w:r>
          </w:p>
        </w:tc>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szCs w:val="24"/>
                <w:lang w:eastAsia="en-GB"/>
              </w:rPr>
            </w:pPr>
            <w:r>
              <w:rPr>
                <w:rFonts w:eastAsia="Times New Roman" w:cs="Times New Roman"/>
                <w:szCs w:val="24"/>
                <w:lang w:eastAsia="en-GB"/>
              </w:rPr>
              <w:t>0</w:t>
            </w:r>
          </w:p>
        </w:tc>
        <w:tc>
          <w:tcPr>
            <w:tcW w:w="200" w:type="dxa"/>
            <w:tcBorders>
              <w:top w:val="nil"/>
              <w:left w:val="nil"/>
              <w:bottom w:val="nil"/>
              <w:right w:val="nil"/>
            </w:tcBorders>
            <w:shd w:val="clear" w:color="auto" w:fill="auto"/>
            <w:noWrap/>
            <w:vAlign w:val="bottom"/>
            <w:hideMark/>
          </w:tcPr>
          <w:p w:rsidR="002B0947" w:rsidRDefault="002B0947">
            <w:pPr>
              <w:spacing w:after="0" w:line="240" w:lineRule="auto"/>
              <w:jc w:val="center"/>
              <w:rPr>
                <w:rFonts w:eastAsia="Times New Roman" w:cs="Times New Roman"/>
                <w:szCs w:val="24"/>
                <w:lang w:eastAsia="en-GB"/>
              </w:rPr>
            </w:pPr>
          </w:p>
        </w:tc>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szCs w:val="24"/>
                <w:lang w:eastAsia="en-GB"/>
              </w:rPr>
            </w:pPr>
            <w:r>
              <w:rPr>
                <w:rFonts w:eastAsia="Times New Roman" w:cs="Times New Roman"/>
                <w:color w:val="000000"/>
                <w:szCs w:val="24"/>
                <w:lang w:eastAsia="en-GB"/>
              </w:rPr>
              <w:t>1,000</w:t>
            </w:r>
          </w:p>
        </w:tc>
      </w:tr>
      <w:tr w:rsidR="002B0947">
        <w:trPr>
          <w:trHeight w:val="315"/>
        </w:trPr>
        <w:tc>
          <w:tcPr>
            <w:tcW w:w="960" w:type="dxa"/>
            <w:tcBorders>
              <w:top w:val="nil"/>
              <w:left w:val="nil"/>
              <w:bottom w:val="single" w:sz="4" w:space="0" w:color="auto"/>
              <w:right w:val="nil"/>
            </w:tcBorders>
            <w:shd w:val="clear" w:color="auto" w:fill="auto"/>
            <w:noWrap/>
            <w:vAlign w:val="bottom"/>
            <w:hideMark/>
          </w:tcPr>
          <w:p w:rsidR="002B0947" w:rsidRDefault="002B0947">
            <w:pPr>
              <w:spacing w:after="0" w:line="240" w:lineRule="auto"/>
              <w:jc w:val="center"/>
              <w:rPr>
                <w:rFonts w:eastAsia="Times New Roman" w:cs="Times New Roman"/>
                <w:color w:val="000000"/>
                <w:szCs w:val="24"/>
                <w:lang w:eastAsia="en-GB"/>
              </w:rPr>
            </w:pPr>
          </w:p>
        </w:tc>
        <w:tc>
          <w:tcPr>
            <w:tcW w:w="166" w:type="dxa"/>
            <w:tcBorders>
              <w:top w:val="nil"/>
              <w:left w:val="nil"/>
              <w:bottom w:val="single" w:sz="4" w:space="0" w:color="auto"/>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 </w:t>
            </w:r>
          </w:p>
        </w:tc>
        <w:tc>
          <w:tcPr>
            <w:tcW w:w="960" w:type="dxa"/>
            <w:tcBorders>
              <w:top w:val="nil"/>
              <w:left w:val="nil"/>
              <w:bottom w:val="single" w:sz="4" w:space="0" w:color="auto"/>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 </w:t>
            </w:r>
          </w:p>
        </w:tc>
        <w:tc>
          <w:tcPr>
            <w:tcW w:w="200" w:type="dxa"/>
            <w:tcBorders>
              <w:top w:val="nil"/>
              <w:left w:val="nil"/>
              <w:bottom w:val="single" w:sz="4" w:space="0" w:color="auto"/>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 </w:t>
            </w:r>
          </w:p>
        </w:tc>
        <w:tc>
          <w:tcPr>
            <w:tcW w:w="960" w:type="dxa"/>
            <w:tcBorders>
              <w:top w:val="nil"/>
              <w:left w:val="nil"/>
              <w:bottom w:val="single" w:sz="4" w:space="0" w:color="auto"/>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 </w:t>
            </w:r>
          </w:p>
        </w:tc>
      </w:tr>
      <w:tr w:rsidR="002B0947">
        <w:trPr>
          <w:trHeight w:val="315"/>
        </w:trPr>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1,000</w:t>
            </w:r>
          </w:p>
        </w:tc>
        <w:tc>
          <w:tcPr>
            <w:tcW w:w="166" w:type="dxa"/>
            <w:tcBorders>
              <w:top w:val="nil"/>
              <w:left w:val="nil"/>
              <w:bottom w:val="nil"/>
              <w:right w:val="nil"/>
            </w:tcBorders>
            <w:shd w:val="clear" w:color="auto" w:fill="auto"/>
            <w:noWrap/>
            <w:vAlign w:val="bottom"/>
            <w:hideMark/>
          </w:tcPr>
          <w:p w:rsidR="002B0947" w:rsidRDefault="002B0947">
            <w:pPr>
              <w:spacing w:after="0" w:line="240" w:lineRule="auto"/>
              <w:jc w:val="center"/>
              <w:rPr>
                <w:rFonts w:eastAsia="Times New Roman" w:cs="Times New Roman"/>
                <w:color w:val="000000"/>
                <w:szCs w:val="24"/>
                <w:lang w:eastAsia="en-GB"/>
              </w:rPr>
            </w:pPr>
          </w:p>
        </w:tc>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0</w:t>
            </w:r>
          </w:p>
        </w:tc>
        <w:tc>
          <w:tcPr>
            <w:tcW w:w="200" w:type="dxa"/>
            <w:tcBorders>
              <w:top w:val="nil"/>
              <w:left w:val="nil"/>
              <w:bottom w:val="nil"/>
              <w:right w:val="nil"/>
            </w:tcBorders>
            <w:shd w:val="clear" w:color="auto" w:fill="auto"/>
            <w:noWrap/>
            <w:vAlign w:val="bottom"/>
            <w:hideMark/>
          </w:tcPr>
          <w:p w:rsidR="002B0947" w:rsidRDefault="002B0947">
            <w:pPr>
              <w:spacing w:after="0" w:line="240" w:lineRule="auto"/>
              <w:jc w:val="center"/>
              <w:rPr>
                <w:rFonts w:eastAsia="Times New Roman" w:cs="Times New Roman"/>
                <w:color w:val="000000"/>
                <w:szCs w:val="24"/>
                <w:lang w:eastAsia="en-GB"/>
              </w:rPr>
            </w:pPr>
          </w:p>
        </w:tc>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1,000</w:t>
            </w:r>
          </w:p>
        </w:tc>
      </w:tr>
    </w:tbl>
    <w:p w:rsidR="002B0947" w:rsidRDefault="002B0947"/>
    <w:p w:rsidR="002B0947" w:rsidRDefault="00D70056">
      <w:r>
        <w:rPr>
          <w:b/>
          <w:bCs/>
          <w:color w:val="4472C4"/>
        </w:rPr>
        <w:t>Analysis:</w:t>
      </w:r>
      <w:r>
        <w:rPr>
          <w:b/>
          <w:bCs/>
        </w:rPr>
        <w:t xml:space="preserve"> </w:t>
      </w:r>
      <w:r>
        <w:t>Here,</w:t>
      </w:r>
      <w:r>
        <w:t xml:space="preserve"> the transaction has affected both sides of the equation. One is the asset side and the other is the equity side. It has also been mentioned and shown that revenue and expenses are part of equity. So, when the company has earned the revenue, the equity has</w:t>
      </w:r>
      <w:r>
        <w:t xml:space="preserve"> increased and the revenue is in cash. Due to cash revenue, cash has increased. Asset and equity both have increased and both sides of the equation become equal or balanced.</w:t>
      </w:r>
    </w:p>
    <w:p w:rsidR="002B0947" w:rsidRDefault="00D70056">
      <w:pPr>
        <w:pStyle w:val="ListParagraph"/>
        <w:numPr>
          <w:ilvl w:val="0"/>
          <w:numId w:val="2"/>
        </w:numPr>
        <w:rPr>
          <w:b/>
          <w:bCs/>
        </w:rPr>
      </w:pPr>
      <w:r>
        <w:rPr>
          <w:b/>
          <w:bCs/>
        </w:rPr>
        <w:t xml:space="preserve">Goods are sold to consumers at </w:t>
      </w:r>
      <w:r>
        <w:rPr>
          <w:rFonts w:cs="Times New Roman"/>
          <w:b/>
          <w:bCs/>
        </w:rPr>
        <w:t>£</w:t>
      </w:r>
      <w:r>
        <w:rPr>
          <w:b/>
          <w:bCs/>
        </w:rPr>
        <w:t>1,000 for credit.</w:t>
      </w:r>
    </w:p>
    <w:tbl>
      <w:tblPr>
        <w:tblW w:w="3667" w:type="dxa"/>
        <w:tblLook w:val="04A0" w:firstRow="1" w:lastRow="0" w:firstColumn="1" w:lastColumn="0" w:noHBand="0" w:noVBand="1"/>
      </w:tblPr>
      <w:tblGrid>
        <w:gridCol w:w="960"/>
        <w:gridCol w:w="352"/>
        <w:gridCol w:w="1043"/>
        <w:gridCol w:w="352"/>
        <w:gridCol w:w="960"/>
      </w:tblGrid>
      <w:tr w:rsidR="002B0947">
        <w:trPr>
          <w:trHeight w:val="315"/>
        </w:trPr>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Asset</w:t>
            </w:r>
          </w:p>
        </w:tc>
        <w:tc>
          <w:tcPr>
            <w:tcW w:w="352"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w:t>
            </w:r>
          </w:p>
        </w:tc>
        <w:tc>
          <w:tcPr>
            <w:tcW w:w="1043"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Liability</w:t>
            </w:r>
          </w:p>
        </w:tc>
        <w:tc>
          <w:tcPr>
            <w:tcW w:w="352"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w:t>
            </w:r>
          </w:p>
        </w:tc>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Equity</w:t>
            </w:r>
          </w:p>
        </w:tc>
      </w:tr>
      <w:tr w:rsidR="002B0947">
        <w:trPr>
          <w:trHeight w:val="315"/>
        </w:trPr>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1,000</w:t>
            </w:r>
          </w:p>
        </w:tc>
        <w:tc>
          <w:tcPr>
            <w:tcW w:w="352"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w:t>
            </w:r>
          </w:p>
        </w:tc>
        <w:tc>
          <w:tcPr>
            <w:tcW w:w="1043"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szCs w:val="24"/>
                <w:lang w:eastAsia="en-GB"/>
              </w:rPr>
            </w:pPr>
            <w:r>
              <w:rPr>
                <w:rFonts w:eastAsia="Times New Roman" w:cs="Times New Roman"/>
                <w:szCs w:val="24"/>
                <w:lang w:eastAsia="en-GB"/>
              </w:rPr>
              <w:t>0</w:t>
            </w:r>
          </w:p>
        </w:tc>
        <w:tc>
          <w:tcPr>
            <w:tcW w:w="352" w:type="dxa"/>
            <w:tcBorders>
              <w:top w:val="nil"/>
              <w:left w:val="nil"/>
              <w:bottom w:val="nil"/>
              <w:right w:val="nil"/>
            </w:tcBorders>
            <w:shd w:val="clear" w:color="auto" w:fill="auto"/>
            <w:noWrap/>
            <w:vAlign w:val="bottom"/>
            <w:hideMark/>
          </w:tcPr>
          <w:p w:rsidR="002B0947" w:rsidRDefault="002B0947">
            <w:pPr>
              <w:spacing w:after="0" w:line="240" w:lineRule="auto"/>
              <w:jc w:val="center"/>
              <w:rPr>
                <w:rFonts w:eastAsia="Times New Roman" w:cs="Times New Roman"/>
                <w:szCs w:val="24"/>
                <w:lang w:eastAsia="en-GB"/>
              </w:rPr>
            </w:pPr>
          </w:p>
        </w:tc>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szCs w:val="24"/>
                <w:lang w:eastAsia="en-GB"/>
              </w:rPr>
            </w:pPr>
            <w:r>
              <w:rPr>
                <w:rFonts w:eastAsia="Times New Roman" w:cs="Times New Roman"/>
                <w:color w:val="000000"/>
                <w:szCs w:val="24"/>
                <w:lang w:eastAsia="en-GB"/>
              </w:rPr>
              <w:t>1,000</w:t>
            </w:r>
          </w:p>
        </w:tc>
      </w:tr>
      <w:tr w:rsidR="002B0947">
        <w:trPr>
          <w:trHeight w:val="315"/>
        </w:trPr>
        <w:tc>
          <w:tcPr>
            <w:tcW w:w="960" w:type="dxa"/>
            <w:tcBorders>
              <w:top w:val="nil"/>
              <w:left w:val="nil"/>
              <w:bottom w:val="single" w:sz="4" w:space="0" w:color="auto"/>
              <w:right w:val="nil"/>
            </w:tcBorders>
            <w:shd w:val="clear" w:color="auto" w:fill="auto"/>
            <w:noWrap/>
            <w:vAlign w:val="bottom"/>
            <w:hideMark/>
          </w:tcPr>
          <w:p w:rsidR="002B0947" w:rsidRDefault="002B0947">
            <w:pPr>
              <w:spacing w:after="0" w:line="240" w:lineRule="auto"/>
              <w:jc w:val="center"/>
              <w:rPr>
                <w:rFonts w:eastAsia="Times New Roman" w:cs="Times New Roman"/>
                <w:color w:val="000000"/>
                <w:szCs w:val="24"/>
                <w:lang w:eastAsia="en-GB"/>
              </w:rPr>
            </w:pPr>
          </w:p>
        </w:tc>
        <w:tc>
          <w:tcPr>
            <w:tcW w:w="352" w:type="dxa"/>
            <w:tcBorders>
              <w:top w:val="nil"/>
              <w:left w:val="nil"/>
              <w:bottom w:val="single" w:sz="4" w:space="0" w:color="auto"/>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 </w:t>
            </w:r>
          </w:p>
        </w:tc>
        <w:tc>
          <w:tcPr>
            <w:tcW w:w="1043" w:type="dxa"/>
            <w:tcBorders>
              <w:top w:val="nil"/>
              <w:left w:val="nil"/>
              <w:bottom w:val="single" w:sz="4" w:space="0" w:color="auto"/>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 </w:t>
            </w:r>
          </w:p>
        </w:tc>
        <w:tc>
          <w:tcPr>
            <w:tcW w:w="352" w:type="dxa"/>
            <w:tcBorders>
              <w:top w:val="nil"/>
              <w:left w:val="nil"/>
              <w:bottom w:val="single" w:sz="4" w:space="0" w:color="auto"/>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 </w:t>
            </w:r>
          </w:p>
        </w:tc>
        <w:tc>
          <w:tcPr>
            <w:tcW w:w="960" w:type="dxa"/>
            <w:tcBorders>
              <w:top w:val="nil"/>
              <w:left w:val="nil"/>
              <w:bottom w:val="single" w:sz="4" w:space="0" w:color="auto"/>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 </w:t>
            </w:r>
          </w:p>
        </w:tc>
      </w:tr>
      <w:tr w:rsidR="002B0947">
        <w:trPr>
          <w:trHeight w:val="315"/>
        </w:trPr>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1,000</w:t>
            </w:r>
          </w:p>
        </w:tc>
        <w:tc>
          <w:tcPr>
            <w:tcW w:w="352" w:type="dxa"/>
            <w:tcBorders>
              <w:top w:val="nil"/>
              <w:left w:val="nil"/>
              <w:bottom w:val="nil"/>
              <w:right w:val="nil"/>
            </w:tcBorders>
            <w:shd w:val="clear" w:color="auto" w:fill="auto"/>
            <w:noWrap/>
            <w:vAlign w:val="bottom"/>
            <w:hideMark/>
          </w:tcPr>
          <w:p w:rsidR="002B0947" w:rsidRDefault="002B0947">
            <w:pPr>
              <w:spacing w:after="0" w:line="240" w:lineRule="auto"/>
              <w:jc w:val="center"/>
              <w:rPr>
                <w:rFonts w:eastAsia="Times New Roman" w:cs="Times New Roman"/>
                <w:color w:val="000000"/>
                <w:szCs w:val="24"/>
                <w:lang w:eastAsia="en-GB"/>
              </w:rPr>
            </w:pPr>
          </w:p>
        </w:tc>
        <w:tc>
          <w:tcPr>
            <w:tcW w:w="1043"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0</w:t>
            </w:r>
          </w:p>
        </w:tc>
        <w:tc>
          <w:tcPr>
            <w:tcW w:w="352" w:type="dxa"/>
            <w:tcBorders>
              <w:top w:val="nil"/>
              <w:left w:val="nil"/>
              <w:bottom w:val="nil"/>
              <w:right w:val="nil"/>
            </w:tcBorders>
            <w:shd w:val="clear" w:color="auto" w:fill="auto"/>
            <w:noWrap/>
            <w:vAlign w:val="bottom"/>
            <w:hideMark/>
          </w:tcPr>
          <w:p w:rsidR="002B0947" w:rsidRDefault="002B0947">
            <w:pPr>
              <w:spacing w:after="0" w:line="240" w:lineRule="auto"/>
              <w:jc w:val="center"/>
              <w:rPr>
                <w:rFonts w:eastAsia="Times New Roman" w:cs="Times New Roman"/>
                <w:color w:val="000000"/>
                <w:szCs w:val="24"/>
                <w:lang w:eastAsia="en-GB"/>
              </w:rPr>
            </w:pPr>
          </w:p>
        </w:tc>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1,000</w:t>
            </w:r>
          </w:p>
        </w:tc>
      </w:tr>
    </w:tbl>
    <w:p w:rsidR="002B0947" w:rsidRDefault="002B0947">
      <w:pPr>
        <w:rPr>
          <w:b/>
          <w:bCs/>
          <w:color w:val="4472C4"/>
        </w:rPr>
      </w:pPr>
    </w:p>
    <w:p w:rsidR="002B0947" w:rsidRDefault="00D70056">
      <w:r>
        <w:rPr>
          <w:b/>
          <w:bCs/>
          <w:color w:val="4472C4"/>
        </w:rPr>
        <w:t>Analysis:</w:t>
      </w:r>
      <w:r>
        <w:rPr>
          <w:b/>
          <w:bCs/>
        </w:rPr>
        <w:t xml:space="preserve"> </w:t>
      </w:r>
      <w:r>
        <w:t>Here,</w:t>
      </w:r>
      <w:r>
        <w:t xml:space="preserve"> the transaction has affected both sides of the equation. One is the asset side and the other is the equity side. Trade receivable is an asset like cash. So, the impact of this transaction is the same as the last transaction analysed.</w:t>
      </w:r>
    </w:p>
    <w:p w:rsidR="002B0947" w:rsidRDefault="00D70056">
      <w:pPr>
        <w:pStyle w:val="ListParagraph"/>
        <w:numPr>
          <w:ilvl w:val="0"/>
          <w:numId w:val="2"/>
        </w:numPr>
        <w:rPr>
          <w:b/>
          <w:bCs/>
        </w:rPr>
      </w:pPr>
      <w:r>
        <w:rPr>
          <w:b/>
          <w:bCs/>
        </w:rPr>
        <w:t>Goods are purchased f</w:t>
      </w:r>
      <w:r>
        <w:rPr>
          <w:b/>
          <w:bCs/>
        </w:rPr>
        <w:t xml:space="preserve">rom suppliers at </w:t>
      </w:r>
      <w:r>
        <w:rPr>
          <w:rFonts w:cs="Times New Roman"/>
          <w:b/>
          <w:bCs/>
        </w:rPr>
        <w:t>£</w:t>
      </w:r>
      <w:r>
        <w:rPr>
          <w:b/>
          <w:bCs/>
        </w:rPr>
        <w:t>1,000 on credit.</w:t>
      </w:r>
    </w:p>
    <w:tbl>
      <w:tblPr>
        <w:tblW w:w="3667" w:type="dxa"/>
        <w:tblLook w:val="04A0" w:firstRow="1" w:lastRow="0" w:firstColumn="1" w:lastColumn="0" w:noHBand="0" w:noVBand="1"/>
      </w:tblPr>
      <w:tblGrid>
        <w:gridCol w:w="960"/>
        <w:gridCol w:w="352"/>
        <w:gridCol w:w="1043"/>
        <w:gridCol w:w="352"/>
        <w:gridCol w:w="960"/>
      </w:tblGrid>
      <w:tr w:rsidR="002B0947">
        <w:trPr>
          <w:trHeight w:val="315"/>
        </w:trPr>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Asset</w:t>
            </w:r>
          </w:p>
        </w:tc>
        <w:tc>
          <w:tcPr>
            <w:tcW w:w="352"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w:t>
            </w:r>
          </w:p>
        </w:tc>
        <w:tc>
          <w:tcPr>
            <w:tcW w:w="1043"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Liability</w:t>
            </w:r>
          </w:p>
        </w:tc>
        <w:tc>
          <w:tcPr>
            <w:tcW w:w="352"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w:t>
            </w:r>
          </w:p>
        </w:tc>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Equity</w:t>
            </w:r>
          </w:p>
        </w:tc>
      </w:tr>
      <w:tr w:rsidR="002B0947">
        <w:trPr>
          <w:trHeight w:val="315"/>
        </w:trPr>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0</w:t>
            </w:r>
          </w:p>
        </w:tc>
        <w:tc>
          <w:tcPr>
            <w:tcW w:w="352"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w:t>
            </w:r>
          </w:p>
        </w:tc>
        <w:tc>
          <w:tcPr>
            <w:tcW w:w="1043"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szCs w:val="24"/>
                <w:lang w:eastAsia="en-GB"/>
              </w:rPr>
            </w:pPr>
            <w:r>
              <w:rPr>
                <w:rFonts w:eastAsia="Times New Roman" w:cs="Times New Roman"/>
                <w:color w:val="000000"/>
                <w:szCs w:val="24"/>
                <w:lang w:eastAsia="en-GB"/>
              </w:rPr>
              <w:t>1,000</w:t>
            </w:r>
          </w:p>
        </w:tc>
        <w:tc>
          <w:tcPr>
            <w:tcW w:w="352" w:type="dxa"/>
            <w:tcBorders>
              <w:top w:val="nil"/>
              <w:left w:val="nil"/>
              <w:bottom w:val="nil"/>
              <w:right w:val="nil"/>
            </w:tcBorders>
            <w:shd w:val="clear" w:color="auto" w:fill="auto"/>
            <w:noWrap/>
            <w:vAlign w:val="bottom"/>
            <w:hideMark/>
          </w:tcPr>
          <w:p w:rsidR="002B0947" w:rsidRDefault="002B0947">
            <w:pPr>
              <w:spacing w:after="0" w:line="240" w:lineRule="auto"/>
              <w:jc w:val="center"/>
              <w:rPr>
                <w:rFonts w:eastAsia="Times New Roman" w:cs="Times New Roman"/>
                <w:szCs w:val="24"/>
                <w:lang w:eastAsia="en-GB"/>
              </w:rPr>
            </w:pPr>
          </w:p>
        </w:tc>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szCs w:val="24"/>
                <w:lang w:eastAsia="en-GB"/>
              </w:rPr>
            </w:pPr>
            <w:r>
              <w:rPr>
                <w:rFonts w:eastAsia="Times New Roman" w:cs="Times New Roman"/>
                <w:color w:val="000000"/>
                <w:szCs w:val="24"/>
                <w:lang w:eastAsia="en-GB"/>
              </w:rPr>
              <w:t>-1,000</w:t>
            </w:r>
          </w:p>
        </w:tc>
      </w:tr>
      <w:tr w:rsidR="002B0947">
        <w:trPr>
          <w:trHeight w:val="315"/>
        </w:trPr>
        <w:tc>
          <w:tcPr>
            <w:tcW w:w="960" w:type="dxa"/>
            <w:tcBorders>
              <w:top w:val="nil"/>
              <w:left w:val="nil"/>
              <w:bottom w:val="single" w:sz="4" w:space="0" w:color="auto"/>
              <w:right w:val="nil"/>
            </w:tcBorders>
            <w:shd w:val="clear" w:color="auto" w:fill="auto"/>
            <w:noWrap/>
            <w:vAlign w:val="bottom"/>
            <w:hideMark/>
          </w:tcPr>
          <w:p w:rsidR="002B0947" w:rsidRDefault="002B0947">
            <w:pPr>
              <w:spacing w:after="0" w:line="240" w:lineRule="auto"/>
              <w:jc w:val="center"/>
              <w:rPr>
                <w:rFonts w:eastAsia="Times New Roman" w:cs="Times New Roman"/>
                <w:color w:val="000000"/>
                <w:szCs w:val="24"/>
                <w:lang w:eastAsia="en-GB"/>
              </w:rPr>
            </w:pPr>
          </w:p>
        </w:tc>
        <w:tc>
          <w:tcPr>
            <w:tcW w:w="352" w:type="dxa"/>
            <w:tcBorders>
              <w:top w:val="nil"/>
              <w:left w:val="nil"/>
              <w:bottom w:val="single" w:sz="4" w:space="0" w:color="auto"/>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 </w:t>
            </w:r>
          </w:p>
        </w:tc>
        <w:tc>
          <w:tcPr>
            <w:tcW w:w="1043" w:type="dxa"/>
            <w:tcBorders>
              <w:top w:val="nil"/>
              <w:left w:val="nil"/>
              <w:bottom w:val="single" w:sz="4" w:space="0" w:color="auto"/>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 </w:t>
            </w:r>
          </w:p>
        </w:tc>
        <w:tc>
          <w:tcPr>
            <w:tcW w:w="352" w:type="dxa"/>
            <w:tcBorders>
              <w:top w:val="nil"/>
              <w:left w:val="nil"/>
              <w:bottom w:val="single" w:sz="4" w:space="0" w:color="auto"/>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 </w:t>
            </w:r>
          </w:p>
        </w:tc>
        <w:tc>
          <w:tcPr>
            <w:tcW w:w="960" w:type="dxa"/>
            <w:tcBorders>
              <w:top w:val="nil"/>
              <w:left w:val="nil"/>
              <w:bottom w:val="single" w:sz="4" w:space="0" w:color="auto"/>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 </w:t>
            </w:r>
          </w:p>
        </w:tc>
      </w:tr>
      <w:tr w:rsidR="002B0947">
        <w:trPr>
          <w:trHeight w:val="315"/>
        </w:trPr>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0</w:t>
            </w:r>
          </w:p>
        </w:tc>
        <w:tc>
          <w:tcPr>
            <w:tcW w:w="352" w:type="dxa"/>
            <w:tcBorders>
              <w:top w:val="nil"/>
              <w:left w:val="nil"/>
              <w:bottom w:val="nil"/>
              <w:right w:val="nil"/>
            </w:tcBorders>
            <w:shd w:val="clear" w:color="auto" w:fill="auto"/>
            <w:noWrap/>
            <w:vAlign w:val="bottom"/>
            <w:hideMark/>
          </w:tcPr>
          <w:p w:rsidR="002B0947" w:rsidRDefault="002B0947">
            <w:pPr>
              <w:spacing w:after="0" w:line="240" w:lineRule="auto"/>
              <w:jc w:val="center"/>
              <w:rPr>
                <w:rFonts w:eastAsia="Times New Roman" w:cs="Times New Roman"/>
                <w:color w:val="000000"/>
                <w:szCs w:val="24"/>
                <w:lang w:eastAsia="en-GB"/>
              </w:rPr>
            </w:pPr>
          </w:p>
        </w:tc>
        <w:tc>
          <w:tcPr>
            <w:tcW w:w="1043"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1,000</w:t>
            </w:r>
          </w:p>
        </w:tc>
        <w:tc>
          <w:tcPr>
            <w:tcW w:w="352" w:type="dxa"/>
            <w:tcBorders>
              <w:top w:val="nil"/>
              <w:left w:val="nil"/>
              <w:bottom w:val="nil"/>
              <w:right w:val="nil"/>
            </w:tcBorders>
            <w:shd w:val="clear" w:color="auto" w:fill="auto"/>
            <w:noWrap/>
            <w:vAlign w:val="bottom"/>
            <w:hideMark/>
          </w:tcPr>
          <w:p w:rsidR="002B0947" w:rsidRDefault="002B0947">
            <w:pPr>
              <w:spacing w:after="0" w:line="240" w:lineRule="auto"/>
              <w:jc w:val="center"/>
              <w:rPr>
                <w:rFonts w:eastAsia="Times New Roman" w:cs="Times New Roman"/>
                <w:color w:val="000000"/>
                <w:szCs w:val="24"/>
                <w:lang w:eastAsia="en-GB"/>
              </w:rPr>
            </w:pPr>
          </w:p>
        </w:tc>
        <w:tc>
          <w:tcPr>
            <w:tcW w:w="960" w:type="dxa"/>
            <w:tcBorders>
              <w:top w:val="nil"/>
              <w:left w:val="nil"/>
              <w:bottom w:val="nil"/>
              <w:right w:val="nil"/>
            </w:tcBorders>
            <w:shd w:val="clear" w:color="auto" w:fill="auto"/>
            <w:noWrap/>
            <w:vAlign w:val="bottom"/>
            <w:hideMark/>
          </w:tcPr>
          <w:p w:rsidR="002B0947" w:rsidRDefault="00D70056">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-1,000</w:t>
            </w:r>
          </w:p>
        </w:tc>
      </w:tr>
    </w:tbl>
    <w:p w:rsidR="002B0947" w:rsidRDefault="002B0947"/>
    <w:p w:rsidR="002B0947" w:rsidRDefault="00D70056">
      <w:r>
        <w:rPr>
          <w:b/>
          <w:bCs/>
          <w:color w:val="4472C4"/>
        </w:rPr>
        <w:t>Analysis:</w:t>
      </w:r>
      <w:r>
        <w:rPr>
          <w:b/>
          <w:bCs/>
        </w:rPr>
        <w:t xml:space="preserve"> </w:t>
      </w:r>
      <w:r>
        <w:t>Here,</w:t>
      </w:r>
      <w:r>
        <w:t xml:space="preserve"> the transaction has affected one side of the equation. One is a liability and the other is equity. Due to expense, equity has decreased, and as the expense is on credit so trade </w:t>
      </w:r>
      <w:r>
        <w:lastRenderedPageBreak/>
        <w:t xml:space="preserve">payable creates. As a result, liability increased. So, by affecting one side </w:t>
      </w:r>
      <w:r>
        <w:t>of the equation, the equation can be equal.</w:t>
      </w:r>
    </w:p>
    <w:p w:rsidR="002B0947" w:rsidRDefault="00D70056">
      <w:r>
        <w:t>After analysing the accounting equation, it can be concluded that due to the double entry system, financial position balances.</w:t>
      </w:r>
    </w:p>
    <w:p w:rsidR="002B0947" w:rsidRDefault="00D70056">
      <w:pPr>
        <w:spacing w:line="259" w:lineRule="auto"/>
        <w:jc w:val="left"/>
        <w:rPr>
          <w:rFonts w:eastAsia="SimSun" w:cs="Times New Roman"/>
          <w:b/>
          <w:color w:val="2F5496"/>
          <w:sz w:val="32"/>
          <w:szCs w:val="32"/>
        </w:rPr>
      </w:pPr>
      <w:r>
        <w:br w:type="page"/>
      </w:r>
    </w:p>
    <w:p w:rsidR="002B0947" w:rsidRDefault="00D70056">
      <w:pPr>
        <w:pStyle w:val="Heading1"/>
      </w:pPr>
      <w:bookmarkStart w:id="3" w:name="_Toc111416390"/>
      <w:r>
        <w:lastRenderedPageBreak/>
        <w:t>Question 2</w:t>
      </w:r>
      <w:bookmarkEnd w:id="3"/>
    </w:p>
    <w:p w:rsidR="002B0947" w:rsidRDefault="00D70056">
      <w:pPr>
        <w:pStyle w:val="Heading3"/>
      </w:pPr>
      <w:bookmarkStart w:id="4" w:name="_Toc111416391"/>
      <w:r>
        <w:t>1 – ROCE</w:t>
      </w:r>
      <w:bookmarkEnd w:id="4"/>
    </w:p>
    <w:p w:rsidR="002B0947" w:rsidRDefault="00D70056">
      <w:r>
        <w:t>ROCE = Return on Capital Employed</w:t>
      </w:r>
    </w:p>
    <w:p w:rsidR="002B0947" w:rsidRDefault="00D70056">
      <w:r>
        <w:t xml:space="preserve">ROCE = [Operating Profit </w:t>
      </w:r>
      <w:r>
        <w:rPr>
          <w:rFonts w:cs="Times New Roman"/>
        </w:rPr>
        <w:t>÷</w:t>
      </w:r>
      <w:r>
        <w:t xml:space="preserve"> (Equity + Long-term liabilities)] </w:t>
      </w:r>
      <w:r>
        <w:rPr>
          <w:rFonts w:cs="Times New Roman"/>
        </w:rPr>
        <w:t>×</w:t>
      </w:r>
      <w:r>
        <w:t xml:space="preserve"> 100 (</w:t>
      </w:r>
      <w:r>
        <w:rPr>
          <w:rFonts w:cs="Times New Roman"/>
          <w:color w:val="222222"/>
          <w:szCs w:val="24"/>
          <w:shd w:val="clear" w:color="auto" w:fill="FFFFFF"/>
        </w:rPr>
        <w:t>Bird and McHugh, 2017)</w:t>
      </w:r>
    </w:p>
    <w:p w:rsidR="002B0947" w:rsidRDefault="00D70056">
      <w:r>
        <w:t>In the given case, following information is given and Calculations also have been shown along with:</w:t>
      </w:r>
    </w:p>
    <w:tbl>
      <w:tblPr>
        <w:tblStyle w:val="GridTable4-Accent31"/>
        <w:tblW w:w="5000" w:type="pct"/>
        <w:tblLook w:val="04A0" w:firstRow="1" w:lastRow="0" w:firstColumn="1" w:lastColumn="0" w:noHBand="0" w:noVBand="1"/>
      </w:tblPr>
      <w:tblGrid>
        <w:gridCol w:w="3005"/>
        <w:gridCol w:w="3160"/>
        <w:gridCol w:w="3185"/>
      </w:tblGrid>
      <w:tr w:rsidR="002B0947" w:rsidTr="002B0947">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2B0947">
            <w:pPr>
              <w:spacing w:line="240" w:lineRule="auto"/>
              <w:jc w:val="left"/>
              <w:rPr>
                <w:rFonts w:eastAsia="Times New Roman" w:cs="Times New Roman"/>
                <w:color w:val="000000"/>
                <w:szCs w:val="24"/>
              </w:rPr>
            </w:pPr>
          </w:p>
        </w:tc>
        <w:tc>
          <w:tcPr>
            <w:tcW w:w="1690"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2021</w:t>
            </w:r>
          </w:p>
        </w:tc>
        <w:tc>
          <w:tcPr>
            <w:tcW w:w="1704"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2020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Operating profit</w:t>
            </w:r>
          </w:p>
        </w:tc>
        <w:tc>
          <w:tcPr>
            <w:tcW w:w="1690"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805</w:t>
            </w:r>
          </w:p>
        </w:tc>
        <w:tc>
          <w:tcPr>
            <w:tcW w:w="17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699</w:t>
            </w:r>
          </w:p>
        </w:tc>
      </w:tr>
      <w:tr w:rsidR="002B0947" w:rsidTr="002B0947">
        <w:trPr>
          <w:trHeight w:val="120"/>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 </w:t>
            </w:r>
          </w:p>
        </w:tc>
        <w:tc>
          <w:tcPr>
            <w:tcW w:w="1690"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704"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Share capital</w:t>
            </w:r>
          </w:p>
        </w:tc>
        <w:tc>
          <w:tcPr>
            <w:tcW w:w="1690"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300</w:t>
            </w:r>
          </w:p>
        </w:tc>
        <w:tc>
          <w:tcPr>
            <w:tcW w:w="17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300</w:t>
            </w: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Share premium</w:t>
            </w:r>
          </w:p>
        </w:tc>
        <w:tc>
          <w:tcPr>
            <w:tcW w:w="1690"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1,071.00</w:t>
            </w:r>
          </w:p>
        </w:tc>
        <w:tc>
          <w:tcPr>
            <w:tcW w:w="170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1,071.00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Retained earnings</w:t>
            </w:r>
          </w:p>
        </w:tc>
        <w:tc>
          <w:tcPr>
            <w:tcW w:w="1690"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1,717.00</w:t>
            </w:r>
          </w:p>
        </w:tc>
        <w:tc>
          <w:tcPr>
            <w:tcW w:w="17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1,541.00</w:t>
            </w: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Long term debt</w:t>
            </w:r>
          </w:p>
        </w:tc>
        <w:tc>
          <w:tcPr>
            <w:tcW w:w="1690"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4,137.00</w:t>
            </w:r>
          </w:p>
        </w:tc>
        <w:tc>
          <w:tcPr>
            <w:tcW w:w="170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4,129.00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 xml:space="preserve"> </w:t>
            </w:r>
          </w:p>
        </w:tc>
        <w:tc>
          <w:tcPr>
            <w:tcW w:w="1690"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7,225.00</w:t>
            </w:r>
          </w:p>
        </w:tc>
        <w:tc>
          <w:tcPr>
            <w:tcW w:w="17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7,041.00</w:t>
            </w:r>
          </w:p>
        </w:tc>
      </w:tr>
      <w:tr w:rsidR="002B0947" w:rsidTr="002B0947">
        <w:trPr>
          <w:trHeight w:val="150"/>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 </w:t>
            </w:r>
          </w:p>
        </w:tc>
        <w:tc>
          <w:tcPr>
            <w:tcW w:w="1690"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704"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2B0947" w:rsidTr="002B0947">
        <w:trPr>
          <w:cnfStyle w:val="000000100000" w:firstRow="0" w:lastRow="0" w:firstColumn="0" w:lastColumn="0" w:oddVBand="0" w:evenVBand="0" w:oddHBand="1" w:evenHBand="0" w:firstRowFirstColumn="0" w:firstRowLastColumn="0" w:lastRowFirstColumn="0" w:lastRowLastColumn="0"/>
          <w:trHeight w:val="94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ROCE</w:t>
            </w:r>
          </w:p>
        </w:tc>
        <w:tc>
          <w:tcPr>
            <w:tcW w:w="1690" w:type="pct"/>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[Operating Profit ÷ (Equity + Long-term liabilities)] × 100</w:t>
            </w:r>
          </w:p>
        </w:tc>
        <w:tc>
          <w:tcPr>
            <w:tcW w:w="1704" w:type="pct"/>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 xml:space="preserve">[Operating Profit ÷ (Equity + Long-term </w:t>
            </w:r>
            <w:r>
              <w:rPr>
                <w:rFonts w:eastAsia="Times New Roman" w:cs="Times New Roman"/>
                <w:color w:val="000000"/>
                <w:szCs w:val="24"/>
              </w:rPr>
              <w:t>liabilities)] × 100</w:t>
            </w: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color w:val="000000"/>
                <w:szCs w:val="24"/>
              </w:rPr>
              <w:t> </w:t>
            </w:r>
          </w:p>
        </w:tc>
        <w:tc>
          <w:tcPr>
            <w:tcW w:w="1690"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rPr>
            </w:pPr>
            <w:r>
              <w:rPr>
                <w:rFonts w:eastAsia="Times New Roman" w:cs="Times New Roman"/>
                <w:b/>
                <w:bCs/>
                <w:color w:val="000000"/>
                <w:szCs w:val="24"/>
              </w:rPr>
              <w:t>11.14%</w:t>
            </w:r>
          </w:p>
        </w:tc>
        <w:tc>
          <w:tcPr>
            <w:tcW w:w="170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rPr>
            </w:pPr>
            <w:r>
              <w:rPr>
                <w:rFonts w:eastAsia="Times New Roman" w:cs="Times New Roman"/>
                <w:b/>
                <w:bCs/>
                <w:color w:val="000000"/>
                <w:szCs w:val="24"/>
              </w:rPr>
              <w:t>9.93%</w:t>
            </w:r>
          </w:p>
        </w:tc>
      </w:tr>
    </w:tbl>
    <w:p w:rsidR="002B0947" w:rsidRDefault="002B0947"/>
    <w:p w:rsidR="002B0947" w:rsidRDefault="00D70056">
      <w:pPr>
        <w:rPr>
          <w:b/>
          <w:bCs/>
          <w:color w:val="0070C0"/>
        </w:rPr>
      </w:pPr>
      <w:r>
        <w:rPr>
          <w:b/>
          <w:bCs/>
          <w:color w:val="0070C0"/>
        </w:rPr>
        <w:t>Comments:</w:t>
      </w:r>
    </w:p>
    <w:p w:rsidR="002B0947" w:rsidRDefault="00D70056">
      <w:r>
        <w:t>ROCE is higher in the year 2021 because of the higher operating profit generated by the company by the additional capital. It is indicating that the company’s profitability is becoming higher.</w:t>
      </w:r>
    </w:p>
    <w:p w:rsidR="002B0947" w:rsidRDefault="00D70056">
      <w:pPr>
        <w:spacing w:line="259" w:lineRule="auto"/>
        <w:jc w:val="left"/>
        <w:rPr>
          <w:rFonts w:eastAsia="SimSun" w:cs="Times New Roman"/>
          <w:b/>
          <w:color w:val="000000"/>
          <w:szCs w:val="24"/>
          <w:u w:val="single"/>
        </w:rPr>
      </w:pPr>
      <w:r>
        <w:br w:type="page"/>
      </w:r>
    </w:p>
    <w:p w:rsidR="002B0947" w:rsidRDefault="00D70056">
      <w:pPr>
        <w:pStyle w:val="Heading3"/>
      </w:pPr>
      <w:bookmarkStart w:id="5" w:name="_Toc111416392"/>
      <w:r>
        <w:lastRenderedPageBreak/>
        <w:t>2 – ROE</w:t>
      </w:r>
      <w:bookmarkEnd w:id="5"/>
    </w:p>
    <w:p w:rsidR="002B0947" w:rsidRDefault="00D70056">
      <w:r>
        <w:t>ROE = Return on Equity</w:t>
      </w:r>
    </w:p>
    <w:p w:rsidR="002B0947" w:rsidRDefault="00D70056">
      <w:r>
        <w:t xml:space="preserve">ROE = [Net Profit </w:t>
      </w:r>
      <w:r>
        <w:rPr>
          <w:rFonts w:cs="Times New Roman"/>
        </w:rPr>
        <w:t>÷</w:t>
      </w:r>
      <w:r>
        <w:t xml:space="preserve"> Owner’s equity] </w:t>
      </w:r>
      <w:r>
        <w:rPr>
          <w:rFonts w:cs="Times New Roman"/>
        </w:rPr>
        <w:t>×</w:t>
      </w:r>
      <w:r>
        <w:t xml:space="preserve"> 100 (</w:t>
      </w:r>
      <w:r>
        <w:rPr>
          <w:rFonts w:cs="Times New Roman"/>
          <w:color w:val="222222"/>
          <w:szCs w:val="24"/>
          <w:shd w:val="clear" w:color="auto" w:fill="FFFFFF"/>
        </w:rPr>
        <w:t>Bird and McHugh, 2017)</w:t>
      </w:r>
    </w:p>
    <w:p w:rsidR="002B0947" w:rsidRDefault="00D70056">
      <w:r>
        <w:t>In the given case, following information is given and Calculations also have been shown along with:</w:t>
      </w:r>
    </w:p>
    <w:tbl>
      <w:tblPr>
        <w:tblStyle w:val="GridTable4-Accent31"/>
        <w:tblW w:w="5000" w:type="pct"/>
        <w:tblLook w:val="04A0" w:firstRow="1" w:lastRow="0" w:firstColumn="1" w:lastColumn="0" w:noHBand="0" w:noVBand="1"/>
      </w:tblPr>
      <w:tblGrid>
        <w:gridCol w:w="3005"/>
        <w:gridCol w:w="3160"/>
        <w:gridCol w:w="3185"/>
      </w:tblGrid>
      <w:tr w:rsidR="002B0947" w:rsidTr="002B0947">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 </w:t>
            </w:r>
          </w:p>
        </w:tc>
        <w:tc>
          <w:tcPr>
            <w:tcW w:w="1690"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2021</w:t>
            </w:r>
          </w:p>
        </w:tc>
        <w:tc>
          <w:tcPr>
            <w:tcW w:w="1704"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2020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Net profit</w:t>
            </w:r>
          </w:p>
        </w:tc>
        <w:tc>
          <w:tcPr>
            <w:tcW w:w="1690"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 xml:space="preserve">                           431.00 </w:t>
            </w:r>
          </w:p>
        </w:tc>
        <w:tc>
          <w:tcPr>
            <w:tcW w:w="17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 xml:space="preserve">        </w:t>
            </w:r>
            <w:r>
              <w:rPr>
                <w:rFonts w:eastAsia="Times New Roman" w:cs="Times New Roman"/>
                <w:szCs w:val="24"/>
              </w:rPr>
              <w:t xml:space="preserve">                   366.00 </w:t>
            </w:r>
          </w:p>
        </w:tc>
      </w:tr>
      <w:tr w:rsidR="002B0947" w:rsidTr="002B0947">
        <w:trPr>
          <w:trHeight w:val="13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 </w:t>
            </w:r>
          </w:p>
        </w:tc>
        <w:tc>
          <w:tcPr>
            <w:tcW w:w="1690"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2"/>
              </w:rPr>
            </w:pPr>
            <w:r>
              <w:rPr>
                <w:rFonts w:ascii="Calibri" w:eastAsia="Times New Roman" w:hAnsi="Calibri" w:cs="Calibri"/>
                <w:sz w:val="22"/>
              </w:rPr>
              <w:t> </w:t>
            </w:r>
          </w:p>
        </w:tc>
        <w:tc>
          <w:tcPr>
            <w:tcW w:w="170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2"/>
              </w:rPr>
            </w:pPr>
            <w:r>
              <w:rPr>
                <w:rFonts w:ascii="Calibri" w:eastAsia="Times New Roman" w:hAnsi="Calibri" w:cs="Calibri"/>
                <w:sz w:val="22"/>
              </w:rPr>
              <w:t> </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Owner's capital</w:t>
            </w:r>
          </w:p>
        </w:tc>
        <w:tc>
          <w:tcPr>
            <w:tcW w:w="1690"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 xml:space="preserve">                           300.00 </w:t>
            </w:r>
          </w:p>
        </w:tc>
        <w:tc>
          <w:tcPr>
            <w:tcW w:w="17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 xml:space="preserve">                           300.00 </w:t>
            </w: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Share premium</w:t>
            </w:r>
          </w:p>
        </w:tc>
        <w:tc>
          <w:tcPr>
            <w:tcW w:w="1690"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 xml:space="preserve">                        1,071.00 </w:t>
            </w:r>
          </w:p>
        </w:tc>
        <w:tc>
          <w:tcPr>
            <w:tcW w:w="170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 xml:space="preserve">                        1,071.00 </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Retained income</w:t>
            </w:r>
          </w:p>
        </w:tc>
        <w:tc>
          <w:tcPr>
            <w:tcW w:w="1690"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u w:val="single"/>
              </w:rPr>
            </w:pPr>
            <w:r>
              <w:rPr>
                <w:rFonts w:eastAsia="Times New Roman" w:cs="Times New Roman"/>
                <w:szCs w:val="24"/>
                <w:u w:val="single"/>
              </w:rPr>
              <w:t xml:space="preserve">                        1,717.00 </w:t>
            </w:r>
          </w:p>
        </w:tc>
        <w:tc>
          <w:tcPr>
            <w:tcW w:w="17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u w:val="single"/>
              </w:rPr>
            </w:pPr>
            <w:r>
              <w:rPr>
                <w:rFonts w:eastAsia="Times New Roman" w:cs="Times New Roman"/>
                <w:szCs w:val="24"/>
                <w:u w:val="single"/>
              </w:rPr>
              <w:t xml:space="preserve">                        1,541.00 </w:t>
            </w: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 </w:t>
            </w:r>
          </w:p>
        </w:tc>
        <w:tc>
          <w:tcPr>
            <w:tcW w:w="1690"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 xml:space="preserve">                        3,088.00 </w:t>
            </w:r>
          </w:p>
        </w:tc>
        <w:tc>
          <w:tcPr>
            <w:tcW w:w="170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 xml:space="preserve">                        2,912.00 </w:t>
            </w:r>
          </w:p>
        </w:tc>
      </w:tr>
      <w:tr w:rsidR="002B0947" w:rsidTr="002B0947">
        <w:trPr>
          <w:cnfStyle w:val="000000100000" w:firstRow="0" w:lastRow="0" w:firstColumn="0" w:lastColumn="0" w:oddVBand="0" w:evenVBand="0" w:oddHBand="1" w:evenHBand="0" w:firstRowFirstColumn="0" w:firstRowLastColumn="0" w:lastRowFirstColumn="0" w:lastRowLastColumn="0"/>
          <w:trHeight w:val="13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color w:val="000000"/>
                <w:szCs w:val="24"/>
              </w:rPr>
              <w:t> </w:t>
            </w:r>
          </w:p>
        </w:tc>
        <w:tc>
          <w:tcPr>
            <w:tcW w:w="1690"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 </w:t>
            </w:r>
          </w:p>
        </w:tc>
        <w:tc>
          <w:tcPr>
            <w:tcW w:w="17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 </w:t>
            </w:r>
          </w:p>
        </w:tc>
      </w:tr>
      <w:tr w:rsidR="002B0947" w:rsidTr="002B0947">
        <w:trPr>
          <w:trHeight w:val="630"/>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color w:val="000000"/>
                <w:szCs w:val="24"/>
              </w:rPr>
              <w:t>ROE</w:t>
            </w:r>
          </w:p>
        </w:tc>
        <w:tc>
          <w:tcPr>
            <w:tcW w:w="1690" w:type="pct"/>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[Net Profit ÷ Owner’s equity] × 100</w:t>
            </w:r>
          </w:p>
        </w:tc>
        <w:tc>
          <w:tcPr>
            <w:tcW w:w="1704" w:type="pct"/>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[Net Profit ÷ Owner’s equity] × 100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color w:val="000000"/>
                <w:szCs w:val="24"/>
              </w:rPr>
              <w:t> </w:t>
            </w:r>
          </w:p>
        </w:tc>
        <w:tc>
          <w:tcPr>
            <w:tcW w:w="1690"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Pr>
                <w:rFonts w:eastAsia="Times New Roman" w:cs="Times New Roman"/>
                <w:b/>
                <w:bCs/>
                <w:color w:val="000000"/>
                <w:szCs w:val="24"/>
              </w:rPr>
              <w:t>13.96%</w:t>
            </w:r>
          </w:p>
        </w:tc>
        <w:tc>
          <w:tcPr>
            <w:tcW w:w="17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Pr>
                <w:rFonts w:eastAsia="Times New Roman" w:cs="Times New Roman"/>
                <w:b/>
                <w:bCs/>
                <w:color w:val="000000"/>
                <w:szCs w:val="24"/>
              </w:rPr>
              <w:t>12.57%</w:t>
            </w:r>
          </w:p>
        </w:tc>
      </w:tr>
    </w:tbl>
    <w:p w:rsidR="002B0947" w:rsidRDefault="002B0947"/>
    <w:p w:rsidR="002B0947" w:rsidRDefault="00D70056">
      <w:pPr>
        <w:rPr>
          <w:b/>
          <w:bCs/>
          <w:color w:val="0070C0"/>
        </w:rPr>
      </w:pPr>
      <w:r>
        <w:rPr>
          <w:b/>
          <w:bCs/>
          <w:color w:val="0070C0"/>
        </w:rPr>
        <w:t>Comments:</w:t>
      </w:r>
    </w:p>
    <w:p w:rsidR="002B0947" w:rsidRDefault="00D70056">
      <w:r>
        <w:t xml:space="preserve">ROE in the year 2021 is higher because of the higher net profit in that year. It is also indicating that the company’s profitability is becoming higher and they are utilising the owner’s capital to produce more profit so that the equity value increase and </w:t>
      </w:r>
      <w:r>
        <w:t xml:space="preserve">so the profitability of the company. </w:t>
      </w:r>
    </w:p>
    <w:p w:rsidR="002B0947" w:rsidRDefault="00D70056">
      <w:pPr>
        <w:pStyle w:val="Heading3"/>
      </w:pPr>
      <w:bookmarkStart w:id="6" w:name="_Toc111416393"/>
      <w:r>
        <w:t>3 – EPS</w:t>
      </w:r>
      <w:bookmarkEnd w:id="6"/>
    </w:p>
    <w:p w:rsidR="002B0947" w:rsidRDefault="00D70056">
      <w:r>
        <w:t>EPS = Earnings per share</w:t>
      </w:r>
    </w:p>
    <w:p w:rsidR="002B0947" w:rsidRDefault="00D70056">
      <w:r>
        <w:t xml:space="preserve">EPS = [Net Profit </w:t>
      </w:r>
      <w:r>
        <w:rPr>
          <w:rFonts w:cs="Times New Roman"/>
        </w:rPr>
        <w:t>÷</w:t>
      </w:r>
      <w:r>
        <w:t xml:space="preserve"> (Total share capital </w:t>
      </w:r>
      <w:r>
        <w:rPr>
          <w:rFonts w:cs="Times New Roman"/>
        </w:rPr>
        <w:t>÷</w:t>
      </w:r>
      <w:r>
        <w:t xml:space="preserve"> Per share price)] </w:t>
      </w:r>
      <w:r>
        <w:rPr>
          <w:rFonts w:cs="Times New Roman"/>
        </w:rPr>
        <w:t>×</w:t>
      </w:r>
      <w:r>
        <w:t xml:space="preserve"> 100 (</w:t>
      </w:r>
      <w:r>
        <w:rPr>
          <w:rFonts w:cs="Times New Roman"/>
          <w:color w:val="222222"/>
          <w:szCs w:val="24"/>
          <w:shd w:val="clear" w:color="auto" w:fill="FFFFFF"/>
        </w:rPr>
        <w:t>Rashid, 2018)</w:t>
      </w:r>
    </w:p>
    <w:p w:rsidR="002B0947" w:rsidRDefault="00D70056">
      <w:r>
        <w:t>In the given case, following information is given and Calculations also have been shown along with:</w:t>
      </w:r>
    </w:p>
    <w:tbl>
      <w:tblPr>
        <w:tblStyle w:val="GridTable4-Accent31"/>
        <w:tblW w:w="5000" w:type="pct"/>
        <w:tblLook w:val="04A0" w:firstRow="1" w:lastRow="0" w:firstColumn="1" w:lastColumn="0" w:noHBand="0" w:noVBand="1"/>
      </w:tblPr>
      <w:tblGrid>
        <w:gridCol w:w="3005"/>
        <w:gridCol w:w="3160"/>
        <w:gridCol w:w="3185"/>
      </w:tblGrid>
      <w:tr w:rsidR="002B0947" w:rsidTr="002B0947">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 </w:t>
            </w:r>
          </w:p>
        </w:tc>
        <w:tc>
          <w:tcPr>
            <w:tcW w:w="1690"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2021</w:t>
            </w:r>
          </w:p>
        </w:tc>
        <w:tc>
          <w:tcPr>
            <w:tcW w:w="1704"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2020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Net profit</w:t>
            </w:r>
          </w:p>
        </w:tc>
        <w:tc>
          <w:tcPr>
            <w:tcW w:w="1690"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431.00</w:t>
            </w:r>
          </w:p>
        </w:tc>
        <w:tc>
          <w:tcPr>
            <w:tcW w:w="17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366.00</w:t>
            </w:r>
          </w:p>
        </w:tc>
      </w:tr>
      <w:tr w:rsidR="002B0947" w:rsidTr="002B0947">
        <w:trPr>
          <w:trHeight w:val="13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 </w:t>
            </w:r>
          </w:p>
        </w:tc>
        <w:tc>
          <w:tcPr>
            <w:tcW w:w="1690"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1704"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Total share capital</w:t>
            </w:r>
          </w:p>
        </w:tc>
        <w:tc>
          <w:tcPr>
            <w:tcW w:w="1690"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300.00</w:t>
            </w:r>
          </w:p>
        </w:tc>
        <w:tc>
          <w:tcPr>
            <w:tcW w:w="17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300.00</w:t>
            </w: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Per share price</w:t>
            </w:r>
          </w:p>
        </w:tc>
        <w:tc>
          <w:tcPr>
            <w:tcW w:w="1690"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u w:val="single"/>
              </w:rPr>
            </w:pPr>
            <w:r>
              <w:rPr>
                <w:rFonts w:eastAsia="Times New Roman" w:cs="Times New Roman"/>
                <w:szCs w:val="24"/>
                <w:u w:val="single"/>
              </w:rPr>
              <w:t>0.50</w:t>
            </w:r>
          </w:p>
        </w:tc>
        <w:tc>
          <w:tcPr>
            <w:tcW w:w="170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u w:val="single"/>
              </w:rPr>
            </w:pPr>
            <w:r>
              <w:rPr>
                <w:rFonts w:eastAsia="Times New Roman" w:cs="Times New Roman"/>
                <w:szCs w:val="24"/>
                <w:u w:val="single"/>
              </w:rPr>
              <w:t>0.50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color w:val="000000"/>
                <w:szCs w:val="24"/>
              </w:rPr>
              <w:t> </w:t>
            </w:r>
          </w:p>
        </w:tc>
        <w:tc>
          <w:tcPr>
            <w:tcW w:w="1690"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600</w:t>
            </w:r>
          </w:p>
        </w:tc>
        <w:tc>
          <w:tcPr>
            <w:tcW w:w="17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600</w:t>
            </w:r>
          </w:p>
        </w:tc>
      </w:tr>
      <w:tr w:rsidR="002B0947" w:rsidTr="002B0947">
        <w:trPr>
          <w:trHeight w:val="13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lastRenderedPageBreak/>
              <w:t> </w:t>
            </w:r>
          </w:p>
        </w:tc>
        <w:tc>
          <w:tcPr>
            <w:tcW w:w="1690"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704" w:type="pct"/>
            <w:noWrap/>
            <w:hideMark/>
          </w:tcPr>
          <w:p w:rsidR="002B0947" w:rsidRDefault="002B094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2B0947" w:rsidTr="002B0947">
        <w:trPr>
          <w:cnfStyle w:val="000000100000" w:firstRow="0" w:lastRow="0" w:firstColumn="0" w:lastColumn="0" w:oddVBand="0" w:evenVBand="0" w:oddHBand="1" w:evenHBand="0" w:firstRowFirstColumn="0" w:firstRowLastColumn="0" w:lastRowFirstColumn="0" w:lastRowLastColumn="0"/>
          <w:trHeight w:val="94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color w:val="000000"/>
                <w:szCs w:val="24"/>
              </w:rPr>
              <w:t>EPS</w:t>
            </w:r>
          </w:p>
        </w:tc>
        <w:tc>
          <w:tcPr>
            <w:tcW w:w="1690" w:type="pct"/>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[Net Profit ÷ (Total share capital ÷ Per share price)] × 100</w:t>
            </w:r>
          </w:p>
        </w:tc>
        <w:tc>
          <w:tcPr>
            <w:tcW w:w="1704" w:type="pct"/>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[Net Profit ÷ (Total share capital ÷ Per share price)] × 100</w:t>
            </w: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color w:val="000000"/>
                <w:szCs w:val="24"/>
              </w:rPr>
              <w:t> </w:t>
            </w:r>
          </w:p>
        </w:tc>
        <w:tc>
          <w:tcPr>
            <w:tcW w:w="1690"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rPr>
            </w:pPr>
            <w:r>
              <w:rPr>
                <w:rFonts w:eastAsia="Times New Roman" w:cs="Times New Roman"/>
                <w:b/>
                <w:bCs/>
                <w:color w:val="000000"/>
                <w:szCs w:val="24"/>
              </w:rPr>
              <w:t>0.72</w:t>
            </w:r>
          </w:p>
        </w:tc>
        <w:tc>
          <w:tcPr>
            <w:tcW w:w="170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rPr>
            </w:pPr>
            <w:r>
              <w:rPr>
                <w:rFonts w:eastAsia="Times New Roman" w:cs="Times New Roman"/>
                <w:b/>
                <w:bCs/>
                <w:color w:val="000000"/>
                <w:szCs w:val="24"/>
              </w:rPr>
              <w:t>0.61</w:t>
            </w:r>
          </w:p>
        </w:tc>
      </w:tr>
    </w:tbl>
    <w:p w:rsidR="002B0947" w:rsidRDefault="002B0947"/>
    <w:p w:rsidR="002B0947" w:rsidRDefault="00D70056">
      <w:pPr>
        <w:rPr>
          <w:b/>
          <w:bCs/>
          <w:color w:val="0070C0"/>
        </w:rPr>
      </w:pPr>
      <w:r>
        <w:rPr>
          <w:b/>
          <w:bCs/>
          <w:color w:val="0070C0"/>
        </w:rPr>
        <w:t>Comments:</w:t>
      </w:r>
    </w:p>
    <w:p w:rsidR="002B0947" w:rsidRDefault="00D70056">
      <w:r>
        <w:t xml:space="preserve">Due to higher net profit, the company’s earnings per share is higher in the year 2021. But total outstanding shares are as same as in both years. It means that by keeping the same shares, the company has managed to increase its profitability. </w:t>
      </w:r>
    </w:p>
    <w:p w:rsidR="002B0947" w:rsidRDefault="00D70056">
      <w:pPr>
        <w:pStyle w:val="Heading3"/>
      </w:pPr>
      <w:bookmarkStart w:id="7" w:name="_Toc111416394"/>
      <w:r>
        <w:t>4 – Net Prof</w:t>
      </w:r>
      <w:r>
        <w:t>it Margin</w:t>
      </w:r>
      <w:bookmarkEnd w:id="7"/>
    </w:p>
    <w:p w:rsidR="002B0947" w:rsidRDefault="00D70056">
      <w:r>
        <w:t xml:space="preserve">Net Profit Margin = [Net Profit </w:t>
      </w:r>
      <w:r>
        <w:rPr>
          <w:rFonts w:cs="Times New Roman"/>
        </w:rPr>
        <w:t>÷</w:t>
      </w:r>
      <w:r>
        <w:t xml:space="preserve"> Sales revenue] </w:t>
      </w:r>
      <w:r>
        <w:rPr>
          <w:rFonts w:cs="Times New Roman"/>
        </w:rPr>
        <w:t>×</w:t>
      </w:r>
      <w:r>
        <w:t xml:space="preserve"> 100 (</w:t>
      </w:r>
      <w:r>
        <w:rPr>
          <w:rFonts w:cs="Times New Roman"/>
          <w:color w:val="222222"/>
          <w:szCs w:val="24"/>
          <w:shd w:val="clear" w:color="auto" w:fill="FFFFFF"/>
        </w:rPr>
        <w:t>Monea, 2019)</w:t>
      </w:r>
    </w:p>
    <w:p w:rsidR="002B0947" w:rsidRDefault="00D70056">
      <w:r>
        <w:t>In the given case, following information is given and Calculations also have been shown along with:</w:t>
      </w:r>
    </w:p>
    <w:tbl>
      <w:tblPr>
        <w:tblStyle w:val="GridTable4-Accent31"/>
        <w:tblW w:w="5000" w:type="pct"/>
        <w:tblLook w:val="04A0" w:firstRow="1" w:lastRow="0" w:firstColumn="1" w:lastColumn="0" w:noHBand="0" w:noVBand="1"/>
      </w:tblPr>
      <w:tblGrid>
        <w:gridCol w:w="3005"/>
        <w:gridCol w:w="3160"/>
        <w:gridCol w:w="3185"/>
      </w:tblGrid>
      <w:tr w:rsidR="002B0947" w:rsidTr="002B0947">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 </w:t>
            </w:r>
          </w:p>
        </w:tc>
        <w:tc>
          <w:tcPr>
            <w:tcW w:w="1690"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2021</w:t>
            </w:r>
          </w:p>
        </w:tc>
        <w:tc>
          <w:tcPr>
            <w:tcW w:w="1704"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2020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b w:val="0"/>
                <w:bCs w:val="0"/>
                <w:szCs w:val="24"/>
              </w:rPr>
              <w:t>Net Profit</w:t>
            </w:r>
          </w:p>
        </w:tc>
        <w:tc>
          <w:tcPr>
            <w:tcW w:w="1690"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431.00</w:t>
            </w:r>
          </w:p>
        </w:tc>
        <w:tc>
          <w:tcPr>
            <w:tcW w:w="17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366.00</w:t>
            </w: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b w:val="0"/>
                <w:bCs w:val="0"/>
                <w:szCs w:val="24"/>
              </w:rPr>
              <w:t>Sales revenue</w:t>
            </w:r>
          </w:p>
        </w:tc>
        <w:tc>
          <w:tcPr>
            <w:tcW w:w="1690"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6,738.00</w:t>
            </w:r>
          </w:p>
        </w:tc>
        <w:tc>
          <w:tcPr>
            <w:tcW w:w="170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6,441.00</w:t>
            </w:r>
          </w:p>
        </w:tc>
      </w:tr>
      <w:tr w:rsidR="002B0947" w:rsidTr="002B0947">
        <w:trPr>
          <w:cnfStyle w:val="000000100000" w:firstRow="0" w:lastRow="0" w:firstColumn="0" w:lastColumn="0" w:oddVBand="0" w:evenVBand="0" w:oddHBand="1" w:evenHBand="0" w:firstRowFirstColumn="0" w:firstRowLastColumn="0" w:lastRowFirstColumn="0" w:lastRowLastColumn="0"/>
          <w:trHeight w:val="120"/>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 </w:t>
            </w:r>
          </w:p>
        </w:tc>
        <w:tc>
          <w:tcPr>
            <w:tcW w:w="1690"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1704"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2B0947" w:rsidTr="002B0947">
        <w:trPr>
          <w:trHeight w:val="630"/>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Net Profit Margin</w:t>
            </w:r>
          </w:p>
        </w:tc>
        <w:tc>
          <w:tcPr>
            <w:tcW w:w="1690" w:type="pct"/>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[Net Profit ÷ Sales revenue] × 100</w:t>
            </w:r>
          </w:p>
        </w:tc>
        <w:tc>
          <w:tcPr>
            <w:tcW w:w="1704" w:type="pct"/>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[Net Profit ÷ Sales revenue] × 100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color w:val="000000"/>
                <w:szCs w:val="24"/>
              </w:rPr>
              <w:t> </w:t>
            </w:r>
          </w:p>
        </w:tc>
        <w:tc>
          <w:tcPr>
            <w:tcW w:w="1690"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Pr>
                <w:rFonts w:eastAsia="Times New Roman" w:cs="Times New Roman"/>
                <w:b/>
                <w:bCs/>
                <w:color w:val="000000"/>
                <w:szCs w:val="24"/>
              </w:rPr>
              <w:t>6.40%</w:t>
            </w:r>
          </w:p>
        </w:tc>
        <w:tc>
          <w:tcPr>
            <w:tcW w:w="17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Pr>
                <w:rFonts w:eastAsia="Times New Roman" w:cs="Times New Roman"/>
                <w:b/>
                <w:bCs/>
                <w:color w:val="000000"/>
                <w:szCs w:val="24"/>
              </w:rPr>
              <w:t>5.68%</w:t>
            </w:r>
          </w:p>
        </w:tc>
      </w:tr>
    </w:tbl>
    <w:p w:rsidR="002B0947" w:rsidRDefault="002B0947"/>
    <w:p w:rsidR="002B0947" w:rsidRDefault="00D70056">
      <w:pPr>
        <w:rPr>
          <w:b/>
          <w:bCs/>
          <w:color w:val="0070C0"/>
        </w:rPr>
      </w:pPr>
      <w:r>
        <w:rPr>
          <w:b/>
          <w:bCs/>
          <w:color w:val="0070C0"/>
        </w:rPr>
        <w:t>Comments:</w:t>
      </w:r>
    </w:p>
    <w:p w:rsidR="002B0947" w:rsidRDefault="00D70056">
      <w:r>
        <w:t xml:space="preserve">The company has earned higher sales revenue in the year 2021 compared to the prior year. And out of the revenue, it has incurred </w:t>
      </w:r>
      <w:r>
        <w:t>higher net profit. This higher revenue and higher net profit has helped the company to get higher margin.</w:t>
      </w:r>
    </w:p>
    <w:p w:rsidR="002B0947" w:rsidRDefault="00D70056">
      <w:pPr>
        <w:spacing w:line="259" w:lineRule="auto"/>
        <w:jc w:val="left"/>
        <w:rPr>
          <w:rFonts w:eastAsia="SimSun" w:cs="Times New Roman"/>
          <w:b/>
          <w:color w:val="000000"/>
          <w:szCs w:val="24"/>
          <w:u w:val="single"/>
        </w:rPr>
      </w:pPr>
      <w:r>
        <w:br w:type="page"/>
      </w:r>
    </w:p>
    <w:p w:rsidR="002B0947" w:rsidRDefault="00D70056">
      <w:pPr>
        <w:pStyle w:val="Heading3"/>
      </w:pPr>
      <w:bookmarkStart w:id="8" w:name="_Toc111416395"/>
      <w:r>
        <w:lastRenderedPageBreak/>
        <w:t>5 – Asset Turnover</w:t>
      </w:r>
      <w:bookmarkEnd w:id="8"/>
    </w:p>
    <w:p w:rsidR="002B0947" w:rsidRDefault="00D70056">
      <w:r>
        <w:t xml:space="preserve">Asset Turnover = [Sales revenue </w:t>
      </w:r>
      <w:r>
        <w:rPr>
          <w:rFonts w:cs="Times New Roman"/>
        </w:rPr>
        <w:t>÷</w:t>
      </w:r>
      <w:r>
        <w:t xml:space="preserve"> Total Assets] </w:t>
      </w:r>
      <w:r>
        <w:rPr>
          <w:rFonts w:cs="Times New Roman"/>
        </w:rPr>
        <w:t>×</w:t>
      </w:r>
      <w:r>
        <w:t xml:space="preserve"> 100 (</w:t>
      </w:r>
      <w:r>
        <w:rPr>
          <w:rFonts w:cs="Times New Roman"/>
          <w:color w:val="222222"/>
          <w:szCs w:val="24"/>
          <w:shd w:val="clear" w:color="auto" w:fill="FFFFFF"/>
        </w:rPr>
        <w:t>Rashid, 2018)</w:t>
      </w:r>
    </w:p>
    <w:p w:rsidR="002B0947" w:rsidRDefault="00D70056">
      <w:r>
        <w:t>In the given case, following information is given and Calcul</w:t>
      </w:r>
      <w:r>
        <w:t>ations also have been shown along with:</w:t>
      </w:r>
    </w:p>
    <w:tbl>
      <w:tblPr>
        <w:tblStyle w:val="GridTable4-Accent31"/>
        <w:tblW w:w="5000" w:type="pct"/>
        <w:tblLook w:val="04A0" w:firstRow="1" w:lastRow="0" w:firstColumn="1" w:lastColumn="0" w:noHBand="0" w:noVBand="1"/>
      </w:tblPr>
      <w:tblGrid>
        <w:gridCol w:w="3005"/>
        <w:gridCol w:w="3160"/>
        <w:gridCol w:w="3185"/>
      </w:tblGrid>
      <w:tr w:rsidR="002B0947" w:rsidTr="002B0947">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 </w:t>
            </w:r>
          </w:p>
        </w:tc>
        <w:tc>
          <w:tcPr>
            <w:tcW w:w="1690"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2021</w:t>
            </w:r>
          </w:p>
        </w:tc>
        <w:tc>
          <w:tcPr>
            <w:tcW w:w="1704"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2020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Sales revenue</w:t>
            </w:r>
          </w:p>
        </w:tc>
        <w:tc>
          <w:tcPr>
            <w:tcW w:w="1690"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6,738</w:t>
            </w:r>
          </w:p>
        </w:tc>
        <w:tc>
          <w:tcPr>
            <w:tcW w:w="17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6,441</w:t>
            </w: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Total assets</w:t>
            </w:r>
          </w:p>
        </w:tc>
        <w:tc>
          <w:tcPr>
            <w:tcW w:w="1690"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9,736</w:t>
            </w:r>
          </w:p>
        </w:tc>
        <w:tc>
          <w:tcPr>
            <w:tcW w:w="170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10,087</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color w:val="000000"/>
                <w:szCs w:val="24"/>
              </w:rPr>
              <w:t> </w:t>
            </w:r>
          </w:p>
        </w:tc>
        <w:tc>
          <w:tcPr>
            <w:tcW w:w="1690" w:type="pct"/>
            <w:noWrap/>
            <w:hideMark/>
          </w:tcPr>
          <w:p w:rsidR="002B0947" w:rsidRDefault="00D70056">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 </w:t>
            </w:r>
          </w:p>
        </w:tc>
        <w:tc>
          <w:tcPr>
            <w:tcW w:w="1704" w:type="pct"/>
            <w:noWrap/>
            <w:hideMark/>
          </w:tcPr>
          <w:p w:rsidR="002B0947" w:rsidRDefault="00D70056">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 </w:t>
            </w:r>
          </w:p>
        </w:tc>
      </w:tr>
      <w:tr w:rsidR="002B0947" w:rsidTr="002B0947">
        <w:trPr>
          <w:trHeight w:val="630"/>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color w:val="000000"/>
                <w:szCs w:val="24"/>
              </w:rPr>
              <w:t>Asset Turnover</w:t>
            </w:r>
          </w:p>
        </w:tc>
        <w:tc>
          <w:tcPr>
            <w:tcW w:w="1690" w:type="pct"/>
            <w:hideMark/>
          </w:tcPr>
          <w:p w:rsidR="002B0947" w:rsidRDefault="00D70056">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[Sales revenue ÷ Total Assets] × 100</w:t>
            </w:r>
          </w:p>
        </w:tc>
        <w:tc>
          <w:tcPr>
            <w:tcW w:w="1704" w:type="pct"/>
            <w:hideMark/>
          </w:tcPr>
          <w:p w:rsidR="002B0947" w:rsidRDefault="00D70056">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[Sales revenue ÷ Total Assets] × 100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color w:val="000000"/>
                <w:szCs w:val="24"/>
              </w:rPr>
              <w:t> </w:t>
            </w:r>
          </w:p>
        </w:tc>
        <w:tc>
          <w:tcPr>
            <w:tcW w:w="1690"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Pr>
                <w:rFonts w:eastAsia="Times New Roman" w:cs="Times New Roman"/>
                <w:b/>
                <w:bCs/>
                <w:color w:val="000000"/>
                <w:szCs w:val="24"/>
              </w:rPr>
              <w:t>69.21%</w:t>
            </w:r>
          </w:p>
        </w:tc>
        <w:tc>
          <w:tcPr>
            <w:tcW w:w="17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Pr>
                <w:rFonts w:eastAsia="Times New Roman" w:cs="Times New Roman"/>
                <w:b/>
                <w:bCs/>
                <w:color w:val="000000"/>
                <w:szCs w:val="24"/>
              </w:rPr>
              <w:t>63.85%</w:t>
            </w:r>
          </w:p>
        </w:tc>
      </w:tr>
    </w:tbl>
    <w:p w:rsidR="002B0947" w:rsidRDefault="002B0947"/>
    <w:p w:rsidR="002B0947" w:rsidRDefault="00D70056">
      <w:pPr>
        <w:rPr>
          <w:b/>
          <w:bCs/>
          <w:color w:val="0070C0"/>
        </w:rPr>
      </w:pPr>
      <w:r>
        <w:rPr>
          <w:b/>
          <w:bCs/>
          <w:color w:val="0070C0"/>
        </w:rPr>
        <w:t>Comments:</w:t>
      </w:r>
    </w:p>
    <w:p w:rsidR="002B0947" w:rsidRDefault="00D70056">
      <w:pPr>
        <w:pStyle w:val="ListParagraph"/>
        <w:numPr>
          <w:ilvl w:val="0"/>
          <w:numId w:val="6"/>
        </w:numPr>
      </w:pPr>
      <w:r>
        <w:t xml:space="preserve">Here company has </w:t>
      </w:r>
      <w:r>
        <w:t>earned more asset turnover compared to the previous year.</w:t>
      </w:r>
    </w:p>
    <w:p w:rsidR="002B0947" w:rsidRDefault="00D70056">
      <w:pPr>
        <w:pStyle w:val="ListParagraph"/>
        <w:numPr>
          <w:ilvl w:val="0"/>
          <w:numId w:val="6"/>
        </w:numPr>
      </w:pPr>
      <w:r>
        <w:t>The company has reduced its asset but increased its revenue.</w:t>
      </w:r>
    </w:p>
    <w:p w:rsidR="002B0947" w:rsidRDefault="00D70056">
      <w:pPr>
        <w:pStyle w:val="ListParagraph"/>
        <w:numPr>
          <w:ilvl w:val="0"/>
          <w:numId w:val="6"/>
        </w:numPr>
      </w:pPr>
      <w:r>
        <w:t>Assets are those elements that help a company to produce the revenue.</w:t>
      </w:r>
    </w:p>
    <w:p w:rsidR="002B0947" w:rsidRDefault="00D70056">
      <w:pPr>
        <w:pStyle w:val="ListParagraph"/>
        <w:numPr>
          <w:ilvl w:val="0"/>
          <w:numId w:val="6"/>
        </w:numPr>
      </w:pPr>
      <w:r>
        <w:t>So, logically, after reducing the assets, the company should genera</w:t>
      </w:r>
      <w:r>
        <w:t>te less revenue.</w:t>
      </w:r>
    </w:p>
    <w:p w:rsidR="002B0947" w:rsidRDefault="00D70056">
      <w:pPr>
        <w:pStyle w:val="ListParagraph"/>
        <w:numPr>
          <w:ilvl w:val="0"/>
          <w:numId w:val="6"/>
        </w:numPr>
      </w:pPr>
      <w:r>
        <w:t xml:space="preserve">But it has earned more revenue, it is because it has disposed of some unproductive or non-revenue generating assets and as a result, its productivity has increased. </w:t>
      </w:r>
    </w:p>
    <w:p w:rsidR="002B0947" w:rsidRDefault="00D70056">
      <w:pPr>
        <w:pStyle w:val="ListParagraph"/>
        <w:numPr>
          <w:ilvl w:val="0"/>
          <w:numId w:val="6"/>
        </w:numPr>
      </w:pPr>
      <w:r>
        <w:t>That increased productivity helps them to increase their profitability.</w:t>
      </w:r>
    </w:p>
    <w:p w:rsidR="002B0947" w:rsidRDefault="00D70056">
      <w:pPr>
        <w:pStyle w:val="Heading3"/>
      </w:pPr>
      <w:bookmarkStart w:id="9" w:name="_Toc111416396"/>
      <w:r>
        <w:t>6</w:t>
      </w:r>
      <w:r>
        <w:t xml:space="preserve"> – Stock Holding Days</w:t>
      </w:r>
      <w:bookmarkEnd w:id="9"/>
    </w:p>
    <w:p w:rsidR="002B0947" w:rsidRDefault="00D70056">
      <w:r>
        <w:t>Stock holding days = Inventory holding periods</w:t>
      </w:r>
    </w:p>
    <w:p w:rsidR="002B0947" w:rsidRDefault="00D70056">
      <w:r>
        <w:t xml:space="preserve">Stock holding days = [Closing inventory </w:t>
      </w:r>
      <w:r>
        <w:rPr>
          <w:rFonts w:cs="Times New Roman"/>
        </w:rPr>
        <w:t>÷</w:t>
      </w:r>
      <w:r>
        <w:t xml:space="preserve"> Cost of goods sold] </w:t>
      </w:r>
      <w:r>
        <w:rPr>
          <w:rFonts w:cs="Times New Roman"/>
        </w:rPr>
        <w:t>×</w:t>
      </w:r>
      <w:r>
        <w:t xml:space="preserve"> 365 (</w:t>
      </w:r>
      <w:r>
        <w:rPr>
          <w:rFonts w:cs="Times New Roman"/>
          <w:color w:val="222222"/>
          <w:szCs w:val="24"/>
          <w:shd w:val="clear" w:color="auto" w:fill="FFFFFF"/>
        </w:rPr>
        <w:t>Monea, 2019)</w:t>
      </w:r>
    </w:p>
    <w:p w:rsidR="002B0947" w:rsidRDefault="00D70056">
      <w:r>
        <w:t>In the given case, following information is given and Calculations also have been shown along with:</w:t>
      </w:r>
    </w:p>
    <w:tbl>
      <w:tblPr>
        <w:tblStyle w:val="GridTable4-Accent31"/>
        <w:tblW w:w="5000" w:type="pct"/>
        <w:tblLook w:val="04A0" w:firstRow="1" w:lastRow="0" w:firstColumn="1" w:lastColumn="0" w:noHBand="0" w:noVBand="1"/>
      </w:tblPr>
      <w:tblGrid>
        <w:gridCol w:w="3005"/>
        <w:gridCol w:w="3160"/>
        <w:gridCol w:w="3185"/>
      </w:tblGrid>
      <w:tr w:rsidR="002B0947" w:rsidTr="002B0947">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 </w:t>
            </w:r>
          </w:p>
        </w:tc>
        <w:tc>
          <w:tcPr>
            <w:tcW w:w="1690"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2021</w:t>
            </w:r>
          </w:p>
        </w:tc>
        <w:tc>
          <w:tcPr>
            <w:tcW w:w="1704"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2020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Closing Inventory</w:t>
            </w:r>
          </w:p>
        </w:tc>
        <w:tc>
          <w:tcPr>
            <w:tcW w:w="1690"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 xml:space="preserve">                           708.00 </w:t>
            </w:r>
          </w:p>
        </w:tc>
        <w:tc>
          <w:tcPr>
            <w:tcW w:w="17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 xml:space="preserve">                           659.00 </w:t>
            </w: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Cost of goods sold</w:t>
            </w:r>
          </w:p>
        </w:tc>
        <w:tc>
          <w:tcPr>
            <w:tcW w:w="1690"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 xml:space="preserve">                        3,235.00 </w:t>
            </w:r>
          </w:p>
        </w:tc>
        <w:tc>
          <w:tcPr>
            <w:tcW w:w="170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 xml:space="preserve">                        3,096.00 </w:t>
            </w:r>
          </w:p>
        </w:tc>
      </w:tr>
      <w:tr w:rsidR="002B0947" w:rsidTr="002B0947">
        <w:trPr>
          <w:cnfStyle w:val="000000100000" w:firstRow="0" w:lastRow="0" w:firstColumn="0" w:lastColumn="0" w:oddVBand="0" w:evenVBand="0" w:oddHBand="1" w:evenHBand="0" w:firstRowFirstColumn="0" w:firstRowLastColumn="0" w:lastRowFirstColumn="0" w:lastRowLastColumn="0"/>
          <w:trHeight w:val="13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color w:val="000000"/>
                <w:szCs w:val="24"/>
              </w:rPr>
              <w:t> </w:t>
            </w:r>
          </w:p>
        </w:tc>
        <w:tc>
          <w:tcPr>
            <w:tcW w:w="1690" w:type="pct"/>
            <w:noWrap/>
            <w:hideMark/>
          </w:tcPr>
          <w:p w:rsidR="002B0947" w:rsidRDefault="00D70056">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 </w:t>
            </w:r>
          </w:p>
        </w:tc>
        <w:tc>
          <w:tcPr>
            <w:tcW w:w="1704" w:type="pct"/>
            <w:noWrap/>
            <w:hideMark/>
          </w:tcPr>
          <w:p w:rsidR="002B0947" w:rsidRDefault="00D70056">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 </w:t>
            </w:r>
          </w:p>
        </w:tc>
      </w:tr>
      <w:tr w:rsidR="002B0947" w:rsidTr="002B0947">
        <w:trPr>
          <w:trHeight w:val="94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color w:val="000000"/>
                <w:szCs w:val="24"/>
              </w:rPr>
              <w:t>Stock holding days</w:t>
            </w:r>
          </w:p>
        </w:tc>
        <w:tc>
          <w:tcPr>
            <w:tcW w:w="1690" w:type="pct"/>
            <w:hideMark/>
          </w:tcPr>
          <w:p w:rsidR="002B0947" w:rsidRDefault="00D70056">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 xml:space="preserve">[Closing inventory ÷ Cost of goods </w:t>
            </w:r>
            <w:r>
              <w:rPr>
                <w:rFonts w:eastAsia="Times New Roman" w:cs="Times New Roman"/>
                <w:color w:val="000000"/>
                <w:szCs w:val="24"/>
              </w:rPr>
              <w:t>sold] × 365</w:t>
            </w:r>
          </w:p>
        </w:tc>
        <w:tc>
          <w:tcPr>
            <w:tcW w:w="1704" w:type="pct"/>
            <w:hideMark/>
          </w:tcPr>
          <w:p w:rsidR="002B0947" w:rsidRDefault="00D70056">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[Closing inventory ÷ Cost of goods sold] × 365</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07"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color w:val="000000"/>
                <w:szCs w:val="24"/>
              </w:rPr>
              <w:lastRenderedPageBreak/>
              <w:t> </w:t>
            </w:r>
          </w:p>
        </w:tc>
        <w:tc>
          <w:tcPr>
            <w:tcW w:w="1690"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Pr>
                <w:rFonts w:eastAsia="Times New Roman" w:cs="Times New Roman"/>
                <w:b/>
                <w:bCs/>
                <w:color w:val="000000"/>
                <w:szCs w:val="24"/>
              </w:rPr>
              <w:t>79.88 days</w:t>
            </w:r>
          </w:p>
        </w:tc>
        <w:tc>
          <w:tcPr>
            <w:tcW w:w="170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Pr>
                <w:rFonts w:eastAsia="Times New Roman" w:cs="Times New Roman"/>
                <w:b/>
                <w:bCs/>
                <w:color w:val="000000"/>
                <w:szCs w:val="24"/>
              </w:rPr>
              <w:t>77.69 days</w:t>
            </w:r>
          </w:p>
        </w:tc>
      </w:tr>
    </w:tbl>
    <w:p w:rsidR="002B0947" w:rsidRDefault="002B0947">
      <w:pPr>
        <w:rPr>
          <w:b/>
          <w:bCs/>
          <w:color w:val="0070C0"/>
        </w:rPr>
      </w:pPr>
    </w:p>
    <w:p w:rsidR="002B0947" w:rsidRDefault="00D70056">
      <w:pPr>
        <w:rPr>
          <w:b/>
          <w:bCs/>
          <w:color w:val="0070C0"/>
        </w:rPr>
      </w:pPr>
      <w:r>
        <w:rPr>
          <w:b/>
          <w:bCs/>
          <w:color w:val="0070C0"/>
        </w:rPr>
        <w:t>Comments:</w:t>
      </w:r>
    </w:p>
    <w:p w:rsidR="002B0947" w:rsidRDefault="00D70056">
      <w:r>
        <w:t>The company has held the stock for more days than the prior year. This ratio indicates the efficiency of the company. Because if a company holds more days the inventory, then the company has become failure to predict the demand. Sometimes they may incur op</w:t>
      </w:r>
      <w:r>
        <w:t xml:space="preserve">portunity costs due to stocking up too many inventories, storage costs, damage costs, etc. It is a sign for the company that they are predicting the wrong demand for the product. </w:t>
      </w:r>
    </w:p>
    <w:p w:rsidR="002B0947" w:rsidRDefault="00D70056">
      <w:pPr>
        <w:pStyle w:val="Heading3"/>
      </w:pPr>
      <w:bookmarkStart w:id="10" w:name="_Toc111416397"/>
      <w:r>
        <w:t>7 – Debtors’ collection period</w:t>
      </w:r>
      <w:bookmarkEnd w:id="10"/>
    </w:p>
    <w:p w:rsidR="002B0947" w:rsidRDefault="00D70056">
      <w:r>
        <w:t>Debtors’ collection period = [Trade receivabl</w:t>
      </w:r>
      <w:r>
        <w:t xml:space="preserve">es </w:t>
      </w:r>
      <w:r>
        <w:rPr>
          <w:rFonts w:cs="Times New Roman"/>
        </w:rPr>
        <w:t>÷</w:t>
      </w:r>
      <w:r>
        <w:t xml:space="preserve"> Sales revenue] </w:t>
      </w:r>
      <w:r>
        <w:rPr>
          <w:rFonts w:cs="Times New Roman"/>
        </w:rPr>
        <w:t>×</w:t>
      </w:r>
      <w:r>
        <w:t xml:space="preserve"> 100 (</w:t>
      </w:r>
      <w:r>
        <w:rPr>
          <w:rFonts w:cs="Times New Roman"/>
          <w:color w:val="222222"/>
          <w:szCs w:val="24"/>
          <w:shd w:val="clear" w:color="auto" w:fill="FFFFFF"/>
        </w:rPr>
        <w:t>Chen and Shimerda, 2019)</w:t>
      </w:r>
    </w:p>
    <w:p w:rsidR="002B0947" w:rsidRDefault="00D70056">
      <w:r>
        <w:t>In the given case, following information is given and Calculations also have been shown along with:</w:t>
      </w:r>
    </w:p>
    <w:tbl>
      <w:tblPr>
        <w:tblStyle w:val="GridTable4-Accent31"/>
        <w:tblW w:w="5000" w:type="pct"/>
        <w:tblLook w:val="04A0" w:firstRow="1" w:lastRow="0" w:firstColumn="1" w:lastColumn="0" w:noHBand="0" w:noVBand="1"/>
      </w:tblPr>
      <w:tblGrid>
        <w:gridCol w:w="3200"/>
        <w:gridCol w:w="3063"/>
        <w:gridCol w:w="3087"/>
      </w:tblGrid>
      <w:tr w:rsidR="002B0947" w:rsidTr="002B0947">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711"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 </w:t>
            </w:r>
          </w:p>
        </w:tc>
        <w:tc>
          <w:tcPr>
            <w:tcW w:w="1638"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2021</w:t>
            </w:r>
          </w:p>
        </w:tc>
        <w:tc>
          <w:tcPr>
            <w:tcW w:w="1651"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2020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711" w:type="pct"/>
            <w:noWrap/>
            <w:hideMark/>
          </w:tcPr>
          <w:p w:rsidR="002B0947" w:rsidRDefault="00D70056">
            <w:pPr>
              <w:spacing w:line="240" w:lineRule="auto"/>
              <w:jc w:val="left"/>
              <w:rPr>
                <w:rFonts w:eastAsia="Times New Roman" w:cs="Times New Roman"/>
                <w:szCs w:val="24"/>
              </w:rPr>
            </w:pPr>
            <w:r>
              <w:rPr>
                <w:rFonts w:eastAsia="Times New Roman" w:cs="Times New Roman"/>
                <w:b w:val="0"/>
                <w:bCs w:val="0"/>
                <w:szCs w:val="24"/>
              </w:rPr>
              <w:t>Trade receivables</w:t>
            </w:r>
          </w:p>
        </w:tc>
        <w:tc>
          <w:tcPr>
            <w:tcW w:w="1638"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1,249.00</w:t>
            </w:r>
          </w:p>
        </w:tc>
        <w:tc>
          <w:tcPr>
            <w:tcW w:w="1651"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1,287.00</w:t>
            </w: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711" w:type="pct"/>
            <w:noWrap/>
            <w:hideMark/>
          </w:tcPr>
          <w:p w:rsidR="002B0947" w:rsidRDefault="00D70056">
            <w:pPr>
              <w:spacing w:line="240" w:lineRule="auto"/>
              <w:jc w:val="left"/>
              <w:rPr>
                <w:rFonts w:eastAsia="Times New Roman" w:cs="Times New Roman"/>
                <w:szCs w:val="24"/>
              </w:rPr>
            </w:pPr>
            <w:r>
              <w:rPr>
                <w:rFonts w:eastAsia="Times New Roman" w:cs="Times New Roman"/>
                <w:b w:val="0"/>
                <w:bCs w:val="0"/>
                <w:szCs w:val="24"/>
              </w:rPr>
              <w:t>Sales revenue</w:t>
            </w:r>
          </w:p>
        </w:tc>
        <w:tc>
          <w:tcPr>
            <w:tcW w:w="1638"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6,738.00</w:t>
            </w:r>
          </w:p>
        </w:tc>
        <w:tc>
          <w:tcPr>
            <w:tcW w:w="1651"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6,441.00</w:t>
            </w:r>
          </w:p>
        </w:tc>
      </w:tr>
      <w:tr w:rsidR="002B0947" w:rsidTr="002B0947">
        <w:trPr>
          <w:cnfStyle w:val="000000100000" w:firstRow="0" w:lastRow="0" w:firstColumn="0" w:lastColumn="0" w:oddVBand="0" w:evenVBand="0" w:oddHBand="1" w:evenHBand="0" w:firstRowFirstColumn="0" w:firstRowLastColumn="0" w:lastRowFirstColumn="0" w:lastRowLastColumn="0"/>
          <w:trHeight w:val="180"/>
        </w:trPr>
        <w:tc>
          <w:tcPr>
            <w:cnfStyle w:val="001000000000" w:firstRow="0" w:lastRow="0" w:firstColumn="1" w:lastColumn="0" w:oddVBand="0" w:evenVBand="0" w:oddHBand="0" w:evenHBand="0" w:firstRowFirstColumn="0" w:firstRowLastColumn="0" w:lastRowFirstColumn="0" w:lastRowLastColumn="0"/>
            <w:tcW w:w="1711"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 </w:t>
            </w:r>
          </w:p>
        </w:tc>
        <w:tc>
          <w:tcPr>
            <w:tcW w:w="1638"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1651"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2B0947" w:rsidTr="002B0947">
        <w:trPr>
          <w:trHeight w:val="630"/>
        </w:trPr>
        <w:tc>
          <w:tcPr>
            <w:cnfStyle w:val="001000000000" w:firstRow="0" w:lastRow="0" w:firstColumn="1" w:lastColumn="0" w:oddVBand="0" w:evenVBand="0" w:oddHBand="0" w:evenHBand="0" w:firstRowFirstColumn="0" w:firstRowLastColumn="0" w:lastRowFirstColumn="0" w:lastRowLastColumn="0"/>
            <w:tcW w:w="1711"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 xml:space="preserve">Debtors’ </w:t>
            </w:r>
            <w:r>
              <w:rPr>
                <w:rFonts w:eastAsia="Times New Roman" w:cs="Times New Roman"/>
                <w:b w:val="0"/>
                <w:bCs w:val="0"/>
                <w:color w:val="000000"/>
                <w:szCs w:val="24"/>
              </w:rPr>
              <w:t>collection period</w:t>
            </w:r>
          </w:p>
        </w:tc>
        <w:tc>
          <w:tcPr>
            <w:tcW w:w="1638" w:type="pct"/>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[Trade receivables ÷ Sales revenue] × 100</w:t>
            </w:r>
          </w:p>
        </w:tc>
        <w:tc>
          <w:tcPr>
            <w:tcW w:w="1651" w:type="pct"/>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[Trade receivables ÷ Sales revenue] × 100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711"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color w:val="000000"/>
                <w:szCs w:val="24"/>
              </w:rPr>
              <w:t> </w:t>
            </w:r>
          </w:p>
        </w:tc>
        <w:tc>
          <w:tcPr>
            <w:tcW w:w="1638"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Pr>
                <w:rFonts w:eastAsia="Times New Roman" w:cs="Times New Roman"/>
                <w:b/>
                <w:bCs/>
                <w:color w:val="000000"/>
                <w:szCs w:val="24"/>
              </w:rPr>
              <w:t>18.54%</w:t>
            </w:r>
          </w:p>
        </w:tc>
        <w:tc>
          <w:tcPr>
            <w:tcW w:w="1651"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Pr>
                <w:rFonts w:eastAsia="Times New Roman" w:cs="Times New Roman"/>
                <w:b/>
                <w:bCs/>
                <w:color w:val="000000"/>
                <w:szCs w:val="24"/>
              </w:rPr>
              <w:t>19.98%</w:t>
            </w:r>
          </w:p>
        </w:tc>
      </w:tr>
    </w:tbl>
    <w:p w:rsidR="002B0947" w:rsidRDefault="002B0947"/>
    <w:p w:rsidR="002B0947" w:rsidRDefault="00D70056">
      <w:pPr>
        <w:rPr>
          <w:b/>
          <w:bCs/>
          <w:color w:val="0070C0"/>
        </w:rPr>
      </w:pPr>
      <w:r>
        <w:rPr>
          <w:b/>
          <w:bCs/>
          <w:color w:val="0070C0"/>
        </w:rPr>
        <w:t>Comments:</w:t>
      </w:r>
    </w:p>
    <w:p w:rsidR="002B0947" w:rsidRDefault="00D70056">
      <w:r>
        <w:t>Debtors’ collection days have reduced in the current year. And it is a good sign for the company’s liquidity but the company should also consider whether due to fast collection, customers are moving to the competitors. Because slow collection is associated</w:t>
      </w:r>
      <w:r>
        <w:t xml:space="preserve"> with opportunity cost and fast collection is also associated with opportunity cost. The company needs to consider which cost they can afford. </w:t>
      </w:r>
    </w:p>
    <w:p w:rsidR="002B0947" w:rsidRDefault="00D70056">
      <w:pPr>
        <w:spacing w:line="259" w:lineRule="auto"/>
        <w:jc w:val="left"/>
        <w:rPr>
          <w:rFonts w:eastAsia="SimSun" w:cs="Times New Roman"/>
          <w:b/>
          <w:color w:val="000000"/>
          <w:szCs w:val="24"/>
          <w:u w:val="single"/>
        </w:rPr>
      </w:pPr>
      <w:r>
        <w:br w:type="page"/>
      </w:r>
    </w:p>
    <w:p w:rsidR="002B0947" w:rsidRDefault="00D70056">
      <w:pPr>
        <w:pStyle w:val="Heading3"/>
      </w:pPr>
      <w:bookmarkStart w:id="11" w:name="_Toc111416398"/>
      <w:r>
        <w:lastRenderedPageBreak/>
        <w:t>8 – Current Ratio</w:t>
      </w:r>
      <w:bookmarkEnd w:id="11"/>
    </w:p>
    <w:p w:rsidR="002B0947" w:rsidRDefault="00D70056">
      <w:r>
        <w:t xml:space="preserve">Current Ratio = Current Asset </w:t>
      </w:r>
      <w:r>
        <w:rPr>
          <w:rFonts w:cs="Times New Roman"/>
        </w:rPr>
        <w:t>÷</w:t>
      </w:r>
      <w:r>
        <w:t xml:space="preserve"> Current Liability (</w:t>
      </w:r>
      <w:r>
        <w:rPr>
          <w:rFonts w:cs="Times New Roman"/>
          <w:color w:val="222222"/>
          <w:szCs w:val="24"/>
          <w:shd w:val="clear" w:color="auto" w:fill="FFFFFF"/>
        </w:rPr>
        <w:t>Barnes, 2019)</w:t>
      </w:r>
    </w:p>
    <w:p w:rsidR="002B0947" w:rsidRDefault="00D70056">
      <w:r>
        <w:t>In the given case, followin</w:t>
      </w:r>
      <w:r>
        <w:t>g information is given and Calculations also have been shown along with:</w:t>
      </w:r>
    </w:p>
    <w:tbl>
      <w:tblPr>
        <w:tblStyle w:val="GridTable4-Accent31"/>
        <w:tblW w:w="5000" w:type="pct"/>
        <w:tblLook w:val="04A0" w:firstRow="1" w:lastRow="0" w:firstColumn="1" w:lastColumn="0" w:noHBand="0" w:noVBand="1"/>
      </w:tblPr>
      <w:tblGrid>
        <w:gridCol w:w="3176"/>
        <w:gridCol w:w="3074"/>
        <w:gridCol w:w="3100"/>
      </w:tblGrid>
      <w:tr w:rsidR="002B0947" w:rsidTr="002B0947">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98"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 </w:t>
            </w:r>
          </w:p>
        </w:tc>
        <w:tc>
          <w:tcPr>
            <w:tcW w:w="1644"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2021</w:t>
            </w:r>
          </w:p>
        </w:tc>
        <w:tc>
          <w:tcPr>
            <w:tcW w:w="1658"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2020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98" w:type="pct"/>
            <w:noWrap/>
            <w:hideMark/>
          </w:tcPr>
          <w:p w:rsidR="002B0947" w:rsidRDefault="002B0947">
            <w:pPr>
              <w:spacing w:line="240" w:lineRule="auto"/>
              <w:jc w:val="left"/>
              <w:rPr>
                <w:rFonts w:eastAsia="Times New Roman" w:cs="Times New Roman"/>
                <w:szCs w:val="24"/>
              </w:rPr>
            </w:pPr>
          </w:p>
          <w:p w:rsidR="002B0947" w:rsidRDefault="00D70056">
            <w:pPr>
              <w:spacing w:line="240" w:lineRule="auto"/>
              <w:jc w:val="left"/>
              <w:rPr>
                <w:rFonts w:eastAsia="Times New Roman" w:cs="Times New Roman"/>
                <w:szCs w:val="24"/>
              </w:rPr>
            </w:pPr>
            <w:r>
              <w:rPr>
                <w:rFonts w:eastAsia="Times New Roman" w:cs="Times New Roman"/>
                <w:b w:val="0"/>
                <w:bCs w:val="0"/>
                <w:szCs w:val="24"/>
              </w:rPr>
              <w:t>Current assets</w:t>
            </w:r>
          </w:p>
        </w:tc>
        <w:tc>
          <w:tcPr>
            <w:tcW w:w="164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2,303</w:t>
            </w:r>
          </w:p>
        </w:tc>
        <w:tc>
          <w:tcPr>
            <w:tcW w:w="1658"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2,355</w:t>
            </w: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698" w:type="pct"/>
            <w:noWrap/>
            <w:hideMark/>
          </w:tcPr>
          <w:p w:rsidR="002B0947" w:rsidRDefault="00D70056">
            <w:pPr>
              <w:spacing w:line="240" w:lineRule="auto"/>
              <w:jc w:val="left"/>
              <w:rPr>
                <w:rFonts w:eastAsia="Times New Roman" w:cs="Times New Roman"/>
                <w:szCs w:val="24"/>
              </w:rPr>
            </w:pPr>
            <w:r>
              <w:rPr>
                <w:rFonts w:eastAsia="Times New Roman" w:cs="Times New Roman"/>
                <w:b w:val="0"/>
                <w:bCs w:val="0"/>
                <w:szCs w:val="24"/>
              </w:rPr>
              <w:t>Current liabilities</w:t>
            </w:r>
          </w:p>
        </w:tc>
        <w:tc>
          <w:tcPr>
            <w:tcW w:w="164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2,511</w:t>
            </w:r>
          </w:p>
        </w:tc>
        <w:tc>
          <w:tcPr>
            <w:tcW w:w="1658"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3,046</w:t>
            </w:r>
          </w:p>
        </w:tc>
      </w:tr>
      <w:tr w:rsidR="002B0947" w:rsidTr="002B0947">
        <w:trPr>
          <w:cnfStyle w:val="000000100000" w:firstRow="0" w:lastRow="0" w:firstColumn="0" w:lastColumn="0" w:oddVBand="0" w:evenVBand="0" w:oddHBand="1" w:evenHBand="0" w:firstRowFirstColumn="0" w:firstRowLastColumn="0" w:lastRowFirstColumn="0" w:lastRowLastColumn="0"/>
          <w:trHeight w:val="135"/>
        </w:trPr>
        <w:tc>
          <w:tcPr>
            <w:cnfStyle w:val="001000000000" w:firstRow="0" w:lastRow="0" w:firstColumn="1" w:lastColumn="0" w:oddVBand="0" w:evenVBand="0" w:oddHBand="0" w:evenHBand="0" w:firstRowFirstColumn="0" w:firstRowLastColumn="0" w:lastRowFirstColumn="0" w:lastRowLastColumn="0"/>
            <w:tcW w:w="1698"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 </w:t>
            </w:r>
          </w:p>
        </w:tc>
        <w:tc>
          <w:tcPr>
            <w:tcW w:w="164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 </w:t>
            </w:r>
          </w:p>
        </w:tc>
        <w:tc>
          <w:tcPr>
            <w:tcW w:w="1658"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 </w:t>
            </w:r>
          </w:p>
        </w:tc>
      </w:tr>
      <w:tr w:rsidR="002B0947" w:rsidTr="002B0947">
        <w:trPr>
          <w:trHeight w:val="630"/>
        </w:trPr>
        <w:tc>
          <w:tcPr>
            <w:cnfStyle w:val="001000000000" w:firstRow="0" w:lastRow="0" w:firstColumn="1" w:lastColumn="0" w:oddVBand="0" w:evenVBand="0" w:oddHBand="0" w:evenHBand="0" w:firstRowFirstColumn="0" w:firstRowLastColumn="0" w:lastRowFirstColumn="0" w:lastRowLastColumn="0"/>
            <w:tcW w:w="1698"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Current Ratio</w:t>
            </w:r>
          </w:p>
        </w:tc>
        <w:tc>
          <w:tcPr>
            <w:tcW w:w="1644" w:type="pct"/>
            <w:hideMark/>
          </w:tcPr>
          <w:p w:rsidR="002B0947" w:rsidRDefault="00D70056">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Current Asset ÷ Current Liability</w:t>
            </w:r>
          </w:p>
        </w:tc>
        <w:tc>
          <w:tcPr>
            <w:tcW w:w="1658" w:type="pct"/>
            <w:hideMark/>
          </w:tcPr>
          <w:p w:rsidR="002B0947" w:rsidRDefault="00D70056">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Current Asset ÷ Current Liability</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98"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color w:val="000000"/>
                <w:szCs w:val="24"/>
              </w:rPr>
              <w:t> </w:t>
            </w:r>
          </w:p>
        </w:tc>
        <w:tc>
          <w:tcPr>
            <w:tcW w:w="164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Pr>
                <w:rFonts w:eastAsia="Times New Roman" w:cs="Times New Roman"/>
                <w:b/>
                <w:bCs/>
                <w:color w:val="000000"/>
                <w:szCs w:val="24"/>
              </w:rPr>
              <w:t>0.92</w:t>
            </w:r>
          </w:p>
        </w:tc>
        <w:tc>
          <w:tcPr>
            <w:tcW w:w="1658"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Pr>
                <w:rFonts w:eastAsia="Times New Roman" w:cs="Times New Roman"/>
                <w:b/>
                <w:bCs/>
                <w:color w:val="000000"/>
                <w:szCs w:val="24"/>
              </w:rPr>
              <w:t>0.77</w:t>
            </w:r>
          </w:p>
        </w:tc>
      </w:tr>
    </w:tbl>
    <w:p w:rsidR="002B0947" w:rsidRDefault="002B0947"/>
    <w:p w:rsidR="002B0947" w:rsidRDefault="00D70056">
      <w:pPr>
        <w:rPr>
          <w:b/>
          <w:bCs/>
          <w:color w:val="0070C0"/>
        </w:rPr>
      </w:pPr>
      <w:r>
        <w:rPr>
          <w:b/>
          <w:bCs/>
          <w:color w:val="0070C0"/>
        </w:rPr>
        <w:t>Comments:</w:t>
      </w:r>
    </w:p>
    <w:p w:rsidR="002B0947" w:rsidRDefault="00D70056">
      <w:r>
        <w:t>The liquidity position is not good as the company has fewer current assets compared with current liabilities. The company should take care of this issue.</w:t>
      </w:r>
    </w:p>
    <w:p w:rsidR="002B0947" w:rsidRDefault="00D70056">
      <w:pPr>
        <w:pStyle w:val="Heading3"/>
      </w:pPr>
      <w:bookmarkStart w:id="12" w:name="_Toc111416399"/>
      <w:r>
        <w:t>9 – Gearing Ratio</w:t>
      </w:r>
      <w:bookmarkEnd w:id="12"/>
    </w:p>
    <w:p w:rsidR="002B0947" w:rsidRDefault="00D70056">
      <w:r>
        <w:t xml:space="preserve">Gearing ratio = [Debt </w:t>
      </w:r>
      <w:r>
        <w:rPr>
          <w:rFonts w:cs="Times New Roman"/>
        </w:rPr>
        <w:t>÷</w:t>
      </w:r>
      <w:r>
        <w:t xml:space="preserve"> Equity] </w:t>
      </w:r>
      <w:r>
        <w:rPr>
          <w:rFonts w:cs="Times New Roman"/>
        </w:rPr>
        <w:t>×</w:t>
      </w:r>
      <w:r>
        <w:t xml:space="preserve"> 100 (</w:t>
      </w:r>
      <w:r>
        <w:rPr>
          <w:rFonts w:cs="Times New Roman"/>
          <w:color w:val="222222"/>
          <w:szCs w:val="24"/>
          <w:shd w:val="clear" w:color="auto" w:fill="FFFFFF"/>
        </w:rPr>
        <w:t>Chen and Shimerda, 2019)</w:t>
      </w:r>
    </w:p>
    <w:p w:rsidR="002B0947" w:rsidRDefault="00D70056">
      <w:r>
        <w:t>In the giv</w:t>
      </w:r>
      <w:r>
        <w:t>en case, following information is given and Calculations also have been shown along with:</w:t>
      </w:r>
    </w:p>
    <w:tbl>
      <w:tblPr>
        <w:tblStyle w:val="GridTable4-Accent31"/>
        <w:tblW w:w="5000" w:type="pct"/>
        <w:tblLook w:val="04A0" w:firstRow="1" w:lastRow="0" w:firstColumn="1" w:lastColumn="0" w:noHBand="0" w:noVBand="1"/>
      </w:tblPr>
      <w:tblGrid>
        <w:gridCol w:w="3338"/>
        <w:gridCol w:w="2994"/>
        <w:gridCol w:w="3018"/>
      </w:tblGrid>
      <w:tr w:rsidR="002B0947" w:rsidTr="002B0947">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785"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 </w:t>
            </w:r>
          </w:p>
        </w:tc>
        <w:tc>
          <w:tcPr>
            <w:tcW w:w="1601"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2021</w:t>
            </w:r>
          </w:p>
        </w:tc>
        <w:tc>
          <w:tcPr>
            <w:tcW w:w="1614"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2020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785" w:type="pct"/>
            <w:noWrap/>
            <w:hideMark/>
          </w:tcPr>
          <w:p w:rsidR="002B0947" w:rsidRDefault="00D70056">
            <w:pPr>
              <w:spacing w:line="240" w:lineRule="auto"/>
              <w:jc w:val="left"/>
              <w:rPr>
                <w:rFonts w:eastAsia="Times New Roman" w:cs="Times New Roman"/>
                <w:szCs w:val="24"/>
              </w:rPr>
            </w:pPr>
            <w:r>
              <w:rPr>
                <w:rFonts w:eastAsia="Times New Roman" w:cs="Times New Roman"/>
                <w:b w:val="0"/>
                <w:bCs w:val="0"/>
                <w:szCs w:val="24"/>
              </w:rPr>
              <w:t>Equity</w:t>
            </w:r>
          </w:p>
        </w:tc>
        <w:tc>
          <w:tcPr>
            <w:tcW w:w="1601"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3,088.00</w:t>
            </w:r>
          </w:p>
        </w:tc>
        <w:tc>
          <w:tcPr>
            <w:tcW w:w="161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2,912.00</w:t>
            </w: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785" w:type="pct"/>
            <w:noWrap/>
            <w:hideMark/>
          </w:tcPr>
          <w:p w:rsidR="002B0947" w:rsidRDefault="00D70056">
            <w:pPr>
              <w:spacing w:line="240" w:lineRule="auto"/>
              <w:jc w:val="left"/>
              <w:rPr>
                <w:rFonts w:eastAsia="Times New Roman" w:cs="Times New Roman"/>
                <w:szCs w:val="24"/>
              </w:rPr>
            </w:pPr>
            <w:r>
              <w:rPr>
                <w:rFonts w:eastAsia="Times New Roman" w:cs="Times New Roman"/>
                <w:b w:val="0"/>
                <w:bCs w:val="0"/>
                <w:szCs w:val="24"/>
              </w:rPr>
              <w:t>Debt</w:t>
            </w:r>
          </w:p>
        </w:tc>
        <w:tc>
          <w:tcPr>
            <w:tcW w:w="1601"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4,137.00</w:t>
            </w:r>
          </w:p>
        </w:tc>
        <w:tc>
          <w:tcPr>
            <w:tcW w:w="161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4,129.00</w:t>
            </w:r>
          </w:p>
        </w:tc>
      </w:tr>
      <w:tr w:rsidR="002B0947" w:rsidTr="002B0947">
        <w:trPr>
          <w:cnfStyle w:val="000000100000" w:firstRow="0" w:lastRow="0" w:firstColumn="0" w:lastColumn="0" w:oddVBand="0" w:evenVBand="0" w:oddHBand="1" w:evenHBand="0" w:firstRowFirstColumn="0" w:firstRowLastColumn="0" w:lastRowFirstColumn="0" w:lastRowLastColumn="0"/>
          <w:trHeight w:val="165"/>
        </w:trPr>
        <w:tc>
          <w:tcPr>
            <w:cnfStyle w:val="001000000000" w:firstRow="0" w:lastRow="0" w:firstColumn="1" w:lastColumn="0" w:oddVBand="0" w:evenVBand="0" w:oddHBand="0" w:evenHBand="0" w:firstRowFirstColumn="0" w:firstRowLastColumn="0" w:lastRowFirstColumn="0" w:lastRowLastColumn="0"/>
            <w:tcW w:w="1785"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 </w:t>
            </w:r>
          </w:p>
        </w:tc>
        <w:tc>
          <w:tcPr>
            <w:tcW w:w="1601"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1614" w:type="pct"/>
            <w:noWrap/>
            <w:hideMark/>
          </w:tcPr>
          <w:p w:rsidR="002B0947" w:rsidRDefault="002B094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785"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Gearing ratio</w:t>
            </w:r>
          </w:p>
        </w:tc>
        <w:tc>
          <w:tcPr>
            <w:tcW w:w="1601"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[Debt ÷ Equity] × 100</w:t>
            </w:r>
          </w:p>
        </w:tc>
        <w:tc>
          <w:tcPr>
            <w:tcW w:w="161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[Debt ÷ Equity] × 100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785"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color w:val="000000"/>
                <w:szCs w:val="24"/>
              </w:rPr>
              <w:t> </w:t>
            </w:r>
          </w:p>
        </w:tc>
        <w:tc>
          <w:tcPr>
            <w:tcW w:w="1601"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Pr>
                <w:rFonts w:eastAsia="Times New Roman" w:cs="Times New Roman"/>
                <w:b/>
                <w:bCs/>
                <w:color w:val="000000"/>
                <w:szCs w:val="24"/>
              </w:rPr>
              <w:t>133.97%</w:t>
            </w:r>
          </w:p>
        </w:tc>
        <w:tc>
          <w:tcPr>
            <w:tcW w:w="161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Pr>
                <w:rFonts w:eastAsia="Times New Roman" w:cs="Times New Roman"/>
                <w:b/>
                <w:bCs/>
                <w:color w:val="000000"/>
                <w:szCs w:val="24"/>
              </w:rPr>
              <w:t>141.79%</w:t>
            </w:r>
          </w:p>
        </w:tc>
      </w:tr>
    </w:tbl>
    <w:p w:rsidR="002B0947" w:rsidRDefault="002B0947"/>
    <w:p w:rsidR="002B0947" w:rsidRDefault="00D70056">
      <w:pPr>
        <w:rPr>
          <w:b/>
          <w:bCs/>
        </w:rPr>
      </w:pPr>
      <w:r>
        <w:rPr>
          <w:b/>
          <w:bCs/>
          <w:color w:val="0070C0"/>
        </w:rPr>
        <w:t>Comments:</w:t>
      </w:r>
    </w:p>
    <w:p w:rsidR="002B0947" w:rsidRDefault="00D70056">
      <w:r>
        <w:t xml:space="preserve">The </w:t>
      </w:r>
      <w:r>
        <w:t xml:space="preserve">company has more debt than equity and it is not good for the company. It seems that the company is running on the money of the debt holders. They should take care of this issue. Though the debt has decreased compared to the last year but still it has more </w:t>
      </w:r>
      <w:r>
        <w:t>debt than equity.</w:t>
      </w:r>
    </w:p>
    <w:p w:rsidR="002B0947" w:rsidRDefault="00D70056">
      <w:pPr>
        <w:spacing w:line="259" w:lineRule="auto"/>
        <w:jc w:val="left"/>
        <w:rPr>
          <w:rFonts w:eastAsia="SimSun" w:cs="Times New Roman"/>
          <w:b/>
          <w:color w:val="000000"/>
          <w:szCs w:val="24"/>
          <w:u w:val="single"/>
        </w:rPr>
      </w:pPr>
      <w:r>
        <w:lastRenderedPageBreak/>
        <w:br w:type="page"/>
      </w:r>
    </w:p>
    <w:p w:rsidR="002B0947" w:rsidRDefault="00D70056">
      <w:pPr>
        <w:pStyle w:val="Heading3"/>
      </w:pPr>
      <w:bookmarkStart w:id="13" w:name="_Toc111416400"/>
      <w:r>
        <w:lastRenderedPageBreak/>
        <w:t>10 – Interest Cover</w:t>
      </w:r>
      <w:bookmarkEnd w:id="13"/>
    </w:p>
    <w:p w:rsidR="002B0947" w:rsidRDefault="00D70056">
      <w:r>
        <w:t xml:space="preserve">Interest cover = (Net Profit before tax </w:t>
      </w:r>
      <w:r>
        <w:rPr>
          <w:rFonts w:cs="Times New Roman"/>
        </w:rPr>
        <w:t>÷</w:t>
      </w:r>
      <w:r>
        <w:t xml:space="preserve"> Interest) (</w:t>
      </w:r>
      <w:r>
        <w:rPr>
          <w:rFonts w:cs="Times New Roman"/>
          <w:color w:val="222222"/>
          <w:szCs w:val="24"/>
          <w:shd w:val="clear" w:color="auto" w:fill="FFFFFF"/>
        </w:rPr>
        <w:t>Barnes, 2019)</w:t>
      </w:r>
    </w:p>
    <w:tbl>
      <w:tblPr>
        <w:tblStyle w:val="GridTable4-Accent31"/>
        <w:tblW w:w="5000" w:type="pct"/>
        <w:tblLook w:val="04A0" w:firstRow="1" w:lastRow="0" w:firstColumn="1" w:lastColumn="0" w:noHBand="0" w:noVBand="1"/>
      </w:tblPr>
      <w:tblGrid>
        <w:gridCol w:w="3338"/>
        <w:gridCol w:w="2994"/>
        <w:gridCol w:w="3018"/>
      </w:tblGrid>
      <w:tr w:rsidR="002B0947" w:rsidTr="002B0947">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785" w:type="pct"/>
            <w:noWrap/>
            <w:hideMark/>
          </w:tcPr>
          <w:p w:rsidR="002B0947" w:rsidRDefault="00D70056">
            <w:pPr>
              <w:spacing w:line="240" w:lineRule="auto"/>
              <w:jc w:val="left"/>
              <w:rPr>
                <w:rFonts w:eastAsia="Times New Roman" w:cs="Times New Roman"/>
                <w:szCs w:val="24"/>
              </w:rPr>
            </w:pPr>
            <w:r>
              <w:rPr>
                <w:rFonts w:eastAsia="Times New Roman" w:cs="Times New Roman"/>
                <w:szCs w:val="24"/>
              </w:rPr>
              <w:t> </w:t>
            </w:r>
          </w:p>
        </w:tc>
        <w:tc>
          <w:tcPr>
            <w:tcW w:w="1601"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2021</w:t>
            </w:r>
          </w:p>
        </w:tc>
        <w:tc>
          <w:tcPr>
            <w:tcW w:w="1614" w:type="pct"/>
            <w:noWrap/>
            <w:hideMark/>
          </w:tcPr>
          <w:p w:rsidR="002B0947" w:rsidRDefault="00D7005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2020</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785"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Net Profit before tax</w:t>
            </w:r>
          </w:p>
        </w:tc>
        <w:tc>
          <w:tcPr>
            <w:tcW w:w="1601"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 xml:space="preserve">                           846.00 </w:t>
            </w:r>
          </w:p>
        </w:tc>
        <w:tc>
          <w:tcPr>
            <w:tcW w:w="161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 xml:space="preserve">                           720.00 </w:t>
            </w:r>
          </w:p>
        </w:tc>
      </w:tr>
      <w:tr w:rsidR="002B0947" w:rsidTr="002B0947">
        <w:trPr>
          <w:trHeight w:val="315"/>
        </w:trPr>
        <w:tc>
          <w:tcPr>
            <w:cnfStyle w:val="001000000000" w:firstRow="0" w:lastRow="0" w:firstColumn="1" w:lastColumn="0" w:oddVBand="0" w:evenVBand="0" w:oddHBand="0" w:evenHBand="0" w:firstRowFirstColumn="0" w:firstRowLastColumn="0" w:lastRowFirstColumn="0" w:lastRowLastColumn="0"/>
            <w:tcW w:w="1785" w:type="pct"/>
            <w:noWrap/>
            <w:hideMark/>
          </w:tcPr>
          <w:p w:rsidR="002B0947" w:rsidRDefault="00D70056">
            <w:pPr>
              <w:spacing w:line="240" w:lineRule="auto"/>
              <w:jc w:val="left"/>
              <w:rPr>
                <w:rFonts w:eastAsia="Times New Roman" w:cs="Times New Roman"/>
                <w:szCs w:val="24"/>
              </w:rPr>
            </w:pPr>
            <w:r>
              <w:rPr>
                <w:rFonts w:eastAsia="Times New Roman" w:cs="Times New Roman"/>
                <w:b w:val="0"/>
                <w:bCs w:val="0"/>
                <w:szCs w:val="24"/>
              </w:rPr>
              <w:t>Interest</w:t>
            </w:r>
          </w:p>
        </w:tc>
        <w:tc>
          <w:tcPr>
            <w:tcW w:w="1601"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 xml:space="preserve">                           226.00 </w:t>
            </w:r>
          </w:p>
        </w:tc>
        <w:tc>
          <w:tcPr>
            <w:tcW w:w="1614" w:type="pct"/>
            <w:noWrap/>
            <w:hideMark/>
          </w:tcPr>
          <w:p w:rsidR="002B0947" w:rsidRDefault="00D7005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Pr>
                <w:rFonts w:eastAsia="Times New Roman" w:cs="Times New Roman"/>
                <w:szCs w:val="24"/>
              </w:rPr>
              <w:t xml:space="preserve">                           181.00 </w:t>
            </w:r>
          </w:p>
        </w:tc>
      </w:tr>
      <w:tr w:rsidR="002B0947" w:rsidTr="002B0947">
        <w:trPr>
          <w:cnfStyle w:val="000000100000" w:firstRow="0" w:lastRow="0" w:firstColumn="0" w:lastColumn="0" w:oddVBand="0" w:evenVBand="0" w:oddHBand="1" w:evenHBand="0" w:firstRowFirstColumn="0" w:firstRowLastColumn="0" w:lastRowFirstColumn="0" w:lastRowLastColumn="0"/>
          <w:trHeight w:val="150"/>
        </w:trPr>
        <w:tc>
          <w:tcPr>
            <w:cnfStyle w:val="001000000000" w:firstRow="0" w:lastRow="0" w:firstColumn="1" w:lastColumn="0" w:oddVBand="0" w:evenVBand="0" w:oddHBand="0" w:evenHBand="0" w:firstRowFirstColumn="0" w:firstRowLastColumn="0" w:lastRowFirstColumn="0" w:lastRowLastColumn="0"/>
            <w:tcW w:w="1785"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 </w:t>
            </w:r>
          </w:p>
        </w:tc>
        <w:tc>
          <w:tcPr>
            <w:tcW w:w="1601" w:type="pct"/>
            <w:noWrap/>
            <w:hideMark/>
          </w:tcPr>
          <w:p w:rsidR="002B0947" w:rsidRDefault="00D70056">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 </w:t>
            </w:r>
          </w:p>
        </w:tc>
        <w:tc>
          <w:tcPr>
            <w:tcW w:w="1614" w:type="pct"/>
            <w:noWrap/>
            <w:hideMark/>
          </w:tcPr>
          <w:p w:rsidR="002B0947" w:rsidRDefault="00D70056">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 </w:t>
            </w:r>
          </w:p>
        </w:tc>
      </w:tr>
      <w:tr w:rsidR="002B0947" w:rsidTr="002B0947">
        <w:trPr>
          <w:trHeight w:val="630"/>
        </w:trPr>
        <w:tc>
          <w:tcPr>
            <w:cnfStyle w:val="001000000000" w:firstRow="0" w:lastRow="0" w:firstColumn="1" w:lastColumn="0" w:oddVBand="0" w:evenVBand="0" w:oddHBand="0" w:evenHBand="0" w:firstRowFirstColumn="0" w:firstRowLastColumn="0" w:lastRowFirstColumn="0" w:lastRowLastColumn="0"/>
            <w:tcW w:w="1785"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b w:val="0"/>
                <w:bCs w:val="0"/>
                <w:color w:val="000000"/>
                <w:szCs w:val="24"/>
              </w:rPr>
              <w:t>Interest Cover</w:t>
            </w:r>
          </w:p>
        </w:tc>
        <w:tc>
          <w:tcPr>
            <w:tcW w:w="1601" w:type="pct"/>
            <w:hideMark/>
          </w:tcPr>
          <w:p w:rsidR="002B0947" w:rsidRDefault="00D70056">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(Net Profit before tax ÷ Interest)</w:t>
            </w:r>
          </w:p>
        </w:tc>
        <w:tc>
          <w:tcPr>
            <w:tcW w:w="1614" w:type="pct"/>
            <w:hideMark/>
          </w:tcPr>
          <w:p w:rsidR="002B0947" w:rsidRDefault="00D70056">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Pr>
                <w:rFonts w:eastAsia="Times New Roman" w:cs="Times New Roman"/>
                <w:color w:val="000000"/>
                <w:szCs w:val="24"/>
              </w:rPr>
              <w:t>(Net Profit before tax ÷ Interest)</w:t>
            </w:r>
          </w:p>
        </w:tc>
      </w:tr>
      <w:tr w:rsidR="002B0947" w:rsidTr="002B094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785" w:type="pct"/>
            <w:noWrap/>
            <w:hideMark/>
          </w:tcPr>
          <w:p w:rsidR="002B0947" w:rsidRDefault="00D70056">
            <w:pPr>
              <w:spacing w:line="240" w:lineRule="auto"/>
              <w:jc w:val="left"/>
              <w:rPr>
                <w:rFonts w:eastAsia="Times New Roman" w:cs="Times New Roman"/>
                <w:color w:val="000000"/>
                <w:szCs w:val="24"/>
              </w:rPr>
            </w:pPr>
            <w:r>
              <w:rPr>
                <w:rFonts w:eastAsia="Times New Roman" w:cs="Times New Roman"/>
                <w:color w:val="000000"/>
                <w:szCs w:val="24"/>
              </w:rPr>
              <w:t> </w:t>
            </w:r>
          </w:p>
        </w:tc>
        <w:tc>
          <w:tcPr>
            <w:tcW w:w="1601"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Pr>
                <w:rFonts w:eastAsia="Times New Roman" w:cs="Times New Roman"/>
                <w:b/>
                <w:bCs/>
                <w:color w:val="000000"/>
                <w:szCs w:val="24"/>
              </w:rPr>
              <w:t>3.74</w:t>
            </w:r>
          </w:p>
        </w:tc>
        <w:tc>
          <w:tcPr>
            <w:tcW w:w="1614" w:type="pct"/>
            <w:noWrap/>
            <w:hideMark/>
          </w:tcPr>
          <w:p w:rsidR="002B0947" w:rsidRDefault="00D7005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Pr>
                <w:rFonts w:eastAsia="Times New Roman" w:cs="Times New Roman"/>
                <w:b/>
                <w:bCs/>
                <w:color w:val="000000"/>
                <w:szCs w:val="24"/>
              </w:rPr>
              <w:t>3.98</w:t>
            </w:r>
          </w:p>
        </w:tc>
      </w:tr>
    </w:tbl>
    <w:p w:rsidR="002B0947" w:rsidRDefault="002B0947"/>
    <w:p w:rsidR="002B0947" w:rsidRDefault="00D70056">
      <w:pPr>
        <w:rPr>
          <w:b/>
          <w:bCs/>
        </w:rPr>
      </w:pPr>
      <w:r>
        <w:rPr>
          <w:b/>
          <w:bCs/>
          <w:color w:val="0070C0"/>
        </w:rPr>
        <w:t>Comments:</w:t>
      </w:r>
    </w:p>
    <w:p w:rsidR="002B0947" w:rsidRDefault="00D70056">
      <w:r>
        <w:t xml:space="preserve">Interest cover has decreased in spite of increasing profit and decreasing debt. The reason for decreasing interest cover is due to taking a loan that has high interest. The company needs to reduce loans to reduce the complexity. </w:t>
      </w:r>
    </w:p>
    <w:p w:rsidR="002B0947" w:rsidRDefault="00D70056">
      <w:pPr>
        <w:spacing w:line="259" w:lineRule="auto"/>
        <w:jc w:val="left"/>
      </w:pPr>
      <w:r>
        <w:br w:type="page"/>
      </w:r>
    </w:p>
    <w:p w:rsidR="002B0947" w:rsidRDefault="00D70056">
      <w:pPr>
        <w:pStyle w:val="Heading1"/>
      </w:pPr>
      <w:bookmarkStart w:id="14" w:name="_Toc111416401"/>
      <w:r>
        <w:lastRenderedPageBreak/>
        <w:t>References</w:t>
      </w:r>
      <w:bookmarkEnd w:id="14"/>
    </w:p>
    <w:p w:rsidR="002B0947" w:rsidRDefault="00D70056">
      <w:pPr>
        <w:rPr>
          <w:rFonts w:cs="Times New Roman"/>
          <w:color w:val="222222"/>
          <w:szCs w:val="24"/>
          <w:shd w:val="clear" w:color="auto" w:fill="FFFFFF"/>
        </w:rPr>
      </w:pPr>
      <w:bookmarkStart w:id="15" w:name="_Hlk111415968"/>
      <w:r>
        <w:rPr>
          <w:rFonts w:cs="Times New Roman"/>
          <w:color w:val="222222"/>
          <w:szCs w:val="24"/>
          <w:shd w:val="clear" w:color="auto" w:fill="FFFFFF"/>
        </w:rPr>
        <w:t>Barnes, P., 2</w:t>
      </w:r>
      <w:r>
        <w:rPr>
          <w:rFonts w:cs="Times New Roman"/>
          <w:color w:val="222222"/>
          <w:szCs w:val="24"/>
          <w:shd w:val="clear" w:color="auto" w:fill="FFFFFF"/>
        </w:rPr>
        <w:t>019. The analysis and use of financial ratios. </w:t>
      </w:r>
      <w:r>
        <w:rPr>
          <w:rFonts w:cs="Times New Roman"/>
          <w:i/>
          <w:iCs/>
          <w:color w:val="222222"/>
          <w:szCs w:val="24"/>
          <w:shd w:val="clear" w:color="auto" w:fill="FFFFFF"/>
        </w:rPr>
        <w:t>Journal of Business Finance dan Accounting</w:t>
      </w:r>
      <w:r>
        <w:rPr>
          <w:rFonts w:cs="Times New Roman"/>
          <w:color w:val="222222"/>
          <w:szCs w:val="24"/>
          <w:shd w:val="clear" w:color="auto" w:fill="FFFFFF"/>
        </w:rPr>
        <w:t>, </w:t>
      </w:r>
      <w:r>
        <w:rPr>
          <w:rFonts w:cs="Times New Roman"/>
          <w:i/>
          <w:iCs/>
          <w:color w:val="222222"/>
          <w:szCs w:val="24"/>
          <w:shd w:val="clear" w:color="auto" w:fill="FFFFFF"/>
        </w:rPr>
        <w:t>14</w:t>
      </w:r>
      <w:r>
        <w:rPr>
          <w:rFonts w:cs="Times New Roman"/>
          <w:color w:val="222222"/>
          <w:szCs w:val="24"/>
          <w:shd w:val="clear" w:color="auto" w:fill="FFFFFF"/>
        </w:rPr>
        <w:t>(4), p.449.</w:t>
      </w:r>
    </w:p>
    <w:p w:rsidR="002B0947" w:rsidRDefault="00D70056">
      <w:pPr>
        <w:rPr>
          <w:rFonts w:cs="Times New Roman"/>
          <w:color w:val="222222"/>
          <w:szCs w:val="24"/>
          <w:shd w:val="clear" w:color="auto" w:fill="FFFFFF"/>
        </w:rPr>
      </w:pPr>
      <w:r>
        <w:rPr>
          <w:rFonts w:cs="Times New Roman"/>
          <w:color w:val="222222"/>
          <w:szCs w:val="24"/>
          <w:shd w:val="clear" w:color="auto" w:fill="FFFFFF"/>
        </w:rPr>
        <w:t>Chen, K.H. and Shimerda, T.A., 2019. An empirical analysis of useful financial ratios. </w:t>
      </w:r>
      <w:r>
        <w:rPr>
          <w:rFonts w:cs="Times New Roman"/>
          <w:i/>
          <w:iCs/>
          <w:color w:val="222222"/>
          <w:szCs w:val="24"/>
          <w:shd w:val="clear" w:color="auto" w:fill="FFFFFF"/>
        </w:rPr>
        <w:t>Financial management</w:t>
      </w:r>
      <w:r>
        <w:rPr>
          <w:rFonts w:cs="Times New Roman"/>
          <w:color w:val="222222"/>
          <w:szCs w:val="24"/>
          <w:shd w:val="clear" w:color="auto" w:fill="FFFFFF"/>
        </w:rPr>
        <w:t>, pp.51-60.</w:t>
      </w:r>
    </w:p>
    <w:p w:rsidR="002B0947" w:rsidRDefault="00D70056">
      <w:pPr>
        <w:rPr>
          <w:rFonts w:cs="Times New Roman"/>
          <w:color w:val="222222"/>
          <w:szCs w:val="24"/>
          <w:shd w:val="clear" w:color="auto" w:fill="FFFFFF"/>
        </w:rPr>
      </w:pPr>
      <w:r>
        <w:rPr>
          <w:rFonts w:cs="Times New Roman"/>
          <w:color w:val="222222"/>
          <w:szCs w:val="24"/>
          <w:shd w:val="clear" w:color="auto" w:fill="FFFFFF"/>
        </w:rPr>
        <w:t xml:space="preserve">Rashid, C.A., 2018. </w:t>
      </w:r>
      <w:r>
        <w:rPr>
          <w:rFonts w:cs="Times New Roman"/>
          <w:color w:val="222222"/>
          <w:szCs w:val="24"/>
          <w:shd w:val="clear" w:color="auto" w:fill="FFFFFF"/>
        </w:rPr>
        <w:t>Efficiency of financial ratios analysis for evaluating companies’ liquidity. </w:t>
      </w:r>
      <w:r>
        <w:rPr>
          <w:rFonts w:cs="Times New Roman"/>
          <w:i/>
          <w:iCs/>
          <w:color w:val="222222"/>
          <w:szCs w:val="24"/>
          <w:shd w:val="clear" w:color="auto" w:fill="FFFFFF"/>
        </w:rPr>
        <w:t>International Journal of Social Sciences &amp; Educational Studies</w:t>
      </w:r>
      <w:r>
        <w:rPr>
          <w:rFonts w:cs="Times New Roman"/>
          <w:color w:val="222222"/>
          <w:szCs w:val="24"/>
          <w:shd w:val="clear" w:color="auto" w:fill="FFFFFF"/>
        </w:rPr>
        <w:t>, </w:t>
      </w:r>
      <w:r>
        <w:rPr>
          <w:rFonts w:cs="Times New Roman"/>
          <w:i/>
          <w:iCs/>
          <w:color w:val="222222"/>
          <w:szCs w:val="24"/>
          <w:shd w:val="clear" w:color="auto" w:fill="FFFFFF"/>
        </w:rPr>
        <w:t>4</w:t>
      </w:r>
      <w:r>
        <w:rPr>
          <w:rFonts w:cs="Times New Roman"/>
          <w:color w:val="222222"/>
          <w:szCs w:val="24"/>
          <w:shd w:val="clear" w:color="auto" w:fill="FFFFFF"/>
        </w:rPr>
        <w:t>(4), p.110.</w:t>
      </w:r>
    </w:p>
    <w:p w:rsidR="002B0947" w:rsidRDefault="00D70056">
      <w:pPr>
        <w:rPr>
          <w:rFonts w:cs="Times New Roman"/>
          <w:color w:val="222222"/>
          <w:szCs w:val="24"/>
          <w:shd w:val="clear" w:color="auto" w:fill="FFFFFF"/>
        </w:rPr>
      </w:pPr>
      <w:r>
        <w:rPr>
          <w:rFonts w:cs="Times New Roman"/>
          <w:color w:val="222222"/>
          <w:szCs w:val="24"/>
          <w:shd w:val="clear" w:color="auto" w:fill="FFFFFF"/>
        </w:rPr>
        <w:t>Monea, M., 2019. Financial ratios–reveal how a business is doing?. </w:t>
      </w:r>
      <w:r>
        <w:rPr>
          <w:rFonts w:cs="Times New Roman"/>
          <w:i/>
          <w:iCs/>
          <w:color w:val="222222"/>
          <w:szCs w:val="24"/>
          <w:shd w:val="clear" w:color="auto" w:fill="FFFFFF"/>
        </w:rPr>
        <w:t>Annals of the University of Petroşa</w:t>
      </w:r>
      <w:r>
        <w:rPr>
          <w:rFonts w:cs="Times New Roman"/>
          <w:i/>
          <w:iCs/>
          <w:color w:val="222222"/>
          <w:szCs w:val="24"/>
          <w:shd w:val="clear" w:color="auto" w:fill="FFFFFF"/>
        </w:rPr>
        <w:t>ni, Economics</w:t>
      </w:r>
      <w:r>
        <w:rPr>
          <w:rFonts w:cs="Times New Roman"/>
          <w:color w:val="222222"/>
          <w:szCs w:val="24"/>
          <w:shd w:val="clear" w:color="auto" w:fill="FFFFFF"/>
        </w:rPr>
        <w:t>, </w:t>
      </w:r>
      <w:r>
        <w:rPr>
          <w:rFonts w:cs="Times New Roman"/>
          <w:i/>
          <w:iCs/>
          <w:color w:val="222222"/>
          <w:szCs w:val="24"/>
          <w:shd w:val="clear" w:color="auto" w:fill="FFFFFF"/>
        </w:rPr>
        <w:t>9</w:t>
      </w:r>
      <w:r>
        <w:rPr>
          <w:rFonts w:cs="Times New Roman"/>
          <w:color w:val="222222"/>
          <w:szCs w:val="24"/>
          <w:shd w:val="clear" w:color="auto" w:fill="FFFFFF"/>
        </w:rPr>
        <w:t>(2), pp.137-145.</w:t>
      </w:r>
    </w:p>
    <w:p w:rsidR="002B0947" w:rsidRDefault="00D70056">
      <w:pPr>
        <w:rPr>
          <w:rFonts w:cs="Times New Roman"/>
          <w:szCs w:val="24"/>
        </w:rPr>
      </w:pPr>
      <w:r>
        <w:rPr>
          <w:rFonts w:cs="Times New Roman"/>
          <w:color w:val="222222"/>
          <w:szCs w:val="24"/>
          <w:shd w:val="clear" w:color="auto" w:fill="FFFFFF"/>
        </w:rPr>
        <w:t>Bird, R.G. and McHugh, A.J., 2017. Financial ratios—an empirical study. </w:t>
      </w:r>
      <w:r>
        <w:rPr>
          <w:rFonts w:cs="Times New Roman"/>
          <w:i/>
          <w:iCs/>
          <w:color w:val="222222"/>
          <w:szCs w:val="24"/>
          <w:shd w:val="clear" w:color="auto" w:fill="FFFFFF"/>
        </w:rPr>
        <w:t>Journal of Business Finance &amp; Accounting</w:t>
      </w:r>
      <w:r>
        <w:rPr>
          <w:rFonts w:cs="Times New Roman"/>
          <w:color w:val="222222"/>
          <w:szCs w:val="24"/>
          <w:shd w:val="clear" w:color="auto" w:fill="FFFFFF"/>
        </w:rPr>
        <w:t>, </w:t>
      </w:r>
      <w:r>
        <w:rPr>
          <w:rFonts w:cs="Times New Roman"/>
          <w:i/>
          <w:iCs/>
          <w:color w:val="222222"/>
          <w:szCs w:val="24"/>
          <w:shd w:val="clear" w:color="auto" w:fill="FFFFFF"/>
        </w:rPr>
        <w:t>4</w:t>
      </w:r>
      <w:r>
        <w:rPr>
          <w:rFonts w:cs="Times New Roman"/>
          <w:color w:val="222222"/>
          <w:szCs w:val="24"/>
          <w:shd w:val="clear" w:color="auto" w:fill="FFFFFF"/>
        </w:rPr>
        <w:t>(1), pp.29-46.</w:t>
      </w:r>
      <w:bookmarkEnd w:id="15"/>
    </w:p>
    <w:sectPr w:rsidR="002B09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hybridMultilevel"/>
    <w:tmpl w:val="DAD4AD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000001"/>
    <w:multiLevelType w:val="hybridMultilevel"/>
    <w:tmpl w:val="DAD4AD66"/>
    <w:lvl w:ilvl="0" w:tplc="EE5AA208">
      <w:start w:val="1"/>
      <w:numFmt w:val="decimal"/>
      <w:lvlText w:val="%1."/>
      <w:lvlJc w:val="left"/>
      <w:pPr>
        <w:ind w:left="720" w:hanging="360"/>
      </w:pPr>
      <w:rPr>
        <w:rFonts w:hint="default"/>
      </w:rPr>
    </w:lvl>
    <w:lvl w:ilvl="1" w:tplc="A2E01B30" w:tentative="1">
      <w:start w:val="1"/>
      <w:numFmt w:val="lowerLetter"/>
      <w:lvlText w:val="%2."/>
      <w:lvlJc w:val="left"/>
      <w:pPr>
        <w:ind w:left="1440" w:hanging="360"/>
      </w:pPr>
    </w:lvl>
    <w:lvl w:ilvl="2" w:tplc="44D62C92" w:tentative="1">
      <w:start w:val="1"/>
      <w:numFmt w:val="lowerRoman"/>
      <w:lvlText w:val="%3."/>
      <w:lvlJc w:val="right"/>
      <w:pPr>
        <w:ind w:left="2160" w:hanging="180"/>
      </w:pPr>
    </w:lvl>
    <w:lvl w:ilvl="3" w:tplc="487AE05A" w:tentative="1">
      <w:start w:val="1"/>
      <w:numFmt w:val="decimal"/>
      <w:lvlText w:val="%4."/>
      <w:lvlJc w:val="left"/>
      <w:pPr>
        <w:ind w:left="2880" w:hanging="360"/>
      </w:pPr>
    </w:lvl>
    <w:lvl w:ilvl="4" w:tplc="813C5D7A" w:tentative="1">
      <w:start w:val="1"/>
      <w:numFmt w:val="lowerLetter"/>
      <w:lvlText w:val="%5."/>
      <w:lvlJc w:val="left"/>
      <w:pPr>
        <w:ind w:left="3600" w:hanging="360"/>
      </w:pPr>
    </w:lvl>
    <w:lvl w:ilvl="5" w:tplc="6B8690EE" w:tentative="1">
      <w:start w:val="1"/>
      <w:numFmt w:val="lowerRoman"/>
      <w:lvlText w:val="%6."/>
      <w:lvlJc w:val="right"/>
      <w:pPr>
        <w:ind w:left="4320" w:hanging="180"/>
      </w:pPr>
    </w:lvl>
    <w:lvl w:ilvl="6" w:tplc="713CA7D4" w:tentative="1">
      <w:start w:val="1"/>
      <w:numFmt w:val="decimal"/>
      <w:lvlText w:val="%7."/>
      <w:lvlJc w:val="left"/>
      <w:pPr>
        <w:ind w:left="5040" w:hanging="360"/>
      </w:pPr>
    </w:lvl>
    <w:lvl w:ilvl="7" w:tplc="23668730" w:tentative="1">
      <w:start w:val="1"/>
      <w:numFmt w:val="lowerLetter"/>
      <w:lvlText w:val="%8."/>
      <w:lvlJc w:val="left"/>
      <w:pPr>
        <w:ind w:left="5760" w:hanging="360"/>
      </w:pPr>
    </w:lvl>
    <w:lvl w:ilvl="8" w:tplc="A0E05E28" w:tentative="1">
      <w:start w:val="1"/>
      <w:numFmt w:val="lowerRoman"/>
      <w:lvlText w:val="%9."/>
      <w:lvlJc w:val="right"/>
      <w:pPr>
        <w:ind w:left="6480" w:hanging="180"/>
      </w:pPr>
    </w:lvl>
  </w:abstractNum>
  <w:abstractNum w:abstractNumId="2" w15:restartNumberingAfterBreak="0">
    <w:nsid w:val="00000002"/>
    <w:multiLevelType w:val="hybridMultilevel"/>
    <w:tmpl w:val="8CBA33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0000003"/>
    <w:multiLevelType w:val="hybridMultilevel"/>
    <w:tmpl w:val="DAD4AD66"/>
    <w:lvl w:ilvl="0" w:tplc="38C8C6D2">
      <w:start w:val="1"/>
      <w:numFmt w:val="decimal"/>
      <w:lvlText w:val="%1."/>
      <w:lvlJc w:val="left"/>
      <w:pPr>
        <w:ind w:left="720" w:hanging="360"/>
      </w:pPr>
      <w:rPr>
        <w:rFonts w:hint="default"/>
      </w:rPr>
    </w:lvl>
    <w:lvl w:ilvl="1" w:tplc="E8C0BF3E" w:tentative="1">
      <w:start w:val="1"/>
      <w:numFmt w:val="lowerLetter"/>
      <w:lvlText w:val="%2."/>
      <w:lvlJc w:val="left"/>
      <w:pPr>
        <w:ind w:left="1440" w:hanging="360"/>
      </w:pPr>
    </w:lvl>
    <w:lvl w:ilvl="2" w:tplc="2D30D0EA" w:tentative="1">
      <w:start w:val="1"/>
      <w:numFmt w:val="lowerRoman"/>
      <w:lvlText w:val="%3."/>
      <w:lvlJc w:val="right"/>
      <w:pPr>
        <w:ind w:left="2160" w:hanging="180"/>
      </w:pPr>
    </w:lvl>
    <w:lvl w:ilvl="3" w:tplc="5F165140" w:tentative="1">
      <w:start w:val="1"/>
      <w:numFmt w:val="decimal"/>
      <w:lvlText w:val="%4."/>
      <w:lvlJc w:val="left"/>
      <w:pPr>
        <w:ind w:left="2880" w:hanging="360"/>
      </w:pPr>
    </w:lvl>
    <w:lvl w:ilvl="4" w:tplc="967E0240" w:tentative="1">
      <w:start w:val="1"/>
      <w:numFmt w:val="lowerLetter"/>
      <w:lvlText w:val="%5."/>
      <w:lvlJc w:val="left"/>
      <w:pPr>
        <w:ind w:left="3600" w:hanging="360"/>
      </w:pPr>
    </w:lvl>
    <w:lvl w:ilvl="5" w:tplc="C3A87D32" w:tentative="1">
      <w:start w:val="1"/>
      <w:numFmt w:val="lowerRoman"/>
      <w:lvlText w:val="%6."/>
      <w:lvlJc w:val="right"/>
      <w:pPr>
        <w:ind w:left="4320" w:hanging="180"/>
      </w:pPr>
    </w:lvl>
    <w:lvl w:ilvl="6" w:tplc="62082C94" w:tentative="1">
      <w:start w:val="1"/>
      <w:numFmt w:val="decimal"/>
      <w:lvlText w:val="%7."/>
      <w:lvlJc w:val="left"/>
      <w:pPr>
        <w:ind w:left="5040" w:hanging="360"/>
      </w:pPr>
    </w:lvl>
    <w:lvl w:ilvl="7" w:tplc="A074E93E" w:tentative="1">
      <w:start w:val="1"/>
      <w:numFmt w:val="lowerLetter"/>
      <w:lvlText w:val="%8."/>
      <w:lvlJc w:val="left"/>
      <w:pPr>
        <w:ind w:left="5760" w:hanging="360"/>
      </w:pPr>
    </w:lvl>
    <w:lvl w:ilvl="8" w:tplc="B22E2558" w:tentative="1">
      <w:start w:val="1"/>
      <w:numFmt w:val="lowerRoman"/>
      <w:lvlText w:val="%9."/>
      <w:lvlJc w:val="right"/>
      <w:pPr>
        <w:ind w:left="6480" w:hanging="180"/>
      </w:pPr>
    </w:lvl>
  </w:abstractNum>
  <w:abstractNum w:abstractNumId="4" w15:restartNumberingAfterBreak="0">
    <w:nsid w:val="00000004"/>
    <w:multiLevelType w:val="hybridMultilevel"/>
    <w:tmpl w:val="B77226B2"/>
    <w:lvl w:ilvl="0" w:tplc="0809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00000005"/>
    <w:multiLevelType w:val="hybridMultilevel"/>
    <w:tmpl w:val="DAD4AD66"/>
    <w:lvl w:ilvl="0" w:tplc="3B08250C">
      <w:start w:val="1"/>
      <w:numFmt w:val="decimal"/>
      <w:lvlText w:val="%1."/>
      <w:lvlJc w:val="left"/>
      <w:pPr>
        <w:ind w:left="720" w:hanging="360"/>
      </w:pPr>
      <w:rPr>
        <w:rFonts w:hint="default"/>
      </w:rPr>
    </w:lvl>
    <w:lvl w:ilvl="1" w:tplc="956CD792" w:tentative="1">
      <w:start w:val="1"/>
      <w:numFmt w:val="lowerLetter"/>
      <w:lvlText w:val="%2."/>
      <w:lvlJc w:val="left"/>
      <w:pPr>
        <w:ind w:left="1440" w:hanging="360"/>
      </w:pPr>
    </w:lvl>
    <w:lvl w:ilvl="2" w:tplc="B90E04F6" w:tentative="1">
      <w:start w:val="1"/>
      <w:numFmt w:val="lowerRoman"/>
      <w:lvlText w:val="%3."/>
      <w:lvlJc w:val="right"/>
      <w:pPr>
        <w:ind w:left="2160" w:hanging="180"/>
      </w:pPr>
    </w:lvl>
    <w:lvl w:ilvl="3" w:tplc="9152916A" w:tentative="1">
      <w:start w:val="1"/>
      <w:numFmt w:val="decimal"/>
      <w:lvlText w:val="%4."/>
      <w:lvlJc w:val="left"/>
      <w:pPr>
        <w:ind w:left="2880" w:hanging="360"/>
      </w:pPr>
    </w:lvl>
    <w:lvl w:ilvl="4" w:tplc="120CCDC6" w:tentative="1">
      <w:start w:val="1"/>
      <w:numFmt w:val="lowerLetter"/>
      <w:lvlText w:val="%5."/>
      <w:lvlJc w:val="left"/>
      <w:pPr>
        <w:ind w:left="3600" w:hanging="360"/>
      </w:pPr>
    </w:lvl>
    <w:lvl w:ilvl="5" w:tplc="CE8412E4" w:tentative="1">
      <w:start w:val="1"/>
      <w:numFmt w:val="lowerRoman"/>
      <w:lvlText w:val="%6."/>
      <w:lvlJc w:val="right"/>
      <w:pPr>
        <w:ind w:left="4320" w:hanging="180"/>
      </w:pPr>
    </w:lvl>
    <w:lvl w:ilvl="6" w:tplc="2744DAB2" w:tentative="1">
      <w:start w:val="1"/>
      <w:numFmt w:val="decimal"/>
      <w:lvlText w:val="%7."/>
      <w:lvlJc w:val="left"/>
      <w:pPr>
        <w:ind w:left="5040" w:hanging="360"/>
      </w:pPr>
    </w:lvl>
    <w:lvl w:ilvl="7" w:tplc="6A048DAE" w:tentative="1">
      <w:start w:val="1"/>
      <w:numFmt w:val="lowerLetter"/>
      <w:lvlText w:val="%8."/>
      <w:lvlJc w:val="left"/>
      <w:pPr>
        <w:ind w:left="5760" w:hanging="360"/>
      </w:pPr>
    </w:lvl>
    <w:lvl w:ilvl="8" w:tplc="CB2A8A50" w:tentative="1">
      <w:start w:val="1"/>
      <w:numFmt w:val="lowerRoman"/>
      <w:lvlText w:val="%9."/>
      <w:lvlJc w:val="right"/>
      <w:pPr>
        <w:ind w:left="6480" w:hanging="180"/>
      </w:pPr>
    </w:lvl>
  </w:abstractNum>
  <w:num w:numId="1" w16cid:durableId="1441225162">
    <w:abstractNumId w:val="2"/>
  </w:num>
  <w:num w:numId="2" w16cid:durableId="972364355">
    <w:abstractNumId w:val="0"/>
  </w:num>
  <w:num w:numId="3" w16cid:durableId="689912405">
    <w:abstractNumId w:val="1"/>
  </w:num>
  <w:num w:numId="4" w16cid:durableId="1997343091">
    <w:abstractNumId w:val="3"/>
  </w:num>
  <w:num w:numId="5" w16cid:durableId="89785242">
    <w:abstractNumId w:val="5"/>
  </w:num>
  <w:num w:numId="6" w16cid:durableId="16439989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removePersonalInformation/>
  <w:removeDateAndTim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947"/>
    <w:rsid w:val="002B0947"/>
    <w:rsid w:val="00D7005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before="240" w:after="0"/>
      <w:outlineLvl w:val="0"/>
    </w:pPr>
    <w:rPr>
      <w:rFonts w:eastAsia="SimSun" w:cs="Times New Roman"/>
      <w:b/>
      <w:color w:val="2F5496"/>
      <w:sz w:val="32"/>
      <w:szCs w:val="32"/>
    </w:rPr>
  </w:style>
  <w:style w:type="paragraph" w:styleId="Heading2">
    <w:name w:val="heading 2"/>
    <w:basedOn w:val="Normal"/>
    <w:next w:val="Normal"/>
    <w:link w:val="Heading2Char"/>
    <w:uiPriority w:val="9"/>
    <w:unhideWhenUsed/>
    <w:qFormat/>
    <w:pPr>
      <w:outlineLvl w:val="1"/>
    </w:pPr>
    <w:rPr>
      <w:color w:val="002060"/>
      <w:sz w:val="28"/>
    </w:rPr>
  </w:style>
  <w:style w:type="paragraph" w:styleId="Heading3">
    <w:name w:val="heading 3"/>
    <w:basedOn w:val="Normal"/>
    <w:next w:val="Normal"/>
    <w:link w:val="Heading3Char"/>
    <w:uiPriority w:val="9"/>
    <w:unhideWhenUsed/>
    <w:qFormat/>
    <w:pPr>
      <w:keepNext/>
      <w:keepLines/>
      <w:spacing w:before="40" w:after="0"/>
      <w:outlineLvl w:val="2"/>
    </w:pPr>
    <w:rPr>
      <w:rFonts w:eastAsia="SimSun" w:cs="Times New Roman"/>
      <w:b/>
      <w:color w:val="000000"/>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Times New Roman"/>
      <w:b/>
      <w:color w:val="2F5496"/>
      <w:sz w:val="32"/>
      <w:szCs w:val="32"/>
    </w:rPr>
  </w:style>
  <w:style w:type="character" w:customStyle="1" w:styleId="Heading2Char">
    <w:name w:val="Heading 2 Char"/>
    <w:basedOn w:val="DefaultParagraphFont"/>
    <w:link w:val="Heading2"/>
    <w:uiPriority w:val="9"/>
    <w:rPr>
      <w:rFonts w:ascii="Times New Roman" w:hAnsi="Times New Roman" w:cs="Times New Roman"/>
      <w:color w:val="002060"/>
      <w:sz w:val="28"/>
    </w:rPr>
  </w:style>
  <w:style w:type="character" w:customStyle="1" w:styleId="Heading3Char">
    <w:name w:val="Heading 3 Char"/>
    <w:basedOn w:val="DefaultParagraphFont"/>
    <w:link w:val="Heading3"/>
    <w:uiPriority w:val="9"/>
    <w:rPr>
      <w:rFonts w:ascii="Times New Roman" w:eastAsia="SimSun" w:hAnsi="Times New Roman" w:cs="Times New Roman"/>
      <w:b/>
      <w:color w:val="000000"/>
      <w:sz w:val="24"/>
      <w:szCs w:val="24"/>
      <w:u w:val="single"/>
    </w:rPr>
  </w:style>
  <w:style w:type="paragraph" w:styleId="ListParagraph">
    <w:name w:val="List Paragraph"/>
    <w:basedOn w:val="Normal"/>
    <w:uiPriority w:val="34"/>
    <w:qFormat/>
    <w:pPr>
      <w:ind w:left="720"/>
      <w:contextualSpacing/>
    </w:pPr>
  </w:style>
  <w:style w:type="table" w:customStyle="1" w:styleId="GridTable4-Accent11">
    <w:name w:val="Grid Table 4 - Accent 11"/>
    <w:basedOn w:val="TableNormal"/>
    <w:uiPriority w:val="49"/>
    <w:pPr>
      <w:spacing w:after="0" w:line="240" w:lineRule="auto"/>
    </w:pPr>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rPr>
        <w:b/>
        <w:bCs/>
        <w:color w:val="FFFFFF"/>
      </w:rPr>
      <w:tblPr/>
      <w:tcPr>
        <w:tcBorders>
          <w:top w:val="single" w:sz="4" w:space="0" w:color="4472C4"/>
          <w:left w:val="single" w:sz="4" w:space="0" w:color="4472C4"/>
          <w:bottom w:val="single" w:sz="4" w:space="0" w:color="4472C4"/>
          <w:right w:val="single" w:sz="4" w:space="0" w:color="4472C4"/>
          <w:insideH w:val="nil"/>
          <w:insideV w:val="nil"/>
        </w:tcBorders>
        <w:shd w:val="clear" w:color="auto" w:fill="4472C4"/>
      </w:tcPr>
    </w:tblStylePr>
    <w:tblStylePr w:type="lastRow">
      <w:rPr>
        <w:b/>
        <w:bCs/>
      </w:rPr>
      <w:tblPr/>
      <w:tcPr>
        <w:tcBorders>
          <w:top w:val="double" w:sz="4" w:space="0" w:color="4472C4"/>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customStyle="1" w:styleId="GridTable4-Accent31">
    <w:name w:val="Grid Table 4 - Accent 31"/>
    <w:basedOn w:val="TableNormal"/>
    <w:uiPriority w:val="49"/>
    <w:pPr>
      <w:spacing w:after="0" w:line="240" w:lineRule="auto"/>
    </w:pPr>
    <w:tblPr>
      <w:tblStyleRowBandSize w:val="1"/>
      <w:tblStyleColBandSize w:val="1"/>
      <w:tblBorders>
        <w:top w:val="single" w:sz="4" w:space="0" w:color="C9C9C9"/>
        <w:left w:val="single" w:sz="4" w:space="0" w:color="C9C9C9"/>
        <w:bottom w:val="single" w:sz="4" w:space="0" w:color="C9C9C9"/>
        <w:right w:val="single" w:sz="4" w:space="0" w:color="C9C9C9"/>
        <w:insideH w:val="single" w:sz="4" w:space="0" w:color="C9C9C9"/>
        <w:insideV w:val="single" w:sz="4" w:space="0" w:color="C9C9C9"/>
      </w:tblBorders>
    </w:tblPr>
    <w:tblStylePr w:type="firstRow">
      <w:rPr>
        <w:b/>
        <w:bCs/>
        <w:color w:val="FFFFFF"/>
      </w:rPr>
      <w:tblPr/>
      <w:tcPr>
        <w:tcBorders>
          <w:top w:val="single" w:sz="4" w:space="0" w:color="A5A5A5"/>
          <w:left w:val="single" w:sz="4" w:space="0" w:color="A5A5A5"/>
          <w:bottom w:val="single" w:sz="4" w:space="0" w:color="A5A5A5"/>
          <w:right w:val="single" w:sz="4" w:space="0" w:color="A5A5A5"/>
          <w:insideH w:val="nil"/>
          <w:insideV w:val="nil"/>
        </w:tcBorders>
        <w:shd w:val="clear" w:color="auto" w:fill="A5A5A5"/>
      </w:tcPr>
    </w:tblStylePr>
    <w:tblStylePr w:type="lastRow">
      <w:rPr>
        <w:b/>
        <w:bCs/>
      </w:rPr>
      <w:tblPr/>
      <w:tcPr>
        <w:tcBorders>
          <w:top w:val="double" w:sz="4" w:space="0" w:color="A5A5A5"/>
        </w:tcBorders>
      </w:tcPr>
    </w:tblStylePr>
    <w:tblStylePr w:type="firstCol">
      <w:rPr>
        <w:b/>
        <w:bCs/>
      </w:rPr>
    </w:tblStylePr>
    <w:tblStylePr w:type="lastCol">
      <w:rPr>
        <w:b/>
        <w:bCs/>
      </w:rPr>
    </w:tblStylePr>
    <w:tblStylePr w:type="band1Vert">
      <w:tblPr/>
      <w:tcPr>
        <w:shd w:val="clear" w:color="auto" w:fill="EDEDED"/>
      </w:tcPr>
    </w:tblStylePr>
    <w:tblStylePr w:type="band1Horz">
      <w:tblPr/>
      <w:tcPr>
        <w:shd w:val="clear" w:color="auto" w:fill="EDEDED"/>
      </w:tcPr>
    </w:tblStylePr>
  </w:style>
  <w:style w:type="paragraph" w:styleId="NoSpacing">
    <w:name w:val="No Spacing"/>
    <w:uiPriority w:val="1"/>
    <w:qFormat/>
    <w:pPr>
      <w:spacing w:after="0" w:line="240" w:lineRule="auto"/>
      <w:jc w:val="both"/>
    </w:pPr>
    <w:rPr>
      <w:rFonts w:ascii="Times New Roman" w:hAnsi="Times New Roman"/>
      <w:sz w:val="24"/>
    </w:rPr>
  </w:style>
  <w:style w:type="table" w:customStyle="1" w:styleId="PlainTable21">
    <w:name w:val="Plain Table 21"/>
    <w:basedOn w:val="TableNormal"/>
    <w:uiPriority w:val="42"/>
    <w:pPr>
      <w:spacing w:after="0" w:line="240" w:lineRule="auto"/>
    </w:pPr>
    <w:tblPr>
      <w:tblStyleRowBandSize w:val="1"/>
      <w:tblStyleColBandSize w:val="1"/>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GridTable4-Accent51">
    <w:name w:val="Grid Table 4 - Accent 51"/>
    <w:basedOn w:val="TableNormal"/>
    <w:uiPriority w:val="49"/>
    <w:pPr>
      <w:spacing w:after="0" w:line="240" w:lineRule="auto"/>
    </w:pPr>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customStyle="1" w:styleId="PlainTable41">
    <w:name w:val="Plain Table 41"/>
    <w:basedOn w:val="TableNormal"/>
    <w:uiPriority w:val="4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paragraph" w:styleId="TOCHeading">
    <w:name w:val="TOC Heading"/>
    <w:basedOn w:val="Heading1"/>
    <w:next w:val="Normal"/>
    <w:uiPriority w:val="39"/>
    <w:qFormat/>
    <w:pPr>
      <w:spacing w:line="259" w:lineRule="auto"/>
      <w:jc w:val="left"/>
      <w:outlineLvl w:val="9"/>
    </w:pPr>
    <w:rPr>
      <w:rFonts w:ascii="Calibri Light" w:hAnsi="Calibri Light"/>
      <w:b w:val="0"/>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paragraph" w:styleId="TOC3">
    <w:name w:val="toc 3"/>
    <w:basedOn w:val="Normal"/>
    <w:next w:val="Normal"/>
    <w:uiPriority w:val="39"/>
    <w:pPr>
      <w:spacing w:after="100"/>
      <w:ind w:left="480"/>
    </w:pPr>
  </w:style>
  <w:style w:type="character" w:styleId="Hyperlink">
    <w:name w:val="Hyperlink"/>
    <w:basedOn w:val="DefaultParagraphFont"/>
    <w:uiPriority w:val="99"/>
    <w:rPr>
      <w:color w:val="0563C1"/>
      <w:u w:val="single"/>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1378B7-D3EA-4E90-8FFB-71DDA99F915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2350</Words>
  <Characters>13398</Characters>
  <Application>Microsoft Office Word</Application>
  <DocSecurity>0</DocSecurity>
  <Lines>111</Lines>
  <Paragraphs>31</Paragraphs>
  <ScaleCrop>false</ScaleCrop>
  <LinksUpToDate>false</LinksUpToDate>
  <CharactersWithSpaces>15717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2022-08-27T19:14:00Z</dcterms:created>
  <dcterms:modified xsi:type="dcterms:W3CDTF">2022-08-27T19:14:00Z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4d2d273ad0fc4aa3b29aaaf96fcaa23e</vt:lpwstr>
  </property>
</Properties>
</file>