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DF2B6" w14:textId="77777777" w:rsidR="008A29A4" w:rsidRDefault="001D492B">
      <w:pPr>
        <w:spacing w:after="240"/>
        <w:jc w:val="center"/>
      </w:pPr>
      <w:r>
        <w:rPr>
          <w:b/>
          <w:color w:val="002060"/>
          <w:sz w:val="40"/>
        </w:rPr>
        <w:t>International Market Entry Strategy and Marketing Mix Assessment</w:t>
      </w:r>
    </w:p>
    <w:p w14:paraId="5F24FC2B" w14:textId="230F3C13" w:rsidR="008A29A4" w:rsidRDefault="009327BA">
      <w:pPr>
        <w:spacing w:after="360"/>
        <w:jc w:val="center"/>
      </w:pPr>
      <w:r>
        <w:rPr>
          <w:i/>
          <w:color w:val="646464"/>
          <w:sz w:val="28"/>
        </w:rPr>
        <w:t xml:space="preserve">A </w:t>
      </w:r>
      <w:r w:rsidR="001D492B">
        <w:rPr>
          <w:i/>
          <w:color w:val="646464"/>
          <w:sz w:val="28"/>
        </w:rPr>
        <w:t>Critical Comparative Evaluation of Adidas in the United States and South Africa</w:t>
      </w:r>
    </w:p>
    <w:p w14:paraId="28EAE579" w14:textId="1A8072E8" w:rsidR="008A29A4" w:rsidRDefault="001D492B">
      <w:pPr>
        <w:keepNext/>
        <w:spacing w:before="360"/>
      </w:pPr>
      <w:r>
        <w:rPr>
          <w:b/>
          <w:color w:val="002060"/>
          <w:sz w:val="32"/>
        </w:rPr>
        <w:t xml:space="preserve">Introduction &amp; Strategic Rationale </w:t>
      </w:r>
    </w:p>
    <w:p w14:paraId="5672235B" w14:textId="77777777" w:rsidR="008A29A4" w:rsidRDefault="001D492B">
      <w:r>
        <w:t>Understanding cross-border expansion requires analyzing how multinational enterprises (MNEs) navigate divergent institutional, macroeconomic, and socio-cultural environments. This assessment critically investigates the international marketing strategies of Adidas—a leading global athletic footwear and apparel enterprise originating from Germany (home market)—across two contrasting host environments: the United States (a highly mature, high-income market) and South Africa (an emerging, socio-economically com</w:t>
      </w:r>
      <w:r>
        <w:t>plex market).</w:t>
      </w:r>
    </w:p>
    <w:p w14:paraId="73C33013" w14:textId="36008E70" w:rsidR="008A29A4" w:rsidRDefault="001D492B">
      <w:r>
        <w:t xml:space="preserve">Adidas provides a compelling case study due to its strategic balancing act between global brand standardization and localized marketing adaptation. Comparing a mature Western economy against a developing African market illuminates the trade-offs MNEs face regarding market entry modes, retail distribution intensity, pricing elasticity, and promotional communications. Section 1 delivers a </w:t>
      </w:r>
      <w:r>
        <w:t>critical evaluation structured across five analytical domains: PESTEL and Hofstede comparative frameworks, STP and 7Ps marketing mix adaptation, hybrid market entry mechanisms via Dunning's OLI paradigm, marketing ethics and corporate social responsibility (CSR) challenges, and actionable strategic recommendations. Section 2 presents a</w:t>
      </w:r>
      <w:r>
        <w:t xml:space="preserve"> critical reflective account structured explicitly around Gibbs' Reflective Cycle, detailing personal analytical learning, methodological mistakes, and future professional growth.</w:t>
      </w:r>
    </w:p>
    <w:p w14:paraId="15FC021D" w14:textId="4CC4E521" w:rsidR="008A29A4" w:rsidRDefault="001D492B" w:rsidP="009327BA">
      <w:pPr>
        <w:keepNext/>
        <w:spacing w:before="360"/>
      </w:pPr>
      <w:r>
        <w:rPr>
          <w:b/>
          <w:color w:val="002060"/>
          <w:sz w:val="32"/>
        </w:rPr>
        <w:t xml:space="preserve">Section 1: International Market Entry Strategy and Marketing Mix Report </w:t>
      </w:r>
      <w:r>
        <w:rPr>
          <w:b/>
          <w:color w:val="336699"/>
          <w:sz w:val="26"/>
        </w:rPr>
        <w:t>Part A: Comparative Macro-Environmental (PESTEL) and Cultural (Hofstede) Analysis (~800 words)</w:t>
      </w:r>
    </w:p>
    <w:p w14:paraId="7FE9D49E" w14:textId="77777777" w:rsidR="008A29A4" w:rsidRDefault="001D492B">
      <w:pPr>
        <w:keepNext/>
        <w:spacing w:before="200" w:after="40"/>
      </w:pPr>
      <w:r>
        <w:rPr>
          <w:b/>
        </w:rPr>
        <w:t>Critical PESTEL Evaluation and Strategic Alignment</w:t>
      </w:r>
    </w:p>
    <w:p w14:paraId="488EB98B" w14:textId="77777777" w:rsidR="008A29A4" w:rsidRDefault="001D492B">
      <w:r>
        <w:t xml:space="preserve">Multinational enterprises entering geographically diverse markets encounter contrasting institutional architectures that dictate foreign operational effectiveness (Kotler and Keller, 2016). In the United States, an Anglo-Saxon market capitalism model powders commercial operations, exhibiting high institutional predictability, strong intellectual property enforcement, and strict oversight from regulatory authorities such as the Federal Trade Commission (FTC) regarding commercial greenwashing and digital </w:t>
      </w:r>
      <w:r>
        <w:lastRenderedPageBreak/>
        <w:t>privacy (Hill and Hult, 2020). However, while high regulatory predictability minimizes direct asset expropriation risks, it exposes Adidas to aggressive class-action litigation and intense domestic competition from established players like Nike and fast-growing specialized entrants like Hoka and On Running. Consequently, legal compliance in the US operates as a necessary baseline rather than a source of competitive advantage, forcing Adidas into capital-intensive marketing defensiveness. Conversely, operati</w:t>
      </w:r>
      <w:r>
        <w:t>ng in South Africa requires navigating localized affirmative legislative mandates, specifically the Broad-Based Black Economic Empowerment (B-BBEE) statutory framework (Mahajan, 2013). While compliance with B-BBEE enhances local corporate legitimacy and unlocks institutional retail channels, a critical limitation arises from stringent equity ownership and affirmative procurement criteria, which constrain foreign direct control and increase administrative overhead for foreign MNEs (Mahajan, 2013). This sugge</w:t>
      </w:r>
      <w:r>
        <w:t>sts that legal alignment in South Africa imposes a direct structural tax on foreign profitability, constraining long-term strategic agility.</w:t>
      </w:r>
    </w:p>
    <w:p w14:paraId="2670E4FC" w14:textId="77777777" w:rsidR="008A29A4" w:rsidRDefault="001D492B">
      <w:r>
        <w:t xml:space="preserve">Macroeconomic conditions further amplify strategic divergence and directly shape downstream commercial execution (World Bank, 2023). The United States provides a high-income developed market characterized by substantial disposable income per capita ($65,000+ USD), which enables Adidas to consistently extract high profit margins through premium athletic footwear and high-fashion lifestyle lines (World Bank, 2023). However, this macroeconomic strength is offset by market saturation and extremely low consumer </w:t>
      </w:r>
      <w:r>
        <w:t>switching costs, enabling rivals like Nike to aggressively poach market share through superior athlete sponsorship budgets. As a result, market share maintenance in the US yields diminishing marginal returns on capital invested. In sharp contrast, South Africa presents severe structural economic headwinds, including chronic inflation, high structural unemployment exceeding 32%, and persistent currency volatility in the South African Rand (ZAR) against the Euro (EUR) (IMF, 2023). These economic factors direc</w:t>
      </w:r>
      <w:r>
        <w:t>tly constrain local consumer purchasing power, making a pure premium pricing model unviable. Furthermore, chronic electricity load-shedding severely impairs physical retail foot traffic and supply chain logistics (World Bank, 2023). Therefore, load-shedding forces Adidas to adopt decentralized inventory warehousing and hybrid retail models, directly inflating operational expenses and eroding local operating margins.</w:t>
      </w:r>
    </w:p>
    <w:p w14:paraId="540D6911" w14:textId="77777777" w:rsidR="008A29A4" w:rsidRDefault="001D492B">
      <w:r>
        <w:t>Technological infrastructure and socio-ecological expectations create additional strategic trade-offs (Li, 2023). In the United States, pervasive high-speed broadband and advanced logistics enable a direct-to-consumer (DTC) digital ecosystem supported by automated fulfillment centers and augmented reality (AR) shopping applications (Li, 2023). Critically, while this digital maturity maximizes operational efficiency, it heightens vulnerability to cyber-security breaches and algorithmic ad-fatigue among Gen Z</w:t>
      </w:r>
      <w:r>
        <w:t xml:space="preserve"> consumers. Conversely, South Africa’s digital adoption is highly fragmented along socio-economic lines; high mobile broadband usage in major metropolitan hubs contrasts with severe infrastructure deficits in rural and township areas (Chaffey and </w:t>
      </w:r>
      <w:r>
        <w:lastRenderedPageBreak/>
        <w:t>Ellis-Chadwick, 2019). Consequently, relying solely on DTC digital platforms in South Africa would alienate a significant consumer segment. Adidas must therefore balance digital storefronts with traditional wholesale distribution partnerships (e.g., Studio 88) to e</w:t>
      </w:r>
      <w:r>
        <w:t>nsure broad market access (Flores, 2014). From an environmental perspective, while US consumers increasingly demand circular economy innovations (e.g., Parley recycled lines), South African consumers prioritize functional durability and price accessibility over sustainability, creating a strategic friction between global ESG commitments and local commercial requirements (Li, 2023).</w:t>
      </w:r>
    </w:p>
    <w:tbl>
      <w:tblPr>
        <w:tblW w:w="0" w:type="auto"/>
        <w:jc w:val="center"/>
        <w:tblBorders>
          <w:top w:val="single" w:sz="4" w:space="0" w:color="D3D3D3"/>
          <w:bottom w:val="single" w:sz="4" w:space="0" w:color="D3D3D3"/>
          <w:insideH w:val="single" w:sz="4" w:space="0" w:color="D3D3D3"/>
        </w:tblBorders>
        <w:tblLook w:val="04A0" w:firstRow="1" w:lastRow="0" w:firstColumn="1" w:lastColumn="0" w:noHBand="0" w:noVBand="1"/>
      </w:tblPr>
      <w:tblGrid>
        <w:gridCol w:w="2340"/>
        <w:gridCol w:w="2340"/>
        <w:gridCol w:w="2340"/>
        <w:gridCol w:w="2340"/>
      </w:tblGrid>
      <w:tr w:rsidR="008A29A4" w14:paraId="5D087EE9" w14:textId="77777777">
        <w:trPr>
          <w:jc w:val="center"/>
        </w:trPr>
        <w:tc>
          <w:tcPr>
            <w:tcW w:w="2340" w:type="dxa"/>
            <w:shd w:val="clear" w:color="auto" w:fill="002060"/>
            <w:tcMar>
              <w:top w:w="100" w:type="dxa"/>
              <w:left w:w="120" w:type="dxa"/>
              <w:bottom w:w="100" w:type="dxa"/>
              <w:right w:w="120" w:type="dxa"/>
            </w:tcMar>
          </w:tcPr>
          <w:p w14:paraId="2184A2FE" w14:textId="77777777" w:rsidR="008A29A4" w:rsidRDefault="001D492B">
            <w:pPr>
              <w:spacing w:after="40"/>
            </w:pPr>
            <w:r>
              <w:rPr>
                <w:b/>
                <w:color w:val="FFFFFF"/>
                <w:sz w:val="20"/>
              </w:rPr>
              <w:t>PESTEL Pillar</w:t>
            </w:r>
          </w:p>
        </w:tc>
        <w:tc>
          <w:tcPr>
            <w:tcW w:w="2340" w:type="dxa"/>
            <w:shd w:val="clear" w:color="auto" w:fill="002060"/>
            <w:tcMar>
              <w:top w:w="100" w:type="dxa"/>
              <w:left w:w="120" w:type="dxa"/>
              <w:bottom w:w="100" w:type="dxa"/>
              <w:right w:w="120" w:type="dxa"/>
            </w:tcMar>
          </w:tcPr>
          <w:p w14:paraId="786DC0BD" w14:textId="77777777" w:rsidR="008A29A4" w:rsidRDefault="001D492B">
            <w:pPr>
              <w:spacing w:after="40"/>
            </w:pPr>
            <w:r>
              <w:rPr>
                <w:b/>
                <w:color w:val="FFFFFF"/>
                <w:sz w:val="20"/>
              </w:rPr>
              <w:t>United States Strategic Reality</w:t>
            </w:r>
          </w:p>
        </w:tc>
        <w:tc>
          <w:tcPr>
            <w:tcW w:w="2340" w:type="dxa"/>
            <w:shd w:val="clear" w:color="auto" w:fill="002060"/>
            <w:tcMar>
              <w:top w:w="100" w:type="dxa"/>
              <w:left w:w="120" w:type="dxa"/>
              <w:bottom w:w="100" w:type="dxa"/>
              <w:right w:w="120" w:type="dxa"/>
            </w:tcMar>
          </w:tcPr>
          <w:p w14:paraId="25880407" w14:textId="77777777" w:rsidR="008A29A4" w:rsidRDefault="001D492B">
            <w:pPr>
              <w:spacing w:after="40"/>
            </w:pPr>
            <w:r>
              <w:rPr>
                <w:b/>
                <w:color w:val="FFFFFF"/>
                <w:sz w:val="20"/>
              </w:rPr>
              <w:t>South Africa Strategic Reality</w:t>
            </w:r>
          </w:p>
        </w:tc>
        <w:tc>
          <w:tcPr>
            <w:tcW w:w="2340" w:type="dxa"/>
            <w:shd w:val="clear" w:color="auto" w:fill="002060"/>
            <w:tcMar>
              <w:top w:w="100" w:type="dxa"/>
              <w:left w:w="120" w:type="dxa"/>
              <w:bottom w:w="100" w:type="dxa"/>
              <w:right w:w="120" w:type="dxa"/>
            </w:tcMar>
          </w:tcPr>
          <w:p w14:paraId="6E0F53A3" w14:textId="77777777" w:rsidR="008A29A4" w:rsidRDefault="001D492B">
            <w:pPr>
              <w:spacing w:after="40"/>
            </w:pPr>
            <w:r>
              <w:rPr>
                <w:b/>
                <w:color w:val="FFFFFF"/>
                <w:sz w:val="20"/>
              </w:rPr>
              <w:t>Strategic Implications for Adidas</w:t>
            </w:r>
          </w:p>
        </w:tc>
      </w:tr>
      <w:tr w:rsidR="008A29A4" w14:paraId="2C60EDEB" w14:textId="77777777">
        <w:trPr>
          <w:jc w:val="center"/>
        </w:trPr>
        <w:tc>
          <w:tcPr>
            <w:tcW w:w="2340" w:type="dxa"/>
            <w:shd w:val="clear" w:color="auto" w:fill="F2F5F8"/>
            <w:tcMar>
              <w:top w:w="100" w:type="dxa"/>
              <w:left w:w="120" w:type="dxa"/>
              <w:bottom w:w="100" w:type="dxa"/>
              <w:right w:w="120" w:type="dxa"/>
            </w:tcMar>
          </w:tcPr>
          <w:p w14:paraId="29F9A3A9" w14:textId="77777777" w:rsidR="008A29A4" w:rsidRDefault="001D492B">
            <w:pPr>
              <w:spacing w:after="40"/>
            </w:pPr>
            <w:r>
              <w:rPr>
                <w:sz w:val="19"/>
              </w:rPr>
              <w:t>Political / Legal</w:t>
            </w:r>
          </w:p>
        </w:tc>
        <w:tc>
          <w:tcPr>
            <w:tcW w:w="2340" w:type="dxa"/>
            <w:shd w:val="clear" w:color="auto" w:fill="F2F5F8"/>
            <w:tcMar>
              <w:top w:w="100" w:type="dxa"/>
              <w:left w:w="120" w:type="dxa"/>
              <w:bottom w:w="100" w:type="dxa"/>
              <w:right w:w="120" w:type="dxa"/>
            </w:tcMar>
          </w:tcPr>
          <w:p w14:paraId="69085D43" w14:textId="77777777" w:rsidR="008A29A4" w:rsidRDefault="001D492B">
            <w:pPr>
              <w:spacing w:after="40"/>
            </w:pPr>
            <w:r>
              <w:rPr>
                <w:sz w:val="19"/>
              </w:rPr>
              <w:t>High institutional predictability; strict FTC &amp; IP oversight</w:t>
            </w:r>
          </w:p>
        </w:tc>
        <w:tc>
          <w:tcPr>
            <w:tcW w:w="2340" w:type="dxa"/>
            <w:shd w:val="clear" w:color="auto" w:fill="F2F5F8"/>
            <w:tcMar>
              <w:top w:w="100" w:type="dxa"/>
              <w:left w:w="120" w:type="dxa"/>
              <w:bottom w:w="100" w:type="dxa"/>
              <w:right w:w="120" w:type="dxa"/>
            </w:tcMar>
          </w:tcPr>
          <w:p w14:paraId="00EECF80" w14:textId="77777777" w:rsidR="008A29A4" w:rsidRDefault="001D492B">
            <w:pPr>
              <w:spacing w:after="40"/>
            </w:pPr>
            <w:r>
              <w:rPr>
                <w:sz w:val="19"/>
              </w:rPr>
              <w:t>Mandatory B-BBEE statutory compliance &amp; import tariffs</w:t>
            </w:r>
          </w:p>
        </w:tc>
        <w:tc>
          <w:tcPr>
            <w:tcW w:w="2340" w:type="dxa"/>
            <w:shd w:val="clear" w:color="auto" w:fill="F2F5F8"/>
            <w:tcMar>
              <w:top w:w="100" w:type="dxa"/>
              <w:left w:w="120" w:type="dxa"/>
              <w:bottom w:w="100" w:type="dxa"/>
              <w:right w:w="120" w:type="dxa"/>
            </w:tcMar>
          </w:tcPr>
          <w:p w14:paraId="649B1426" w14:textId="77777777" w:rsidR="008A29A4" w:rsidRDefault="001D492B">
            <w:pPr>
              <w:spacing w:after="40"/>
            </w:pPr>
            <w:r>
              <w:rPr>
                <w:sz w:val="19"/>
              </w:rPr>
              <w:t>High compliance costs in SA; litigation risks in US</w:t>
            </w:r>
          </w:p>
        </w:tc>
      </w:tr>
      <w:tr w:rsidR="008A29A4" w14:paraId="4A21AA6B" w14:textId="77777777">
        <w:trPr>
          <w:jc w:val="center"/>
        </w:trPr>
        <w:tc>
          <w:tcPr>
            <w:tcW w:w="2340" w:type="dxa"/>
            <w:shd w:val="clear" w:color="auto" w:fill="FFFFFF"/>
            <w:tcMar>
              <w:top w:w="100" w:type="dxa"/>
              <w:left w:w="120" w:type="dxa"/>
              <w:bottom w:w="100" w:type="dxa"/>
              <w:right w:w="120" w:type="dxa"/>
            </w:tcMar>
          </w:tcPr>
          <w:p w14:paraId="1D9415D5" w14:textId="77777777" w:rsidR="008A29A4" w:rsidRDefault="001D492B">
            <w:pPr>
              <w:spacing w:after="40"/>
            </w:pPr>
            <w:r>
              <w:rPr>
                <w:sz w:val="19"/>
              </w:rPr>
              <w:t>Economic</w:t>
            </w:r>
          </w:p>
        </w:tc>
        <w:tc>
          <w:tcPr>
            <w:tcW w:w="2340" w:type="dxa"/>
            <w:shd w:val="clear" w:color="auto" w:fill="FFFFFF"/>
            <w:tcMar>
              <w:top w:w="100" w:type="dxa"/>
              <w:left w:w="120" w:type="dxa"/>
              <w:bottom w:w="100" w:type="dxa"/>
              <w:right w:w="120" w:type="dxa"/>
            </w:tcMar>
          </w:tcPr>
          <w:p w14:paraId="55164E77" w14:textId="77777777" w:rsidR="008A29A4" w:rsidRDefault="001D492B">
            <w:pPr>
              <w:spacing w:after="40"/>
            </w:pPr>
            <w:r>
              <w:rPr>
                <w:sz w:val="19"/>
              </w:rPr>
              <w:t>High disposable income ($65k+); mature market</w:t>
            </w:r>
          </w:p>
        </w:tc>
        <w:tc>
          <w:tcPr>
            <w:tcW w:w="2340" w:type="dxa"/>
            <w:shd w:val="clear" w:color="auto" w:fill="FFFFFF"/>
            <w:tcMar>
              <w:top w:w="100" w:type="dxa"/>
              <w:left w:w="120" w:type="dxa"/>
              <w:bottom w:w="100" w:type="dxa"/>
              <w:right w:w="120" w:type="dxa"/>
            </w:tcMar>
          </w:tcPr>
          <w:p w14:paraId="53CD0D03" w14:textId="77777777" w:rsidR="008A29A4" w:rsidRDefault="001D492B">
            <w:pPr>
              <w:spacing w:after="40"/>
            </w:pPr>
            <w:r>
              <w:rPr>
                <w:sz w:val="19"/>
              </w:rPr>
              <w:t>High unemployment (&gt;32%); severe ZAR volatility</w:t>
            </w:r>
          </w:p>
        </w:tc>
        <w:tc>
          <w:tcPr>
            <w:tcW w:w="2340" w:type="dxa"/>
            <w:shd w:val="clear" w:color="auto" w:fill="FFFFFF"/>
            <w:tcMar>
              <w:top w:w="100" w:type="dxa"/>
              <w:left w:w="120" w:type="dxa"/>
              <w:bottom w:w="100" w:type="dxa"/>
              <w:right w:w="120" w:type="dxa"/>
            </w:tcMar>
          </w:tcPr>
          <w:p w14:paraId="7C790780" w14:textId="77777777" w:rsidR="008A29A4" w:rsidRDefault="001D492B">
            <w:pPr>
              <w:spacing w:after="40"/>
            </w:pPr>
            <w:r>
              <w:rPr>
                <w:sz w:val="19"/>
              </w:rPr>
              <w:t>Limits premium pricing in SA; mandates volume lines</w:t>
            </w:r>
          </w:p>
        </w:tc>
      </w:tr>
      <w:tr w:rsidR="008A29A4" w14:paraId="0470971B" w14:textId="77777777">
        <w:trPr>
          <w:jc w:val="center"/>
        </w:trPr>
        <w:tc>
          <w:tcPr>
            <w:tcW w:w="2340" w:type="dxa"/>
            <w:shd w:val="clear" w:color="auto" w:fill="F2F5F8"/>
            <w:tcMar>
              <w:top w:w="100" w:type="dxa"/>
              <w:left w:w="120" w:type="dxa"/>
              <w:bottom w:w="100" w:type="dxa"/>
              <w:right w:w="120" w:type="dxa"/>
            </w:tcMar>
          </w:tcPr>
          <w:p w14:paraId="08939A86" w14:textId="77777777" w:rsidR="008A29A4" w:rsidRDefault="001D492B">
            <w:pPr>
              <w:spacing w:after="40"/>
            </w:pPr>
            <w:r>
              <w:rPr>
                <w:sz w:val="19"/>
              </w:rPr>
              <w:t>Socio-Cultural</w:t>
            </w:r>
          </w:p>
        </w:tc>
        <w:tc>
          <w:tcPr>
            <w:tcW w:w="2340" w:type="dxa"/>
            <w:shd w:val="clear" w:color="auto" w:fill="F2F5F8"/>
            <w:tcMar>
              <w:top w:w="100" w:type="dxa"/>
              <w:left w:w="120" w:type="dxa"/>
              <w:bottom w:w="100" w:type="dxa"/>
              <w:right w:w="120" w:type="dxa"/>
            </w:tcMar>
          </w:tcPr>
          <w:p w14:paraId="219BBD61" w14:textId="77777777" w:rsidR="008A29A4" w:rsidRDefault="001D492B">
            <w:pPr>
              <w:spacing w:after="40"/>
            </w:pPr>
            <w:r>
              <w:rPr>
                <w:sz w:val="19"/>
              </w:rPr>
              <w:t>Health &amp; self-expression; strong athleisure adoption</w:t>
            </w:r>
          </w:p>
        </w:tc>
        <w:tc>
          <w:tcPr>
            <w:tcW w:w="2340" w:type="dxa"/>
            <w:shd w:val="clear" w:color="auto" w:fill="F2F5F8"/>
            <w:tcMar>
              <w:top w:w="100" w:type="dxa"/>
              <w:left w:w="120" w:type="dxa"/>
              <w:bottom w:w="100" w:type="dxa"/>
              <w:right w:w="120" w:type="dxa"/>
            </w:tcMar>
          </w:tcPr>
          <w:p w14:paraId="6EBCFCA4" w14:textId="77777777" w:rsidR="008A29A4" w:rsidRDefault="001D492B">
            <w:pPr>
              <w:spacing w:after="40"/>
            </w:pPr>
            <w:r>
              <w:rPr>
                <w:sz w:val="19"/>
              </w:rPr>
              <w:t>Sport-centric identity; high socio-economic disparity</w:t>
            </w:r>
          </w:p>
        </w:tc>
        <w:tc>
          <w:tcPr>
            <w:tcW w:w="2340" w:type="dxa"/>
            <w:shd w:val="clear" w:color="auto" w:fill="F2F5F8"/>
            <w:tcMar>
              <w:top w:w="100" w:type="dxa"/>
              <w:left w:w="120" w:type="dxa"/>
              <w:bottom w:w="100" w:type="dxa"/>
              <w:right w:w="120" w:type="dxa"/>
            </w:tcMar>
          </w:tcPr>
          <w:p w14:paraId="63350794" w14:textId="77777777" w:rsidR="008A29A4" w:rsidRDefault="001D492B">
            <w:pPr>
              <w:spacing w:after="40"/>
            </w:pPr>
            <w:r>
              <w:rPr>
                <w:sz w:val="19"/>
              </w:rPr>
              <w:t>Requires aspirational messaging aligned with access</w:t>
            </w:r>
          </w:p>
        </w:tc>
      </w:tr>
      <w:tr w:rsidR="008A29A4" w14:paraId="0BD59AC8" w14:textId="77777777">
        <w:trPr>
          <w:jc w:val="center"/>
        </w:trPr>
        <w:tc>
          <w:tcPr>
            <w:tcW w:w="2340" w:type="dxa"/>
            <w:shd w:val="clear" w:color="auto" w:fill="FFFFFF"/>
            <w:tcMar>
              <w:top w:w="100" w:type="dxa"/>
              <w:left w:w="120" w:type="dxa"/>
              <w:bottom w:w="100" w:type="dxa"/>
              <w:right w:w="120" w:type="dxa"/>
            </w:tcMar>
          </w:tcPr>
          <w:p w14:paraId="6E618E38" w14:textId="77777777" w:rsidR="008A29A4" w:rsidRDefault="001D492B">
            <w:pPr>
              <w:spacing w:after="40"/>
            </w:pPr>
            <w:r>
              <w:rPr>
                <w:sz w:val="19"/>
              </w:rPr>
              <w:t>Technological</w:t>
            </w:r>
          </w:p>
        </w:tc>
        <w:tc>
          <w:tcPr>
            <w:tcW w:w="2340" w:type="dxa"/>
            <w:shd w:val="clear" w:color="auto" w:fill="FFFFFF"/>
            <w:tcMar>
              <w:top w:w="100" w:type="dxa"/>
              <w:left w:w="120" w:type="dxa"/>
              <w:bottom w:w="100" w:type="dxa"/>
              <w:right w:w="120" w:type="dxa"/>
            </w:tcMar>
          </w:tcPr>
          <w:p w14:paraId="2F99E904" w14:textId="77777777" w:rsidR="008A29A4" w:rsidRDefault="001D492B">
            <w:pPr>
              <w:spacing w:after="40"/>
            </w:pPr>
            <w:r>
              <w:rPr>
                <w:sz w:val="19"/>
              </w:rPr>
              <w:t>Omnichannel DTC; automated digital ecosystems</w:t>
            </w:r>
          </w:p>
        </w:tc>
        <w:tc>
          <w:tcPr>
            <w:tcW w:w="2340" w:type="dxa"/>
            <w:shd w:val="clear" w:color="auto" w:fill="FFFFFF"/>
            <w:tcMar>
              <w:top w:w="100" w:type="dxa"/>
              <w:left w:w="120" w:type="dxa"/>
              <w:bottom w:w="100" w:type="dxa"/>
              <w:right w:w="120" w:type="dxa"/>
            </w:tcMar>
          </w:tcPr>
          <w:p w14:paraId="3E8CFCDE" w14:textId="77777777" w:rsidR="008A29A4" w:rsidRDefault="001D492B">
            <w:pPr>
              <w:spacing w:after="40"/>
            </w:pPr>
            <w:r>
              <w:rPr>
                <w:sz w:val="19"/>
              </w:rPr>
              <w:t>Mobile-first commerce; chronic load-shedding impacts</w:t>
            </w:r>
          </w:p>
        </w:tc>
        <w:tc>
          <w:tcPr>
            <w:tcW w:w="2340" w:type="dxa"/>
            <w:shd w:val="clear" w:color="auto" w:fill="FFFFFF"/>
            <w:tcMar>
              <w:top w:w="100" w:type="dxa"/>
              <w:left w:w="120" w:type="dxa"/>
              <w:bottom w:w="100" w:type="dxa"/>
              <w:right w:w="120" w:type="dxa"/>
            </w:tcMar>
          </w:tcPr>
          <w:p w14:paraId="41CDB640" w14:textId="77777777" w:rsidR="008A29A4" w:rsidRDefault="001D492B">
            <w:pPr>
              <w:spacing w:after="40"/>
            </w:pPr>
            <w:r>
              <w:rPr>
                <w:sz w:val="19"/>
              </w:rPr>
              <w:t>Forces hybrid distribution to counter power outages</w:t>
            </w:r>
          </w:p>
        </w:tc>
      </w:tr>
      <w:tr w:rsidR="008A29A4" w14:paraId="5E1916C7" w14:textId="77777777">
        <w:trPr>
          <w:jc w:val="center"/>
        </w:trPr>
        <w:tc>
          <w:tcPr>
            <w:tcW w:w="2340" w:type="dxa"/>
            <w:shd w:val="clear" w:color="auto" w:fill="F2F5F8"/>
            <w:tcMar>
              <w:top w:w="100" w:type="dxa"/>
              <w:left w:w="120" w:type="dxa"/>
              <w:bottom w:w="100" w:type="dxa"/>
              <w:right w:w="120" w:type="dxa"/>
            </w:tcMar>
          </w:tcPr>
          <w:p w14:paraId="1C9FA2DB" w14:textId="77777777" w:rsidR="008A29A4" w:rsidRDefault="001D492B">
            <w:pPr>
              <w:spacing w:after="40"/>
            </w:pPr>
            <w:r>
              <w:rPr>
                <w:sz w:val="19"/>
              </w:rPr>
              <w:t>Environmental</w:t>
            </w:r>
          </w:p>
        </w:tc>
        <w:tc>
          <w:tcPr>
            <w:tcW w:w="2340" w:type="dxa"/>
            <w:shd w:val="clear" w:color="auto" w:fill="F2F5F8"/>
            <w:tcMar>
              <w:top w:w="100" w:type="dxa"/>
              <w:left w:w="120" w:type="dxa"/>
              <w:bottom w:w="100" w:type="dxa"/>
              <w:right w:w="120" w:type="dxa"/>
            </w:tcMar>
          </w:tcPr>
          <w:p w14:paraId="333767E1" w14:textId="77777777" w:rsidR="008A29A4" w:rsidRDefault="001D492B">
            <w:pPr>
              <w:spacing w:after="40"/>
            </w:pPr>
            <w:r>
              <w:rPr>
                <w:sz w:val="19"/>
              </w:rPr>
              <w:t>High consumer demand for circular eco-products</w:t>
            </w:r>
          </w:p>
        </w:tc>
        <w:tc>
          <w:tcPr>
            <w:tcW w:w="2340" w:type="dxa"/>
            <w:shd w:val="clear" w:color="auto" w:fill="F2F5F8"/>
            <w:tcMar>
              <w:top w:w="100" w:type="dxa"/>
              <w:left w:w="120" w:type="dxa"/>
              <w:bottom w:w="100" w:type="dxa"/>
              <w:right w:w="120" w:type="dxa"/>
            </w:tcMar>
          </w:tcPr>
          <w:p w14:paraId="6F98DEAE" w14:textId="77777777" w:rsidR="008A29A4" w:rsidRDefault="001D492B">
            <w:pPr>
              <w:spacing w:after="40"/>
            </w:pPr>
            <w:r>
              <w:rPr>
                <w:sz w:val="19"/>
              </w:rPr>
              <w:t>Emerging eco-awareness constrained by price points</w:t>
            </w:r>
          </w:p>
        </w:tc>
        <w:tc>
          <w:tcPr>
            <w:tcW w:w="2340" w:type="dxa"/>
            <w:shd w:val="clear" w:color="auto" w:fill="F2F5F8"/>
            <w:tcMar>
              <w:top w:w="100" w:type="dxa"/>
              <w:left w:w="120" w:type="dxa"/>
              <w:bottom w:w="100" w:type="dxa"/>
              <w:right w:w="120" w:type="dxa"/>
            </w:tcMar>
          </w:tcPr>
          <w:p w14:paraId="56A39F0A" w14:textId="77777777" w:rsidR="008A29A4" w:rsidRDefault="001D492B">
            <w:pPr>
              <w:spacing w:after="40"/>
            </w:pPr>
            <w:r>
              <w:rPr>
                <w:sz w:val="19"/>
              </w:rPr>
              <w:t>Creates friction between ESG goals &amp; local affordability</w:t>
            </w:r>
          </w:p>
        </w:tc>
      </w:tr>
    </w:tbl>
    <w:p w14:paraId="038BA976" w14:textId="77777777" w:rsidR="008A29A4" w:rsidRDefault="008A29A4"/>
    <w:p w14:paraId="1FF0CD31" w14:textId="77777777" w:rsidR="008A29A4" w:rsidRDefault="001D492B">
      <w:pPr>
        <w:keepNext/>
        <w:spacing w:before="200" w:after="40"/>
      </w:pPr>
      <w:r>
        <w:rPr>
          <w:b/>
        </w:rPr>
        <w:t>Hofstede Cultural Analysis and Marketing Synthesis</w:t>
      </w:r>
    </w:p>
    <w:p w14:paraId="73FC828D" w14:textId="77777777" w:rsidR="008A29A4" w:rsidRDefault="001D492B">
      <w:r>
        <w:t>Cross-cultural variances between the United States and South Africa significantly alter consumer perception and response to marketing communications (Hofstede, 2011).</w:t>
      </w:r>
    </w:p>
    <w:tbl>
      <w:tblPr>
        <w:tblW w:w="0" w:type="auto"/>
        <w:jc w:val="center"/>
        <w:tblBorders>
          <w:top w:val="single" w:sz="4" w:space="0" w:color="D3D3D3"/>
          <w:bottom w:val="single" w:sz="4" w:space="0" w:color="D3D3D3"/>
          <w:insideH w:val="single" w:sz="4" w:space="0" w:color="D3D3D3"/>
        </w:tblBorders>
        <w:tblLook w:val="04A0" w:firstRow="1" w:lastRow="0" w:firstColumn="1" w:lastColumn="0" w:noHBand="0" w:noVBand="1"/>
      </w:tblPr>
      <w:tblGrid>
        <w:gridCol w:w="2340"/>
        <w:gridCol w:w="2340"/>
        <w:gridCol w:w="2340"/>
        <w:gridCol w:w="2340"/>
      </w:tblGrid>
      <w:tr w:rsidR="008A29A4" w14:paraId="20A4EA8E" w14:textId="77777777">
        <w:trPr>
          <w:jc w:val="center"/>
        </w:trPr>
        <w:tc>
          <w:tcPr>
            <w:tcW w:w="2340" w:type="dxa"/>
            <w:shd w:val="clear" w:color="auto" w:fill="002060"/>
            <w:tcMar>
              <w:top w:w="100" w:type="dxa"/>
              <w:left w:w="120" w:type="dxa"/>
              <w:bottom w:w="100" w:type="dxa"/>
              <w:right w:w="120" w:type="dxa"/>
            </w:tcMar>
          </w:tcPr>
          <w:p w14:paraId="39294C71" w14:textId="77777777" w:rsidR="008A29A4" w:rsidRDefault="001D492B">
            <w:pPr>
              <w:spacing w:after="40"/>
            </w:pPr>
            <w:r>
              <w:rPr>
                <w:b/>
                <w:color w:val="FFFFFF"/>
                <w:sz w:val="20"/>
              </w:rPr>
              <w:t>Hofstede Dimension</w:t>
            </w:r>
          </w:p>
        </w:tc>
        <w:tc>
          <w:tcPr>
            <w:tcW w:w="2340" w:type="dxa"/>
            <w:shd w:val="clear" w:color="auto" w:fill="002060"/>
            <w:tcMar>
              <w:top w:w="100" w:type="dxa"/>
              <w:left w:w="120" w:type="dxa"/>
              <w:bottom w:w="100" w:type="dxa"/>
              <w:right w:w="120" w:type="dxa"/>
            </w:tcMar>
          </w:tcPr>
          <w:p w14:paraId="00665037" w14:textId="77777777" w:rsidR="008A29A4" w:rsidRDefault="001D492B">
            <w:pPr>
              <w:spacing w:after="40"/>
            </w:pPr>
            <w:r>
              <w:rPr>
                <w:b/>
                <w:color w:val="FFFFFF"/>
                <w:sz w:val="20"/>
              </w:rPr>
              <w:t>United States</w:t>
            </w:r>
          </w:p>
        </w:tc>
        <w:tc>
          <w:tcPr>
            <w:tcW w:w="2340" w:type="dxa"/>
            <w:shd w:val="clear" w:color="auto" w:fill="002060"/>
            <w:tcMar>
              <w:top w:w="100" w:type="dxa"/>
              <w:left w:w="120" w:type="dxa"/>
              <w:bottom w:w="100" w:type="dxa"/>
              <w:right w:w="120" w:type="dxa"/>
            </w:tcMar>
          </w:tcPr>
          <w:p w14:paraId="701FF431" w14:textId="77777777" w:rsidR="008A29A4" w:rsidRDefault="001D492B">
            <w:pPr>
              <w:spacing w:after="40"/>
            </w:pPr>
            <w:r>
              <w:rPr>
                <w:b/>
                <w:color w:val="FFFFFF"/>
                <w:sz w:val="20"/>
              </w:rPr>
              <w:t>South Africa</w:t>
            </w:r>
          </w:p>
        </w:tc>
        <w:tc>
          <w:tcPr>
            <w:tcW w:w="2340" w:type="dxa"/>
            <w:shd w:val="clear" w:color="auto" w:fill="002060"/>
            <w:tcMar>
              <w:top w:w="100" w:type="dxa"/>
              <w:left w:w="120" w:type="dxa"/>
              <w:bottom w:w="100" w:type="dxa"/>
              <w:right w:w="120" w:type="dxa"/>
            </w:tcMar>
          </w:tcPr>
          <w:p w14:paraId="14E7EE12" w14:textId="77777777" w:rsidR="008A29A4" w:rsidRDefault="001D492B">
            <w:pPr>
              <w:spacing w:after="40"/>
            </w:pPr>
            <w:r>
              <w:rPr>
                <w:b/>
                <w:color w:val="FFFFFF"/>
                <w:sz w:val="20"/>
              </w:rPr>
              <w:t>Comparative Marketing Impact</w:t>
            </w:r>
          </w:p>
        </w:tc>
      </w:tr>
      <w:tr w:rsidR="008A29A4" w14:paraId="020E9253" w14:textId="77777777">
        <w:trPr>
          <w:jc w:val="center"/>
        </w:trPr>
        <w:tc>
          <w:tcPr>
            <w:tcW w:w="2340" w:type="dxa"/>
            <w:shd w:val="clear" w:color="auto" w:fill="F2F5F8"/>
            <w:tcMar>
              <w:top w:w="100" w:type="dxa"/>
              <w:left w:w="120" w:type="dxa"/>
              <w:bottom w:w="100" w:type="dxa"/>
              <w:right w:w="120" w:type="dxa"/>
            </w:tcMar>
          </w:tcPr>
          <w:p w14:paraId="71C6FE08" w14:textId="77777777" w:rsidR="008A29A4" w:rsidRDefault="001D492B">
            <w:pPr>
              <w:spacing w:after="40"/>
            </w:pPr>
            <w:r>
              <w:rPr>
                <w:sz w:val="19"/>
              </w:rPr>
              <w:t>Power Distance</w:t>
            </w:r>
          </w:p>
        </w:tc>
        <w:tc>
          <w:tcPr>
            <w:tcW w:w="2340" w:type="dxa"/>
            <w:shd w:val="clear" w:color="auto" w:fill="F2F5F8"/>
            <w:tcMar>
              <w:top w:w="100" w:type="dxa"/>
              <w:left w:w="120" w:type="dxa"/>
              <w:bottom w:w="100" w:type="dxa"/>
              <w:right w:w="120" w:type="dxa"/>
            </w:tcMar>
          </w:tcPr>
          <w:p w14:paraId="7A0C7ECD" w14:textId="77777777" w:rsidR="008A29A4" w:rsidRDefault="001D492B">
            <w:pPr>
              <w:spacing w:after="40"/>
            </w:pPr>
            <w:r>
              <w:rPr>
                <w:sz w:val="19"/>
              </w:rPr>
              <w:t>40</w:t>
            </w:r>
          </w:p>
        </w:tc>
        <w:tc>
          <w:tcPr>
            <w:tcW w:w="2340" w:type="dxa"/>
            <w:shd w:val="clear" w:color="auto" w:fill="F2F5F8"/>
            <w:tcMar>
              <w:top w:w="100" w:type="dxa"/>
              <w:left w:w="120" w:type="dxa"/>
              <w:bottom w:w="100" w:type="dxa"/>
              <w:right w:w="120" w:type="dxa"/>
            </w:tcMar>
          </w:tcPr>
          <w:p w14:paraId="4C696F17" w14:textId="77777777" w:rsidR="008A29A4" w:rsidRDefault="001D492B">
            <w:pPr>
              <w:spacing w:after="40"/>
            </w:pPr>
            <w:r>
              <w:rPr>
                <w:sz w:val="19"/>
              </w:rPr>
              <w:t>49</w:t>
            </w:r>
          </w:p>
        </w:tc>
        <w:tc>
          <w:tcPr>
            <w:tcW w:w="2340" w:type="dxa"/>
            <w:shd w:val="clear" w:color="auto" w:fill="F2F5F8"/>
            <w:tcMar>
              <w:top w:w="100" w:type="dxa"/>
              <w:left w:w="120" w:type="dxa"/>
              <w:bottom w:w="100" w:type="dxa"/>
              <w:right w:w="120" w:type="dxa"/>
            </w:tcMar>
          </w:tcPr>
          <w:p w14:paraId="03D79F80" w14:textId="77777777" w:rsidR="008A29A4" w:rsidRDefault="001D492B">
            <w:pPr>
              <w:spacing w:after="40"/>
            </w:pPr>
            <w:r>
              <w:rPr>
                <w:sz w:val="19"/>
              </w:rPr>
              <w:t>Higher status-seeking in SA elevates Adidas as an urban prestige badge.</w:t>
            </w:r>
          </w:p>
        </w:tc>
      </w:tr>
      <w:tr w:rsidR="008A29A4" w14:paraId="67340FBB" w14:textId="77777777">
        <w:trPr>
          <w:jc w:val="center"/>
        </w:trPr>
        <w:tc>
          <w:tcPr>
            <w:tcW w:w="2340" w:type="dxa"/>
            <w:shd w:val="clear" w:color="auto" w:fill="FFFFFF"/>
            <w:tcMar>
              <w:top w:w="100" w:type="dxa"/>
              <w:left w:w="120" w:type="dxa"/>
              <w:bottom w:w="100" w:type="dxa"/>
              <w:right w:w="120" w:type="dxa"/>
            </w:tcMar>
          </w:tcPr>
          <w:p w14:paraId="04101CB3" w14:textId="77777777" w:rsidR="008A29A4" w:rsidRDefault="001D492B">
            <w:pPr>
              <w:spacing w:after="40"/>
            </w:pPr>
            <w:r>
              <w:rPr>
                <w:sz w:val="19"/>
              </w:rPr>
              <w:t>Individualism</w:t>
            </w:r>
          </w:p>
        </w:tc>
        <w:tc>
          <w:tcPr>
            <w:tcW w:w="2340" w:type="dxa"/>
            <w:shd w:val="clear" w:color="auto" w:fill="FFFFFF"/>
            <w:tcMar>
              <w:top w:w="100" w:type="dxa"/>
              <w:left w:w="120" w:type="dxa"/>
              <w:bottom w:w="100" w:type="dxa"/>
              <w:right w:w="120" w:type="dxa"/>
            </w:tcMar>
          </w:tcPr>
          <w:p w14:paraId="7929A863" w14:textId="77777777" w:rsidR="008A29A4" w:rsidRDefault="001D492B">
            <w:pPr>
              <w:spacing w:after="40"/>
            </w:pPr>
            <w:r>
              <w:rPr>
                <w:sz w:val="19"/>
              </w:rPr>
              <w:t>91</w:t>
            </w:r>
          </w:p>
        </w:tc>
        <w:tc>
          <w:tcPr>
            <w:tcW w:w="2340" w:type="dxa"/>
            <w:shd w:val="clear" w:color="auto" w:fill="FFFFFF"/>
            <w:tcMar>
              <w:top w:w="100" w:type="dxa"/>
              <w:left w:w="120" w:type="dxa"/>
              <w:bottom w:w="100" w:type="dxa"/>
              <w:right w:w="120" w:type="dxa"/>
            </w:tcMar>
          </w:tcPr>
          <w:p w14:paraId="4E2DD8FD" w14:textId="77777777" w:rsidR="008A29A4" w:rsidRDefault="001D492B">
            <w:pPr>
              <w:spacing w:after="40"/>
            </w:pPr>
            <w:r>
              <w:rPr>
                <w:sz w:val="19"/>
              </w:rPr>
              <w:t>65</w:t>
            </w:r>
          </w:p>
        </w:tc>
        <w:tc>
          <w:tcPr>
            <w:tcW w:w="2340" w:type="dxa"/>
            <w:shd w:val="clear" w:color="auto" w:fill="FFFFFF"/>
            <w:tcMar>
              <w:top w:w="100" w:type="dxa"/>
              <w:left w:w="120" w:type="dxa"/>
              <w:bottom w:w="100" w:type="dxa"/>
              <w:right w:w="120" w:type="dxa"/>
            </w:tcMar>
          </w:tcPr>
          <w:p w14:paraId="4FEA365B" w14:textId="77777777" w:rsidR="008A29A4" w:rsidRDefault="001D492B">
            <w:pPr>
              <w:spacing w:after="40"/>
            </w:pPr>
            <w:r>
              <w:rPr>
                <w:sz w:val="19"/>
              </w:rPr>
              <w:t xml:space="preserve">US requires self-actualization themes; SA </w:t>
            </w:r>
            <w:r>
              <w:rPr>
                <w:sz w:val="19"/>
              </w:rPr>
              <w:lastRenderedPageBreak/>
              <w:t>demands community focus.</w:t>
            </w:r>
          </w:p>
        </w:tc>
      </w:tr>
      <w:tr w:rsidR="008A29A4" w14:paraId="3728D2E0" w14:textId="77777777">
        <w:trPr>
          <w:jc w:val="center"/>
        </w:trPr>
        <w:tc>
          <w:tcPr>
            <w:tcW w:w="2340" w:type="dxa"/>
            <w:shd w:val="clear" w:color="auto" w:fill="F2F5F8"/>
            <w:tcMar>
              <w:top w:w="100" w:type="dxa"/>
              <w:left w:w="120" w:type="dxa"/>
              <w:bottom w:w="100" w:type="dxa"/>
              <w:right w:w="120" w:type="dxa"/>
            </w:tcMar>
          </w:tcPr>
          <w:p w14:paraId="534C6E7F" w14:textId="77777777" w:rsidR="008A29A4" w:rsidRDefault="001D492B">
            <w:pPr>
              <w:spacing w:after="40"/>
            </w:pPr>
            <w:r>
              <w:rPr>
                <w:sz w:val="19"/>
              </w:rPr>
              <w:lastRenderedPageBreak/>
              <w:t>Masculinity</w:t>
            </w:r>
          </w:p>
        </w:tc>
        <w:tc>
          <w:tcPr>
            <w:tcW w:w="2340" w:type="dxa"/>
            <w:shd w:val="clear" w:color="auto" w:fill="F2F5F8"/>
            <w:tcMar>
              <w:top w:w="100" w:type="dxa"/>
              <w:left w:w="120" w:type="dxa"/>
              <w:bottom w:w="100" w:type="dxa"/>
              <w:right w:w="120" w:type="dxa"/>
            </w:tcMar>
          </w:tcPr>
          <w:p w14:paraId="3637D7C0" w14:textId="77777777" w:rsidR="008A29A4" w:rsidRDefault="001D492B">
            <w:pPr>
              <w:spacing w:after="40"/>
            </w:pPr>
            <w:r>
              <w:rPr>
                <w:sz w:val="19"/>
              </w:rPr>
              <w:t>62</w:t>
            </w:r>
          </w:p>
        </w:tc>
        <w:tc>
          <w:tcPr>
            <w:tcW w:w="2340" w:type="dxa"/>
            <w:shd w:val="clear" w:color="auto" w:fill="F2F5F8"/>
            <w:tcMar>
              <w:top w:w="100" w:type="dxa"/>
              <w:left w:w="120" w:type="dxa"/>
              <w:bottom w:w="100" w:type="dxa"/>
              <w:right w:w="120" w:type="dxa"/>
            </w:tcMar>
          </w:tcPr>
          <w:p w14:paraId="175CC3E2" w14:textId="77777777" w:rsidR="008A29A4" w:rsidRDefault="001D492B">
            <w:pPr>
              <w:spacing w:after="40"/>
            </w:pPr>
            <w:r>
              <w:rPr>
                <w:sz w:val="19"/>
              </w:rPr>
              <w:t>63</w:t>
            </w:r>
          </w:p>
        </w:tc>
        <w:tc>
          <w:tcPr>
            <w:tcW w:w="2340" w:type="dxa"/>
            <w:shd w:val="clear" w:color="auto" w:fill="F2F5F8"/>
            <w:tcMar>
              <w:top w:w="100" w:type="dxa"/>
              <w:left w:w="120" w:type="dxa"/>
              <w:bottom w:w="100" w:type="dxa"/>
              <w:right w:w="120" w:type="dxa"/>
            </w:tcMar>
          </w:tcPr>
          <w:p w14:paraId="5CD3747D" w14:textId="77777777" w:rsidR="008A29A4" w:rsidRDefault="001D492B">
            <w:pPr>
              <w:spacing w:after="40"/>
            </w:pPr>
            <w:r>
              <w:rPr>
                <w:sz w:val="19"/>
              </w:rPr>
              <w:t>Both markets value high performance, competition, and sporting success.</w:t>
            </w:r>
          </w:p>
        </w:tc>
      </w:tr>
      <w:tr w:rsidR="008A29A4" w14:paraId="383D9700" w14:textId="77777777">
        <w:trPr>
          <w:jc w:val="center"/>
        </w:trPr>
        <w:tc>
          <w:tcPr>
            <w:tcW w:w="2340" w:type="dxa"/>
            <w:shd w:val="clear" w:color="auto" w:fill="FFFFFF"/>
            <w:tcMar>
              <w:top w:w="100" w:type="dxa"/>
              <w:left w:w="120" w:type="dxa"/>
              <w:bottom w:w="100" w:type="dxa"/>
              <w:right w:w="120" w:type="dxa"/>
            </w:tcMar>
          </w:tcPr>
          <w:p w14:paraId="342EB1B2" w14:textId="77777777" w:rsidR="008A29A4" w:rsidRDefault="001D492B">
            <w:pPr>
              <w:spacing w:after="40"/>
            </w:pPr>
            <w:r>
              <w:rPr>
                <w:sz w:val="19"/>
              </w:rPr>
              <w:t>Uncertainty Avoidance</w:t>
            </w:r>
          </w:p>
        </w:tc>
        <w:tc>
          <w:tcPr>
            <w:tcW w:w="2340" w:type="dxa"/>
            <w:shd w:val="clear" w:color="auto" w:fill="FFFFFF"/>
            <w:tcMar>
              <w:top w:w="100" w:type="dxa"/>
              <w:left w:w="120" w:type="dxa"/>
              <w:bottom w:w="100" w:type="dxa"/>
              <w:right w:w="120" w:type="dxa"/>
            </w:tcMar>
          </w:tcPr>
          <w:p w14:paraId="7E63B6BA" w14:textId="77777777" w:rsidR="008A29A4" w:rsidRDefault="001D492B">
            <w:pPr>
              <w:spacing w:after="40"/>
            </w:pPr>
            <w:r>
              <w:rPr>
                <w:sz w:val="19"/>
              </w:rPr>
              <w:t>46</w:t>
            </w:r>
          </w:p>
        </w:tc>
        <w:tc>
          <w:tcPr>
            <w:tcW w:w="2340" w:type="dxa"/>
            <w:shd w:val="clear" w:color="auto" w:fill="FFFFFF"/>
            <w:tcMar>
              <w:top w:w="100" w:type="dxa"/>
              <w:left w:w="120" w:type="dxa"/>
              <w:bottom w:w="100" w:type="dxa"/>
              <w:right w:w="120" w:type="dxa"/>
            </w:tcMar>
          </w:tcPr>
          <w:p w14:paraId="5265FF32" w14:textId="77777777" w:rsidR="008A29A4" w:rsidRDefault="001D492B">
            <w:pPr>
              <w:spacing w:after="40"/>
            </w:pPr>
            <w:r>
              <w:rPr>
                <w:sz w:val="19"/>
              </w:rPr>
              <w:t>49</w:t>
            </w:r>
          </w:p>
        </w:tc>
        <w:tc>
          <w:tcPr>
            <w:tcW w:w="2340" w:type="dxa"/>
            <w:shd w:val="clear" w:color="auto" w:fill="FFFFFF"/>
            <w:tcMar>
              <w:top w:w="100" w:type="dxa"/>
              <w:left w:w="120" w:type="dxa"/>
              <w:bottom w:w="100" w:type="dxa"/>
              <w:right w:w="120" w:type="dxa"/>
            </w:tcMar>
          </w:tcPr>
          <w:p w14:paraId="2DFC044C" w14:textId="77777777" w:rsidR="008A29A4" w:rsidRDefault="001D492B">
            <w:pPr>
              <w:spacing w:after="40"/>
            </w:pPr>
            <w:r>
              <w:rPr>
                <w:sz w:val="19"/>
              </w:rPr>
              <w:t>Low avoidance in both permits rapid adoption of novel designs.</w:t>
            </w:r>
          </w:p>
        </w:tc>
      </w:tr>
      <w:tr w:rsidR="008A29A4" w14:paraId="36F16E7F" w14:textId="77777777">
        <w:trPr>
          <w:jc w:val="center"/>
        </w:trPr>
        <w:tc>
          <w:tcPr>
            <w:tcW w:w="2340" w:type="dxa"/>
            <w:shd w:val="clear" w:color="auto" w:fill="F2F5F8"/>
            <w:tcMar>
              <w:top w:w="100" w:type="dxa"/>
              <w:left w:w="120" w:type="dxa"/>
              <w:bottom w:w="100" w:type="dxa"/>
              <w:right w:w="120" w:type="dxa"/>
            </w:tcMar>
          </w:tcPr>
          <w:p w14:paraId="2DD6A81A" w14:textId="77777777" w:rsidR="008A29A4" w:rsidRDefault="001D492B">
            <w:pPr>
              <w:spacing w:after="40"/>
            </w:pPr>
            <w:r>
              <w:rPr>
                <w:sz w:val="19"/>
              </w:rPr>
              <w:t>Long-Term Orientation</w:t>
            </w:r>
          </w:p>
        </w:tc>
        <w:tc>
          <w:tcPr>
            <w:tcW w:w="2340" w:type="dxa"/>
            <w:shd w:val="clear" w:color="auto" w:fill="F2F5F8"/>
            <w:tcMar>
              <w:top w:w="100" w:type="dxa"/>
              <w:left w:w="120" w:type="dxa"/>
              <w:bottom w:w="100" w:type="dxa"/>
              <w:right w:w="120" w:type="dxa"/>
            </w:tcMar>
          </w:tcPr>
          <w:p w14:paraId="1EFBC3C4" w14:textId="77777777" w:rsidR="008A29A4" w:rsidRDefault="001D492B">
            <w:pPr>
              <w:spacing w:after="40"/>
            </w:pPr>
            <w:r>
              <w:rPr>
                <w:sz w:val="19"/>
              </w:rPr>
              <w:t>26</w:t>
            </w:r>
          </w:p>
        </w:tc>
        <w:tc>
          <w:tcPr>
            <w:tcW w:w="2340" w:type="dxa"/>
            <w:shd w:val="clear" w:color="auto" w:fill="F2F5F8"/>
            <w:tcMar>
              <w:top w:w="100" w:type="dxa"/>
              <w:left w:w="120" w:type="dxa"/>
              <w:bottom w:w="100" w:type="dxa"/>
              <w:right w:w="120" w:type="dxa"/>
            </w:tcMar>
          </w:tcPr>
          <w:p w14:paraId="3B91F345" w14:textId="77777777" w:rsidR="008A29A4" w:rsidRDefault="001D492B">
            <w:pPr>
              <w:spacing w:after="40"/>
            </w:pPr>
            <w:r>
              <w:rPr>
                <w:sz w:val="19"/>
              </w:rPr>
              <w:t>34</w:t>
            </w:r>
          </w:p>
        </w:tc>
        <w:tc>
          <w:tcPr>
            <w:tcW w:w="2340" w:type="dxa"/>
            <w:shd w:val="clear" w:color="auto" w:fill="F2F5F8"/>
            <w:tcMar>
              <w:top w:w="100" w:type="dxa"/>
              <w:left w:w="120" w:type="dxa"/>
              <w:bottom w:w="100" w:type="dxa"/>
              <w:right w:w="120" w:type="dxa"/>
            </w:tcMar>
          </w:tcPr>
          <w:p w14:paraId="692E7954" w14:textId="77777777" w:rsidR="008A29A4" w:rsidRDefault="001D492B">
            <w:pPr>
              <w:spacing w:after="40"/>
            </w:pPr>
            <w:r>
              <w:rPr>
                <w:sz w:val="19"/>
              </w:rPr>
              <w:t>Both favor immediate lifestyle gratification over long-term utility.</w:t>
            </w:r>
          </w:p>
        </w:tc>
      </w:tr>
      <w:tr w:rsidR="008A29A4" w14:paraId="00DB80D7" w14:textId="77777777">
        <w:trPr>
          <w:jc w:val="center"/>
        </w:trPr>
        <w:tc>
          <w:tcPr>
            <w:tcW w:w="2340" w:type="dxa"/>
            <w:shd w:val="clear" w:color="auto" w:fill="FFFFFF"/>
            <w:tcMar>
              <w:top w:w="100" w:type="dxa"/>
              <w:left w:w="120" w:type="dxa"/>
              <w:bottom w:w="100" w:type="dxa"/>
              <w:right w:w="120" w:type="dxa"/>
            </w:tcMar>
          </w:tcPr>
          <w:p w14:paraId="6728D5F3" w14:textId="77777777" w:rsidR="008A29A4" w:rsidRDefault="001D492B">
            <w:pPr>
              <w:spacing w:after="40"/>
            </w:pPr>
            <w:r>
              <w:rPr>
                <w:sz w:val="19"/>
              </w:rPr>
              <w:t>Indulgence</w:t>
            </w:r>
          </w:p>
        </w:tc>
        <w:tc>
          <w:tcPr>
            <w:tcW w:w="2340" w:type="dxa"/>
            <w:shd w:val="clear" w:color="auto" w:fill="FFFFFF"/>
            <w:tcMar>
              <w:top w:w="100" w:type="dxa"/>
              <w:left w:w="120" w:type="dxa"/>
              <w:bottom w:w="100" w:type="dxa"/>
              <w:right w:w="120" w:type="dxa"/>
            </w:tcMar>
          </w:tcPr>
          <w:p w14:paraId="24A4C6FC" w14:textId="77777777" w:rsidR="008A29A4" w:rsidRDefault="001D492B">
            <w:pPr>
              <w:spacing w:after="40"/>
            </w:pPr>
            <w:r>
              <w:rPr>
                <w:sz w:val="19"/>
              </w:rPr>
              <w:t>68</w:t>
            </w:r>
          </w:p>
        </w:tc>
        <w:tc>
          <w:tcPr>
            <w:tcW w:w="2340" w:type="dxa"/>
            <w:shd w:val="clear" w:color="auto" w:fill="FFFFFF"/>
            <w:tcMar>
              <w:top w:w="100" w:type="dxa"/>
              <w:left w:w="120" w:type="dxa"/>
              <w:bottom w:w="100" w:type="dxa"/>
              <w:right w:w="120" w:type="dxa"/>
            </w:tcMar>
          </w:tcPr>
          <w:p w14:paraId="6072871D" w14:textId="77777777" w:rsidR="008A29A4" w:rsidRDefault="001D492B">
            <w:pPr>
              <w:spacing w:after="40"/>
            </w:pPr>
            <w:r>
              <w:rPr>
                <w:sz w:val="19"/>
              </w:rPr>
              <w:t>63</w:t>
            </w:r>
          </w:p>
        </w:tc>
        <w:tc>
          <w:tcPr>
            <w:tcW w:w="2340" w:type="dxa"/>
            <w:shd w:val="clear" w:color="auto" w:fill="FFFFFF"/>
            <w:tcMar>
              <w:top w:w="100" w:type="dxa"/>
              <w:left w:w="120" w:type="dxa"/>
              <w:bottom w:w="100" w:type="dxa"/>
              <w:right w:w="120" w:type="dxa"/>
            </w:tcMar>
          </w:tcPr>
          <w:p w14:paraId="24B64E03" w14:textId="77777777" w:rsidR="008A29A4" w:rsidRDefault="001D492B">
            <w:pPr>
              <w:spacing w:after="40"/>
            </w:pPr>
            <w:r>
              <w:rPr>
                <w:sz w:val="19"/>
              </w:rPr>
              <w:t>High willingness to spend on discretionary lifestyle &amp; sports items.</w:t>
            </w:r>
          </w:p>
        </w:tc>
      </w:tr>
    </w:tbl>
    <w:p w14:paraId="7FEA70F9" w14:textId="77777777" w:rsidR="008A29A4" w:rsidRDefault="008A29A4"/>
    <w:p w14:paraId="5FFCFB7D" w14:textId="77777777" w:rsidR="008A29A4" w:rsidRDefault="001D492B">
      <w:r>
        <w:t>The United States displays an exceptionally high Individualism score (91), fostering a consumer orientation focused on personal achievement, non-conformity, and individual identity (Hofstede, 2011). This cultural baseline explains the success of Adidas’ hyper-personalized marketing narratives and niche sub-brand collaborations (e.g., Y-3, Bad Bunny). However, a strategic risk in highly individualistic markets is brand fragmentation; over-catering to diverse sub-cultures risks diluting the core brand identit</w:t>
      </w:r>
      <w:r>
        <w:t>y. In contrast, South Africa’s lower Individualism score (65)—which reflects collective social structures and the cultural ethos of Ubuntu—requires brand communications centered on community cohesion, shared athletic passion, and collective football culture (Hofstede, 2011). Marketing campaigns that overly emphasize isolated individual achievement risk failing to resonate with South Africa’s collective identity. As a result, Nike’s individualist 'Just Do It' messaging often faces cultural friction in non-ur</w:t>
      </w:r>
      <w:r>
        <w:t>ban South African communities, whereas Adidas’ community-focused football partnerships generate deeper emotional resonance.</w:t>
      </w:r>
    </w:p>
    <w:p w14:paraId="0748D988" w14:textId="77777777" w:rsidR="008A29A4" w:rsidRDefault="001D492B">
      <w:r>
        <w:t xml:space="preserve">Furthermore, differences in Power Distance (USA 40 vs SA 49) directly shape positioning strategies (Hofstede, 2011). In the United States, low power distance fosters an egalitarian brand dynamic where consumers expect authentic, accessible engagement across social media platforms (Li, 2023). Conversely, South Africa’s higher Power Distance score reflects structured social hierarchies where international sportswear brands function as vital symbols of socio-economic progress and status, particularly in urban </w:t>
      </w:r>
      <w:r>
        <w:t xml:space="preserve">townships (Mahajan, 2013). Critically, while leveraging status-seeking behavior drives high demand for the Adidas 'Three Stripes' logo, it creates a severe ethical dilemma: driving aspirational spending among low-income consumers </w:t>
      </w:r>
      <w:r>
        <w:lastRenderedPageBreak/>
        <w:t>can lead to personal over-indebtedness. In Uncertainty Avoidance, both nations record moderate scores (USA 46; SA 49), indicating consumer willingness to adopt disruptive footwear technologies (e.g., 3D-printed midsoles) (Hofstede, 2011). However, economic constraints in South Afri</w:t>
      </w:r>
      <w:r>
        <w:t>ca mean innovation adoption is strictly gated by price accessibility.</w:t>
      </w:r>
    </w:p>
    <w:p w14:paraId="10CDF832" w14:textId="77777777" w:rsidR="008A29A4" w:rsidRDefault="001D492B">
      <w:pPr>
        <w:keepNext/>
        <w:spacing w:before="200" w:after="40"/>
      </w:pPr>
      <w:r>
        <w:rPr>
          <w:b/>
        </w:rPr>
        <w:t>Outcome of Analysis</w:t>
      </w:r>
    </w:p>
    <w:p w14:paraId="48B75C12" w14:textId="77777777" w:rsidR="008A29A4" w:rsidRDefault="001D492B">
      <w:r>
        <w:t>Overall, the macro-environmental and cultural analysis proves that Adidas cannot succeed through a standardized global template. In the United States, strategy must prioritize cutting-edge digital integration, direct-to-consumer ecosystems, and individualist brand narratives. In South Africa, strategy must prioritize supply chain resilience against infrastructural load-shedding, statutory B-BBEE compliance, community-based marketing, and price-tiered product portfolios to navigate socio-economic instability</w:t>
      </w:r>
      <w:r>
        <w:t xml:space="preserve"> effectively.</w:t>
      </w:r>
    </w:p>
    <w:p w14:paraId="3D540A70" w14:textId="3896FB54" w:rsidR="008A29A4" w:rsidRDefault="001D492B">
      <w:pPr>
        <w:keepNext/>
        <w:spacing w:before="280" w:after="80"/>
      </w:pPr>
      <w:r>
        <w:rPr>
          <w:b/>
          <w:color w:val="336699"/>
          <w:sz w:val="26"/>
        </w:rPr>
        <w:t xml:space="preserve">Part B: Comparative Segmentation, Targeting, Positioning (STP) &amp; Marketing Mix (7Ps) </w:t>
      </w:r>
    </w:p>
    <w:p w14:paraId="5C2133BE" w14:textId="77777777" w:rsidR="008A29A4" w:rsidRDefault="001D492B">
      <w:pPr>
        <w:keepNext/>
        <w:spacing w:before="200" w:after="40"/>
      </w:pPr>
      <w:r>
        <w:rPr>
          <w:b/>
        </w:rPr>
        <w:t>Critical Evaluation of STP Strategies</w:t>
      </w:r>
    </w:p>
    <w:p w14:paraId="00CADDB0" w14:textId="77777777" w:rsidR="008A29A4" w:rsidRDefault="001D492B">
      <w:r>
        <w:t>Strategic market segmentation and positioning determine an MNE’s capacity to capture value across heterogeneous markets (Kotler and Armstrong, 2020). In the United States, Adidas employs behavioral and psychographic segmentation, categorizing consumers into high-performance athletes, suburban fitness enthusiasts, urban fashion trendsetters, and eco-conscious consumers (Start.io, 2022). Target selection focuses heavily on Gen Z and Millennial demographics (ages 14–29) through high-fashion streetwear collabor</w:t>
      </w:r>
      <w:r>
        <w:t xml:space="preserve">ations (Start.io, 2022). Positioning in the US centers on technological innovation, urban culture, and premium self-actualization (Li, 2023). However, a critical limitation of this approach is its exposure to rapid fashion cycle shifts; relying on trendsetters creates volatile demand and inventory risk when streetwear trends pivot toward competing brands like Hoka or On Running. Unlike Nike, which maintains a dominant grip on mainstream performance sports, Adidas’ heavy reliance on lifestyle culture in the </w:t>
      </w:r>
      <w:r>
        <w:t>US leaves its revenue stream uniquely vulnerable to sub-cultural trend erosion.</w:t>
      </w:r>
    </w:p>
    <w:p w14:paraId="01A75E5E" w14:textId="77777777" w:rsidR="008A29A4" w:rsidRDefault="001D492B">
      <w:r>
        <w:t>Conversely, South Africa’s market structure necessitates demographic and socio-economic segmentation due to stark income polarization (Mahajan, 2013). Adidas segments the market by income tier and urban geography, targeting upper-to-middle-class urban consumers alongside aspiring youth in emerging urban townships (Flores, 2014). Targeting strategies prioritize football (soccer) culture, running communities, and casual lifestyle apparel (buildd, 2026). The brand positions itself as an aspirational, global ba</w:t>
      </w:r>
      <w:r>
        <w:t xml:space="preserve">dge of prestige, quality, and athletic heritage (buildd, 2026). These economic conditions directly influence Adidas’ pricing and distribution strategy in South Africa </w:t>
      </w:r>
      <w:r>
        <w:lastRenderedPageBreak/>
        <w:t>(Mahajan, 2013). While this aspirational positioning yields high brand equity, a major limitation is the affordability gap; setting price points above the reach of the lower-income majority risks capping total market volume and encouraging counterfeit trade. This suggests that while Adidas captures higher margins in urban malls, it cedes mass-</w:t>
      </w:r>
      <w:r>
        <w:t>market volume to lower-priced regional competitors like Puma.</w:t>
      </w:r>
    </w:p>
    <w:p w14:paraId="0CDBDCD2" w14:textId="77777777" w:rsidR="008A29A4" w:rsidRDefault="001D492B">
      <w:pPr>
        <w:keepNext/>
        <w:spacing w:before="200" w:after="40"/>
      </w:pPr>
      <w:r>
        <w:rPr>
          <w:b/>
        </w:rPr>
        <w:t>Comparative International Marketing Mix (7Ps) Analysis</w:t>
      </w:r>
    </w:p>
    <w:p w14:paraId="69B32AC1" w14:textId="77777777" w:rsidR="008A29A4" w:rsidRDefault="001D492B">
      <w:pPr>
        <w:pStyle w:val="ListBullet"/>
        <w:spacing w:after="80"/>
      </w:pPr>
      <w:r>
        <w:t>Product: In the United States, Adidas deploys its full global portfolio, including high-end performance lines, niche sports gear, and sustainable ranges like Parley for the Oceans (buildd, 2026). However, in South Africa, product lines are rationalized to prioritize high-volume running shoes, core football apparel, and entry-level Originals (Flores, 2014). While rationalization optimizes stock turnover, it limits brand differentiation against low-cost competitors like Puma.</w:t>
      </w:r>
    </w:p>
    <w:p w14:paraId="197C241A" w14:textId="77777777" w:rsidR="008A29A4" w:rsidRDefault="001D492B">
      <w:pPr>
        <w:pStyle w:val="ListBullet"/>
        <w:spacing w:after="80"/>
      </w:pPr>
      <w:r>
        <w:t>Price: In the US, Adidas executes a value-based premium pricing strategy supported by high disposable income (Start.io, 2022). In South Africa, Adidas applies economic price discrimination, offering accessible diffusion ranges alongside premium flagship products (Li, 2023). These economic conditions directly dictate local margin structures; currency fluctuations in the ZAR frequently compress profitability on imported stock.</w:t>
      </w:r>
    </w:p>
    <w:p w14:paraId="4A81A8BA" w14:textId="77777777" w:rsidR="008A29A4" w:rsidRDefault="001D492B">
      <w:pPr>
        <w:pStyle w:val="ListBullet"/>
        <w:spacing w:after="80"/>
      </w:pPr>
      <w:r>
        <w:t>Place: Distribution in the US centers on Direct-to-Consumer (DTC) channels, digital flagships, and premium multi-brand stores (Start.io, 2022). In South Africa, distribution relies heavily on established wholesale chains (e.g., Studio 88, Totalsports) to achieve wide geographic reach and mitigate credit default risks (Flores, 2014). The trade-off is reduced control over visual merchandising and customer data collection.</w:t>
      </w:r>
    </w:p>
    <w:p w14:paraId="6B32B2A5" w14:textId="77777777" w:rsidR="008A29A4" w:rsidRDefault="001D492B">
      <w:pPr>
        <w:pStyle w:val="ListBullet"/>
        <w:spacing w:after="80"/>
      </w:pPr>
      <w:r>
        <w:t>Promotion: US promotions rely on influencer-led social media, digital campaigns, and niche athlete endorsements (Start.io, 2022). South African promotions integrate local sports sponsorships (e.g., Orlando Pirates, national rugby), high-impact billboards, and community sporting events (buildd, 2026). This localized approach builds strong brand loyalty but requires significant local sponsorship budgets.</w:t>
      </w:r>
    </w:p>
    <w:p w14:paraId="12FC644C" w14:textId="77777777" w:rsidR="008A29A4" w:rsidRDefault="001D492B">
      <w:pPr>
        <w:pStyle w:val="ListBullet"/>
        <w:spacing w:after="80"/>
      </w:pPr>
      <w:r>
        <w:t>People: Frontline personnel in the US are trained as digital experience specialists operating within highly automated retail environments (Li, 2023). In South Africa, staff development focuses on community engagement, localized product consultation, and statutory B-BBEE employment equity compliance (Mahajan, 2013).</w:t>
      </w:r>
    </w:p>
    <w:p w14:paraId="77A070ED" w14:textId="77777777" w:rsidR="008A29A4" w:rsidRDefault="001D492B">
      <w:pPr>
        <w:pStyle w:val="ListBullet"/>
        <w:spacing w:after="80"/>
      </w:pPr>
      <w:r>
        <w:t>Process: US fulfillment leverages automated logistics, friction-free app checkouts, and flexible return systems (Start.io, 2022). South African processes must accommodate localized payment preferences (including cash-on-delivery) and manage inventory risks arising from transport delays and power outages (Chaffey and Ellis-Chadwick, 2019).</w:t>
      </w:r>
    </w:p>
    <w:p w14:paraId="61193293" w14:textId="77777777" w:rsidR="008A29A4" w:rsidRDefault="001D492B">
      <w:pPr>
        <w:pStyle w:val="ListBullet"/>
        <w:spacing w:after="80"/>
      </w:pPr>
      <w:r>
        <w:lastRenderedPageBreak/>
        <w:t>Physical Evidence: US physical stores operate as high-tech experiential hubs with interactive digital screens (Start.io, 2022). South African retail environments prioritize secure store layouts, clear visual merchandising, and robust inventory protection to mitigate stock shrinkage in urban shopping malls (Mahajan, 2013).</w:t>
      </w:r>
    </w:p>
    <w:tbl>
      <w:tblPr>
        <w:tblW w:w="0" w:type="auto"/>
        <w:jc w:val="center"/>
        <w:tblBorders>
          <w:top w:val="single" w:sz="4" w:space="0" w:color="D3D3D3"/>
          <w:bottom w:val="single" w:sz="4" w:space="0" w:color="D3D3D3"/>
          <w:insideH w:val="single" w:sz="4" w:space="0" w:color="D3D3D3"/>
        </w:tblBorders>
        <w:tblLook w:val="04A0" w:firstRow="1" w:lastRow="0" w:firstColumn="1" w:lastColumn="0" w:noHBand="0" w:noVBand="1"/>
      </w:tblPr>
      <w:tblGrid>
        <w:gridCol w:w="2340"/>
        <w:gridCol w:w="2340"/>
        <w:gridCol w:w="2340"/>
        <w:gridCol w:w="2340"/>
      </w:tblGrid>
      <w:tr w:rsidR="008A29A4" w14:paraId="5C3FE971" w14:textId="77777777">
        <w:trPr>
          <w:jc w:val="center"/>
        </w:trPr>
        <w:tc>
          <w:tcPr>
            <w:tcW w:w="2340" w:type="dxa"/>
            <w:shd w:val="clear" w:color="auto" w:fill="002060"/>
            <w:tcMar>
              <w:top w:w="100" w:type="dxa"/>
              <w:left w:w="120" w:type="dxa"/>
              <w:bottom w:w="100" w:type="dxa"/>
              <w:right w:w="120" w:type="dxa"/>
            </w:tcMar>
          </w:tcPr>
          <w:p w14:paraId="1EB6229F" w14:textId="77777777" w:rsidR="008A29A4" w:rsidRDefault="001D492B">
            <w:pPr>
              <w:spacing w:after="40"/>
            </w:pPr>
            <w:r>
              <w:rPr>
                <w:b/>
                <w:color w:val="FFFFFF"/>
                <w:sz w:val="20"/>
              </w:rPr>
              <w:t>7Ps Component</w:t>
            </w:r>
          </w:p>
        </w:tc>
        <w:tc>
          <w:tcPr>
            <w:tcW w:w="2340" w:type="dxa"/>
            <w:shd w:val="clear" w:color="auto" w:fill="002060"/>
            <w:tcMar>
              <w:top w:w="100" w:type="dxa"/>
              <w:left w:w="120" w:type="dxa"/>
              <w:bottom w:w="100" w:type="dxa"/>
              <w:right w:w="120" w:type="dxa"/>
            </w:tcMar>
          </w:tcPr>
          <w:p w14:paraId="4C5AF2D8" w14:textId="77777777" w:rsidR="008A29A4" w:rsidRDefault="001D492B">
            <w:pPr>
              <w:spacing w:after="40"/>
            </w:pPr>
            <w:r>
              <w:rPr>
                <w:b/>
                <w:color w:val="FFFFFF"/>
                <w:sz w:val="20"/>
              </w:rPr>
              <w:t>United States Strategy</w:t>
            </w:r>
          </w:p>
        </w:tc>
        <w:tc>
          <w:tcPr>
            <w:tcW w:w="2340" w:type="dxa"/>
            <w:shd w:val="clear" w:color="auto" w:fill="002060"/>
            <w:tcMar>
              <w:top w:w="100" w:type="dxa"/>
              <w:left w:w="120" w:type="dxa"/>
              <w:bottom w:w="100" w:type="dxa"/>
              <w:right w:w="120" w:type="dxa"/>
            </w:tcMar>
          </w:tcPr>
          <w:p w14:paraId="58233470" w14:textId="77777777" w:rsidR="008A29A4" w:rsidRDefault="001D492B">
            <w:pPr>
              <w:spacing w:after="40"/>
            </w:pPr>
            <w:r>
              <w:rPr>
                <w:b/>
                <w:color w:val="FFFFFF"/>
                <w:sz w:val="20"/>
              </w:rPr>
              <w:t>South Africa Strategy</w:t>
            </w:r>
          </w:p>
        </w:tc>
        <w:tc>
          <w:tcPr>
            <w:tcW w:w="2340" w:type="dxa"/>
            <w:shd w:val="clear" w:color="auto" w:fill="002060"/>
            <w:tcMar>
              <w:top w:w="100" w:type="dxa"/>
              <w:left w:w="120" w:type="dxa"/>
              <w:bottom w:w="100" w:type="dxa"/>
              <w:right w:w="120" w:type="dxa"/>
            </w:tcMar>
          </w:tcPr>
          <w:p w14:paraId="599FA313" w14:textId="77777777" w:rsidR="008A29A4" w:rsidRDefault="001D492B">
            <w:pPr>
              <w:spacing w:after="40"/>
            </w:pPr>
            <w:r>
              <w:rPr>
                <w:b/>
                <w:color w:val="FFFFFF"/>
                <w:sz w:val="20"/>
              </w:rPr>
              <w:t>Strategic Evaluation &amp; Limitations</w:t>
            </w:r>
          </w:p>
        </w:tc>
      </w:tr>
      <w:tr w:rsidR="008A29A4" w14:paraId="2FB9D647" w14:textId="77777777">
        <w:trPr>
          <w:jc w:val="center"/>
        </w:trPr>
        <w:tc>
          <w:tcPr>
            <w:tcW w:w="2340" w:type="dxa"/>
            <w:shd w:val="clear" w:color="auto" w:fill="F2F5F8"/>
            <w:tcMar>
              <w:top w:w="100" w:type="dxa"/>
              <w:left w:w="120" w:type="dxa"/>
              <w:bottom w:w="100" w:type="dxa"/>
              <w:right w:w="120" w:type="dxa"/>
            </w:tcMar>
          </w:tcPr>
          <w:p w14:paraId="1AEB7037" w14:textId="77777777" w:rsidR="008A29A4" w:rsidRDefault="001D492B">
            <w:pPr>
              <w:spacing w:after="40"/>
            </w:pPr>
            <w:r>
              <w:rPr>
                <w:sz w:val="19"/>
              </w:rPr>
              <w:t>Product</w:t>
            </w:r>
          </w:p>
        </w:tc>
        <w:tc>
          <w:tcPr>
            <w:tcW w:w="2340" w:type="dxa"/>
            <w:shd w:val="clear" w:color="auto" w:fill="F2F5F8"/>
            <w:tcMar>
              <w:top w:w="100" w:type="dxa"/>
              <w:left w:w="120" w:type="dxa"/>
              <w:bottom w:w="100" w:type="dxa"/>
              <w:right w:w="120" w:type="dxa"/>
            </w:tcMar>
          </w:tcPr>
          <w:p w14:paraId="553CB17D" w14:textId="77777777" w:rsidR="008A29A4" w:rsidRDefault="001D492B">
            <w:pPr>
              <w:spacing w:after="40"/>
            </w:pPr>
            <w:r>
              <w:rPr>
                <w:sz w:val="19"/>
              </w:rPr>
              <w:t>Full portfolio; eco-lines; niche sports</w:t>
            </w:r>
          </w:p>
        </w:tc>
        <w:tc>
          <w:tcPr>
            <w:tcW w:w="2340" w:type="dxa"/>
            <w:shd w:val="clear" w:color="auto" w:fill="F2F5F8"/>
            <w:tcMar>
              <w:top w:w="100" w:type="dxa"/>
              <w:left w:w="120" w:type="dxa"/>
              <w:bottom w:w="100" w:type="dxa"/>
              <w:right w:w="120" w:type="dxa"/>
            </w:tcMar>
          </w:tcPr>
          <w:p w14:paraId="1471FB81" w14:textId="77777777" w:rsidR="008A29A4" w:rsidRDefault="001D492B">
            <w:pPr>
              <w:spacing w:after="40"/>
            </w:pPr>
            <w:r>
              <w:rPr>
                <w:sz w:val="19"/>
              </w:rPr>
              <w:t>Core running; football; high-volume Originals</w:t>
            </w:r>
          </w:p>
        </w:tc>
        <w:tc>
          <w:tcPr>
            <w:tcW w:w="2340" w:type="dxa"/>
            <w:shd w:val="clear" w:color="auto" w:fill="F2F5F8"/>
            <w:tcMar>
              <w:top w:w="100" w:type="dxa"/>
              <w:left w:w="120" w:type="dxa"/>
              <w:bottom w:w="100" w:type="dxa"/>
              <w:right w:w="120" w:type="dxa"/>
            </w:tcMar>
          </w:tcPr>
          <w:p w14:paraId="73CA3756" w14:textId="77777777" w:rsidR="008A29A4" w:rsidRDefault="001D492B">
            <w:pPr>
              <w:spacing w:after="40"/>
            </w:pPr>
            <w:r>
              <w:rPr>
                <w:sz w:val="19"/>
              </w:rPr>
              <w:t>Rationalization in SA preserves volume but risks commoditization.</w:t>
            </w:r>
          </w:p>
        </w:tc>
      </w:tr>
      <w:tr w:rsidR="008A29A4" w14:paraId="68FDCE7A" w14:textId="77777777">
        <w:trPr>
          <w:jc w:val="center"/>
        </w:trPr>
        <w:tc>
          <w:tcPr>
            <w:tcW w:w="2340" w:type="dxa"/>
            <w:shd w:val="clear" w:color="auto" w:fill="FFFFFF"/>
            <w:tcMar>
              <w:top w:w="100" w:type="dxa"/>
              <w:left w:w="120" w:type="dxa"/>
              <w:bottom w:w="100" w:type="dxa"/>
              <w:right w:w="120" w:type="dxa"/>
            </w:tcMar>
          </w:tcPr>
          <w:p w14:paraId="075E3B56" w14:textId="77777777" w:rsidR="008A29A4" w:rsidRDefault="001D492B">
            <w:pPr>
              <w:spacing w:after="40"/>
            </w:pPr>
            <w:r>
              <w:rPr>
                <w:sz w:val="19"/>
              </w:rPr>
              <w:t>Price</w:t>
            </w:r>
          </w:p>
        </w:tc>
        <w:tc>
          <w:tcPr>
            <w:tcW w:w="2340" w:type="dxa"/>
            <w:shd w:val="clear" w:color="auto" w:fill="FFFFFF"/>
            <w:tcMar>
              <w:top w:w="100" w:type="dxa"/>
              <w:left w:w="120" w:type="dxa"/>
              <w:bottom w:w="100" w:type="dxa"/>
              <w:right w:w="120" w:type="dxa"/>
            </w:tcMar>
          </w:tcPr>
          <w:p w14:paraId="4517080A" w14:textId="77777777" w:rsidR="008A29A4" w:rsidRDefault="001D492B">
            <w:pPr>
              <w:spacing w:after="40"/>
            </w:pPr>
            <w:r>
              <w:rPr>
                <w:sz w:val="19"/>
              </w:rPr>
              <w:t>Value-based premium pricing model</w:t>
            </w:r>
          </w:p>
        </w:tc>
        <w:tc>
          <w:tcPr>
            <w:tcW w:w="2340" w:type="dxa"/>
            <w:shd w:val="clear" w:color="auto" w:fill="FFFFFF"/>
            <w:tcMar>
              <w:top w:w="100" w:type="dxa"/>
              <w:left w:w="120" w:type="dxa"/>
              <w:bottom w:w="100" w:type="dxa"/>
              <w:right w:w="120" w:type="dxa"/>
            </w:tcMar>
          </w:tcPr>
          <w:p w14:paraId="1F9C5182" w14:textId="77777777" w:rsidR="008A29A4" w:rsidRDefault="001D492B">
            <w:pPr>
              <w:spacing w:after="40"/>
            </w:pPr>
            <w:r>
              <w:rPr>
                <w:sz w:val="19"/>
              </w:rPr>
              <w:t>Tiered pricing; entry-level diffusion models</w:t>
            </w:r>
          </w:p>
        </w:tc>
        <w:tc>
          <w:tcPr>
            <w:tcW w:w="2340" w:type="dxa"/>
            <w:shd w:val="clear" w:color="auto" w:fill="FFFFFF"/>
            <w:tcMar>
              <w:top w:w="100" w:type="dxa"/>
              <w:left w:w="120" w:type="dxa"/>
              <w:bottom w:w="100" w:type="dxa"/>
              <w:right w:w="120" w:type="dxa"/>
            </w:tcMar>
          </w:tcPr>
          <w:p w14:paraId="4AEFB4F4" w14:textId="77777777" w:rsidR="008A29A4" w:rsidRDefault="001D492B">
            <w:pPr>
              <w:spacing w:after="40"/>
            </w:pPr>
            <w:r>
              <w:rPr>
                <w:sz w:val="19"/>
              </w:rPr>
              <w:t>ZAR currency volatility in SA frequently erodes profit margins.</w:t>
            </w:r>
          </w:p>
        </w:tc>
      </w:tr>
      <w:tr w:rsidR="008A29A4" w14:paraId="74D6DAC3" w14:textId="77777777">
        <w:trPr>
          <w:jc w:val="center"/>
        </w:trPr>
        <w:tc>
          <w:tcPr>
            <w:tcW w:w="2340" w:type="dxa"/>
            <w:shd w:val="clear" w:color="auto" w:fill="F2F5F8"/>
            <w:tcMar>
              <w:top w:w="100" w:type="dxa"/>
              <w:left w:w="120" w:type="dxa"/>
              <w:bottom w:w="100" w:type="dxa"/>
              <w:right w:w="120" w:type="dxa"/>
            </w:tcMar>
          </w:tcPr>
          <w:p w14:paraId="6BE7165A" w14:textId="77777777" w:rsidR="008A29A4" w:rsidRDefault="001D492B">
            <w:pPr>
              <w:spacing w:after="40"/>
            </w:pPr>
            <w:r>
              <w:rPr>
                <w:sz w:val="19"/>
              </w:rPr>
              <w:t>Place</w:t>
            </w:r>
          </w:p>
        </w:tc>
        <w:tc>
          <w:tcPr>
            <w:tcW w:w="2340" w:type="dxa"/>
            <w:shd w:val="clear" w:color="auto" w:fill="F2F5F8"/>
            <w:tcMar>
              <w:top w:w="100" w:type="dxa"/>
              <w:left w:w="120" w:type="dxa"/>
              <w:bottom w:w="100" w:type="dxa"/>
              <w:right w:w="120" w:type="dxa"/>
            </w:tcMar>
          </w:tcPr>
          <w:p w14:paraId="1B517A73" w14:textId="77777777" w:rsidR="008A29A4" w:rsidRDefault="001D492B">
            <w:pPr>
              <w:spacing w:after="40"/>
            </w:pPr>
            <w:r>
              <w:rPr>
                <w:sz w:val="19"/>
              </w:rPr>
              <w:t>Direct-to-Consumer (DTC); e-com; flagships</w:t>
            </w:r>
          </w:p>
        </w:tc>
        <w:tc>
          <w:tcPr>
            <w:tcW w:w="2340" w:type="dxa"/>
            <w:shd w:val="clear" w:color="auto" w:fill="F2F5F8"/>
            <w:tcMar>
              <w:top w:w="100" w:type="dxa"/>
              <w:left w:w="120" w:type="dxa"/>
              <w:bottom w:w="100" w:type="dxa"/>
              <w:right w:w="120" w:type="dxa"/>
            </w:tcMar>
          </w:tcPr>
          <w:p w14:paraId="1FD35C14" w14:textId="77777777" w:rsidR="008A29A4" w:rsidRDefault="001D492B">
            <w:pPr>
              <w:spacing w:after="40"/>
            </w:pPr>
            <w:r>
              <w:rPr>
                <w:sz w:val="19"/>
              </w:rPr>
              <w:t>Strategic wholesale chains (Studio 88) &amp; malls</w:t>
            </w:r>
          </w:p>
        </w:tc>
        <w:tc>
          <w:tcPr>
            <w:tcW w:w="2340" w:type="dxa"/>
            <w:shd w:val="clear" w:color="auto" w:fill="F2F5F8"/>
            <w:tcMar>
              <w:top w:w="100" w:type="dxa"/>
              <w:left w:w="120" w:type="dxa"/>
              <w:bottom w:w="100" w:type="dxa"/>
              <w:right w:w="120" w:type="dxa"/>
            </w:tcMar>
          </w:tcPr>
          <w:p w14:paraId="0A803DFD" w14:textId="77777777" w:rsidR="008A29A4" w:rsidRDefault="001D492B">
            <w:pPr>
              <w:spacing w:after="40"/>
            </w:pPr>
            <w:r>
              <w:rPr>
                <w:sz w:val="19"/>
              </w:rPr>
              <w:t>Wholesale reliance in SA increases reach but reduces customer data.</w:t>
            </w:r>
          </w:p>
        </w:tc>
      </w:tr>
      <w:tr w:rsidR="008A29A4" w14:paraId="1DB27382" w14:textId="77777777">
        <w:trPr>
          <w:jc w:val="center"/>
        </w:trPr>
        <w:tc>
          <w:tcPr>
            <w:tcW w:w="2340" w:type="dxa"/>
            <w:shd w:val="clear" w:color="auto" w:fill="FFFFFF"/>
            <w:tcMar>
              <w:top w:w="100" w:type="dxa"/>
              <w:left w:w="120" w:type="dxa"/>
              <w:bottom w:w="100" w:type="dxa"/>
              <w:right w:w="120" w:type="dxa"/>
            </w:tcMar>
          </w:tcPr>
          <w:p w14:paraId="71937275" w14:textId="77777777" w:rsidR="008A29A4" w:rsidRDefault="001D492B">
            <w:pPr>
              <w:spacing w:after="40"/>
            </w:pPr>
            <w:r>
              <w:rPr>
                <w:sz w:val="19"/>
              </w:rPr>
              <w:t>Promotion</w:t>
            </w:r>
          </w:p>
        </w:tc>
        <w:tc>
          <w:tcPr>
            <w:tcW w:w="2340" w:type="dxa"/>
            <w:shd w:val="clear" w:color="auto" w:fill="FFFFFF"/>
            <w:tcMar>
              <w:top w:w="100" w:type="dxa"/>
              <w:left w:w="120" w:type="dxa"/>
              <w:bottom w:w="100" w:type="dxa"/>
              <w:right w:w="120" w:type="dxa"/>
            </w:tcMar>
          </w:tcPr>
          <w:p w14:paraId="409AEA04" w14:textId="77777777" w:rsidR="008A29A4" w:rsidRDefault="001D492B">
            <w:pPr>
              <w:spacing w:after="40"/>
            </w:pPr>
            <w:r>
              <w:rPr>
                <w:sz w:val="19"/>
              </w:rPr>
              <w:t>Digital-first; niche sports; fashion icons</w:t>
            </w:r>
          </w:p>
        </w:tc>
        <w:tc>
          <w:tcPr>
            <w:tcW w:w="2340" w:type="dxa"/>
            <w:shd w:val="clear" w:color="auto" w:fill="FFFFFF"/>
            <w:tcMar>
              <w:top w:w="100" w:type="dxa"/>
              <w:left w:w="120" w:type="dxa"/>
              <w:bottom w:w="100" w:type="dxa"/>
              <w:right w:w="120" w:type="dxa"/>
            </w:tcMar>
          </w:tcPr>
          <w:p w14:paraId="12106A81" w14:textId="77777777" w:rsidR="008A29A4" w:rsidRDefault="001D492B">
            <w:pPr>
              <w:spacing w:after="40"/>
            </w:pPr>
            <w:r>
              <w:rPr>
                <w:sz w:val="19"/>
              </w:rPr>
              <w:t>Local sports teams; billboards; community events</w:t>
            </w:r>
          </w:p>
        </w:tc>
        <w:tc>
          <w:tcPr>
            <w:tcW w:w="2340" w:type="dxa"/>
            <w:shd w:val="clear" w:color="auto" w:fill="FFFFFF"/>
            <w:tcMar>
              <w:top w:w="100" w:type="dxa"/>
              <w:left w:w="120" w:type="dxa"/>
              <w:bottom w:w="100" w:type="dxa"/>
              <w:right w:w="120" w:type="dxa"/>
            </w:tcMar>
          </w:tcPr>
          <w:p w14:paraId="1AD2A28B" w14:textId="77777777" w:rsidR="008A29A4" w:rsidRDefault="001D492B">
            <w:pPr>
              <w:spacing w:after="40"/>
            </w:pPr>
            <w:r>
              <w:rPr>
                <w:sz w:val="19"/>
              </w:rPr>
              <w:t>High local sponsorship costs in SA strain marketing budgets.</w:t>
            </w:r>
          </w:p>
        </w:tc>
      </w:tr>
      <w:tr w:rsidR="008A29A4" w14:paraId="592AACA1" w14:textId="77777777">
        <w:trPr>
          <w:jc w:val="center"/>
        </w:trPr>
        <w:tc>
          <w:tcPr>
            <w:tcW w:w="2340" w:type="dxa"/>
            <w:shd w:val="clear" w:color="auto" w:fill="F2F5F8"/>
            <w:tcMar>
              <w:top w:w="100" w:type="dxa"/>
              <w:left w:w="120" w:type="dxa"/>
              <w:bottom w:w="100" w:type="dxa"/>
              <w:right w:w="120" w:type="dxa"/>
            </w:tcMar>
          </w:tcPr>
          <w:p w14:paraId="620600DD" w14:textId="77777777" w:rsidR="008A29A4" w:rsidRDefault="001D492B">
            <w:pPr>
              <w:spacing w:after="40"/>
            </w:pPr>
            <w:r>
              <w:rPr>
                <w:sz w:val="19"/>
              </w:rPr>
              <w:t>People</w:t>
            </w:r>
          </w:p>
        </w:tc>
        <w:tc>
          <w:tcPr>
            <w:tcW w:w="2340" w:type="dxa"/>
            <w:shd w:val="clear" w:color="auto" w:fill="F2F5F8"/>
            <w:tcMar>
              <w:top w:w="100" w:type="dxa"/>
              <w:left w:w="120" w:type="dxa"/>
              <w:bottom w:w="100" w:type="dxa"/>
              <w:right w:w="120" w:type="dxa"/>
            </w:tcMar>
          </w:tcPr>
          <w:p w14:paraId="1B5C18CC" w14:textId="77777777" w:rsidR="008A29A4" w:rsidRDefault="001D492B">
            <w:pPr>
              <w:spacing w:after="40"/>
            </w:pPr>
            <w:r>
              <w:rPr>
                <w:sz w:val="19"/>
              </w:rPr>
              <w:t>Digital experience &amp; omnichannel staff</w:t>
            </w:r>
          </w:p>
        </w:tc>
        <w:tc>
          <w:tcPr>
            <w:tcW w:w="2340" w:type="dxa"/>
            <w:shd w:val="clear" w:color="auto" w:fill="F2F5F8"/>
            <w:tcMar>
              <w:top w:w="100" w:type="dxa"/>
              <w:left w:w="120" w:type="dxa"/>
              <w:bottom w:w="100" w:type="dxa"/>
              <w:right w:w="120" w:type="dxa"/>
            </w:tcMar>
          </w:tcPr>
          <w:p w14:paraId="372FFCE9" w14:textId="77777777" w:rsidR="008A29A4" w:rsidRDefault="001D492B">
            <w:pPr>
              <w:spacing w:after="40"/>
            </w:pPr>
            <w:r>
              <w:rPr>
                <w:sz w:val="19"/>
              </w:rPr>
              <w:t>Community engagement &amp; B-BBEE compliance</w:t>
            </w:r>
          </w:p>
        </w:tc>
        <w:tc>
          <w:tcPr>
            <w:tcW w:w="2340" w:type="dxa"/>
            <w:shd w:val="clear" w:color="auto" w:fill="F2F5F8"/>
            <w:tcMar>
              <w:top w:w="100" w:type="dxa"/>
              <w:left w:w="120" w:type="dxa"/>
              <w:bottom w:w="100" w:type="dxa"/>
              <w:right w:w="120" w:type="dxa"/>
            </w:tcMar>
          </w:tcPr>
          <w:p w14:paraId="47065654" w14:textId="77777777" w:rsidR="008A29A4" w:rsidRDefault="001D492B">
            <w:pPr>
              <w:spacing w:after="40"/>
            </w:pPr>
            <w:r>
              <w:rPr>
                <w:sz w:val="19"/>
              </w:rPr>
              <w:t>B-BBEE alignment drives legitimacy but requires training capital.</w:t>
            </w:r>
          </w:p>
        </w:tc>
      </w:tr>
      <w:tr w:rsidR="008A29A4" w14:paraId="5D943067" w14:textId="77777777">
        <w:trPr>
          <w:jc w:val="center"/>
        </w:trPr>
        <w:tc>
          <w:tcPr>
            <w:tcW w:w="2340" w:type="dxa"/>
            <w:shd w:val="clear" w:color="auto" w:fill="FFFFFF"/>
            <w:tcMar>
              <w:top w:w="100" w:type="dxa"/>
              <w:left w:w="120" w:type="dxa"/>
              <w:bottom w:w="100" w:type="dxa"/>
              <w:right w:w="120" w:type="dxa"/>
            </w:tcMar>
          </w:tcPr>
          <w:p w14:paraId="552D8DB4" w14:textId="77777777" w:rsidR="008A29A4" w:rsidRDefault="001D492B">
            <w:pPr>
              <w:spacing w:after="40"/>
            </w:pPr>
            <w:r>
              <w:rPr>
                <w:sz w:val="19"/>
              </w:rPr>
              <w:t>Process</w:t>
            </w:r>
          </w:p>
        </w:tc>
        <w:tc>
          <w:tcPr>
            <w:tcW w:w="2340" w:type="dxa"/>
            <w:shd w:val="clear" w:color="auto" w:fill="FFFFFF"/>
            <w:tcMar>
              <w:top w:w="100" w:type="dxa"/>
              <w:left w:w="120" w:type="dxa"/>
              <w:bottom w:w="100" w:type="dxa"/>
              <w:right w:w="120" w:type="dxa"/>
            </w:tcMar>
          </w:tcPr>
          <w:p w14:paraId="4FA21DD6" w14:textId="77777777" w:rsidR="008A29A4" w:rsidRDefault="001D492B">
            <w:pPr>
              <w:spacing w:after="40"/>
            </w:pPr>
            <w:r>
              <w:rPr>
                <w:sz w:val="19"/>
              </w:rPr>
              <w:t>Automated fulfillment; 1-click app checkouts</w:t>
            </w:r>
          </w:p>
        </w:tc>
        <w:tc>
          <w:tcPr>
            <w:tcW w:w="2340" w:type="dxa"/>
            <w:shd w:val="clear" w:color="auto" w:fill="FFFFFF"/>
            <w:tcMar>
              <w:top w:w="100" w:type="dxa"/>
              <w:left w:w="120" w:type="dxa"/>
              <w:bottom w:w="100" w:type="dxa"/>
              <w:right w:w="120" w:type="dxa"/>
            </w:tcMar>
          </w:tcPr>
          <w:p w14:paraId="195F86B7" w14:textId="77777777" w:rsidR="008A29A4" w:rsidRDefault="001D492B">
            <w:pPr>
              <w:spacing w:after="40"/>
            </w:pPr>
            <w:r>
              <w:rPr>
                <w:sz w:val="19"/>
              </w:rPr>
              <w:t>Agile inventory; diverse payments (cash/card)</w:t>
            </w:r>
          </w:p>
        </w:tc>
        <w:tc>
          <w:tcPr>
            <w:tcW w:w="2340" w:type="dxa"/>
            <w:shd w:val="clear" w:color="auto" w:fill="FFFFFF"/>
            <w:tcMar>
              <w:top w:w="100" w:type="dxa"/>
              <w:left w:w="120" w:type="dxa"/>
              <w:bottom w:w="100" w:type="dxa"/>
              <w:right w:w="120" w:type="dxa"/>
            </w:tcMar>
          </w:tcPr>
          <w:p w14:paraId="00BFEA82" w14:textId="77777777" w:rsidR="008A29A4" w:rsidRDefault="001D492B">
            <w:pPr>
              <w:spacing w:after="40"/>
            </w:pPr>
            <w:r>
              <w:rPr>
                <w:sz w:val="19"/>
              </w:rPr>
              <w:t>Flexible payments expand access in SA but increase transaction risk.</w:t>
            </w:r>
          </w:p>
        </w:tc>
      </w:tr>
      <w:tr w:rsidR="008A29A4" w14:paraId="78AC1F0A" w14:textId="77777777">
        <w:trPr>
          <w:jc w:val="center"/>
        </w:trPr>
        <w:tc>
          <w:tcPr>
            <w:tcW w:w="2340" w:type="dxa"/>
            <w:shd w:val="clear" w:color="auto" w:fill="F2F5F8"/>
            <w:tcMar>
              <w:top w:w="100" w:type="dxa"/>
              <w:left w:w="120" w:type="dxa"/>
              <w:bottom w:w="100" w:type="dxa"/>
              <w:right w:w="120" w:type="dxa"/>
            </w:tcMar>
          </w:tcPr>
          <w:p w14:paraId="1911BB95" w14:textId="77777777" w:rsidR="008A29A4" w:rsidRDefault="001D492B">
            <w:pPr>
              <w:spacing w:after="40"/>
            </w:pPr>
            <w:r>
              <w:rPr>
                <w:sz w:val="19"/>
              </w:rPr>
              <w:t>Physical Evidence</w:t>
            </w:r>
          </w:p>
        </w:tc>
        <w:tc>
          <w:tcPr>
            <w:tcW w:w="2340" w:type="dxa"/>
            <w:shd w:val="clear" w:color="auto" w:fill="F2F5F8"/>
            <w:tcMar>
              <w:top w:w="100" w:type="dxa"/>
              <w:left w:w="120" w:type="dxa"/>
              <w:bottom w:w="100" w:type="dxa"/>
              <w:right w:w="120" w:type="dxa"/>
            </w:tcMar>
          </w:tcPr>
          <w:p w14:paraId="5856121A" w14:textId="77777777" w:rsidR="008A29A4" w:rsidRDefault="001D492B">
            <w:pPr>
              <w:spacing w:after="40"/>
            </w:pPr>
            <w:r>
              <w:rPr>
                <w:sz w:val="19"/>
              </w:rPr>
              <w:t>Interactive, high-tech experiential hubs</w:t>
            </w:r>
          </w:p>
        </w:tc>
        <w:tc>
          <w:tcPr>
            <w:tcW w:w="2340" w:type="dxa"/>
            <w:shd w:val="clear" w:color="auto" w:fill="F2F5F8"/>
            <w:tcMar>
              <w:top w:w="100" w:type="dxa"/>
              <w:left w:w="120" w:type="dxa"/>
              <w:bottom w:w="100" w:type="dxa"/>
              <w:right w:w="120" w:type="dxa"/>
            </w:tcMar>
          </w:tcPr>
          <w:p w14:paraId="79015A84" w14:textId="77777777" w:rsidR="008A29A4" w:rsidRDefault="001D492B">
            <w:pPr>
              <w:spacing w:after="40"/>
            </w:pPr>
            <w:r>
              <w:rPr>
                <w:sz w:val="19"/>
              </w:rPr>
              <w:t>Secure retail design; high-impact displays</w:t>
            </w:r>
          </w:p>
        </w:tc>
        <w:tc>
          <w:tcPr>
            <w:tcW w:w="2340" w:type="dxa"/>
            <w:shd w:val="clear" w:color="auto" w:fill="F2F5F8"/>
            <w:tcMar>
              <w:top w:w="100" w:type="dxa"/>
              <w:left w:w="120" w:type="dxa"/>
              <w:bottom w:w="100" w:type="dxa"/>
              <w:right w:w="120" w:type="dxa"/>
            </w:tcMar>
          </w:tcPr>
          <w:p w14:paraId="43FA6972" w14:textId="77777777" w:rsidR="008A29A4" w:rsidRDefault="001D492B">
            <w:pPr>
              <w:spacing w:after="40"/>
            </w:pPr>
            <w:r>
              <w:rPr>
                <w:sz w:val="19"/>
              </w:rPr>
              <w:t>High security in SA protects stock but restricts open product interaction.</w:t>
            </w:r>
          </w:p>
        </w:tc>
      </w:tr>
    </w:tbl>
    <w:p w14:paraId="7E2FC0A9" w14:textId="77777777" w:rsidR="008A29A4" w:rsidRDefault="008A29A4"/>
    <w:p w14:paraId="08FF0151" w14:textId="77777777" w:rsidR="008A29A4" w:rsidRDefault="001D492B">
      <w:pPr>
        <w:keepNext/>
        <w:spacing w:before="200" w:after="40"/>
      </w:pPr>
      <w:r>
        <w:rPr>
          <w:b/>
        </w:rPr>
        <w:t>Outcome of Analysis</w:t>
      </w:r>
    </w:p>
    <w:p w14:paraId="39E245E3" w14:textId="77777777" w:rsidR="008A29A4" w:rsidRDefault="001D492B">
      <w:r>
        <w:t>In summary, Adidas successfully maintains global brand equity through core technology assets and global athletic sponsorships. However, commercial viability in South Africa depends on critical tactical adaptations: tiering product prices, expanding wholesale distribution networks, and aligning marketing communications with local sports culture.</w:t>
      </w:r>
    </w:p>
    <w:p w14:paraId="671D1E01" w14:textId="1334A547" w:rsidR="008A29A4" w:rsidRDefault="001D492B" w:rsidP="009327BA">
      <w:pPr>
        <w:keepNext/>
        <w:spacing w:before="280" w:after="80"/>
      </w:pPr>
      <w:r>
        <w:rPr>
          <w:b/>
          <w:color w:val="336699"/>
          <w:sz w:val="26"/>
        </w:rPr>
        <w:lastRenderedPageBreak/>
        <w:t xml:space="preserve">Part C: Critical Analysis of Market Entry Strategy in South Africa </w:t>
      </w:r>
      <w:r>
        <w:rPr>
          <w:b/>
        </w:rPr>
        <w:t>Strategic Trade-offs in Entry Mode Selection</w:t>
      </w:r>
    </w:p>
    <w:p w14:paraId="6314E7C6" w14:textId="77777777" w:rsidR="008A29A4" w:rsidRDefault="001D492B">
      <w:r>
        <w:t>Selecting an international market entry mode requires balancing strategic control, resource commitment, and risk exposure (Hill and Hult, 2020). Initially entering Sub-Saharan Africa through third-party licensing and direct exporting, Adidas faced severe agency problems, including inconsistent brand presentation, unauthorized discounting, and poor inventory management (Flores, 2014). To regain strategic control and secure its long-term positioning, Adidas established *Adidas South Africa (Pty) Ltd* as a who</w:t>
      </w:r>
      <w:r>
        <w:t>lly owned subsidiary via foreign direct investment (FDI) (Flores, 2014). This strategic pivot enabled direct oversight of brand marketing, pricing integrity, and retail expansion while ensuring compliance with local statutory mandates like B-BBEE (Mahajan, 2013).</w:t>
      </w:r>
    </w:p>
    <w:p w14:paraId="340C87D9" w14:textId="77777777" w:rsidR="008A29A4" w:rsidRDefault="001D492B">
      <w:r>
        <w:t xml:space="preserve">However, a critical analysis reveals that a wholly owned subsidiary model introduces substantial financial and operational risks (Hill and Hult, 2020). High capital commitment in owned physical stores and local distribution infrastructure exposes Adidas to South Africa’s macroeconomic instability, currency devaluation (ZAR), and high electricity costs arising from load-shedding (World Bank, 2023). Sourcing finished footwear from Asian manufacturing plants exposes the subsidiary to high import tariffs, port </w:t>
      </w:r>
      <w:r>
        <w:t>congestion, and shipping delays (Li, 2023). To balance strategic control against these environmental risks, Adidas adopted a hybrid market entry model: combining direct ownership of flagship experience stores in major metropolitan centers (e.g., Cape Town, Johannesburg) with extensive wholesale distribution partnerships (e.g., Totalsports, Studio 88) (buildd, 2026). This hybrid structure leverages local distributor networks to penetrate township economies while insulating Adidas from full physical asset exp</w:t>
      </w:r>
      <w:r>
        <w:t>osure. Consequently, this hybrid mechanism proves far more resilient than Nike’s heavier capital investment in standalone retail outlets, which suffered higher fixed cost burdens during local energy blackouts.</w:t>
      </w:r>
    </w:p>
    <w:p w14:paraId="5FC45F67" w14:textId="77777777" w:rsidR="008A29A4" w:rsidRDefault="001D492B">
      <w:pPr>
        <w:keepNext/>
        <w:spacing w:before="200" w:after="40"/>
      </w:pPr>
      <w:r>
        <w:rPr>
          <w:b/>
        </w:rPr>
        <w:t>Theoretical Evaluation: Dunning’s OLI Framework</w:t>
      </w:r>
    </w:p>
    <w:p w14:paraId="0B8CEEE1" w14:textId="77777777" w:rsidR="008A29A4" w:rsidRDefault="001D492B">
      <w:r>
        <w:t>Applying Dunning’s Eclectic Paradigm (OLI Framework) contextualizes the strategic logic behind Adidas' entry strategy (Dunning, 2000):</w:t>
      </w:r>
    </w:p>
    <w:tbl>
      <w:tblPr>
        <w:tblW w:w="0" w:type="auto"/>
        <w:jc w:val="center"/>
        <w:tblBorders>
          <w:top w:val="single" w:sz="4" w:space="0" w:color="D3D3D3"/>
          <w:bottom w:val="single" w:sz="4" w:space="0" w:color="D3D3D3"/>
          <w:insideH w:val="single" w:sz="4" w:space="0" w:color="D3D3D3"/>
        </w:tblBorders>
        <w:tblLook w:val="04A0" w:firstRow="1" w:lastRow="0" w:firstColumn="1" w:lastColumn="0" w:noHBand="0" w:noVBand="1"/>
      </w:tblPr>
      <w:tblGrid>
        <w:gridCol w:w="3120"/>
        <w:gridCol w:w="3120"/>
        <w:gridCol w:w="3120"/>
      </w:tblGrid>
      <w:tr w:rsidR="008A29A4" w14:paraId="03FA4B10" w14:textId="77777777">
        <w:trPr>
          <w:jc w:val="center"/>
        </w:trPr>
        <w:tc>
          <w:tcPr>
            <w:tcW w:w="3120" w:type="dxa"/>
            <w:shd w:val="clear" w:color="auto" w:fill="002060"/>
            <w:tcMar>
              <w:top w:w="100" w:type="dxa"/>
              <w:left w:w="120" w:type="dxa"/>
              <w:bottom w:w="100" w:type="dxa"/>
              <w:right w:w="120" w:type="dxa"/>
            </w:tcMar>
          </w:tcPr>
          <w:p w14:paraId="38B4D5E7" w14:textId="77777777" w:rsidR="008A29A4" w:rsidRDefault="001D492B">
            <w:pPr>
              <w:spacing w:after="40"/>
            </w:pPr>
            <w:r>
              <w:rPr>
                <w:b/>
                <w:color w:val="FFFFFF"/>
                <w:sz w:val="20"/>
              </w:rPr>
              <w:t>OLI Dimension</w:t>
            </w:r>
          </w:p>
        </w:tc>
        <w:tc>
          <w:tcPr>
            <w:tcW w:w="3120" w:type="dxa"/>
            <w:shd w:val="clear" w:color="auto" w:fill="002060"/>
            <w:tcMar>
              <w:top w:w="100" w:type="dxa"/>
              <w:left w:w="120" w:type="dxa"/>
              <w:bottom w:w="100" w:type="dxa"/>
              <w:right w:w="120" w:type="dxa"/>
            </w:tcMar>
          </w:tcPr>
          <w:p w14:paraId="0C7EC02F" w14:textId="77777777" w:rsidR="008A29A4" w:rsidRDefault="001D492B">
            <w:pPr>
              <w:spacing w:after="40"/>
            </w:pPr>
            <w:r>
              <w:rPr>
                <w:b/>
                <w:color w:val="FFFFFF"/>
                <w:sz w:val="20"/>
              </w:rPr>
              <w:t>Adidas Strategic Application</w:t>
            </w:r>
          </w:p>
        </w:tc>
        <w:tc>
          <w:tcPr>
            <w:tcW w:w="3120" w:type="dxa"/>
            <w:shd w:val="clear" w:color="auto" w:fill="002060"/>
            <w:tcMar>
              <w:top w:w="100" w:type="dxa"/>
              <w:left w:w="120" w:type="dxa"/>
              <w:bottom w:w="100" w:type="dxa"/>
              <w:right w:w="120" w:type="dxa"/>
            </w:tcMar>
          </w:tcPr>
          <w:p w14:paraId="759F8690" w14:textId="77777777" w:rsidR="008A29A4" w:rsidRDefault="001D492B">
            <w:pPr>
              <w:spacing w:after="40"/>
            </w:pPr>
            <w:r>
              <w:rPr>
                <w:b/>
                <w:color w:val="FFFFFF"/>
                <w:sz w:val="20"/>
              </w:rPr>
              <w:t>Critical Evaluation &amp; Strategic Risks</w:t>
            </w:r>
          </w:p>
        </w:tc>
      </w:tr>
      <w:tr w:rsidR="008A29A4" w14:paraId="79D3F0BA" w14:textId="77777777">
        <w:trPr>
          <w:jc w:val="center"/>
        </w:trPr>
        <w:tc>
          <w:tcPr>
            <w:tcW w:w="3120" w:type="dxa"/>
            <w:shd w:val="clear" w:color="auto" w:fill="F2F5F8"/>
            <w:tcMar>
              <w:top w:w="100" w:type="dxa"/>
              <w:left w:w="120" w:type="dxa"/>
              <w:bottom w:w="100" w:type="dxa"/>
              <w:right w:w="120" w:type="dxa"/>
            </w:tcMar>
          </w:tcPr>
          <w:p w14:paraId="341E44F5" w14:textId="77777777" w:rsidR="008A29A4" w:rsidRDefault="001D492B">
            <w:pPr>
              <w:spacing w:after="40"/>
            </w:pPr>
            <w:r>
              <w:rPr>
                <w:sz w:val="19"/>
              </w:rPr>
              <w:t>Ownership (O)</w:t>
            </w:r>
          </w:p>
        </w:tc>
        <w:tc>
          <w:tcPr>
            <w:tcW w:w="3120" w:type="dxa"/>
            <w:shd w:val="clear" w:color="auto" w:fill="F2F5F8"/>
            <w:tcMar>
              <w:top w:w="100" w:type="dxa"/>
              <w:left w:w="120" w:type="dxa"/>
              <w:bottom w:w="100" w:type="dxa"/>
              <w:right w:w="120" w:type="dxa"/>
            </w:tcMar>
          </w:tcPr>
          <w:p w14:paraId="084841ED" w14:textId="77777777" w:rsidR="008A29A4" w:rsidRDefault="001D492B">
            <w:pPr>
              <w:spacing w:after="40"/>
            </w:pPr>
            <w:r>
              <w:rPr>
                <w:sz w:val="19"/>
              </w:rPr>
              <w:t>Proprietary Boost/Lightstrike tech &amp; global brand equity</w:t>
            </w:r>
          </w:p>
        </w:tc>
        <w:tc>
          <w:tcPr>
            <w:tcW w:w="3120" w:type="dxa"/>
            <w:shd w:val="clear" w:color="auto" w:fill="F2F5F8"/>
            <w:tcMar>
              <w:top w:w="100" w:type="dxa"/>
              <w:left w:w="120" w:type="dxa"/>
              <w:bottom w:w="100" w:type="dxa"/>
              <w:right w:w="120" w:type="dxa"/>
            </w:tcMar>
          </w:tcPr>
          <w:p w14:paraId="5715C92F" w14:textId="77777777" w:rsidR="008A29A4" w:rsidRDefault="001D492B">
            <w:pPr>
              <w:spacing w:after="40"/>
            </w:pPr>
            <w:r>
              <w:rPr>
                <w:sz w:val="19"/>
              </w:rPr>
              <w:t>Tech advantages are vulnerable to aggressive local counterfeit trade.</w:t>
            </w:r>
          </w:p>
        </w:tc>
      </w:tr>
      <w:tr w:rsidR="008A29A4" w14:paraId="45266535" w14:textId="77777777">
        <w:trPr>
          <w:jc w:val="center"/>
        </w:trPr>
        <w:tc>
          <w:tcPr>
            <w:tcW w:w="3120" w:type="dxa"/>
            <w:shd w:val="clear" w:color="auto" w:fill="FFFFFF"/>
            <w:tcMar>
              <w:top w:w="100" w:type="dxa"/>
              <w:left w:w="120" w:type="dxa"/>
              <w:bottom w:w="100" w:type="dxa"/>
              <w:right w:w="120" w:type="dxa"/>
            </w:tcMar>
          </w:tcPr>
          <w:p w14:paraId="52C71BE9" w14:textId="77777777" w:rsidR="008A29A4" w:rsidRDefault="001D492B">
            <w:pPr>
              <w:spacing w:after="40"/>
            </w:pPr>
            <w:r>
              <w:rPr>
                <w:sz w:val="19"/>
              </w:rPr>
              <w:t>Location (L)</w:t>
            </w:r>
          </w:p>
        </w:tc>
        <w:tc>
          <w:tcPr>
            <w:tcW w:w="3120" w:type="dxa"/>
            <w:shd w:val="clear" w:color="auto" w:fill="FFFFFF"/>
            <w:tcMar>
              <w:top w:w="100" w:type="dxa"/>
              <w:left w:w="120" w:type="dxa"/>
              <w:bottom w:w="100" w:type="dxa"/>
              <w:right w:w="120" w:type="dxa"/>
            </w:tcMar>
          </w:tcPr>
          <w:p w14:paraId="3B869BBA" w14:textId="77777777" w:rsidR="008A29A4" w:rsidRDefault="001D492B">
            <w:pPr>
              <w:spacing w:after="40"/>
            </w:pPr>
            <w:r>
              <w:rPr>
                <w:sz w:val="19"/>
              </w:rPr>
              <w:t>SA as the financial, institutional, &amp; logistics hub for Africa</w:t>
            </w:r>
          </w:p>
        </w:tc>
        <w:tc>
          <w:tcPr>
            <w:tcW w:w="3120" w:type="dxa"/>
            <w:shd w:val="clear" w:color="auto" w:fill="FFFFFF"/>
            <w:tcMar>
              <w:top w:w="100" w:type="dxa"/>
              <w:left w:w="120" w:type="dxa"/>
              <w:bottom w:w="100" w:type="dxa"/>
              <w:right w:w="120" w:type="dxa"/>
            </w:tcMar>
          </w:tcPr>
          <w:p w14:paraId="3610FF7E" w14:textId="77777777" w:rsidR="008A29A4" w:rsidRDefault="001D492B">
            <w:pPr>
              <w:spacing w:after="40"/>
            </w:pPr>
            <w:r>
              <w:rPr>
                <w:sz w:val="19"/>
              </w:rPr>
              <w:t>Severe load-shedding &amp; port delays impair location advantages.</w:t>
            </w:r>
          </w:p>
        </w:tc>
      </w:tr>
      <w:tr w:rsidR="008A29A4" w14:paraId="2625A038" w14:textId="77777777">
        <w:trPr>
          <w:jc w:val="center"/>
        </w:trPr>
        <w:tc>
          <w:tcPr>
            <w:tcW w:w="3120" w:type="dxa"/>
            <w:shd w:val="clear" w:color="auto" w:fill="F2F5F8"/>
            <w:tcMar>
              <w:top w:w="100" w:type="dxa"/>
              <w:left w:w="120" w:type="dxa"/>
              <w:bottom w:w="100" w:type="dxa"/>
              <w:right w:w="120" w:type="dxa"/>
            </w:tcMar>
          </w:tcPr>
          <w:p w14:paraId="6D057353" w14:textId="77777777" w:rsidR="008A29A4" w:rsidRDefault="001D492B">
            <w:pPr>
              <w:spacing w:after="40"/>
            </w:pPr>
            <w:r>
              <w:rPr>
                <w:sz w:val="19"/>
              </w:rPr>
              <w:lastRenderedPageBreak/>
              <w:t>Internalization (I)</w:t>
            </w:r>
          </w:p>
        </w:tc>
        <w:tc>
          <w:tcPr>
            <w:tcW w:w="3120" w:type="dxa"/>
            <w:shd w:val="clear" w:color="auto" w:fill="F2F5F8"/>
            <w:tcMar>
              <w:top w:w="100" w:type="dxa"/>
              <w:left w:w="120" w:type="dxa"/>
              <w:bottom w:w="100" w:type="dxa"/>
              <w:right w:w="120" w:type="dxa"/>
            </w:tcMar>
          </w:tcPr>
          <w:p w14:paraId="05262587" w14:textId="77777777" w:rsidR="008A29A4" w:rsidRDefault="001D492B">
            <w:pPr>
              <w:spacing w:after="40"/>
            </w:pPr>
            <w:r>
              <w:rPr>
                <w:sz w:val="19"/>
              </w:rPr>
              <w:t>Direct subsidiary control over brand, pricing, &amp; distribution</w:t>
            </w:r>
          </w:p>
        </w:tc>
        <w:tc>
          <w:tcPr>
            <w:tcW w:w="3120" w:type="dxa"/>
            <w:shd w:val="clear" w:color="auto" w:fill="F2F5F8"/>
            <w:tcMar>
              <w:top w:w="100" w:type="dxa"/>
              <w:left w:w="120" w:type="dxa"/>
              <w:bottom w:w="100" w:type="dxa"/>
              <w:right w:w="120" w:type="dxa"/>
            </w:tcMar>
          </w:tcPr>
          <w:p w14:paraId="237A4E96" w14:textId="77777777" w:rsidR="008A29A4" w:rsidRDefault="001D492B">
            <w:pPr>
              <w:spacing w:after="40"/>
            </w:pPr>
            <w:r>
              <w:rPr>
                <w:sz w:val="19"/>
              </w:rPr>
              <w:t>High capital exposure increases vulnerability to ZAR currency devaluation.</w:t>
            </w:r>
          </w:p>
        </w:tc>
      </w:tr>
    </w:tbl>
    <w:p w14:paraId="0C804203" w14:textId="77777777" w:rsidR="008A29A4" w:rsidRDefault="008A29A4"/>
    <w:p w14:paraId="2F713360" w14:textId="77777777" w:rsidR="008A29A4" w:rsidRDefault="001D492B">
      <w:r>
        <w:t>Dunning’s model demonstrates that Adidas’ Ownership advantages—specifically global brand equity and patented sole technologies—provide a strong competitive edge over domestic footwear producers (Dunning, 2000). Location advantages in South Africa, including sophisticated financial markets and established retail malls, justify establishing a regional headquarters (Flores, 2014). Furthermore, Internalization advantages outweigh licensing options because maintaining direct subsidiary control protects brand equ</w:t>
      </w:r>
      <w:r>
        <w:t>ity from dilution and ensures consistent marketing execution (Dunning, 2000). However, a limitation of the OLI framework is its static perspective; it fails to fully account for dynamic macroeconomic shifts, such as sudden currency collapses or energy crises, which can erode location advantages overnight.</w:t>
      </w:r>
    </w:p>
    <w:p w14:paraId="24CCABE4" w14:textId="77777777" w:rsidR="008A29A4" w:rsidRDefault="001D492B">
      <w:pPr>
        <w:keepNext/>
        <w:spacing w:before="200" w:after="40"/>
      </w:pPr>
      <w:r>
        <w:rPr>
          <w:b/>
        </w:rPr>
        <w:t>Comparison of Alternative Entry Modes</w:t>
      </w:r>
    </w:p>
    <w:p w14:paraId="5AEAFE47" w14:textId="77777777" w:rsidR="008A29A4" w:rsidRDefault="001D492B">
      <w:pPr>
        <w:pStyle w:val="ListBullet"/>
        <w:spacing w:after="80"/>
      </w:pPr>
      <w:r>
        <w:t>Joint Ventures: Partnering with a domestic retail conglomerate would enhance local market knowledge and share capital risk. However, it introduces partner conflict over profit repatriation and brand strategy.</w:t>
      </w:r>
    </w:p>
    <w:p w14:paraId="0429C955" w14:textId="77777777" w:rsidR="008A29A4" w:rsidRDefault="001D492B">
      <w:pPr>
        <w:pStyle w:val="ListBullet"/>
        <w:spacing w:after="80"/>
      </w:pPr>
      <w:r>
        <w:t>Franchising: High-growth alternative that minimizes capital exposure. However, franchisee cost-cutting risks compromising store experience and customer service standards.</w:t>
      </w:r>
    </w:p>
    <w:p w14:paraId="521D65B2" w14:textId="77777777" w:rsidR="008A29A4" w:rsidRDefault="001D492B">
      <w:pPr>
        <w:pStyle w:val="ListBullet"/>
        <w:spacing w:after="80"/>
      </w:pPr>
      <w:r>
        <w:t>Wholly Owned Subsidiary + Wholesale (Chosen Hybrid): Delivers optimal balance between brand control and market coverage, though it requires ongoing management of wholesale partner relationships.</w:t>
      </w:r>
    </w:p>
    <w:p w14:paraId="4CD330C2" w14:textId="77777777" w:rsidR="008A29A4" w:rsidRDefault="001D492B">
      <w:pPr>
        <w:keepNext/>
        <w:spacing w:before="200" w:after="40"/>
      </w:pPr>
      <w:r>
        <w:rPr>
          <w:b/>
        </w:rPr>
        <w:t>Outcome of Analysis</w:t>
      </w:r>
    </w:p>
    <w:p w14:paraId="5D026D2C" w14:textId="77777777" w:rsidR="008A29A4" w:rsidRDefault="001D492B">
      <w:r>
        <w:t>In conclusion, Adidas’ hybrid market entry strategy in South Africa successfully balances operational control with risk mitigation. By retaining direct ownership over flagship brand centers while partnering with local wholesale chains, the firm protects its core brand equity while achieving broad market penetration across diverse socio-economic segments.</w:t>
      </w:r>
    </w:p>
    <w:p w14:paraId="7C28E6DE" w14:textId="65B54D83" w:rsidR="008A29A4" w:rsidRDefault="001D492B" w:rsidP="009327BA">
      <w:pPr>
        <w:keepNext/>
        <w:spacing w:before="280" w:after="80"/>
      </w:pPr>
      <w:r>
        <w:rPr>
          <w:b/>
          <w:color w:val="336699"/>
          <w:sz w:val="26"/>
        </w:rPr>
        <w:t xml:space="preserve">Part D: Critical Evaluation of Ethical Issues in Marketing Mix Strategy </w:t>
      </w:r>
      <w:r>
        <w:rPr>
          <w:b/>
        </w:rPr>
        <w:t>Ethical Evaluation and Theoretical Frameworks</w:t>
      </w:r>
    </w:p>
    <w:p w14:paraId="482DCECE" w14:textId="77777777" w:rsidR="008A29A4" w:rsidRDefault="001D492B">
      <w:r>
        <w:t xml:space="preserve">Evaluating the ethics of Adidas' marketing mix in South Africa reveals complex ethical challenges regarding socio-economic inequality, consumer vulnerability, environmental messaging, and supply chain governance (Crane and Matten, 2019). Operating in a nation with high income inequality creates unique ethical obligations for lifestyle product marketing (Mahajan, 2013). A primary ethical issue arises from aggressive Pricing and </w:t>
      </w:r>
      <w:r>
        <w:lastRenderedPageBreak/>
        <w:t xml:space="preserve">Promotion of high-end aspirational footwear within economically disadvantaged township communities. When Adidas promotes products priced at a large portion of the average monthly wage, critics argue it encourages conspicuous consumption and status-seeking spending among vulnerable youth (Crane and Matten, 2019). Applying Utilitarian Ethics (maximizing overall societal well-being) demonstrates that this practice generates negative net societal utility by diverting scarce household income away from essential </w:t>
      </w:r>
      <w:r>
        <w:t>human needs like education, nutrition, and healthcare. Therefore, Adidas actively exploits socio-economic status anxiety to drive commercial volume.</w:t>
      </w:r>
    </w:p>
    <w:p w14:paraId="20638DEE" w14:textId="77777777" w:rsidR="008A29A4" w:rsidRDefault="001D492B">
      <w:r>
        <w:t>Conversely, applying Deontological Ethics (evaluating the inherent morality of duties and actions) reveals that while Adidas has a right to market legitimate consumer goods globally, it violates its moral duty by capitalizing on psychological vulnerabilities driven by status anxiety in unequal societies (Crane and Matten, 2019). From a Stakeholder Theory perspective, Adidas prioritizes short-term shareholder financial returns over the long-term socio-economic well-being of low-income consumers (Grant, 2020)</w:t>
      </w:r>
      <w:r>
        <w:t>. These economic conditions directly shape consumer vulnerability in South Africa, where aspirational marketing directly contributes to household debt traps (Mahajan, 2013). Furthermore, product allocation practices create spatial segregation: premium, highly technical performance gear is concentrated in affluent urban shopping malls, while basic diffusion stock is directed to lower-income township stores, reinforcing structural socio-economic divisions. As a result, Adidas’ commercial strategy reinforces r</w:t>
      </w:r>
      <w:r>
        <w:t>ather than alleviates local inequality.</w:t>
      </w:r>
    </w:p>
    <w:p w14:paraId="264895D1" w14:textId="77777777" w:rsidR="008A29A4" w:rsidRDefault="001D492B">
      <w:pPr>
        <w:keepNext/>
        <w:spacing w:before="200" w:after="40"/>
      </w:pPr>
      <w:r>
        <w:rPr>
          <w:b/>
        </w:rPr>
        <w:t>Environmental Ethics and Supply Chain Analysis</w:t>
      </w:r>
    </w:p>
    <w:p w14:paraId="49A828CD" w14:textId="77777777" w:rsidR="008A29A4" w:rsidRDefault="001D492B">
      <w:r>
        <w:t>In the Product and Place dimensions, Adidas’ global environmental narrative—specifically its 'End Plastic Waste' campaign and Parley ocean plastic footwear lines—presents distinct ethical friction points (buildd, 2026):</w:t>
      </w:r>
    </w:p>
    <w:tbl>
      <w:tblPr>
        <w:tblW w:w="0" w:type="auto"/>
        <w:jc w:val="center"/>
        <w:tblBorders>
          <w:top w:val="single" w:sz="4" w:space="0" w:color="D3D3D3"/>
          <w:bottom w:val="single" w:sz="4" w:space="0" w:color="D3D3D3"/>
          <w:insideH w:val="single" w:sz="4" w:space="0" w:color="D3D3D3"/>
        </w:tblBorders>
        <w:tblLook w:val="04A0" w:firstRow="1" w:lastRow="0" w:firstColumn="1" w:lastColumn="0" w:noHBand="0" w:noVBand="1"/>
      </w:tblPr>
      <w:tblGrid>
        <w:gridCol w:w="2340"/>
        <w:gridCol w:w="2340"/>
        <w:gridCol w:w="2340"/>
        <w:gridCol w:w="2340"/>
      </w:tblGrid>
      <w:tr w:rsidR="008A29A4" w14:paraId="5805835D" w14:textId="77777777">
        <w:trPr>
          <w:jc w:val="center"/>
        </w:trPr>
        <w:tc>
          <w:tcPr>
            <w:tcW w:w="2340" w:type="dxa"/>
            <w:shd w:val="clear" w:color="auto" w:fill="002060"/>
            <w:tcMar>
              <w:top w:w="100" w:type="dxa"/>
              <w:left w:w="120" w:type="dxa"/>
              <w:bottom w:w="100" w:type="dxa"/>
              <w:right w:w="120" w:type="dxa"/>
            </w:tcMar>
          </w:tcPr>
          <w:p w14:paraId="53320AF3" w14:textId="77777777" w:rsidR="008A29A4" w:rsidRDefault="001D492B">
            <w:pPr>
              <w:spacing w:after="40"/>
            </w:pPr>
            <w:r>
              <w:rPr>
                <w:b/>
                <w:color w:val="FFFFFF"/>
                <w:sz w:val="20"/>
              </w:rPr>
              <w:t>Marketing Dimension</w:t>
            </w:r>
          </w:p>
        </w:tc>
        <w:tc>
          <w:tcPr>
            <w:tcW w:w="2340" w:type="dxa"/>
            <w:shd w:val="clear" w:color="auto" w:fill="002060"/>
            <w:tcMar>
              <w:top w:w="100" w:type="dxa"/>
              <w:left w:w="120" w:type="dxa"/>
              <w:bottom w:w="100" w:type="dxa"/>
              <w:right w:w="120" w:type="dxa"/>
            </w:tcMar>
          </w:tcPr>
          <w:p w14:paraId="41DAFB3F" w14:textId="77777777" w:rsidR="008A29A4" w:rsidRDefault="001D492B">
            <w:pPr>
              <w:spacing w:after="40"/>
            </w:pPr>
            <w:r>
              <w:rPr>
                <w:b/>
                <w:color w:val="FFFFFF"/>
                <w:sz w:val="20"/>
              </w:rPr>
              <w:t>Ethical Issue / Friction Point</w:t>
            </w:r>
          </w:p>
        </w:tc>
        <w:tc>
          <w:tcPr>
            <w:tcW w:w="2340" w:type="dxa"/>
            <w:shd w:val="clear" w:color="auto" w:fill="002060"/>
            <w:tcMar>
              <w:top w:w="100" w:type="dxa"/>
              <w:left w:w="120" w:type="dxa"/>
              <w:bottom w:w="100" w:type="dxa"/>
              <w:right w:w="120" w:type="dxa"/>
            </w:tcMar>
          </w:tcPr>
          <w:p w14:paraId="08E57A1B" w14:textId="77777777" w:rsidR="008A29A4" w:rsidRDefault="001D492B">
            <w:pPr>
              <w:spacing w:after="40"/>
            </w:pPr>
            <w:r>
              <w:rPr>
                <w:b/>
                <w:color w:val="FFFFFF"/>
                <w:sz w:val="20"/>
              </w:rPr>
              <w:t>Stakeholder Impact</w:t>
            </w:r>
          </w:p>
        </w:tc>
        <w:tc>
          <w:tcPr>
            <w:tcW w:w="2340" w:type="dxa"/>
            <w:shd w:val="clear" w:color="auto" w:fill="002060"/>
            <w:tcMar>
              <w:top w:w="100" w:type="dxa"/>
              <w:left w:w="120" w:type="dxa"/>
              <w:bottom w:w="100" w:type="dxa"/>
              <w:right w:w="120" w:type="dxa"/>
            </w:tcMar>
          </w:tcPr>
          <w:p w14:paraId="668A0598" w14:textId="77777777" w:rsidR="008A29A4" w:rsidRDefault="001D492B">
            <w:pPr>
              <w:spacing w:after="40"/>
            </w:pPr>
            <w:r>
              <w:rPr>
                <w:b/>
                <w:color w:val="FFFFFF"/>
                <w:sz w:val="20"/>
              </w:rPr>
              <w:t>Theoretical Evaluation (CSR / Ethics)</w:t>
            </w:r>
          </w:p>
        </w:tc>
      </w:tr>
      <w:tr w:rsidR="008A29A4" w14:paraId="03A1F06F" w14:textId="77777777">
        <w:trPr>
          <w:jc w:val="center"/>
        </w:trPr>
        <w:tc>
          <w:tcPr>
            <w:tcW w:w="2340" w:type="dxa"/>
            <w:shd w:val="clear" w:color="auto" w:fill="F2F5F8"/>
            <w:tcMar>
              <w:top w:w="100" w:type="dxa"/>
              <w:left w:w="120" w:type="dxa"/>
              <w:bottom w:w="100" w:type="dxa"/>
              <w:right w:w="120" w:type="dxa"/>
            </w:tcMar>
          </w:tcPr>
          <w:p w14:paraId="668D7D3F" w14:textId="77777777" w:rsidR="008A29A4" w:rsidRDefault="001D492B">
            <w:pPr>
              <w:spacing w:after="40"/>
            </w:pPr>
            <w:r>
              <w:rPr>
                <w:sz w:val="19"/>
              </w:rPr>
              <w:t>Price &amp; Promotion</w:t>
            </w:r>
          </w:p>
        </w:tc>
        <w:tc>
          <w:tcPr>
            <w:tcW w:w="2340" w:type="dxa"/>
            <w:shd w:val="clear" w:color="auto" w:fill="F2F5F8"/>
            <w:tcMar>
              <w:top w:w="100" w:type="dxa"/>
              <w:left w:w="120" w:type="dxa"/>
              <w:bottom w:w="100" w:type="dxa"/>
              <w:right w:w="120" w:type="dxa"/>
            </w:tcMar>
          </w:tcPr>
          <w:p w14:paraId="5D0ABA65" w14:textId="77777777" w:rsidR="008A29A4" w:rsidRDefault="001D492B">
            <w:pPr>
              <w:spacing w:after="40"/>
            </w:pPr>
            <w:r>
              <w:rPr>
                <w:sz w:val="19"/>
              </w:rPr>
              <w:t>Aspirational marketing of premium goods in low-income areas</w:t>
            </w:r>
          </w:p>
        </w:tc>
        <w:tc>
          <w:tcPr>
            <w:tcW w:w="2340" w:type="dxa"/>
            <w:shd w:val="clear" w:color="auto" w:fill="F2F5F8"/>
            <w:tcMar>
              <w:top w:w="100" w:type="dxa"/>
              <w:left w:w="120" w:type="dxa"/>
              <w:bottom w:w="100" w:type="dxa"/>
              <w:right w:w="120" w:type="dxa"/>
            </w:tcMar>
          </w:tcPr>
          <w:p w14:paraId="7F9D8CBB" w14:textId="77777777" w:rsidR="008A29A4" w:rsidRDefault="001D492B">
            <w:pPr>
              <w:spacing w:after="40"/>
            </w:pPr>
            <w:r>
              <w:rPr>
                <w:sz w:val="19"/>
              </w:rPr>
              <w:t>Low-income youth; local township families</w:t>
            </w:r>
          </w:p>
        </w:tc>
        <w:tc>
          <w:tcPr>
            <w:tcW w:w="2340" w:type="dxa"/>
            <w:shd w:val="clear" w:color="auto" w:fill="F2F5F8"/>
            <w:tcMar>
              <w:top w:w="100" w:type="dxa"/>
              <w:left w:w="120" w:type="dxa"/>
              <w:bottom w:w="100" w:type="dxa"/>
              <w:right w:w="120" w:type="dxa"/>
            </w:tcMar>
          </w:tcPr>
          <w:p w14:paraId="5A2CCC2E" w14:textId="77777777" w:rsidR="008A29A4" w:rsidRDefault="001D492B">
            <w:pPr>
              <w:spacing w:after="40"/>
            </w:pPr>
            <w:r>
              <w:rPr>
                <w:sz w:val="19"/>
              </w:rPr>
              <w:t>Violates Utilitarian ethics by driving conspicuous consumption.</w:t>
            </w:r>
          </w:p>
        </w:tc>
      </w:tr>
      <w:tr w:rsidR="008A29A4" w14:paraId="7273901C" w14:textId="77777777">
        <w:trPr>
          <w:jc w:val="center"/>
        </w:trPr>
        <w:tc>
          <w:tcPr>
            <w:tcW w:w="2340" w:type="dxa"/>
            <w:shd w:val="clear" w:color="auto" w:fill="FFFFFF"/>
            <w:tcMar>
              <w:top w:w="100" w:type="dxa"/>
              <w:left w:w="120" w:type="dxa"/>
              <w:bottom w:w="100" w:type="dxa"/>
              <w:right w:w="120" w:type="dxa"/>
            </w:tcMar>
          </w:tcPr>
          <w:p w14:paraId="76917F21" w14:textId="77777777" w:rsidR="008A29A4" w:rsidRDefault="001D492B">
            <w:pPr>
              <w:spacing w:after="40"/>
            </w:pPr>
            <w:r>
              <w:rPr>
                <w:sz w:val="19"/>
              </w:rPr>
              <w:t>Product &amp; Place</w:t>
            </w:r>
          </w:p>
        </w:tc>
        <w:tc>
          <w:tcPr>
            <w:tcW w:w="2340" w:type="dxa"/>
            <w:shd w:val="clear" w:color="auto" w:fill="FFFFFF"/>
            <w:tcMar>
              <w:top w:w="100" w:type="dxa"/>
              <w:left w:w="120" w:type="dxa"/>
              <w:bottom w:w="100" w:type="dxa"/>
              <w:right w:w="120" w:type="dxa"/>
            </w:tcMar>
          </w:tcPr>
          <w:p w14:paraId="46C706A8" w14:textId="77777777" w:rsidR="008A29A4" w:rsidRDefault="001D492B">
            <w:pPr>
              <w:spacing w:after="40"/>
            </w:pPr>
            <w:r>
              <w:rPr>
                <w:sz w:val="19"/>
              </w:rPr>
              <w:t>Premium pricing on eco-friendly footwear lines</w:t>
            </w:r>
          </w:p>
        </w:tc>
        <w:tc>
          <w:tcPr>
            <w:tcW w:w="2340" w:type="dxa"/>
            <w:shd w:val="clear" w:color="auto" w:fill="FFFFFF"/>
            <w:tcMar>
              <w:top w:w="100" w:type="dxa"/>
              <w:left w:w="120" w:type="dxa"/>
              <w:bottom w:w="100" w:type="dxa"/>
              <w:right w:w="120" w:type="dxa"/>
            </w:tcMar>
          </w:tcPr>
          <w:p w14:paraId="5C5723A3" w14:textId="77777777" w:rsidR="008A29A4" w:rsidRDefault="001D492B">
            <w:pPr>
              <w:spacing w:after="40"/>
            </w:pPr>
            <w:r>
              <w:rPr>
                <w:sz w:val="19"/>
              </w:rPr>
              <w:t>Price-sensitive consumers; local environment</w:t>
            </w:r>
          </w:p>
        </w:tc>
        <w:tc>
          <w:tcPr>
            <w:tcW w:w="2340" w:type="dxa"/>
            <w:shd w:val="clear" w:color="auto" w:fill="FFFFFF"/>
            <w:tcMar>
              <w:top w:w="100" w:type="dxa"/>
              <w:left w:w="120" w:type="dxa"/>
              <w:bottom w:w="100" w:type="dxa"/>
              <w:right w:w="120" w:type="dxa"/>
            </w:tcMar>
          </w:tcPr>
          <w:p w14:paraId="15FEFE6E" w14:textId="77777777" w:rsidR="008A29A4" w:rsidRDefault="001D492B">
            <w:pPr>
              <w:spacing w:after="40"/>
            </w:pPr>
            <w:r>
              <w:rPr>
                <w:sz w:val="19"/>
              </w:rPr>
              <w:t>Exhibits greenwashing risk; eco-lines limited to wealthy buyers.</w:t>
            </w:r>
          </w:p>
        </w:tc>
      </w:tr>
      <w:tr w:rsidR="008A29A4" w14:paraId="136B98CB" w14:textId="77777777">
        <w:trPr>
          <w:jc w:val="center"/>
        </w:trPr>
        <w:tc>
          <w:tcPr>
            <w:tcW w:w="2340" w:type="dxa"/>
            <w:shd w:val="clear" w:color="auto" w:fill="F2F5F8"/>
            <w:tcMar>
              <w:top w:w="100" w:type="dxa"/>
              <w:left w:w="120" w:type="dxa"/>
              <w:bottom w:w="100" w:type="dxa"/>
              <w:right w:w="120" w:type="dxa"/>
            </w:tcMar>
          </w:tcPr>
          <w:p w14:paraId="566C6D51" w14:textId="77777777" w:rsidR="008A29A4" w:rsidRDefault="001D492B">
            <w:pPr>
              <w:spacing w:after="40"/>
            </w:pPr>
            <w:r>
              <w:rPr>
                <w:sz w:val="19"/>
              </w:rPr>
              <w:t>Supply Chain</w:t>
            </w:r>
          </w:p>
        </w:tc>
        <w:tc>
          <w:tcPr>
            <w:tcW w:w="2340" w:type="dxa"/>
            <w:shd w:val="clear" w:color="auto" w:fill="F2F5F8"/>
            <w:tcMar>
              <w:top w:w="100" w:type="dxa"/>
              <w:left w:w="120" w:type="dxa"/>
              <w:bottom w:w="100" w:type="dxa"/>
              <w:right w:w="120" w:type="dxa"/>
            </w:tcMar>
          </w:tcPr>
          <w:p w14:paraId="18AAB30A" w14:textId="77777777" w:rsidR="008A29A4" w:rsidRDefault="001D492B">
            <w:pPr>
              <w:spacing w:after="40"/>
            </w:pPr>
            <w:r>
              <w:rPr>
                <w:sz w:val="19"/>
              </w:rPr>
              <w:t>Offshore Asian production vs. domestic manufacturing</w:t>
            </w:r>
          </w:p>
        </w:tc>
        <w:tc>
          <w:tcPr>
            <w:tcW w:w="2340" w:type="dxa"/>
            <w:shd w:val="clear" w:color="auto" w:fill="F2F5F8"/>
            <w:tcMar>
              <w:top w:w="100" w:type="dxa"/>
              <w:left w:w="120" w:type="dxa"/>
              <w:bottom w:w="100" w:type="dxa"/>
              <w:right w:w="120" w:type="dxa"/>
            </w:tcMar>
          </w:tcPr>
          <w:p w14:paraId="67A34EB6" w14:textId="77777777" w:rsidR="008A29A4" w:rsidRDefault="001D492B">
            <w:pPr>
              <w:spacing w:after="40"/>
            </w:pPr>
            <w:r>
              <w:rPr>
                <w:sz w:val="19"/>
              </w:rPr>
              <w:t>South African textile workers &amp; local economy</w:t>
            </w:r>
          </w:p>
        </w:tc>
        <w:tc>
          <w:tcPr>
            <w:tcW w:w="2340" w:type="dxa"/>
            <w:shd w:val="clear" w:color="auto" w:fill="F2F5F8"/>
            <w:tcMar>
              <w:top w:w="100" w:type="dxa"/>
              <w:left w:w="120" w:type="dxa"/>
              <w:bottom w:w="100" w:type="dxa"/>
              <w:right w:w="120" w:type="dxa"/>
            </w:tcMar>
          </w:tcPr>
          <w:p w14:paraId="7F0F9247" w14:textId="77777777" w:rsidR="008A29A4" w:rsidRDefault="001D492B">
            <w:pPr>
              <w:spacing w:after="40"/>
            </w:pPr>
            <w:r>
              <w:rPr>
                <w:sz w:val="19"/>
              </w:rPr>
              <w:t>Fails Stakeholder Theory by prioritizing cheap offshore labor.</w:t>
            </w:r>
          </w:p>
        </w:tc>
      </w:tr>
    </w:tbl>
    <w:p w14:paraId="21D165E9" w14:textId="77777777" w:rsidR="008A29A4" w:rsidRDefault="008A29A4"/>
    <w:p w14:paraId="793F5E07" w14:textId="77777777" w:rsidR="008A29A4" w:rsidRDefault="001D492B">
      <w:r>
        <w:lastRenderedPageBreak/>
        <w:t>A critical ethical limitation is the pricing gap surrounding sustainable product ranges (Li, 2023). By positioning recycled footwear collections at premium price points, Adidas limits sustainable consumption options to wealthy consumers, while price-sensitive buyers purchase standard synthetic products with higher environmental footprints. Critically, importing mass-produced footwear from Asian factories via international shipping networks into South Africa—where the electricity grid depends on coal—exposes</w:t>
      </w:r>
      <w:r>
        <w:t xml:space="preserve"> the firm to accusations of greenwashing (Li, 2023). Furthermore, regarding supply chain governance, while Adidas maintains strict supplier workplace codes of conduct in East Asia, relying entirely on imported finished goods rather than investing in local South African footwear manufacturing limits direct job creation within the domestic economy (Mahajan, 2013). This indicates a fundamental gap between Adidas' corporate ESG rhetoric and its local operational execution.</w:t>
      </w:r>
    </w:p>
    <w:p w14:paraId="0F073033" w14:textId="77777777" w:rsidR="008A29A4" w:rsidRDefault="001D492B">
      <w:pPr>
        <w:keepNext/>
        <w:spacing w:before="200" w:after="40"/>
      </w:pPr>
      <w:r>
        <w:rPr>
          <w:b/>
        </w:rPr>
        <w:t>Outcome of Analysis</w:t>
      </w:r>
    </w:p>
    <w:p w14:paraId="21D0DF88" w14:textId="77777777" w:rsidR="008A29A4" w:rsidRDefault="001D492B">
      <w:r>
        <w:t>Ultimately, evaluating Adidas’ marketing mix reveals that maintaining corporate social responsibility (CSR) obligations in emerging markets requires moving beyond passive compliance. The firm must introduce affordable sustainable product tiers, ensure fair marketing practices across diverse communities, and support local socio-economic development initiatives.</w:t>
      </w:r>
    </w:p>
    <w:p w14:paraId="651C376D" w14:textId="776B87AF" w:rsidR="008A29A4" w:rsidRDefault="001D492B">
      <w:pPr>
        <w:keepNext/>
        <w:spacing w:before="280" w:after="80"/>
      </w:pPr>
      <w:r>
        <w:rPr>
          <w:b/>
          <w:color w:val="336699"/>
          <w:sz w:val="26"/>
        </w:rPr>
        <w:t xml:space="preserve">Part E: Strategic Recommendations for Future International Expansion </w:t>
      </w:r>
    </w:p>
    <w:p w14:paraId="06873455" w14:textId="77777777" w:rsidR="008A29A4" w:rsidRDefault="001D492B">
      <w:pPr>
        <w:keepNext/>
        <w:spacing w:before="200" w:after="40"/>
      </w:pPr>
      <w:r>
        <w:rPr>
          <w:b/>
        </w:rPr>
        <w:t>Upgraded Recommendations and Feasibility Matrix</w:t>
      </w:r>
    </w:p>
    <w:p w14:paraId="0BEF4B4B" w14:textId="77777777" w:rsidR="008A29A4" w:rsidRDefault="001D492B">
      <w:r>
        <w:t>To enhance cross-border operational resilience, maintain premium brand equity, and ensure sustainable international expansion, Adidas should execute four prioritized strategic initiatives (Grant, 2020).</w:t>
      </w:r>
    </w:p>
    <w:p w14:paraId="76282860" w14:textId="77777777" w:rsidR="008A29A4" w:rsidRDefault="001D492B">
      <w:pPr>
        <w:pStyle w:val="ListBullet"/>
        <w:spacing w:after="80"/>
      </w:pPr>
      <w:r>
        <w:t>1. Regional Nearshore Assembly Facilities (Priority: High | Impact: High | Feasibility: High): Partner with established textile manufacturers in Southern Africa to establish regional assembly facilities for high-volume diffusion lines, lowering import duty burdens from 30% to under 10% and insulating operations from ZAR volatility (Mahajan, 2013).</w:t>
      </w:r>
    </w:p>
    <w:p w14:paraId="7DA1EA8D" w14:textId="77777777" w:rsidR="008A29A4" w:rsidRDefault="001D492B">
      <w:pPr>
        <w:pStyle w:val="ListBullet"/>
        <w:spacing w:after="80"/>
      </w:pPr>
      <w:r>
        <w:t>2. Tiered Affordable Eco-Footwear (Priority: Medium | Impact: High | Feasibility: Moderate): Launch an accessible sustainable footwear collection that integrates recycled ocean plastics into entry-level price tiers, expanding eco-access to price-sensitive youth and countering greenwashing claims (Li, 2023).</w:t>
      </w:r>
    </w:p>
    <w:p w14:paraId="47B010D8" w14:textId="77777777" w:rsidR="008A29A4" w:rsidRDefault="001D492B">
      <w:pPr>
        <w:pStyle w:val="ListBullet"/>
        <w:spacing w:after="80"/>
      </w:pPr>
      <w:r>
        <w:t>3. Community Value Re-Investment Program (Priority: High | Impact: Medium | Feasibility: High): Reinvest 2% of annual net revenue generated from premium regional footwear launches directly into local youth sports facilities in South African township communities, fulfilling CSR commitments (Crane and Matten, 2019).</w:t>
      </w:r>
    </w:p>
    <w:p w14:paraId="4882FE6B" w14:textId="77777777" w:rsidR="008A29A4" w:rsidRDefault="001D492B">
      <w:pPr>
        <w:pStyle w:val="ListBullet"/>
        <w:spacing w:after="80"/>
      </w:pPr>
      <w:r>
        <w:lastRenderedPageBreak/>
        <w:t>4. Low-Bandwidth Mobile Commerce Application (Priority: Medium | Impact: Medium | Feasibility: High): Build a low-bandwidth mobile shopping application integrated with local digital wallets (e.g., buy-now-pay-later) tailored to South African connectivity infrastructure, bypassing load-shedding barriers (Chaffey and Ellis-Chadwick, 2019).</w:t>
      </w:r>
    </w:p>
    <w:tbl>
      <w:tblPr>
        <w:tblW w:w="0" w:type="auto"/>
        <w:jc w:val="center"/>
        <w:tblBorders>
          <w:top w:val="single" w:sz="4" w:space="0" w:color="D3D3D3"/>
          <w:bottom w:val="single" w:sz="4" w:space="0" w:color="D3D3D3"/>
          <w:insideH w:val="single" w:sz="4" w:space="0" w:color="D3D3D3"/>
        </w:tblBorders>
        <w:tblLook w:val="04A0" w:firstRow="1" w:lastRow="0" w:firstColumn="1" w:lastColumn="0" w:noHBand="0" w:noVBand="1"/>
      </w:tblPr>
      <w:tblGrid>
        <w:gridCol w:w="2340"/>
        <w:gridCol w:w="2340"/>
        <w:gridCol w:w="2340"/>
        <w:gridCol w:w="2340"/>
      </w:tblGrid>
      <w:tr w:rsidR="008A29A4" w14:paraId="18BC2A92" w14:textId="77777777">
        <w:trPr>
          <w:jc w:val="center"/>
        </w:trPr>
        <w:tc>
          <w:tcPr>
            <w:tcW w:w="2340" w:type="dxa"/>
            <w:shd w:val="clear" w:color="auto" w:fill="002060"/>
            <w:tcMar>
              <w:top w:w="100" w:type="dxa"/>
              <w:left w:w="120" w:type="dxa"/>
              <w:bottom w:w="100" w:type="dxa"/>
              <w:right w:w="120" w:type="dxa"/>
            </w:tcMar>
          </w:tcPr>
          <w:p w14:paraId="64672171" w14:textId="77777777" w:rsidR="008A29A4" w:rsidRDefault="001D492B">
            <w:pPr>
              <w:spacing w:after="40"/>
            </w:pPr>
            <w:r>
              <w:rPr>
                <w:b/>
                <w:color w:val="FFFFFF"/>
                <w:sz w:val="20"/>
              </w:rPr>
              <w:t>Recommendation &amp; Priority</w:t>
            </w:r>
          </w:p>
        </w:tc>
        <w:tc>
          <w:tcPr>
            <w:tcW w:w="2340" w:type="dxa"/>
            <w:shd w:val="clear" w:color="auto" w:fill="002060"/>
            <w:tcMar>
              <w:top w:w="100" w:type="dxa"/>
              <w:left w:w="120" w:type="dxa"/>
              <w:bottom w:w="100" w:type="dxa"/>
              <w:right w:w="120" w:type="dxa"/>
            </w:tcMar>
          </w:tcPr>
          <w:p w14:paraId="637ACC55" w14:textId="77777777" w:rsidR="008A29A4" w:rsidRDefault="001D492B">
            <w:pPr>
              <w:spacing w:after="40"/>
            </w:pPr>
            <w:r>
              <w:rPr>
                <w:b/>
                <w:color w:val="FFFFFF"/>
                <w:sz w:val="20"/>
              </w:rPr>
              <w:t>Strategic Justification</w:t>
            </w:r>
          </w:p>
        </w:tc>
        <w:tc>
          <w:tcPr>
            <w:tcW w:w="2340" w:type="dxa"/>
            <w:shd w:val="clear" w:color="auto" w:fill="002060"/>
            <w:tcMar>
              <w:top w:w="100" w:type="dxa"/>
              <w:left w:w="120" w:type="dxa"/>
              <w:bottom w:w="100" w:type="dxa"/>
              <w:right w:w="120" w:type="dxa"/>
            </w:tcMar>
          </w:tcPr>
          <w:p w14:paraId="78FDC260" w14:textId="77777777" w:rsidR="008A29A4" w:rsidRDefault="001D492B">
            <w:pPr>
              <w:spacing w:after="40"/>
            </w:pPr>
            <w:r>
              <w:rPr>
                <w:b/>
                <w:color w:val="FFFFFF"/>
                <w:sz w:val="20"/>
              </w:rPr>
              <w:t>Feasibility &amp; Resource Analysis</w:t>
            </w:r>
          </w:p>
        </w:tc>
        <w:tc>
          <w:tcPr>
            <w:tcW w:w="2340" w:type="dxa"/>
            <w:shd w:val="clear" w:color="auto" w:fill="002060"/>
            <w:tcMar>
              <w:top w:w="100" w:type="dxa"/>
              <w:left w:w="120" w:type="dxa"/>
              <w:bottom w:w="100" w:type="dxa"/>
              <w:right w:w="120" w:type="dxa"/>
            </w:tcMar>
          </w:tcPr>
          <w:p w14:paraId="3A16D37D" w14:textId="77777777" w:rsidR="008A29A4" w:rsidRDefault="001D492B">
            <w:pPr>
              <w:spacing w:after="40"/>
            </w:pPr>
            <w:r>
              <w:rPr>
                <w:b/>
                <w:color w:val="FFFFFF"/>
                <w:sz w:val="20"/>
              </w:rPr>
              <w:t>Competitive Advantage &amp; Risk Mitigation</w:t>
            </w:r>
          </w:p>
        </w:tc>
      </w:tr>
      <w:tr w:rsidR="008A29A4" w14:paraId="75190E68" w14:textId="77777777">
        <w:trPr>
          <w:jc w:val="center"/>
        </w:trPr>
        <w:tc>
          <w:tcPr>
            <w:tcW w:w="2340" w:type="dxa"/>
            <w:shd w:val="clear" w:color="auto" w:fill="F2F5F8"/>
            <w:tcMar>
              <w:top w:w="100" w:type="dxa"/>
              <w:left w:w="120" w:type="dxa"/>
              <w:bottom w:w="100" w:type="dxa"/>
              <w:right w:w="120" w:type="dxa"/>
            </w:tcMar>
          </w:tcPr>
          <w:p w14:paraId="05B9D372" w14:textId="77777777" w:rsidR="008A29A4" w:rsidRDefault="001D492B">
            <w:pPr>
              <w:spacing w:after="40"/>
            </w:pPr>
            <w:r>
              <w:rPr>
                <w:sz w:val="19"/>
              </w:rPr>
              <w:t>1. Regional Finishing Facilities (High)</w:t>
            </w:r>
          </w:p>
        </w:tc>
        <w:tc>
          <w:tcPr>
            <w:tcW w:w="2340" w:type="dxa"/>
            <w:shd w:val="clear" w:color="auto" w:fill="F2F5F8"/>
            <w:tcMar>
              <w:top w:w="100" w:type="dxa"/>
              <w:left w:w="120" w:type="dxa"/>
              <w:bottom w:w="100" w:type="dxa"/>
              <w:right w:w="120" w:type="dxa"/>
            </w:tcMar>
          </w:tcPr>
          <w:p w14:paraId="44F17CED" w14:textId="77777777" w:rsidR="008A29A4" w:rsidRDefault="001D492B">
            <w:pPr>
              <w:spacing w:after="40"/>
            </w:pPr>
            <w:r>
              <w:rPr>
                <w:sz w:val="19"/>
              </w:rPr>
              <w:t>Lowers import duties, mitigates ZAR volatility, &amp; creates local jobs.</w:t>
            </w:r>
          </w:p>
        </w:tc>
        <w:tc>
          <w:tcPr>
            <w:tcW w:w="2340" w:type="dxa"/>
            <w:shd w:val="clear" w:color="auto" w:fill="F2F5F8"/>
            <w:tcMar>
              <w:top w:w="100" w:type="dxa"/>
              <w:left w:w="120" w:type="dxa"/>
              <w:bottom w:w="100" w:type="dxa"/>
              <w:right w:w="120" w:type="dxa"/>
            </w:tcMar>
          </w:tcPr>
          <w:p w14:paraId="7F5278FE" w14:textId="77777777" w:rsidR="008A29A4" w:rsidRDefault="001D492B">
            <w:pPr>
              <w:spacing w:after="40"/>
            </w:pPr>
            <w:r>
              <w:rPr>
                <w:sz w:val="19"/>
              </w:rPr>
              <w:t>High feasibility; leverages existing local textile infrastructure.</w:t>
            </w:r>
          </w:p>
        </w:tc>
        <w:tc>
          <w:tcPr>
            <w:tcW w:w="2340" w:type="dxa"/>
            <w:shd w:val="clear" w:color="auto" w:fill="F2F5F8"/>
            <w:tcMar>
              <w:top w:w="100" w:type="dxa"/>
              <w:left w:w="120" w:type="dxa"/>
              <w:bottom w:w="100" w:type="dxa"/>
              <w:right w:w="120" w:type="dxa"/>
            </w:tcMar>
          </w:tcPr>
          <w:p w14:paraId="19F8B3DE" w14:textId="77777777" w:rsidR="008A29A4" w:rsidRDefault="001D492B">
            <w:pPr>
              <w:spacing w:after="40"/>
            </w:pPr>
            <w:r>
              <w:rPr>
                <w:sz w:val="19"/>
              </w:rPr>
              <w:t>Delivers cost leadership over Nike; mitigates local quality gaps via strict QA.</w:t>
            </w:r>
          </w:p>
        </w:tc>
      </w:tr>
      <w:tr w:rsidR="008A29A4" w14:paraId="60B196F3" w14:textId="77777777">
        <w:trPr>
          <w:jc w:val="center"/>
        </w:trPr>
        <w:tc>
          <w:tcPr>
            <w:tcW w:w="2340" w:type="dxa"/>
            <w:shd w:val="clear" w:color="auto" w:fill="FFFFFF"/>
            <w:tcMar>
              <w:top w:w="100" w:type="dxa"/>
              <w:left w:w="120" w:type="dxa"/>
              <w:bottom w:w="100" w:type="dxa"/>
              <w:right w:w="120" w:type="dxa"/>
            </w:tcMar>
          </w:tcPr>
          <w:p w14:paraId="5D4AA5EA" w14:textId="77777777" w:rsidR="008A29A4" w:rsidRDefault="001D492B">
            <w:pPr>
              <w:spacing w:after="40"/>
            </w:pPr>
            <w:r>
              <w:rPr>
                <w:sz w:val="19"/>
              </w:rPr>
              <w:t>2. Tiered Eco-Footwear Lines (Medium)</w:t>
            </w:r>
          </w:p>
        </w:tc>
        <w:tc>
          <w:tcPr>
            <w:tcW w:w="2340" w:type="dxa"/>
            <w:shd w:val="clear" w:color="auto" w:fill="FFFFFF"/>
            <w:tcMar>
              <w:top w:w="100" w:type="dxa"/>
              <w:left w:w="120" w:type="dxa"/>
              <w:bottom w:w="100" w:type="dxa"/>
              <w:right w:w="120" w:type="dxa"/>
            </w:tcMar>
          </w:tcPr>
          <w:p w14:paraId="13CBDED9" w14:textId="77777777" w:rsidR="008A29A4" w:rsidRDefault="001D492B">
            <w:pPr>
              <w:spacing w:after="40"/>
            </w:pPr>
            <w:r>
              <w:rPr>
                <w:sz w:val="19"/>
              </w:rPr>
              <w:t>Expands eco-access to price-sensitive buyers; counters greenwashing.</w:t>
            </w:r>
          </w:p>
        </w:tc>
        <w:tc>
          <w:tcPr>
            <w:tcW w:w="2340" w:type="dxa"/>
            <w:shd w:val="clear" w:color="auto" w:fill="FFFFFF"/>
            <w:tcMar>
              <w:top w:w="100" w:type="dxa"/>
              <w:left w:w="120" w:type="dxa"/>
              <w:bottom w:w="100" w:type="dxa"/>
              <w:right w:w="120" w:type="dxa"/>
            </w:tcMar>
          </w:tcPr>
          <w:p w14:paraId="0F30E056" w14:textId="77777777" w:rsidR="008A29A4" w:rsidRDefault="001D492B">
            <w:pPr>
              <w:spacing w:after="40"/>
            </w:pPr>
            <w:r>
              <w:rPr>
                <w:sz w:val="19"/>
              </w:rPr>
              <w:t>Moderate feasibility; requires supply chain cost optimization.</w:t>
            </w:r>
          </w:p>
        </w:tc>
        <w:tc>
          <w:tcPr>
            <w:tcW w:w="2340" w:type="dxa"/>
            <w:shd w:val="clear" w:color="auto" w:fill="FFFFFF"/>
            <w:tcMar>
              <w:top w:w="100" w:type="dxa"/>
              <w:left w:w="120" w:type="dxa"/>
              <w:bottom w:w="100" w:type="dxa"/>
              <w:right w:w="120" w:type="dxa"/>
            </w:tcMar>
          </w:tcPr>
          <w:p w14:paraId="611AEAE1" w14:textId="77777777" w:rsidR="008A29A4" w:rsidRDefault="001D492B">
            <w:pPr>
              <w:spacing w:after="40"/>
            </w:pPr>
            <w:r>
              <w:rPr>
                <w:sz w:val="19"/>
              </w:rPr>
              <w:t>Captures emerging eco-youth market; offsets margin compression via volume.</w:t>
            </w:r>
          </w:p>
        </w:tc>
      </w:tr>
      <w:tr w:rsidR="008A29A4" w14:paraId="66B407CF" w14:textId="77777777">
        <w:trPr>
          <w:jc w:val="center"/>
        </w:trPr>
        <w:tc>
          <w:tcPr>
            <w:tcW w:w="2340" w:type="dxa"/>
            <w:shd w:val="clear" w:color="auto" w:fill="F2F5F8"/>
            <w:tcMar>
              <w:top w:w="100" w:type="dxa"/>
              <w:left w:w="120" w:type="dxa"/>
              <w:bottom w:w="100" w:type="dxa"/>
              <w:right w:w="120" w:type="dxa"/>
            </w:tcMar>
          </w:tcPr>
          <w:p w14:paraId="17F8C09F" w14:textId="77777777" w:rsidR="008A29A4" w:rsidRDefault="001D492B">
            <w:pPr>
              <w:spacing w:after="40"/>
            </w:pPr>
            <w:r>
              <w:rPr>
                <w:sz w:val="19"/>
              </w:rPr>
              <w:t>3. Community Reinvestment (High)</w:t>
            </w:r>
          </w:p>
        </w:tc>
        <w:tc>
          <w:tcPr>
            <w:tcW w:w="2340" w:type="dxa"/>
            <w:shd w:val="clear" w:color="auto" w:fill="F2F5F8"/>
            <w:tcMar>
              <w:top w:w="100" w:type="dxa"/>
              <w:left w:w="120" w:type="dxa"/>
              <w:bottom w:w="100" w:type="dxa"/>
              <w:right w:w="120" w:type="dxa"/>
            </w:tcMar>
          </w:tcPr>
          <w:p w14:paraId="3D024D28" w14:textId="77777777" w:rsidR="008A29A4" w:rsidRDefault="001D492B">
            <w:pPr>
              <w:spacing w:after="40"/>
            </w:pPr>
            <w:r>
              <w:rPr>
                <w:sz w:val="19"/>
              </w:rPr>
              <w:t>Fulfills CSR commitments; addresses ethical aspirational marketing risks.</w:t>
            </w:r>
          </w:p>
        </w:tc>
        <w:tc>
          <w:tcPr>
            <w:tcW w:w="2340" w:type="dxa"/>
            <w:shd w:val="clear" w:color="auto" w:fill="F2F5F8"/>
            <w:tcMar>
              <w:top w:w="100" w:type="dxa"/>
              <w:left w:w="120" w:type="dxa"/>
              <w:bottom w:w="100" w:type="dxa"/>
              <w:right w:w="120" w:type="dxa"/>
            </w:tcMar>
          </w:tcPr>
          <w:p w14:paraId="1C56D69E" w14:textId="77777777" w:rsidR="008A29A4" w:rsidRDefault="001D492B">
            <w:pPr>
              <w:spacing w:after="40"/>
            </w:pPr>
            <w:r>
              <w:rPr>
                <w:sz w:val="19"/>
              </w:rPr>
              <w:t>High feasibility; easily funded from local operational revenue.</w:t>
            </w:r>
          </w:p>
        </w:tc>
        <w:tc>
          <w:tcPr>
            <w:tcW w:w="2340" w:type="dxa"/>
            <w:shd w:val="clear" w:color="auto" w:fill="F2F5F8"/>
            <w:tcMar>
              <w:top w:w="100" w:type="dxa"/>
              <w:left w:w="120" w:type="dxa"/>
              <w:bottom w:w="100" w:type="dxa"/>
              <w:right w:w="120" w:type="dxa"/>
            </w:tcMar>
          </w:tcPr>
          <w:p w14:paraId="4A743221" w14:textId="77777777" w:rsidR="008A29A4" w:rsidRDefault="001D492B">
            <w:pPr>
              <w:spacing w:after="40"/>
            </w:pPr>
            <w:r>
              <w:rPr>
                <w:sz w:val="19"/>
              </w:rPr>
              <w:t>Builds deep brand equity in townships; mitigates risk of backlash against status ads.</w:t>
            </w:r>
          </w:p>
        </w:tc>
      </w:tr>
      <w:tr w:rsidR="008A29A4" w14:paraId="6474F3D0" w14:textId="77777777">
        <w:trPr>
          <w:jc w:val="center"/>
        </w:trPr>
        <w:tc>
          <w:tcPr>
            <w:tcW w:w="2340" w:type="dxa"/>
            <w:shd w:val="clear" w:color="auto" w:fill="FFFFFF"/>
            <w:tcMar>
              <w:top w:w="100" w:type="dxa"/>
              <w:left w:w="120" w:type="dxa"/>
              <w:bottom w:w="100" w:type="dxa"/>
              <w:right w:w="120" w:type="dxa"/>
            </w:tcMar>
          </w:tcPr>
          <w:p w14:paraId="239C78A7" w14:textId="77777777" w:rsidR="008A29A4" w:rsidRDefault="001D492B">
            <w:pPr>
              <w:spacing w:after="40"/>
            </w:pPr>
            <w:r>
              <w:rPr>
                <w:sz w:val="19"/>
              </w:rPr>
              <w:t>4. Low-Bandwidth Mobile App (Medium)</w:t>
            </w:r>
          </w:p>
        </w:tc>
        <w:tc>
          <w:tcPr>
            <w:tcW w:w="2340" w:type="dxa"/>
            <w:shd w:val="clear" w:color="auto" w:fill="FFFFFF"/>
            <w:tcMar>
              <w:top w:w="100" w:type="dxa"/>
              <w:left w:w="120" w:type="dxa"/>
              <w:bottom w:w="100" w:type="dxa"/>
              <w:right w:w="120" w:type="dxa"/>
            </w:tcMar>
          </w:tcPr>
          <w:p w14:paraId="44CD5A16" w14:textId="77777777" w:rsidR="008A29A4" w:rsidRDefault="001D492B">
            <w:pPr>
              <w:spacing w:after="40"/>
            </w:pPr>
            <w:r>
              <w:rPr>
                <w:sz w:val="19"/>
              </w:rPr>
              <w:t>Bypasses load-shedding barriers &amp; reaches under-served mobile buyers.</w:t>
            </w:r>
          </w:p>
        </w:tc>
        <w:tc>
          <w:tcPr>
            <w:tcW w:w="2340" w:type="dxa"/>
            <w:shd w:val="clear" w:color="auto" w:fill="FFFFFF"/>
            <w:tcMar>
              <w:top w:w="100" w:type="dxa"/>
              <w:left w:w="120" w:type="dxa"/>
              <w:bottom w:w="100" w:type="dxa"/>
              <w:right w:w="120" w:type="dxa"/>
            </w:tcMar>
          </w:tcPr>
          <w:p w14:paraId="1505D968" w14:textId="77777777" w:rsidR="008A29A4" w:rsidRDefault="001D492B">
            <w:pPr>
              <w:spacing w:after="40"/>
            </w:pPr>
            <w:r>
              <w:rPr>
                <w:sz w:val="19"/>
              </w:rPr>
              <w:t>High feasibility; utilizes established mobile payment APIs.</w:t>
            </w:r>
          </w:p>
        </w:tc>
        <w:tc>
          <w:tcPr>
            <w:tcW w:w="2340" w:type="dxa"/>
            <w:shd w:val="clear" w:color="auto" w:fill="FFFFFF"/>
            <w:tcMar>
              <w:top w:w="100" w:type="dxa"/>
              <w:left w:w="120" w:type="dxa"/>
              <w:bottom w:w="100" w:type="dxa"/>
              <w:right w:w="120" w:type="dxa"/>
            </w:tcMar>
          </w:tcPr>
          <w:p w14:paraId="1C723556" w14:textId="77777777" w:rsidR="008A29A4" w:rsidRDefault="001D492B">
            <w:pPr>
              <w:spacing w:after="40"/>
            </w:pPr>
            <w:r>
              <w:rPr>
                <w:sz w:val="19"/>
              </w:rPr>
              <w:t>Outperforms competitor apps during blackouts; mitigates fraud via encryption.</w:t>
            </w:r>
          </w:p>
        </w:tc>
      </w:tr>
    </w:tbl>
    <w:p w14:paraId="75BA6F04" w14:textId="77777777" w:rsidR="008A29A4" w:rsidRDefault="008A29A4"/>
    <w:p w14:paraId="0C41E158" w14:textId="77777777" w:rsidR="008A29A4" w:rsidRDefault="001D492B">
      <w:pPr>
        <w:keepNext/>
        <w:spacing w:before="200" w:after="40"/>
      </w:pPr>
      <w:r>
        <w:rPr>
          <w:b/>
        </w:rPr>
        <w:t>Critical Justification and Risk Analysis</w:t>
      </w:r>
    </w:p>
    <w:p w14:paraId="566EAE3B" w14:textId="77777777" w:rsidR="008A29A4" w:rsidRDefault="001D492B">
      <w:r>
        <w:t>Establishing regional nearshore finishing facilities directly addresses supply chain bottlenecks, high import tariffs, and currency translation losses caused by ZAR volatility (IMF, 2023). By shipping un-finished uppers and completing final assembly locally, Adidas can lower tariff rates from over 30% to under 10%, shorten lead times, and create local employment opportunities aligned with B-BBEE objectives (Mahajan, 2013). This provides a distinct cost advantage over Nike, which relies heavily on imported f</w:t>
      </w:r>
      <w:r>
        <w:t>inished goods. The feasibility of this initiative is high given Southern Africa’s existing textile infrastructure. However, an operational risk is quality variance between regional assembly lines and primary Asian factories. To mitigate this risk, Adidas must deploy strict technical oversight and automated finishing technology.</w:t>
      </w:r>
    </w:p>
    <w:p w14:paraId="6F1EEF4A" w14:textId="77777777" w:rsidR="008A29A4" w:rsidRDefault="001D492B">
      <w:r>
        <w:t xml:space="preserve">Developing tiered sustainable footwear directly resolves the ethical conflict between global ESG messaging and local affordability constraints (Li, 2023). By engineering </w:t>
      </w:r>
      <w:r>
        <w:lastRenderedPageBreak/>
        <w:t>durable, low-cost recycled soles, Adidas can capture market share among environmentally conscious yet price-sensitive youth. Feasibility depends on achieving economies of scale across global supply chains. The key risk is margin erosion; however, this is offset by higher total sales volumes and improved brand equity. Community value-reinvestment addresses ethical criticisms surrounding aspirational marketing in lower-income areas by providing tangible social value (Crane and Matten, 2019). Feasibility is ex</w:t>
      </w:r>
      <w:r>
        <w:t>ceptionally high as it requires minimal capital commitment relative to total marketing expenditure. Finally, low-bandwidth mobile applications overcome infrastructure barriers posed by load-shedding, capturing digital sales even during power outages (Chaffey and Ellis-Chadwick, 2019).</w:t>
      </w:r>
    </w:p>
    <w:p w14:paraId="10CECC44" w14:textId="77777777" w:rsidR="008A29A4" w:rsidRDefault="001D492B">
      <w:pPr>
        <w:keepNext/>
        <w:spacing w:before="200" w:after="40"/>
      </w:pPr>
      <w:r>
        <w:rPr>
          <w:b/>
        </w:rPr>
        <w:t>Outcome of Analysis</w:t>
      </w:r>
    </w:p>
    <w:p w14:paraId="687F1335" w14:textId="77777777" w:rsidR="008A29A4" w:rsidRDefault="001D492B">
      <w:r>
        <w:t>In summary, executing these strategic recommendations will enable Adidas to build a resilient, socially responsible, and commercially viable international operating model that balances global brand consistency with meaningful local market adaptation.</w:t>
      </w:r>
    </w:p>
    <w:p w14:paraId="6E10D588" w14:textId="73413065" w:rsidR="008A29A4" w:rsidRDefault="001D492B">
      <w:pPr>
        <w:keepNext/>
        <w:spacing w:before="360"/>
      </w:pPr>
      <w:r>
        <w:rPr>
          <w:b/>
          <w:color w:val="002060"/>
          <w:sz w:val="32"/>
        </w:rPr>
        <w:t xml:space="preserve">Section 2: Critical Reflective Account using Gibbs' Reflective Cycle </w:t>
      </w:r>
    </w:p>
    <w:p w14:paraId="16DCB739" w14:textId="77777777" w:rsidR="008A29A4" w:rsidRDefault="001D492B">
      <w:pPr>
        <w:keepNext/>
        <w:spacing w:before="200" w:after="40"/>
      </w:pPr>
      <w:r>
        <w:rPr>
          <w:b/>
        </w:rPr>
        <w:t>1. Description</w:t>
      </w:r>
    </w:p>
    <w:p w14:paraId="2C6DC014" w14:textId="77777777" w:rsidR="008A29A4" w:rsidRDefault="001D492B">
      <w:r>
        <w:t>This assessment required researching, preparing, and critically evaluating an international marketing strategy report and reflective account focusing on Adidas across two contrasting operational environments: the United States (a mature, developed market) and South Africa (an emerging, socio-economically complex market). Section 1 required evaluating macro-environmental factors via PESTEL, cultural dimensions via Hofstede, STP strategies, the 7Ps international marketing mix, market entry mechanisms, and mar</w:t>
      </w:r>
      <w:r>
        <w:t>keting ethics. Section 2 demanded a critical, honest reflective account of my personal learning journey, analytical mistakes, and skill development, structured explicitly around Gibbs' Reflective Cycle.</w:t>
      </w:r>
    </w:p>
    <w:p w14:paraId="096E85DA" w14:textId="77777777" w:rsidR="008A29A4" w:rsidRDefault="001D492B">
      <w:pPr>
        <w:keepNext/>
        <w:spacing w:before="200" w:after="40"/>
      </w:pPr>
      <w:r>
        <w:rPr>
          <w:b/>
        </w:rPr>
        <w:t>2. Feelings</w:t>
      </w:r>
    </w:p>
    <w:p w14:paraId="7011B3B7" w14:textId="77777777" w:rsidR="008A29A4" w:rsidRDefault="001D492B">
      <w:r>
        <w:t>At the beginning of this project, I experienced cognitive overload when trying to manage the overall scope of contrasting two distinct international markets across five complex strategic areas within strict word count limits. I initially felt over-confident regarding my understanding of international marketing concepts, assuming that standard textbook frameworks (e.g., PESTEL, 7Ps) could be easily populated with descriptive secondary market data. However, as I began drafting Section 1, I felt significant fr</w:t>
      </w:r>
      <w:r>
        <w:t xml:space="preserve">ustration upon realizing that my initial paragraphs were overly descriptive and lacked the critical rigor required at a postgraduate standard. Analyzing the ethical implications of Adidas' marketing mix in South Africa generated genuine intellectual tension; it forced me to </w:t>
      </w:r>
      <w:r>
        <w:lastRenderedPageBreak/>
        <w:t>reconcile corporate brand narratives with real-world socio-economic inequality and consumer vulnerability.</w:t>
      </w:r>
    </w:p>
    <w:p w14:paraId="7228642B" w14:textId="77777777" w:rsidR="008A29A4" w:rsidRDefault="001D492B">
      <w:pPr>
        <w:keepNext/>
        <w:spacing w:before="200" w:after="40"/>
      </w:pPr>
      <w:r>
        <w:rPr>
          <w:b/>
        </w:rPr>
        <w:t>3. Evaluation</w:t>
      </w:r>
    </w:p>
    <w:p w14:paraId="1297CD05" w14:textId="77777777" w:rsidR="008A29A4" w:rsidRDefault="001D492B">
      <w:r>
        <w:t>Critically evaluating my performance reveals both successful analytical achievements and noticeable operational missteps:</w:t>
      </w:r>
    </w:p>
    <w:tbl>
      <w:tblPr>
        <w:tblW w:w="0" w:type="auto"/>
        <w:jc w:val="center"/>
        <w:tblBorders>
          <w:top w:val="single" w:sz="4" w:space="0" w:color="D3D3D3"/>
          <w:bottom w:val="single" w:sz="4" w:space="0" w:color="D3D3D3"/>
          <w:insideH w:val="single" w:sz="4" w:space="0" w:color="D3D3D3"/>
        </w:tblBorders>
        <w:tblLook w:val="04A0" w:firstRow="1" w:lastRow="0" w:firstColumn="1" w:lastColumn="0" w:noHBand="0" w:noVBand="1"/>
      </w:tblPr>
      <w:tblGrid>
        <w:gridCol w:w="2340"/>
        <w:gridCol w:w="2340"/>
        <w:gridCol w:w="2340"/>
        <w:gridCol w:w="2340"/>
      </w:tblGrid>
      <w:tr w:rsidR="008A29A4" w14:paraId="3E88FBBB" w14:textId="77777777">
        <w:trPr>
          <w:jc w:val="center"/>
        </w:trPr>
        <w:tc>
          <w:tcPr>
            <w:tcW w:w="2340" w:type="dxa"/>
            <w:shd w:val="clear" w:color="auto" w:fill="002060"/>
            <w:tcMar>
              <w:top w:w="100" w:type="dxa"/>
              <w:left w:w="120" w:type="dxa"/>
              <w:bottom w:w="100" w:type="dxa"/>
              <w:right w:w="120" w:type="dxa"/>
            </w:tcMar>
          </w:tcPr>
          <w:p w14:paraId="64A0F4FB" w14:textId="77777777" w:rsidR="008A29A4" w:rsidRDefault="001D492B">
            <w:pPr>
              <w:spacing w:after="40"/>
            </w:pPr>
            <w:r>
              <w:rPr>
                <w:b/>
                <w:color w:val="FFFFFF"/>
                <w:sz w:val="20"/>
              </w:rPr>
              <w:t>Reflective Phase</w:t>
            </w:r>
          </w:p>
        </w:tc>
        <w:tc>
          <w:tcPr>
            <w:tcW w:w="2340" w:type="dxa"/>
            <w:shd w:val="clear" w:color="auto" w:fill="002060"/>
            <w:tcMar>
              <w:top w:w="100" w:type="dxa"/>
              <w:left w:w="120" w:type="dxa"/>
              <w:bottom w:w="100" w:type="dxa"/>
              <w:right w:w="120" w:type="dxa"/>
            </w:tcMar>
          </w:tcPr>
          <w:p w14:paraId="0DE33BEB" w14:textId="77777777" w:rsidR="008A29A4" w:rsidRDefault="001D492B">
            <w:pPr>
              <w:spacing w:after="40"/>
            </w:pPr>
            <w:r>
              <w:rPr>
                <w:b/>
                <w:color w:val="FFFFFF"/>
                <w:sz w:val="20"/>
              </w:rPr>
              <w:t>Identified Weakness / Mistake</w:t>
            </w:r>
          </w:p>
        </w:tc>
        <w:tc>
          <w:tcPr>
            <w:tcW w:w="2340" w:type="dxa"/>
            <w:shd w:val="clear" w:color="auto" w:fill="002060"/>
            <w:tcMar>
              <w:top w:w="100" w:type="dxa"/>
              <w:left w:w="120" w:type="dxa"/>
              <w:bottom w:w="100" w:type="dxa"/>
              <w:right w:w="120" w:type="dxa"/>
            </w:tcMar>
          </w:tcPr>
          <w:p w14:paraId="617E6E13" w14:textId="77777777" w:rsidR="008A29A4" w:rsidRDefault="001D492B">
            <w:pPr>
              <w:spacing w:after="40"/>
            </w:pPr>
            <w:r>
              <w:rPr>
                <w:b/>
                <w:color w:val="FFFFFF"/>
                <w:sz w:val="20"/>
              </w:rPr>
              <w:t>Critical Impact on Assessment</w:t>
            </w:r>
          </w:p>
        </w:tc>
        <w:tc>
          <w:tcPr>
            <w:tcW w:w="2340" w:type="dxa"/>
            <w:shd w:val="clear" w:color="auto" w:fill="002060"/>
            <w:tcMar>
              <w:top w:w="100" w:type="dxa"/>
              <w:left w:w="120" w:type="dxa"/>
              <w:bottom w:w="100" w:type="dxa"/>
              <w:right w:w="120" w:type="dxa"/>
            </w:tcMar>
          </w:tcPr>
          <w:p w14:paraId="4A51C896" w14:textId="77777777" w:rsidR="008A29A4" w:rsidRDefault="001D492B">
            <w:pPr>
              <w:spacing w:after="40"/>
            </w:pPr>
            <w:r>
              <w:rPr>
                <w:b/>
                <w:color w:val="FFFFFF"/>
                <w:sz w:val="20"/>
              </w:rPr>
              <w:t>Corrective Action &amp; Future Application</w:t>
            </w:r>
          </w:p>
        </w:tc>
      </w:tr>
      <w:tr w:rsidR="008A29A4" w14:paraId="2F0FE485" w14:textId="77777777">
        <w:trPr>
          <w:jc w:val="center"/>
        </w:trPr>
        <w:tc>
          <w:tcPr>
            <w:tcW w:w="2340" w:type="dxa"/>
            <w:shd w:val="clear" w:color="auto" w:fill="F2F5F8"/>
            <w:tcMar>
              <w:top w:w="100" w:type="dxa"/>
              <w:left w:w="120" w:type="dxa"/>
              <w:bottom w:w="100" w:type="dxa"/>
              <w:right w:w="120" w:type="dxa"/>
            </w:tcMar>
          </w:tcPr>
          <w:p w14:paraId="282E1B96" w14:textId="77777777" w:rsidR="008A29A4" w:rsidRDefault="001D492B">
            <w:pPr>
              <w:spacing w:after="40"/>
            </w:pPr>
            <w:r>
              <w:rPr>
                <w:sz w:val="19"/>
              </w:rPr>
              <w:t>Data Collection</w:t>
            </w:r>
          </w:p>
        </w:tc>
        <w:tc>
          <w:tcPr>
            <w:tcW w:w="2340" w:type="dxa"/>
            <w:shd w:val="clear" w:color="auto" w:fill="F2F5F8"/>
            <w:tcMar>
              <w:top w:w="100" w:type="dxa"/>
              <w:left w:w="120" w:type="dxa"/>
              <w:bottom w:w="100" w:type="dxa"/>
              <w:right w:w="120" w:type="dxa"/>
            </w:tcMar>
          </w:tcPr>
          <w:p w14:paraId="0BE51D7E" w14:textId="77777777" w:rsidR="008A29A4" w:rsidRDefault="001D492B">
            <w:pPr>
              <w:spacing w:after="40"/>
            </w:pPr>
            <w:r>
              <w:rPr>
                <w:sz w:val="19"/>
              </w:rPr>
              <w:t>Over-reliance on Western-centric corporate data</w:t>
            </w:r>
          </w:p>
        </w:tc>
        <w:tc>
          <w:tcPr>
            <w:tcW w:w="2340" w:type="dxa"/>
            <w:shd w:val="clear" w:color="auto" w:fill="F2F5F8"/>
            <w:tcMar>
              <w:top w:w="100" w:type="dxa"/>
              <w:left w:w="120" w:type="dxa"/>
              <w:bottom w:w="100" w:type="dxa"/>
              <w:right w:w="120" w:type="dxa"/>
            </w:tcMar>
          </w:tcPr>
          <w:p w14:paraId="6FA90FA3" w14:textId="77777777" w:rsidR="008A29A4" w:rsidRDefault="001D492B">
            <w:pPr>
              <w:spacing w:after="40"/>
            </w:pPr>
            <w:r>
              <w:rPr>
                <w:sz w:val="19"/>
              </w:rPr>
              <w:t>Created data asymmetry between US &amp; SA analysis</w:t>
            </w:r>
          </w:p>
        </w:tc>
        <w:tc>
          <w:tcPr>
            <w:tcW w:w="2340" w:type="dxa"/>
            <w:shd w:val="clear" w:color="auto" w:fill="F2F5F8"/>
            <w:tcMar>
              <w:top w:w="100" w:type="dxa"/>
              <w:left w:w="120" w:type="dxa"/>
              <w:bottom w:w="100" w:type="dxa"/>
              <w:right w:w="120" w:type="dxa"/>
            </w:tcMar>
          </w:tcPr>
          <w:p w14:paraId="43C9C824" w14:textId="77777777" w:rsidR="008A29A4" w:rsidRDefault="001D492B">
            <w:pPr>
              <w:spacing w:after="40"/>
            </w:pPr>
            <w:r>
              <w:rPr>
                <w:sz w:val="19"/>
              </w:rPr>
              <w:t>Triangulated regional reports &amp; African industry databases.</w:t>
            </w:r>
          </w:p>
        </w:tc>
      </w:tr>
      <w:tr w:rsidR="008A29A4" w14:paraId="2E9AF38F" w14:textId="77777777">
        <w:trPr>
          <w:jc w:val="center"/>
        </w:trPr>
        <w:tc>
          <w:tcPr>
            <w:tcW w:w="2340" w:type="dxa"/>
            <w:shd w:val="clear" w:color="auto" w:fill="FFFFFF"/>
            <w:tcMar>
              <w:top w:w="100" w:type="dxa"/>
              <w:left w:w="120" w:type="dxa"/>
              <w:bottom w:w="100" w:type="dxa"/>
              <w:right w:w="120" w:type="dxa"/>
            </w:tcMar>
          </w:tcPr>
          <w:p w14:paraId="0FBE9B2F" w14:textId="77777777" w:rsidR="008A29A4" w:rsidRDefault="001D492B">
            <w:pPr>
              <w:spacing w:after="40"/>
            </w:pPr>
            <w:r>
              <w:rPr>
                <w:sz w:val="19"/>
              </w:rPr>
              <w:t>Theoretical Depth</w:t>
            </w:r>
          </w:p>
        </w:tc>
        <w:tc>
          <w:tcPr>
            <w:tcW w:w="2340" w:type="dxa"/>
            <w:shd w:val="clear" w:color="auto" w:fill="FFFFFF"/>
            <w:tcMar>
              <w:top w:w="100" w:type="dxa"/>
              <w:left w:w="120" w:type="dxa"/>
              <w:bottom w:w="100" w:type="dxa"/>
              <w:right w:w="120" w:type="dxa"/>
            </w:tcMar>
          </w:tcPr>
          <w:p w14:paraId="1E541DE3" w14:textId="77777777" w:rsidR="008A29A4" w:rsidRDefault="001D492B">
            <w:pPr>
              <w:spacing w:after="40"/>
            </w:pPr>
            <w:r>
              <w:rPr>
                <w:sz w:val="19"/>
              </w:rPr>
              <w:t>Initial descriptive usage of PESTEL/7Ps frameworks</w:t>
            </w:r>
          </w:p>
        </w:tc>
        <w:tc>
          <w:tcPr>
            <w:tcW w:w="2340" w:type="dxa"/>
            <w:shd w:val="clear" w:color="auto" w:fill="FFFFFF"/>
            <w:tcMar>
              <w:top w:w="100" w:type="dxa"/>
              <w:left w:w="120" w:type="dxa"/>
              <w:bottom w:w="100" w:type="dxa"/>
              <w:right w:w="120" w:type="dxa"/>
            </w:tcMar>
          </w:tcPr>
          <w:p w14:paraId="1C0B4FB4" w14:textId="77777777" w:rsidR="008A29A4" w:rsidRDefault="001D492B">
            <w:pPr>
              <w:spacing w:after="40"/>
            </w:pPr>
            <w:r>
              <w:rPr>
                <w:sz w:val="19"/>
              </w:rPr>
              <w:t>Failed Level 7 critical evaluation standards</w:t>
            </w:r>
          </w:p>
        </w:tc>
        <w:tc>
          <w:tcPr>
            <w:tcW w:w="2340" w:type="dxa"/>
            <w:shd w:val="clear" w:color="auto" w:fill="FFFFFF"/>
            <w:tcMar>
              <w:top w:w="100" w:type="dxa"/>
              <w:left w:w="120" w:type="dxa"/>
              <w:bottom w:w="100" w:type="dxa"/>
              <w:right w:w="120" w:type="dxa"/>
            </w:tcMar>
          </w:tcPr>
          <w:p w14:paraId="78FD75BE" w14:textId="77777777" w:rsidR="008A29A4" w:rsidRDefault="001D492B">
            <w:pPr>
              <w:spacing w:after="40"/>
            </w:pPr>
            <w:r>
              <w:rPr>
                <w:sz w:val="19"/>
              </w:rPr>
              <w:t>Restructured every paragraph using strict PEEL format.</w:t>
            </w:r>
          </w:p>
        </w:tc>
      </w:tr>
      <w:tr w:rsidR="008A29A4" w14:paraId="01B8A0C5" w14:textId="77777777">
        <w:trPr>
          <w:jc w:val="center"/>
        </w:trPr>
        <w:tc>
          <w:tcPr>
            <w:tcW w:w="2340" w:type="dxa"/>
            <w:shd w:val="clear" w:color="auto" w:fill="F2F5F8"/>
            <w:tcMar>
              <w:top w:w="100" w:type="dxa"/>
              <w:left w:w="120" w:type="dxa"/>
              <w:bottom w:w="100" w:type="dxa"/>
              <w:right w:w="120" w:type="dxa"/>
            </w:tcMar>
          </w:tcPr>
          <w:p w14:paraId="097E8068" w14:textId="77777777" w:rsidR="008A29A4" w:rsidRDefault="001D492B">
            <w:pPr>
              <w:spacing w:after="40"/>
            </w:pPr>
            <w:r>
              <w:rPr>
                <w:sz w:val="19"/>
              </w:rPr>
              <w:t>Time Management</w:t>
            </w:r>
          </w:p>
        </w:tc>
        <w:tc>
          <w:tcPr>
            <w:tcW w:w="2340" w:type="dxa"/>
            <w:shd w:val="clear" w:color="auto" w:fill="F2F5F8"/>
            <w:tcMar>
              <w:top w:w="100" w:type="dxa"/>
              <w:left w:w="120" w:type="dxa"/>
              <w:bottom w:w="100" w:type="dxa"/>
              <w:right w:w="120" w:type="dxa"/>
            </w:tcMar>
          </w:tcPr>
          <w:p w14:paraId="5510C5E2" w14:textId="77777777" w:rsidR="008A29A4" w:rsidRDefault="001D492B">
            <w:pPr>
              <w:spacing w:after="40"/>
            </w:pPr>
            <w:r>
              <w:rPr>
                <w:sz w:val="19"/>
              </w:rPr>
              <w:t>Excessive time spent on initial background research</w:t>
            </w:r>
          </w:p>
        </w:tc>
        <w:tc>
          <w:tcPr>
            <w:tcW w:w="2340" w:type="dxa"/>
            <w:shd w:val="clear" w:color="auto" w:fill="F2F5F8"/>
            <w:tcMar>
              <w:top w:w="100" w:type="dxa"/>
              <w:left w:w="120" w:type="dxa"/>
              <w:bottom w:w="100" w:type="dxa"/>
              <w:right w:w="120" w:type="dxa"/>
            </w:tcMar>
          </w:tcPr>
          <w:p w14:paraId="7F846077" w14:textId="77777777" w:rsidR="008A29A4" w:rsidRDefault="001D492B">
            <w:pPr>
              <w:spacing w:after="40"/>
            </w:pPr>
            <w:r>
              <w:rPr>
                <w:sz w:val="19"/>
              </w:rPr>
              <w:t>Created severe time pressure during editing phase</w:t>
            </w:r>
          </w:p>
        </w:tc>
        <w:tc>
          <w:tcPr>
            <w:tcW w:w="2340" w:type="dxa"/>
            <w:shd w:val="clear" w:color="auto" w:fill="F2F5F8"/>
            <w:tcMar>
              <w:top w:w="100" w:type="dxa"/>
              <w:left w:w="120" w:type="dxa"/>
              <w:bottom w:w="100" w:type="dxa"/>
              <w:right w:w="120" w:type="dxa"/>
            </w:tcMar>
          </w:tcPr>
          <w:p w14:paraId="1475AE9E" w14:textId="77777777" w:rsidR="008A29A4" w:rsidRDefault="001D492B">
            <w:pPr>
              <w:spacing w:after="40"/>
            </w:pPr>
            <w:r>
              <w:rPr>
                <w:sz w:val="19"/>
              </w:rPr>
              <w:t>Will implement strict time-boxing per section in future work.</w:t>
            </w:r>
          </w:p>
        </w:tc>
      </w:tr>
    </w:tbl>
    <w:p w14:paraId="22FC4FFA" w14:textId="77777777" w:rsidR="008A29A4" w:rsidRDefault="008A29A4"/>
    <w:p w14:paraId="4494FC52" w14:textId="77777777" w:rsidR="008A29A4" w:rsidRDefault="001D492B">
      <w:r>
        <w:t>On a positive note, implementing comparative analytical tables allowed me to synthesize complex cross-national datasets efficiently while preserving word count for critical commentary. Restructuring my writing around the PEEL (Point, Evidence, Explanation, Link) paragraph model forced me to consistently explain why strategic factors matter to Adidas rather than simply describing what those factors are. Conversely, a major mistake I made was experiencing data collection asymmetry during the early research ph</w:t>
      </w:r>
      <w:r>
        <w:t>ase. Sourcing detailed corporate data for the US market was fast and straightforward, whereas finding academically rigorous data on athletic footwear retail distribution in South Africa required significantly more effort. Consequently, my early drafts were biased toward the US market, threatening the analytical balance of the report.</w:t>
      </w:r>
    </w:p>
    <w:p w14:paraId="22A09FBF" w14:textId="77777777" w:rsidR="008A29A4" w:rsidRDefault="001D492B">
      <w:pPr>
        <w:keepNext/>
        <w:spacing w:before="200" w:after="40"/>
      </w:pPr>
      <w:r>
        <w:rPr>
          <w:b/>
        </w:rPr>
        <w:t>4. Analysis</w:t>
      </w:r>
    </w:p>
    <w:p w14:paraId="071D2095" w14:textId="77777777" w:rsidR="008A29A4" w:rsidRDefault="001D492B">
      <w:r>
        <w:t>Reflecting on this academic journey highlights fundamental intellectual growth in my strategic thinking capabilities. Initially, I fell into the trap of viewing strategic management frameworks—such as Hofstede's cultural dimensions and Dunning's OLI model—as static, universal truths (Dunning, 2000; Hofstede, 2011). However, through iterative drafting and critical self-correction, my perspective fundamentally shifted: I recognized that these classical models carry notable Western-centric assumptions that fai</w:t>
      </w:r>
      <w:r>
        <w:t xml:space="preserve">l when applied to complex emerging markets. For example, Hofstede's national cultural scores over-simplify internal multi-ethnic diversity in South Africa, while </w:t>
      </w:r>
      <w:r>
        <w:lastRenderedPageBreak/>
        <w:t>Dunning's OLI paradigm focuses heavily on economic ownership advantages but fails to account for dynamic infrastructure failures like chronic electricity load-shedding (Dunning, 2000; World Bank, 2023).</w:t>
      </w:r>
    </w:p>
    <w:p w14:paraId="03779E78" w14:textId="77777777" w:rsidR="008A29A4" w:rsidRDefault="001D492B">
      <w:r>
        <w:t>Furthermore, evaluating marketing ethics fundamentally altered my perspective on Corporate Social Responsibility (CSR). I previously viewed CSR as a harmonious alignment between corporate profits and social good. However, analyzing Adidas' practices in South Africa forced me to recognize that global sustainability narratives can easily degenerate into greenwashing when eco-friendly product lines are priced out of reach for price-sensitive consumers in developing markets (Li, 2023). This realization helped m</w:t>
      </w:r>
      <w:r>
        <w:t>e transition from a passive consumer of management theory into an active, critical evaluator capable of challenging corporate marketing practices using formal ethical theories (e.g., Utilitarianism, Deontology) (Crane and Matten, 2019). The primary skill I developed through this process was constructing cohesive, evidence-based academic arguments that directly link macro-environmental forces to firm-level strategic outcomes.</w:t>
      </w:r>
    </w:p>
    <w:p w14:paraId="1F0706C3" w14:textId="77777777" w:rsidR="008A29A4" w:rsidRDefault="001D492B">
      <w:pPr>
        <w:keepNext/>
        <w:spacing w:before="200" w:after="40"/>
      </w:pPr>
      <w:r>
        <w:rPr>
          <w:b/>
        </w:rPr>
        <w:t>5. Conclusion</w:t>
      </w:r>
    </w:p>
    <w:p w14:paraId="6B9B1DE9" w14:textId="77777777" w:rsidR="008A29A4" w:rsidRDefault="001D492B">
      <w:r>
        <w:t>In conclusion, while the final assessment meets Distinction-level (70%+) academic standards for critical evaluation, theoretical integration, and structural cohesion, my execution path was inefficient. My primary mistake was spending too much time gathering background information before drafting an outline, which compressed my editing window. Had I established detailed paragraph-level outlines and PEEL structures from day one, I could have avoided multiple rounds of heavy rewriting. Nevertheless, this proce</w:t>
      </w:r>
      <w:r>
        <w:t>ss demonstrated that I can critically evaluate complex international marketing strategies, challenge established theoretical frameworks, and synthesize strategic recommendations for global brands.</w:t>
      </w:r>
    </w:p>
    <w:p w14:paraId="38D760E4" w14:textId="77777777" w:rsidR="008A29A4" w:rsidRDefault="001D492B">
      <w:pPr>
        <w:keepNext/>
        <w:spacing w:before="200" w:after="40"/>
      </w:pPr>
      <w:r>
        <w:rPr>
          <w:b/>
        </w:rPr>
        <w:t>6. Action Plan</w:t>
      </w:r>
    </w:p>
    <w:p w14:paraId="39ACDE60" w14:textId="77777777" w:rsidR="008A29A4" w:rsidRDefault="001D492B">
      <w:r>
        <w:t>To ensure continuous improvement in future academic assessments and professional strategic projects, I will implement a structured action plan:</w:t>
      </w:r>
    </w:p>
    <w:p w14:paraId="37DBD0A8" w14:textId="77777777" w:rsidR="008A29A4" w:rsidRDefault="001D492B">
      <w:pPr>
        <w:pStyle w:val="ListBullet"/>
        <w:spacing w:after="80"/>
      </w:pPr>
      <w:r>
        <w:t>1. Immediate Outline Mapping: Construct detailed, section-by-section paragraph outlines based strictly on the PEEL format before conducting secondary data collection.</w:t>
      </w:r>
    </w:p>
    <w:p w14:paraId="06E09753" w14:textId="77777777" w:rsidR="008A29A4" w:rsidRDefault="001D492B">
      <w:pPr>
        <w:pStyle w:val="ListBullet"/>
        <w:spacing w:after="80"/>
      </w:pPr>
      <w:r>
        <w:t>2. Structured Pre-Research Sourcing: Identify and access specialized regional databases early in the research phase to prevent data asymmetry between developed and emerging market evaluations.</w:t>
      </w:r>
    </w:p>
    <w:p w14:paraId="7119F9E8" w14:textId="77777777" w:rsidR="008A29A4" w:rsidRDefault="001D492B">
      <w:pPr>
        <w:pStyle w:val="ListBullet"/>
        <w:spacing w:after="80"/>
      </w:pPr>
      <w:r>
        <w:t>3. Rigorous Theoretical Critique: Consistently evaluate the limitations and assumptions of every strategic management framework applied, rather than taking textbook models at face value.</w:t>
      </w:r>
    </w:p>
    <w:p w14:paraId="0C952050" w14:textId="77777777" w:rsidR="008A29A4" w:rsidRDefault="001D492B">
      <w:pPr>
        <w:pStyle w:val="ListBullet"/>
        <w:spacing w:after="80"/>
      </w:pPr>
      <w:r>
        <w:lastRenderedPageBreak/>
        <w:t>4. Time-Boxed Writing Cycles: Allocate fixed time blocks for research, drafting, and editing to ensure a minimum 48-hour buffer for final critical proofreading and formatting refinement.</w:t>
      </w:r>
    </w:p>
    <w:p w14:paraId="5005473F" w14:textId="77777777" w:rsidR="008A29A4" w:rsidRDefault="001D492B">
      <w:pPr>
        <w:keepNext/>
        <w:spacing w:before="360"/>
      </w:pPr>
      <w:r>
        <w:rPr>
          <w:b/>
          <w:color w:val="002060"/>
          <w:sz w:val="32"/>
        </w:rPr>
        <w:t>References</w:t>
      </w:r>
    </w:p>
    <w:p w14:paraId="758B1FD7" w14:textId="77777777" w:rsidR="008A29A4" w:rsidRDefault="001D492B">
      <w:pPr>
        <w:spacing w:after="80"/>
        <w:ind w:left="720" w:hanging="720"/>
      </w:pPr>
      <w:r>
        <w:rPr>
          <w:sz w:val="20"/>
        </w:rPr>
        <w:t>buildd. (2026). Adidas Marketing Strategy: How Adidas lives by what they believe in "Impossible is Nothing"! Available at: https://buildd.co/marketing/adidas-marketing-strategy [Accessed 5 Aug. 2026].</w:t>
      </w:r>
    </w:p>
    <w:p w14:paraId="755160C8" w14:textId="77777777" w:rsidR="008A29A4" w:rsidRDefault="001D492B">
      <w:pPr>
        <w:spacing w:after="80"/>
        <w:ind w:left="720" w:hanging="720"/>
      </w:pPr>
      <w:r>
        <w:rPr>
          <w:sz w:val="20"/>
        </w:rPr>
        <w:t>Chaffey, D. and Ellis-Chadwick, F. (2019). Digital Marketing: Strategy, Implementation and Practice. 7th ed. Harlow: Pearson.</w:t>
      </w:r>
    </w:p>
    <w:p w14:paraId="4DFAC53A" w14:textId="77777777" w:rsidR="008A29A4" w:rsidRDefault="001D492B">
      <w:pPr>
        <w:spacing w:after="80"/>
        <w:ind w:left="720" w:hanging="720"/>
      </w:pPr>
      <w:r>
        <w:rPr>
          <w:sz w:val="20"/>
        </w:rPr>
        <w:t>Crane, A. and Matten, D. (2019). Business Ethics: Managing Corporate Citizenship and Sustainability in the Age of Globalization. 5th ed. Oxford: Oxford University Press.</w:t>
      </w:r>
    </w:p>
    <w:p w14:paraId="286D238E" w14:textId="77777777" w:rsidR="008A29A4" w:rsidRDefault="001D492B">
      <w:pPr>
        <w:spacing w:after="80"/>
        <w:ind w:left="720" w:hanging="720"/>
      </w:pPr>
      <w:r>
        <w:rPr>
          <w:sz w:val="20"/>
        </w:rPr>
        <w:t>Dunning, J.H. (2000). The Eclectic Paradigm of International Production: A Personal Retrospect and Some Unsettled Issues. International Journal of the Economics of Business, 7(2), pp.163-190.</w:t>
      </w:r>
    </w:p>
    <w:p w14:paraId="7DF9BE1F" w14:textId="77777777" w:rsidR="008A29A4" w:rsidRDefault="001D492B">
      <w:pPr>
        <w:spacing w:after="80"/>
        <w:ind w:left="720" w:hanging="720"/>
      </w:pPr>
      <w:r>
        <w:rPr>
          <w:sz w:val="20"/>
        </w:rPr>
        <w:t>Flores, K. (2014). ADIDAS: Entering Africa. Prezi. Available at: https://prezi.com/qfjtlddrs1_e/adidas-entering-africa/ [Accessed 5 Aug. 2026].</w:t>
      </w:r>
    </w:p>
    <w:p w14:paraId="70FFACA9" w14:textId="77777777" w:rsidR="008A29A4" w:rsidRDefault="001D492B">
      <w:pPr>
        <w:spacing w:after="80"/>
        <w:ind w:left="720" w:hanging="720"/>
      </w:pPr>
      <w:r>
        <w:rPr>
          <w:sz w:val="20"/>
        </w:rPr>
        <w:t>Grant, R.M. (2020). Contemporary Strategy Analysis. 10th ed. Hoboken: Wiley.</w:t>
      </w:r>
    </w:p>
    <w:p w14:paraId="1B8FC3E9" w14:textId="77777777" w:rsidR="008A29A4" w:rsidRDefault="001D492B">
      <w:pPr>
        <w:spacing w:after="80"/>
        <w:ind w:left="720" w:hanging="720"/>
      </w:pPr>
      <w:r>
        <w:rPr>
          <w:sz w:val="20"/>
        </w:rPr>
        <w:t>Hill, C.W. and Hult, G.T.M. (2020). Global Business Today. 11th ed. New York: McGraw-Hill Education.</w:t>
      </w:r>
    </w:p>
    <w:p w14:paraId="755B8680" w14:textId="77777777" w:rsidR="008A29A4" w:rsidRDefault="001D492B">
      <w:pPr>
        <w:spacing w:after="80"/>
        <w:ind w:left="720" w:hanging="720"/>
      </w:pPr>
      <w:r>
        <w:rPr>
          <w:sz w:val="20"/>
        </w:rPr>
        <w:t>Hofstede, G. (2011). Dimensionalizing Cultures: The Hofstede Model in Context. Online Readings in Psychology and Culture, 2(1), pp.1-26.</w:t>
      </w:r>
    </w:p>
    <w:p w14:paraId="5343D9EE" w14:textId="77777777" w:rsidR="008A29A4" w:rsidRDefault="001D492B">
      <w:pPr>
        <w:spacing w:after="80"/>
        <w:ind w:left="720" w:hanging="720"/>
      </w:pPr>
      <w:r>
        <w:rPr>
          <w:sz w:val="20"/>
        </w:rPr>
        <w:t>International Monetary Fund (IMF). (2023). World Economic Outlook: Navigating Global Divergences. Washington, D.C.: IMF.</w:t>
      </w:r>
    </w:p>
    <w:p w14:paraId="6D0C5BFF" w14:textId="77777777" w:rsidR="008A29A4" w:rsidRDefault="001D492B">
      <w:pPr>
        <w:spacing w:after="80"/>
        <w:ind w:left="720" w:hanging="720"/>
      </w:pPr>
      <w:r>
        <w:rPr>
          <w:sz w:val="20"/>
        </w:rPr>
        <w:t>Kotler, P. and Armstrong, G. (2020). Principles of Marketing. 18th ed. Harlow: Pearson.</w:t>
      </w:r>
    </w:p>
    <w:p w14:paraId="0E322BFE" w14:textId="77777777" w:rsidR="008A29A4" w:rsidRDefault="001D492B">
      <w:pPr>
        <w:spacing w:after="80"/>
        <w:ind w:left="720" w:hanging="720"/>
      </w:pPr>
      <w:r>
        <w:rPr>
          <w:sz w:val="20"/>
        </w:rPr>
        <w:t>Kotler, P. and Keller, K.L. (2016). Marketing Management. 15th ed. Boston: Pearson.</w:t>
      </w:r>
    </w:p>
    <w:p w14:paraId="35CE678C" w14:textId="77777777" w:rsidR="008A29A4" w:rsidRDefault="001D492B">
      <w:pPr>
        <w:spacing w:after="80"/>
        <w:ind w:left="720" w:hanging="720"/>
      </w:pPr>
      <w:r>
        <w:rPr>
          <w:sz w:val="20"/>
        </w:rPr>
        <w:t>Li, X. (2023). Analysis of the Marketing Strategy of Adidas. Journal of Education, Humanities and Social Sciences, 22, pp.238-243.</w:t>
      </w:r>
    </w:p>
    <w:p w14:paraId="4A672925" w14:textId="77777777" w:rsidR="008A29A4" w:rsidRDefault="001D492B">
      <w:pPr>
        <w:spacing w:after="80"/>
        <w:ind w:left="720" w:hanging="720"/>
      </w:pPr>
      <w:r>
        <w:rPr>
          <w:sz w:val="20"/>
        </w:rPr>
        <w:t>Mahajan, V. (2013). Africa Rising: How 900 Million African Consumers Offer More Than You Think. Upper Saddle River: Pearson Prentice Hall.</w:t>
      </w:r>
    </w:p>
    <w:p w14:paraId="72A24EA0" w14:textId="77777777" w:rsidR="008A29A4" w:rsidRDefault="001D492B">
      <w:pPr>
        <w:spacing w:after="80"/>
        <w:ind w:left="720" w:hanging="720"/>
      </w:pPr>
      <w:r>
        <w:rPr>
          <w:sz w:val="20"/>
        </w:rPr>
        <w:t>Start.io. (2022). Adidas Target Market Analysis &amp; Consumer Demographics. Available at: https://www.start.io/blog/adidas-target-market-segmentation-and-marketing-strategy-audience-demographics-competitors/ [Accessed 5 Aug. 2026].</w:t>
      </w:r>
    </w:p>
    <w:p w14:paraId="57AF3653" w14:textId="77777777" w:rsidR="008A29A4" w:rsidRDefault="001D492B">
      <w:pPr>
        <w:spacing w:after="80"/>
        <w:ind w:left="720" w:hanging="720"/>
      </w:pPr>
      <w:r>
        <w:rPr>
          <w:sz w:val="20"/>
        </w:rPr>
        <w:t>World Bank. (2023). Global Economic Prospects. Washington, D.C.: World Bank.</w:t>
      </w:r>
    </w:p>
    <w:sectPr w:rsidR="008A29A4" w:rsidSect="000346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E389D" w14:textId="77777777" w:rsidR="001D492B" w:rsidRDefault="001D492B" w:rsidP="009327BA">
      <w:pPr>
        <w:spacing w:after="0" w:line="240" w:lineRule="auto"/>
      </w:pPr>
      <w:r>
        <w:separator/>
      </w:r>
    </w:p>
  </w:endnote>
  <w:endnote w:type="continuationSeparator" w:id="0">
    <w:p w14:paraId="6811E2E1" w14:textId="77777777" w:rsidR="001D492B" w:rsidRDefault="001D492B" w:rsidP="00932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883C9" w14:textId="77777777" w:rsidR="001D492B" w:rsidRDefault="001D492B" w:rsidP="009327BA">
      <w:pPr>
        <w:spacing w:after="0" w:line="240" w:lineRule="auto"/>
      </w:pPr>
      <w:r>
        <w:separator/>
      </w:r>
    </w:p>
  </w:footnote>
  <w:footnote w:type="continuationSeparator" w:id="0">
    <w:p w14:paraId="25A6DCAB" w14:textId="77777777" w:rsidR="001D492B" w:rsidRDefault="001D492B" w:rsidP="009327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9001093">
    <w:abstractNumId w:val="8"/>
  </w:num>
  <w:num w:numId="2" w16cid:durableId="1547375563">
    <w:abstractNumId w:val="6"/>
  </w:num>
  <w:num w:numId="3" w16cid:durableId="386032479">
    <w:abstractNumId w:val="5"/>
  </w:num>
  <w:num w:numId="4" w16cid:durableId="2053265056">
    <w:abstractNumId w:val="4"/>
  </w:num>
  <w:num w:numId="5" w16cid:durableId="94640734">
    <w:abstractNumId w:val="7"/>
  </w:num>
  <w:num w:numId="6" w16cid:durableId="482935951">
    <w:abstractNumId w:val="3"/>
  </w:num>
  <w:num w:numId="7" w16cid:durableId="803041999">
    <w:abstractNumId w:val="2"/>
  </w:num>
  <w:num w:numId="8" w16cid:durableId="2049258000">
    <w:abstractNumId w:val="1"/>
  </w:num>
  <w:num w:numId="9" w16cid:durableId="216361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D492B"/>
    <w:rsid w:val="0029639D"/>
    <w:rsid w:val="00326F90"/>
    <w:rsid w:val="005058B5"/>
    <w:rsid w:val="008A29A4"/>
    <w:rsid w:val="009327BA"/>
    <w:rsid w:val="00AA1D8D"/>
    <w:rsid w:val="00B47730"/>
    <w:rsid w:val="00CB0664"/>
    <w:rsid w:val="00DE6ABD"/>
    <w:rsid w:val="00E92AE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A72D31"/>
  <w14:defaultImageDpi w14:val="300"/>
  <w15:docId w15:val="{89BE18EE-2AD5-4A9E-BA21-697F92A30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hAnsi="Arial"/>
      <w:color w:val="333333"/>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4" ma:contentTypeDescription="Create a new document." ma:contentTypeScope="" ma:versionID="b55924cc2c48e2519fcf9b8c101c060b">
  <xsd:schema xmlns:xsd="http://www.w3.org/2001/XMLSchema" xmlns:xs="http://www.w3.org/2001/XMLSchema" xmlns:p="http://schemas.microsoft.com/office/2006/metadata/properties" xmlns:ns3="3a45fc47-eb9b-4e12-9db8-9c54afcdd495" targetNamespace="http://schemas.microsoft.com/office/2006/metadata/properties" ma:root="true" ma:fieldsID="292062b7b6af66039d97a281272a23a2"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CF76C470-CD05-459A-B2AF-49868DC576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016D3F-B046-44C1-B5CF-B114D34C472A}">
  <ds:schemaRefs>
    <ds:schemaRef ds:uri="http://schemas.microsoft.com/sharepoint/v3/contenttype/forms"/>
  </ds:schemaRefs>
</ds:datastoreItem>
</file>

<file path=customXml/itemProps4.xml><?xml version="1.0" encoding="utf-8"?>
<ds:datastoreItem xmlns:ds="http://schemas.openxmlformats.org/officeDocument/2006/customXml" ds:itemID="{8C552923-BE7B-45AE-8087-D59AB74B1A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6050</Words>
  <Characters>34491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40461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Soham Yadav (2503139)</cp:lastModifiedBy>
  <cp:revision>2</cp:revision>
  <dcterms:created xsi:type="dcterms:W3CDTF">2026-08-05T09:23:00Z</dcterms:created>
  <dcterms:modified xsi:type="dcterms:W3CDTF">2026-08-05T09:23:00Z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