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6A60DF" w14:textId="4DBF4E59" w:rsidR="006942D6" w:rsidRPr="00E5027A" w:rsidRDefault="006942D6" w:rsidP="006942D6">
      <w:pPr>
        <w:rPr>
          <w:rFonts w:ascii="Arial" w:eastAsia="Calibri" w:hAnsi="Arial" w:cs="Arial"/>
          <w:b/>
          <w:bCs/>
          <w:sz w:val="28"/>
          <w:szCs w:val="28"/>
          <w:lang w:eastAsia="ar-SA"/>
        </w:rPr>
      </w:pPr>
      <w:r w:rsidRPr="00E5027A">
        <w:rPr>
          <w:rFonts w:ascii="Arial" w:eastAsia="Calibri" w:hAnsi="Arial" w:cs="Arial"/>
          <w:sz w:val="32"/>
          <w:szCs w:val="32"/>
          <w:lang w:eastAsia="ar-SA"/>
        </w:rPr>
        <w:t>NAME</w:t>
      </w:r>
      <w:r w:rsidRPr="00E5027A">
        <w:rPr>
          <w:rFonts w:ascii="Arial" w:eastAsia="Calibri" w:hAnsi="Arial" w:cs="Arial"/>
          <w:b/>
          <w:bCs/>
          <w:sz w:val="28"/>
          <w:szCs w:val="28"/>
          <w:lang w:eastAsia="ar-SA"/>
        </w:rPr>
        <w:t xml:space="preserve">: </w:t>
      </w:r>
      <w:proofErr w:type="spellStart"/>
      <w:r>
        <w:rPr>
          <w:rFonts w:ascii="Arial" w:eastAsia="Calibri" w:hAnsi="Arial" w:cs="Arial"/>
          <w:b/>
          <w:bCs/>
          <w:sz w:val="28"/>
          <w:szCs w:val="28"/>
          <w:lang w:eastAsia="ar-SA"/>
        </w:rPr>
        <w:t>Aurel</w:t>
      </w:r>
      <w:proofErr w:type="spellEnd"/>
      <w:r>
        <w:rPr>
          <w:rFonts w:ascii="Arial" w:eastAsia="Calibri" w:hAnsi="Arial" w:cs="Arial"/>
          <w:b/>
          <w:bCs/>
          <w:sz w:val="28"/>
          <w:szCs w:val="28"/>
          <w:lang w:eastAsia="ar-SA"/>
        </w:rPr>
        <w:t xml:space="preserve"> </w:t>
      </w:r>
      <w:r>
        <w:rPr>
          <w:rFonts w:ascii="Arial" w:eastAsia="Calibri" w:hAnsi="Arial" w:cs="Arial"/>
          <w:b/>
          <w:bCs/>
          <w:sz w:val="28"/>
          <w:szCs w:val="28"/>
          <w:lang w:eastAsia="ar-SA"/>
        </w:rPr>
        <w:t>Anghel Cristea</w:t>
      </w:r>
    </w:p>
    <w:p w14:paraId="2F133CF1" w14:textId="77777777" w:rsidR="006942D6" w:rsidRPr="00E5027A" w:rsidRDefault="006942D6" w:rsidP="006942D6">
      <w:pPr>
        <w:rPr>
          <w:rFonts w:ascii="Arial" w:eastAsia="Calibri" w:hAnsi="Arial" w:cs="Arial"/>
          <w:b/>
          <w:bCs/>
          <w:sz w:val="28"/>
          <w:szCs w:val="28"/>
          <w:lang w:eastAsia="ar-SA"/>
        </w:rPr>
      </w:pPr>
    </w:p>
    <w:p w14:paraId="1015B768" w14:textId="77777777" w:rsidR="006942D6" w:rsidRPr="00E5027A" w:rsidRDefault="006942D6" w:rsidP="006942D6">
      <w:pPr>
        <w:rPr>
          <w:rFonts w:ascii="Arial" w:eastAsia="Calibri" w:hAnsi="Arial" w:cs="Arial"/>
          <w:sz w:val="36"/>
          <w:szCs w:val="36"/>
          <w:lang w:eastAsia="ar-SA"/>
        </w:rPr>
      </w:pPr>
    </w:p>
    <w:p w14:paraId="2C29B9B2" w14:textId="538374FF" w:rsidR="006942D6" w:rsidRPr="00E5027A" w:rsidRDefault="006942D6" w:rsidP="006942D6">
      <w:pPr>
        <w:rPr>
          <w:rFonts w:ascii="Arial" w:eastAsia="Calibri" w:hAnsi="Arial" w:cs="Arial"/>
          <w:b/>
          <w:bCs/>
          <w:sz w:val="28"/>
          <w:szCs w:val="28"/>
          <w:lang w:eastAsia="ar-SA"/>
        </w:rPr>
      </w:pPr>
      <w:r w:rsidRPr="00E5027A">
        <w:rPr>
          <w:rFonts w:ascii="Arial" w:eastAsia="Calibri" w:hAnsi="Arial" w:cs="Arial"/>
          <w:sz w:val="32"/>
          <w:szCs w:val="32"/>
          <w:lang w:eastAsia="ar-SA"/>
        </w:rPr>
        <w:t>STUDENT NUMBER:</w:t>
      </w:r>
      <w:r w:rsidRPr="00E5027A">
        <w:rPr>
          <w:rFonts w:ascii="Arial" w:eastAsia="Calibri" w:hAnsi="Arial" w:cs="Arial"/>
          <w:sz w:val="36"/>
          <w:szCs w:val="36"/>
          <w:lang w:eastAsia="ar-SA"/>
        </w:rPr>
        <w:t xml:space="preserve"> </w:t>
      </w:r>
      <w:r w:rsidRPr="00E5027A">
        <w:rPr>
          <w:rFonts w:ascii="Arial" w:eastAsia="Calibri" w:hAnsi="Arial" w:cs="Arial"/>
          <w:b/>
          <w:bCs/>
          <w:sz w:val="28"/>
          <w:szCs w:val="28"/>
          <w:lang w:eastAsia="ar-SA"/>
        </w:rPr>
        <w:t>18162</w:t>
      </w:r>
      <w:r>
        <w:rPr>
          <w:rFonts w:ascii="Arial" w:eastAsia="Calibri" w:hAnsi="Arial" w:cs="Arial"/>
          <w:b/>
          <w:bCs/>
          <w:sz w:val="28"/>
          <w:szCs w:val="28"/>
          <w:lang w:eastAsia="ar-SA"/>
        </w:rPr>
        <w:t>9</w:t>
      </w:r>
      <w:r>
        <w:rPr>
          <w:rFonts w:ascii="Arial" w:eastAsia="Calibri" w:hAnsi="Arial" w:cs="Arial"/>
          <w:b/>
          <w:bCs/>
          <w:sz w:val="28"/>
          <w:szCs w:val="28"/>
          <w:lang w:eastAsia="ar-SA"/>
        </w:rPr>
        <w:t>0</w:t>
      </w:r>
    </w:p>
    <w:p w14:paraId="57C59BE2" w14:textId="77777777" w:rsidR="006942D6" w:rsidRPr="00E5027A" w:rsidRDefault="006942D6" w:rsidP="006942D6">
      <w:pPr>
        <w:rPr>
          <w:rFonts w:ascii="Arial" w:eastAsia="Calibri" w:hAnsi="Arial" w:cs="Arial"/>
          <w:b/>
          <w:bCs/>
          <w:sz w:val="28"/>
          <w:szCs w:val="28"/>
          <w:lang w:eastAsia="ar-SA"/>
        </w:rPr>
      </w:pPr>
    </w:p>
    <w:p w14:paraId="52FA0C1C" w14:textId="77777777" w:rsidR="006942D6" w:rsidRPr="00E5027A" w:rsidRDefault="006942D6" w:rsidP="006942D6">
      <w:pPr>
        <w:rPr>
          <w:rFonts w:ascii="Arial" w:eastAsia="Calibri" w:hAnsi="Arial" w:cs="Arial"/>
          <w:b/>
          <w:bCs/>
          <w:sz w:val="28"/>
          <w:szCs w:val="28"/>
          <w:lang w:eastAsia="ar-SA"/>
        </w:rPr>
      </w:pPr>
    </w:p>
    <w:p w14:paraId="5DAF744C" w14:textId="77777777" w:rsidR="006942D6" w:rsidRPr="00E5027A" w:rsidRDefault="006942D6" w:rsidP="006942D6">
      <w:pPr>
        <w:rPr>
          <w:rFonts w:ascii="Arial" w:eastAsia="Calibri" w:hAnsi="Arial" w:cs="Arial"/>
          <w:b/>
          <w:bCs/>
          <w:sz w:val="28"/>
          <w:szCs w:val="28"/>
          <w:lang w:eastAsia="ar-SA"/>
        </w:rPr>
      </w:pPr>
      <w:r w:rsidRPr="00E5027A">
        <w:rPr>
          <w:rFonts w:ascii="Arial" w:eastAsia="Calibri" w:hAnsi="Arial" w:cs="Arial"/>
          <w:sz w:val="32"/>
          <w:szCs w:val="32"/>
          <w:lang w:eastAsia="ar-SA"/>
        </w:rPr>
        <w:t>MODULE TITLE:</w:t>
      </w:r>
      <w:r w:rsidRPr="00E5027A">
        <w:rPr>
          <w:rFonts w:ascii="Arial" w:eastAsia="Calibri" w:hAnsi="Arial" w:cs="Arial"/>
          <w:sz w:val="36"/>
          <w:szCs w:val="36"/>
          <w:lang w:eastAsia="ar-SA"/>
        </w:rPr>
        <w:t xml:space="preserve"> </w:t>
      </w:r>
      <w:r w:rsidRPr="00E5027A">
        <w:rPr>
          <w:rFonts w:ascii="Arial" w:eastAsia="Calibri" w:hAnsi="Arial" w:cs="Arial"/>
          <w:b/>
          <w:bCs/>
          <w:sz w:val="28"/>
          <w:szCs w:val="28"/>
          <w:lang w:eastAsia="ar-SA"/>
        </w:rPr>
        <w:t>M</w:t>
      </w:r>
      <w:r>
        <w:rPr>
          <w:rFonts w:ascii="Arial" w:eastAsia="Calibri" w:hAnsi="Arial" w:cs="Arial"/>
          <w:b/>
          <w:bCs/>
          <w:sz w:val="28"/>
          <w:szCs w:val="28"/>
          <w:lang w:eastAsia="ar-SA"/>
        </w:rPr>
        <w:t>5X01922</w:t>
      </w:r>
    </w:p>
    <w:p w14:paraId="2F0D778E" w14:textId="77777777" w:rsidR="006942D6" w:rsidRPr="00E5027A" w:rsidRDefault="006942D6" w:rsidP="006942D6">
      <w:pPr>
        <w:rPr>
          <w:rFonts w:ascii="Arial" w:eastAsia="Calibri" w:hAnsi="Arial" w:cs="Arial"/>
          <w:b/>
          <w:bCs/>
          <w:sz w:val="28"/>
          <w:szCs w:val="28"/>
          <w:lang w:eastAsia="ar-SA"/>
        </w:rPr>
      </w:pPr>
    </w:p>
    <w:p w14:paraId="32B0444D" w14:textId="77777777" w:rsidR="006942D6" w:rsidRPr="00E5027A" w:rsidRDefault="006942D6" w:rsidP="006942D6">
      <w:pPr>
        <w:rPr>
          <w:rFonts w:ascii="Arial" w:eastAsia="Calibri" w:hAnsi="Arial" w:cs="Arial"/>
          <w:b/>
          <w:bCs/>
          <w:sz w:val="28"/>
          <w:szCs w:val="28"/>
          <w:lang w:eastAsia="ar-SA"/>
        </w:rPr>
      </w:pPr>
    </w:p>
    <w:p w14:paraId="2F38FCEA" w14:textId="77777777" w:rsidR="006942D6" w:rsidRPr="00E5027A" w:rsidRDefault="006942D6" w:rsidP="006942D6">
      <w:pPr>
        <w:rPr>
          <w:rFonts w:ascii="Arial" w:eastAsia="Calibri" w:hAnsi="Arial" w:cs="Arial"/>
          <w:b/>
          <w:bCs/>
          <w:sz w:val="28"/>
          <w:szCs w:val="28"/>
          <w:lang w:eastAsia="ar-SA"/>
        </w:rPr>
      </w:pPr>
      <w:r w:rsidRPr="00E5027A">
        <w:rPr>
          <w:rFonts w:ascii="Arial" w:eastAsia="Calibri" w:hAnsi="Arial" w:cs="Arial"/>
          <w:sz w:val="32"/>
          <w:szCs w:val="32"/>
          <w:lang w:eastAsia="ar-SA"/>
        </w:rPr>
        <w:t>ASSIGNMENT TITLE:</w:t>
      </w:r>
      <w:r w:rsidRPr="00E5027A">
        <w:rPr>
          <w:rFonts w:ascii="Arial" w:eastAsia="Calibri" w:hAnsi="Arial" w:cs="Arial"/>
          <w:sz w:val="36"/>
          <w:szCs w:val="36"/>
          <w:lang w:eastAsia="ar-SA"/>
        </w:rPr>
        <w:t xml:space="preserve"> </w:t>
      </w:r>
      <w:r>
        <w:rPr>
          <w:rFonts w:ascii="Arial" w:eastAsia="Calibri" w:hAnsi="Arial" w:cs="Arial"/>
          <w:b/>
          <w:bCs/>
          <w:sz w:val="28"/>
          <w:szCs w:val="28"/>
          <w:lang w:eastAsia="ar-SA"/>
        </w:rPr>
        <w:t xml:space="preserve">Financial Management for the Hotel Industry </w:t>
      </w:r>
    </w:p>
    <w:p w14:paraId="384B66AA" w14:textId="77777777" w:rsidR="006942D6" w:rsidRPr="00E5027A" w:rsidRDefault="006942D6" w:rsidP="006942D6">
      <w:pPr>
        <w:rPr>
          <w:rFonts w:ascii="Arial" w:eastAsia="Calibri" w:hAnsi="Arial" w:cs="Arial"/>
          <w:b/>
          <w:bCs/>
          <w:sz w:val="28"/>
          <w:szCs w:val="28"/>
          <w:lang w:eastAsia="ar-SA"/>
        </w:rPr>
      </w:pPr>
    </w:p>
    <w:p w14:paraId="3FAE5070" w14:textId="77777777" w:rsidR="006942D6" w:rsidRPr="00E5027A" w:rsidRDefault="006942D6" w:rsidP="006942D6">
      <w:pPr>
        <w:rPr>
          <w:rFonts w:ascii="Arial" w:eastAsia="Calibri" w:hAnsi="Arial" w:cs="Arial"/>
          <w:b/>
          <w:bCs/>
          <w:sz w:val="28"/>
          <w:szCs w:val="28"/>
          <w:lang w:eastAsia="ar-SA"/>
        </w:rPr>
      </w:pPr>
    </w:p>
    <w:p w14:paraId="1D50B9DF" w14:textId="77777777" w:rsidR="006942D6" w:rsidRPr="00E5027A" w:rsidRDefault="006942D6" w:rsidP="006942D6">
      <w:pPr>
        <w:rPr>
          <w:rFonts w:ascii="Arial" w:eastAsia="Calibri" w:hAnsi="Arial" w:cs="Arial"/>
          <w:b/>
          <w:bCs/>
          <w:sz w:val="28"/>
          <w:szCs w:val="28"/>
          <w:lang w:eastAsia="ar-SA"/>
        </w:rPr>
      </w:pPr>
      <w:r w:rsidRPr="00E5027A">
        <w:rPr>
          <w:rFonts w:ascii="Arial" w:eastAsia="Calibri" w:hAnsi="Arial" w:cs="Arial"/>
          <w:sz w:val="32"/>
          <w:szCs w:val="32"/>
          <w:lang w:eastAsia="ar-SA"/>
        </w:rPr>
        <w:t>MODULE LECTURER’S:</w:t>
      </w:r>
      <w:r w:rsidRPr="00E5027A">
        <w:rPr>
          <w:rFonts w:ascii="Arial" w:eastAsia="Calibri" w:hAnsi="Arial" w:cs="Arial"/>
          <w:sz w:val="36"/>
          <w:szCs w:val="36"/>
          <w:lang w:eastAsia="ar-SA"/>
        </w:rPr>
        <w:t xml:space="preserve"> </w:t>
      </w:r>
      <w:r>
        <w:rPr>
          <w:rFonts w:ascii="Arial" w:eastAsia="Calibri" w:hAnsi="Arial" w:cs="Arial"/>
          <w:b/>
          <w:bCs/>
          <w:sz w:val="28"/>
          <w:szCs w:val="28"/>
          <w:lang w:eastAsia="ar-SA"/>
        </w:rPr>
        <w:t>Dr David Jenkins</w:t>
      </w:r>
    </w:p>
    <w:p w14:paraId="1B34ED2D" w14:textId="3323CC89" w:rsidR="00342A4E" w:rsidRDefault="006942D6" w:rsidP="006942D6">
      <w:pPr>
        <w:tabs>
          <w:tab w:val="left" w:pos="1692"/>
        </w:tabs>
        <w:jc w:val="left"/>
        <w:rPr>
          <w:caps/>
          <w:sz w:val="36"/>
          <w:szCs w:val="36"/>
        </w:rPr>
      </w:pPr>
      <w:r>
        <w:rPr>
          <w:caps/>
          <w:sz w:val="36"/>
          <w:szCs w:val="36"/>
        </w:rPr>
        <w:tab/>
      </w:r>
    </w:p>
    <w:p w14:paraId="587BA5CC" w14:textId="77777777" w:rsidR="00342A4E" w:rsidRDefault="00342A4E" w:rsidP="00342A4E">
      <w:pPr>
        <w:jc w:val="center"/>
        <w:rPr>
          <w:caps/>
          <w:sz w:val="36"/>
          <w:szCs w:val="36"/>
        </w:rPr>
      </w:pPr>
    </w:p>
    <w:p w14:paraId="1A9463C5" w14:textId="12328AD7" w:rsidR="00164E3F" w:rsidRPr="00164E3F" w:rsidRDefault="00164E3F" w:rsidP="00342A4E">
      <w:pPr>
        <w:jc w:val="center"/>
        <w:rPr>
          <w:caps/>
        </w:rPr>
      </w:pPr>
    </w:p>
    <w:p w14:paraId="49C43C2E" w14:textId="43C3E7C5" w:rsidR="00164E3F" w:rsidRDefault="00164E3F">
      <w:pPr>
        <w:rPr>
          <w:rFonts w:asciiTheme="majorHAnsi" w:eastAsiaTheme="majorEastAsia" w:hAnsiTheme="majorHAnsi" w:cstheme="majorBidi"/>
          <w:b/>
          <w:bCs/>
          <w:color w:val="365F91" w:themeColor="accent1" w:themeShade="BF"/>
          <w:sz w:val="28"/>
          <w:szCs w:val="25"/>
        </w:rPr>
      </w:pPr>
    </w:p>
    <w:p w14:paraId="084592B9" w14:textId="77777777" w:rsidR="00FB529C" w:rsidRDefault="00B43CE6" w:rsidP="00B43CE6">
      <w:pPr>
        <w:pStyle w:val="Heading1"/>
      </w:pPr>
      <w:r>
        <w:t>EXECUTIVE SUMMARY</w:t>
      </w:r>
    </w:p>
    <w:p w14:paraId="701A66CC" w14:textId="77777777" w:rsidR="00F94D0D" w:rsidRDefault="00551B31" w:rsidP="00B43CE6">
      <w:r>
        <w:t xml:space="preserve">This project report is based on the analysis of financial management of Hilton hotel and different ratio analysis family such as profitability ratio; efficiency ratio and liquidity ratio. </w:t>
      </w:r>
      <w:r w:rsidR="004F677A">
        <w:t xml:space="preserve">Report starts with the detail of hotel and about its operations; after that main part is start with table of results of ratio analysis based on its financial statement. After this; second part consists of analysis of these results shown in table of results and followed by breakdown of the families. At the end discussion of various ratio analysis </w:t>
      </w:r>
      <w:r w:rsidR="00CD3807">
        <w:t>families</w:t>
      </w:r>
      <w:r w:rsidR="004F677A">
        <w:t xml:space="preserve"> has been done with conclusion.</w:t>
      </w:r>
    </w:p>
    <w:p w14:paraId="3FE684AA" w14:textId="77777777" w:rsidR="00F94D0D" w:rsidRDefault="00F94D0D">
      <w:r>
        <w:br w:type="page"/>
      </w:r>
    </w:p>
    <w:p w14:paraId="097C3E9C" w14:textId="77777777" w:rsidR="00B43CE6" w:rsidRDefault="00F94D0D" w:rsidP="00F94D0D">
      <w:pPr>
        <w:pStyle w:val="Heading1"/>
      </w:pPr>
      <w:r>
        <w:lastRenderedPageBreak/>
        <w:t>Main Part</w:t>
      </w:r>
    </w:p>
    <w:p w14:paraId="7E7A99C5" w14:textId="4C295D1C" w:rsidR="00F94D0D" w:rsidRDefault="006942D6" w:rsidP="00F94D0D">
      <w:pPr>
        <w:pStyle w:val="Heading2"/>
      </w:pPr>
      <w:r>
        <w:t>I</w:t>
      </w:r>
      <w:r w:rsidR="00C14FD6">
        <w:t xml:space="preserve"> </w:t>
      </w:r>
      <w:r w:rsidR="00F94D0D">
        <w:t>a. Table of results</w:t>
      </w:r>
    </w:p>
    <w:tbl>
      <w:tblPr>
        <w:tblW w:w="5708" w:type="dxa"/>
        <w:jc w:val="center"/>
        <w:tblLook w:val="04A0" w:firstRow="1" w:lastRow="0" w:firstColumn="1" w:lastColumn="0" w:noHBand="0" w:noVBand="1"/>
      </w:tblPr>
      <w:tblGrid>
        <w:gridCol w:w="328"/>
        <w:gridCol w:w="3655"/>
        <w:gridCol w:w="663"/>
        <w:gridCol w:w="1080"/>
      </w:tblGrid>
      <w:tr w:rsidR="00850B5E" w:rsidRPr="00850B5E" w14:paraId="033193DC" w14:textId="77777777" w:rsidTr="00471486">
        <w:trPr>
          <w:trHeight w:val="300"/>
          <w:jc w:val="center"/>
        </w:trPr>
        <w:tc>
          <w:tcPr>
            <w:tcW w:w="3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6A1620"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 </w:t>
            </w:r>
          </w:p>
        </w:tc>
        <w:tc>
          <w:tcPr>
            <w:tcW w:w="3655" w:type="dxa"/>
            <w:tcBorders>
              <w:top w:val="single" w:sz="4" w:space="0" w:color="auto"/>
              <w:left w:val="nil"/>
              <w:bottom w:val="single" w:sz="4" w:space="0" w:color="auto"/>
              <w:right w:val="single" w:sz="4" w:space="0" w:color="auto"/>
            </w:tcBorders>
            <w:shd w:val="clear" w:color="auto" w:fill="auto"/>
            <w:noWrap/>
            <w:vAlign w:val="bottom"/>
            <w:hideMark/>
          </w:tcPr>
          <w:p w14:paraId="40DF9155" w14:textId="77777777" w:rsidR="00850B5E" w:rsidRPr="00850B5E" w:rsidRDefault="00850B5E" w:rsidP="00850B5E">
            <w:pPr>
              <w:spacing w:before="0" w:beforeAutospacing="0" w:after="0" w:afterAutospacing="0" w:line="240" w:lineRule="auto"/>
              <w:jc w:val="left"/>
              <w:rPr>
                <w:rFonts w:ascii="Calibri" w:eastAsia="Times New Roman" w:hAnsi="Calibri" w:cs="Calibri"/>
                <w:b/>
                <w:bCs/>
                <w:sz w:val="22"/>
                <w:szCs w:val="22"/>
              </w:rPr>
            </w:pPr>
            <w:r w:rsidRPr="00850B5E">
              <w:rPr>
                <w:rFonts w:ascii="Calibri" w:eastAsia="Times New Roman" w:hAnsi="Calibri" w:cs="Calibri"/>
                <w:b/>
                <w:bCs/>
                <w:sz w:val="22"/>
                <w:szCs w:val="22"/>
              </w:rPr>
              <w:t>Profitability ratio</w:t>
            </w:r>
          </w:p>
        </w:tc>
        <w:tc>
          <w:tcPr>
            <w:tcW w:w="645" w:type="dxa"/>
            <w:tcBorders>
              <w:top w:val="single" w:sz="4" w:space="0" w:color="auto"/>
              <w:left w:val="nil"/>
              <w:bottom w:val="single" w:sz="4" w:space="0" w:color="auto"/>
              <w:right w:val="single" w:sz="4" w:space="0" w:color="auto"/>
            </w:tcBorders>
            <w:shd w:val="clear" w:color="auto" w:fill="auto"/>
            <w:noWrap/>
            <w:vAlign w:val="bottom"/>
            <w:hideMark/>
          </w:tcPr>
          <w:p w14:paraId="5BD73D33" w14:textId="77777777" w:rsidR="00850B5E" w:rsidRPr="00850B5E" w:rsidRDefault="00850B5E" w:rsidP="00850B5E">
            <w:pPr>
              <w:spacing w:before="0" w:beforeAutospacing="0" w:after="0" w:afterAutospacing="0" w:line="240" w:lineRule="auto"/>
              <w:jc w:val="left"/>
              <w:rPr>
                <w:rFonts w:ascii="Calibri" w:eastAsia="Times New Roman" w:hAnsi="Calibri" w:cs="Calibri"/>
                <w:b/>
                <w:bCs/>
                <w:sz w:val="22"/>
                <w:szCs w:val="22"/>
              </w:rPr>
            </w:pPr>
            <w:r w:rsidRPr="00850B5E">
              <w:rPr>
                <w:rFonts w:ascii="Calibri" w:eastAsia="Times New Roman" w:hAnsi="Calibri" w:cs="Calibri"/>
                <w:b/>
                <w:bCs/>
                <w:sz w:val="22"/>
                <w:szCs w:val="22"/>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6B53A6C4" w14:textId="77777777" w:rsidR="00850B5E" w:rsidRPr="00850B5E" w:rsidRDefault="00850B5E" w:rsidP="00850B5E">
            <w:pPr>
              <w:spacing w:before="0" w:beforeAutospacing="0" w:after="0" w:afterAutospacing="0" w:line="240" w:lineRule="auto"/>
              <w:jc w:val="left"/>
              <w:rPr>
                <w:rFonts w:ascii="Calibri" w:eastAsia="Times New Roman" w:hAnsi="Calibri" w:cs="Calibri"/>
                <w:b/>
                <w:bCs/>
                <w:sz w:val="22"/>
                <w:szCs w:val="22"/>
              </w:rPr>
            </w:pPr>
            <w:r w:rsidRPr="00850B5E">
              <w:rPr>
                <w:rFonts w:ascii="Calibri" w:eastAsia="Times New Roman" w:hAnsi="Calibri" w:cs="Calibri"/>
                <w:b/>
                <w:bCs/>
                <w:sz w:val="22"/>
                <w:szCs w:val="22"/>
              </w:rPr>
              <w:t> </w:t>
            </w:r>
          </w:p>
        </w:tc>
      </w:tr>
      <w:tr w:rsidR="00850B5E" w:rsidRPr="00850B5E" w14:paraId="6DDD6A6F" w14:textId="77777777" w:rsidTr="00471486">
        <w:trPr>
          <w:trHeight w:val="300"/>
          <w:jc w:val="center"/>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14:paraId="20020CB5"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 </w:t>
            </w:r>
          </w:p>
        </w:tc>
        <w:tc>
          <w:tcPr>
            <w:tcW w:w="3655" w:type="dxa"/>
            <w:tcBorders>
              <w:top w:val="nil"/>
              <w:left w:val="nil"/>
              <w:bottom w:val="single" w:sz="4" w:space="0" w:color="auto"/>
              <w:right w:val="single" w:sz="4" w:space="0" w:color="auto"/>
            </w:tcBorders>
            <w:shd w:val="clear" w:color="auto" w:fill="auto"/>
            <w:noWrap/>
            <w:vAlign w:val="bottom"/>
            <w:hideMark/>
          </w:tcPr>
          <w:p w14:paraId="09AE2E90" w14:textId="77777777" w:rsidR="00850B5E" w:rsidRPr="00850B5E" w:rsidRDefault="00850B5E" w:rsidP="00850B5E">
            <w:pPr>
              <w:spacing w:before="0" w:beforeAutospacing="0" w:after="0" w:afterAutospacing="0" w:line="240" w:lineRule="auto"/>
              <w:jc w:val="left"/>
              <w:rPr>
                <w:rFonts w:ascii="Calibri" w:eastAsia="Times New Roman" w:hAnsi="Calibri" w:cs="Calibri"/>
                <w:b/>
                <w:bCs/>
                <w:sz w:val="22"/>
                <w:szCs w:val="22"/>
              </w:rPr>
            </w:pPr>
            <w:r w:rsidRPr="00850B5E">
              <w:rPr>
                <w:rFonts w:ascii="Calibri" w:eastAsia="Times New Roman" w:hAnsi="Calibri" w:cs="Calibri"/>
                <w:b/>
                <w:bCs/>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14:paraId="7A3CF445" w14:textId="77777777" w:rsidR="00850B5E" w:rsidRPr="00850B5E" w:rsidRDefault="00850B5E" w:rsidP="00850B5E">
            <w:pPr>
              <w:spacing w:before="0" w:beforeAutospacing="0" w:after="0" w:afterAutospacing="0" w:line="240" w:lineRule="auto"/>
              <w:jc w:val="right"/>
              <w:rPr>
                <w:rFonts w:ascii="Calibri" w:eastAsia="Times New Roman" w:hAnsi="Calibri" w:cs="Calibri"/>
                <w:b/>
                <w:bCs/>
                <w:sz w:val="22"/>
                <w:szCs w:val="22"/>
              </w:rPr>
            </w:pPr>
            <w:r w:rsidRPr="00850B5E">
              <w:rPr>
                <w:rFonts w:ascii="Calibri" w:eastAsia="Times New Roman" w:hAnsi="Calibri" w:cs="Calibri"/>
                <w:b/>
                <w:bCs/>
                <w:sz w:val="22"/>
                <w:szCs w:val="22"/>
              </w:rPr>
              <w:t>2018</w:t>
            </w:r>
          </w:p>
        </w:tc>
        <w:tc>
          <w:tcPr>
            <w:tcW w:w="1080" w:type="dxa"/>
            <w:tcBorders>
              <w:top w:val="nil"/>
              <w:left w:val="nil"/>
              <w:bottom w:val="single" w:sz="4" w:space="0" w:color="auto"/>
              <w:right w:val="single" w:sz="4" w:space="0" w:color="auto"/>
            </w:tcBorders>
            <w:shd w:val="clear" w:color="auto" w:fill="auto"/>
            <w:noWrap/>
            <w:vAlign w:val="bottom"/>
            <w:hideMark/>
          </w:tcPr>
          <w:p w14:paraId="0F73F07B" w14:textId="77777777" w:rsidR="00850B5E" w:rsidRPr="00850B5E" w:rsidRDefault="00850B5E" w:rsidP="00850B5E">
            <w:pPr>
              <w:spacing w:before="0" w:beforeAutospacing="0" w:after="0" w:afterAutospacing="0" w:line="240" w:lineRule="auto"/>
              <w:jc w:val="right"/>
              <w:rPr>
                <w:rFonts w:ascii="Calibri" w:eastAsia="Times New Roman" w:hAnsi="Calibri" w:cs="Calibri"/>
                <w:b/>
                <w:bCs/>
                <w:sz w:val="22"/>
                <w:szCs w:val="22"/>
              </w:rPr>
            </w:pPr>
            <w:r w:rsidRPr="00850B5E">
              <w:rPr>
                <w:rFonts w:ascii="Calibri" w:eastAsia="Times New Roman" w:hAnsi="Calibri" w:cs="Calibri"/>
                <w:b/>
                <w:bCs/>
                <w:sz w:val="22"/>
                <w:szCs w:val="22"/>
              </w:rPr>
              <w:t>2019</w:t>
            </w:r>
          </w:p>
        </w:tc>
      </w:tr>
      <w:tr w:rsidR="00850B5E" w:rsidRPr="00850B5E" w14:paraId="047A6F0F" w14:textId="77777777" w:rsidTr="00471486">
        <w:trPr>
          <w:trHeight w:val="300"/>
          <w:jc w:val="center"/>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14:paraId="624916AA"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1</w:t>
            </w:r>
          </w:p>
        </w:tc>
        <w:tc>
          <w:tcPr>
            <w:tcW w:w="3655" w:type="dxa"/>
            <w:tcBorders>
              <w:top w:val="nil"/>
              <w:left w:val="nil"/>
              <w:bottom w:val="single" w:sz="4" w:space="0" w:color="auto"/>
              <w:right w:val="single" w:sz="4" w:space="0" w:color="auto"/>
            </w:tcBorders>
            <w:shd w:val="clear" w:color="auto" w:fill="auto"/>
            <w:noWrap/>
            <w:vAlign w:val="bottom"/>
            <w:hideMark/>
          </w:tcPr>
          <w:p w14:paraId="28F758CB"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Gross profit ratio</w:t>
            </w:r>
          </w:p>
        </w:tc>
        <w:tc>
          <w:tcPr>
            <w:tcW w:w="645" w:type="dxa"/>
            <w:tcBorders>
              <w:top w:val="nil"/>
              <w:left w:val="nil"/>
              <w:bottom w:val="single" w:sz="4" w:space="0" w:color="auto"/>
              <w:right w:val="single" w:sz="4" w:space="0" w:color="auto"/>
            </w:tcBorders>
            <w:shd w:val="clear" w:color="auto" w:fill="auto"/>
            <w:noWrap/>
            <w:vAlign w:val="bottom"/>
            <w:hideMark/>
          </w:tcPr>
          <w:p w14:paraId="34161FD7"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92%</w:t>
            </w:r>
          </w:p>
        </w:tc>
        <w:tc>
          <w:tcPr>
            <w:tcW w:w="1080" w:type="dxa"/>
            <w:tcBorders>
              <w:top w:val="nil"/>
              <w:left w:val="nil"/>
              <w:bottom w:val="single" w:sz="4" w:space="0" w:color="auto"/>
              <w:right w:val="single" w:sz="4" w:space="0" w:color="auto"/>
            </w:tcBorders>
            <w:shd w:val="clear" w:color="auto" w:fill="auto"/>
            <w:noWrap/>
            <w:vAlign w:val="bottom"/>
            <w:hideMark/>
          </w:tcPr>
          <w:p w14:paraId="4FD04881"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86%</w:t>
            </w:r>
          </w:p>
        </w:tc>
      </w:tr>
      <w:tr w:rsidR="00850B5E" w:rsidRPr="00850B5E" w14:paraId="66755A3D" w14:textId="77777777" w:rsidTr="00471486">
        <w:trPr>
          <w:trHeight w:val="300"/>
          <w:jc w:val="center"/>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14:paraId="68033F08"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2</w:t>
            </w:r>
          </w:p>
        </w:tc>
        <w:tc>
          <w:tcPr>
            <w:tcW w:w="3655" w:type="dxa"/>
            <w:tcBorders>
              <w:top w:val="nil"/>
              <w:left w:val="nil"/>
              <w:bottom w:val="single" w:sz="4" w:space="0" w:color="auto"/>
              <w:right w:val="single" w:sz="4" w:space="0" w:color="auto"/>
            </w:tcBorders>
            <w:shd w:val="clear" w:color="auto" w:fill="auto"/>
            <w:noWrap/>
            <w:vAlign w:val="bottom"/>
            <w:hideMark/>
          </w:tcPr>
          <w:p w14:paraId="5F95F2AA"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Net profit ratio</w:t>
            </w:r>
          </w:p>
        </w:tc>
        <w:tc>
          <w:tcPr>
            <w:tcW w:w="645" w:type="dxa"/>
            <w:tcBorders>
              <w:top w:val="nil"/>
              <w:left w:val="nil"/>
              <w:bottom w:val="single" w:sz="4" w:space="0" w:color="auto"/>
              <w:right w:val="single" w:sz="4" w:space="0" w:color="auto"/>
            </w:tcBorders>
            <w:shd w:val="clear" w:color="auto" w:fill="auto"/>
            <w:noWrap/>
            <w:vAlign w:val="bottom"/>
            <w:hideMark/>
          </w:tcPr>
          <w:p w14:paraId="168B5F05"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74%</w:t>
            </w:r>
          </w:p>
        </w:tc>
        <w:tc>
          <w:tcPr>
            <w:tcW w:w="1080" w:type="dxa"/>
            <w:tcBorders>
              <w:top w:val="nil"/>
              <w:left w:val="nil"/>
              <w:bottom w:val="single" w:sz="4" w:space="0" w:color="auto"/>
              <w:right w:val="single" w:sz="4" w:space="0" w:color="auto"/>
            </w:tcBorders>
            <w:shd w:val="clear" w:color="auto" w:fill="auto"/>
            <w:noWrap/>
            <w:vAlign w:val="bottom"/>
            <w:hideMark/>
          </w:tcPr>
          <w:p w14:paraId="7BC8EE92"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67%</w:t>
            </w:r>
          </w:p>
        </w:tc>
      </w:tr>
      <w:tr w:rsidR="00850B5E" w:rsidRPr="00850B5E" w14:paraId="44D16CE7" w14:textId="77777777" w:rsidTr="00471486">
        <w:trPr>
          <w:trHeight w:val="300"/>
          <w:jc w:val="center"/>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14:paraId="3F13B219"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3</w:t>
            </w:r>
          </w:p>
        </w:tc>
        <w:tc>
          <w:tcPr>
            <w:tcW w:w="3655" w:type="dxa"/>
            <w:tcBorders>
              <w:top w:val="nil"/>
              <w:left w:val="nil"/>
              <w:bottom w:val="single" w:sz="4" w:space="0" w:color="auto"/>
              <w:right w:val="single" w:sz="4" w:space="0" w:color="auto"/>
            </w:tcBorders>
            <w:shd w:val="clear" w:color="auto" w:fill="auto"/>
            <w:noWrap/>
            <w:vAlign w:val="bottom"/>
            <w:hideMark/>
          </w:tcPr>
          <w:p w14:paraId="71A43E0C"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Operating profit ratio</w:t>
            </w:r>
          </w:p>
        </w:tc>
        <w:tc>
          <w:tcPr>
            <w:tcW w:w="645" w:type="dxa"/>
            <w:tcBorders>
              <w:top w:val="nil"/>
              <w:left w:val="nil"/>
              <w:bottom w:val="single" w:sz="4" w:space="0" w:color="auto"/>
              <w:right w:val="single" w:sz="4" w:space="0" w:color="auto"/>
            </w:tcBorders>
            <w:shd w:val="clear" w:color="auto" w:fill="auto"/>
            <w:noWrap/>
            <w:vAlign w:val="bottom"/>
            <w:hideMark/>
          </w:tcPr>
          <w:p w14:paraId="44ED51D0"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85%</w:t>
            </w:r>
          </w:p>
        </w:tc>
        <w:tc>
          <w:tcPr>
            <w:tcW w:w="1080" w:type="dxa"/>
            <w:tcBorders>
              <w:top w:val="nil"/>
              <w:left w:val="nil"/>
              <w:bottom w:val="single" w:sz="4" w:space="0" w:color="auto"/>
              <w:right w:val="single" w:sz="4" w:space="0" w:color="auto"/>
            </w:tcBorders>
            <w:shd w:val="clear" w:color="auto" w:fill="auto"/>
            <w:noWrap/>
            <w:vAlign w:val="bottom"/>
            <w:hideMark/>
          </w:tcPr>
          <w:p w14:paraId="5F68715A"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80%</w:t>
            </w:r>
          </w:p>
        </w:tc>
      </w:tr>
      <w:tr w:rsidR="00850B5E" w:rsidRPr="00850B5E" w14:paraId="225A6225" w14:textId="77777777" w:rsidTr="00471486">
        <w:trPr>
          <w:trHeight w:val="300"/>
          <w:jc w:val="center"/>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14:paraId="314BA047"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 </w:t>
            </w:r>
          </w:p>
        </w:tc>
        <w:tc>
          <w:tcPr>
            <w:tcW w:w="3655" w:type="dxa"/>
            <w:tcBorders>
              <w:top w:val="nil"/>
              <w:left w:val="nil"/>
              <w:bottom w:val="single" w:sz="4" w:space="0" w:color="auto"/>
              <w:right w:val="single" w:sz="4" w:space="0" w:color="auto"/>
            </w:tcBorders>
            <w:shd w:val="clear" w:color="auto" w:fill="auto"/>
            <w:noWrap/>
            <w:vAlign w:val="bottom"/>
            <w:hideMark/>
          </w:tcPr>
          <w:p w14:paraId="3D508CC6"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14:paraId="56355E9F"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 </w:t>
            </w:r>
          </w:p>
        </w:tc>
        <w:tc>
          <w:tcPr>
            <w:tcW w:w="1080" w:type="dxa"/>
            <w:tcBorders>
              <w:top w:val="nil"/>
              <w:left w:val="nil"/>
              <w:bottom w:val="single" w:sz="4" w:space="0" w:color="auto"/>
              <w:right w:val="single" w:sz="4" w:space="0" w:color="auto"/>
            </w:tcBorders>
            <w:shd w:val="clear" w:color="auto" w:fill="auto"/>
            <w:noWrap/>
            <w:vAlign w:val="bottom"/>
            <w:hideMark/>
          </w:tcPr>
          <w:p w14:paraId="587BD9AB"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 </w:t>
            </w:r>
          </w:p>
        </w:tc>
      </w:tr>
      <w:tr w:rsidR="00850B5E" w:rsidRPr="00850B5E" w14:paraId="06254AF5" w14:textId="77777777" w:rsidTr="00471486">
        <w:trPr>
          <w:trHeight w:val="300"/>
          <w:jc w:val="center"/>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14:paraId="0073E3F0"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 </w:t>
            </w:r>
          </w:p>
        </w:tc>
        <w:tc>
          <w:tcPr>
            <w:tcW w:w="3655" w:type="dxa"/>
            <w:tcBorders>
              <w:top w:val="nil"/>
              <w:left w:val="nil"/>
              <w:bottom w:val="single" w:sz="4" w:space="0" w:color="auto"/>
              <w:right w:val="single" w:sz="4" w:space="0" w:color="auto"/>
            </w:tcBorders>
            <w:shd w:val="clear" w:color="auto" w:fill="auto"/>
            <w:noWrap/>
            <w:vAlign w:val="bottom"/>
            <w:hideMark/>
          </w:tcPr>
          <w:p w14:paraId="78FC0E07" w14:textId="77777777" w:rsidR="00850B5E" w:rsidRPr="00850B5E" w:rsidRDefault="00850B5E" w:rsidP="00850B5E">
            <w:pPr>
              <w:spacing w:before="0" w:beforeAutospacing="0" w:after="0" w:afterAutospacing="0" w:line="240" w:lineRule="auto"/>
              <w:jc w:val="left"/>
              <w:rPr>
                <w:rFonts w:ascii="Calibri" w:eastAsia="Times New Roman" w:hAnsi="Calibri" w:cs="Calibri"/>
                <w:b/>
                <w:bCs/>
                <w:sz w:val="22"/>
                <w:szCs w:val="22"/>
              </w:rPr>
            </w:pPr>
            <w:r w:rsidRPr="00850B5E">
              <w:rPr>
                <w:rFonts w:ascii="Calibri" w:eastAsia="Times New Roman" w:hAnsi="Calibri" w:cs="Calibri"/>
                <w:b/>
                <w:bCs/>
                <w:sz w:val="22"/>
                <w:szCs w:val="22"/>
              </w:rPr>
              <w:t>Efficiency ratios</w:t>
            </w:r>
          </w:p>
        </w:tc>
        <w:tc>
          <w:tcPr>
            <w:tcW w:w="645" w:type="dxa"/>
            <w:tcBorders>
              <w:top w:val="nil"/>
              <w:left w:val="nil"/>
              <w:bottom w:val="single" w:sz="4" w:space="0" w:color="auto"/>
              <w:right w:val="single" w:sz="4" w:space="0" w:color="auto"/>
            </w:tcBorders>
            <w:shd w:val="clear" w:color="auto" w:fill="auto"/>
            <w:noWrap/>
            <w:vAlign w:val="bottom"/>
            <w:hideMark/>
          </w:tcPr>
          <w:p w14:paraId="78B32A50"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 </w:t>
            </w:r>
          </w:p>
        </w:tc>
        <w:tc>
          <w:tcPr>
            <w:tcW w:w="1080" w:type="dxa"/>
            <w:tcBorders>
              <w:top w:val="nil"/>
              <w:left w:val="nil"/>
              <w:bottom w:val="single" w:sz="4" w:space="0" w:color="auto"/>
              <w:right w:val="single" w:sz="4" w:space="0" w:color="auto"/>
            </w:tcBorders>
            <w:shd w:val="clear" w:color="auto" w:fill="auto"/>
            <w:noWrap/>
            <w:vAlign w:val="bottom"/>
            <w:hideMark/>
          </w:tcPr>
          <w:p w14:paraId="0C6B298A"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 </w:t>
            </w:r>
          </w:p>
        </w:tc>
      </w:tr>
      <w:tr w:rsidR="00850B5E" w:rsidRPr="00850B5E" w14:paraId="6EEC0BFF" w14:textId="77777777" w:rsidTr="00471486">
        <w:trPr>
          <w:trHeight w:val="300"/>
          <w:jc w:val="center"/>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14:paraId="5FB958D7"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1</w:t>
            </w:r>
          </w:p>
        </w:tc>
        <w:tc>
          <w:tcPr>
            <w:tcW w:w="3655" w:type="dxa"/>
            <w:tcBorders>
              <w:top w:val="nil"/>
              <w:left w:val="nil"/>
              <w:bottom w:val="single" w:sz="4" w:space="0" w:color="auto"/>
              <w:right w:val="single" w:sz="4" w:space="0" w:color="auto"/>
            </w:tcBorders>
            <w:shd w:val="clear" w:color="auto" w:fill="auto"/>
            <w:noWrap/>
            <w:vAlign w:val="bottom"/>
            <w:hideMark/>
          </w:tcPr>
          <w:p w14:paraId="64922704"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Accounts receivable turnover ratio</w:t>
            </w:r>
          </w:p>
        </w:tc>
        <w:tc>
          <w:tcPr>
            <w:tcW w:w="645" w:type="dxa"/>
            <w:tcBorders>
              <w:top w:val="nil"/>
              <w:left w:val="nil"/>
              <w:bottom w:val="single" w:sz="4" w:space="0" w:color="auto"/>
              <w:right w:val="single" w:sz="4" w:space="0" w:color="auto"/>
            </w:tcBorders>
            <w:shd w:val="clear" w:color="auto" w:fill="auto"/>
            <w:noWrap/>
            <w:vAlign w:val="bottom"/>
            <w:hideMark/>
          </w:tcPr>
          <w:p w14:paraId="55EFA868"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24</w:t>
            </w:r>
          </w:p>
        </w:tc>
        <w:tc>
          <w:tcPr>
            <w:tcW w:w="1080" w:type="dxa"/>
            <w:tcBorders>
              <w:top w:val="nil"/>
              <w:left w:val="nil"/>
              <w:bottom w:val="single" w:sz="4" w:space="0" w:color="auto"/>
              <w:right w:val="single" w:sz="4" w:space="0" w:color="auto"/>
            </w:tcBorders>
            <w:shd w:val="clear" w:color="auto" w:fill="auto"/>
            <w:noWrap/>
            <w:vAlign w:val="bottom"/>
            <w:hideMark/>
          </w:tcPr>
          <w:p w14:paraId="661C8375"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28</w:t>
            </w:r>
          </w:p>
        </w:tc>
      </w:tr>
      <w:tr w:rsidR="00850B5E" w:rsidRPr="00850B5E" w14:paraId="07C83946" w14:textId="77777777" w:rsidTr="00471486">
        <w:trPr>
          <w:trHeight w:val="300"/>
          <w:jc w:val="center"/>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14:paraId="70953670"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2</w:t>
            </w:r>
          </w:p>
        </w:tc>
        <w:tc>
          <w:tcPr>
            <w:tcW w:w="3655" w:type="dxa"/>
            <w:tcBorders>
              <w:top w:val="nil"/>
              <w:left w:val="nil"/>
              <w:bottom w:val="single" w:sz="4" w:space="0" w:color="auto"/>
              <w:right w:val="single" w:sz="4" w:space="0" w:color="auto"/>
            </w:tcBorders>
            <w:shd w:val="clear" w:color="auto" w:fill="auto"/>
            <w:noWrap/>
            <w:vAlign w:val="bottom"/>
            <w:hideMark/>
          </w:tcPr>
          <w:p w14:paraId="275649D2"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Inventory turnover ratio</w:t>
            </w:r>
          </w:p>
        </w:tc>
        <w:tc>
          <w:tcPr>
            <w:tcW w:w="645" w:type="dxa"/>
            <w:tcBorders>
              <w:top w:val="nil"/>
              <w:left w:val="nil"/>
              <w:bottom w:val="single" w:sz="4" w:space="0" w:color="auto"/>
              <w:right w:val="single" w:sz="4" w:space="0" w:color="auto"/>
            </w:tcBorders>
            <w:shd w:val="clear" w:color="auto" w:fill="auto"/>
            <w:noWrap/>
            <w:vAlign w:val="bottom"/>
            <w:hideMark/>
          </w:tcPr>
          <w:p w14:paraId="345ABCC1"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15</w:t>
            </w:r>
          </w:p>
        </w:tc>
        <w:tc>
          <w:tcPr>
            <w:tcW w:w="1080" w:type="dxa"/>
            <w:tcBorders>
              <w:top w:val="nil"/>
              <w:left w:val="nil"/>
              <w:bottom w:val="single" w:sz="4" w:space="0" w:color="auto"/>
              <w:right w:val="single" w:sz="4" w:space="0" w:color="auto"/>
            </w:tcBorders>
            <w:shd w:val="clear" w:color="auto" w:fill="auto"/>
            <w:noWrap/>
            <w:vAlign w:val="bottom"/>
            <w:hideMark/>
          </w:tcPr>
          <w:p w14:paraId="18080C30"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12</w:t>
            </w:r>
          </w:p>
        </w:tc>
      </w:tr>
      <w:tr w:rsidR="00850B5E" w:rsidRPr="00850B5E" w14:paraId="51B93D2E" w14:textId="77777777" w:rsidTr="00471486">
        <w:trPr>
          <w:trHeight w:val="300"/>
          <w:jc w:val="center"/>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14:paraId="2749EFDF"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3</w:t>
            </w:r>
          </w:p>
        </w:tc>
        <w:tc>
          <w:tcPr>
            <w:tcW w:w="3655" w:type="dxa"/>
            <w:tcBorders>
              <w:top w:val="nil"/>
              <w:left w:val="nil"/>
              <w:bottom w:val="single" w:sz="4" w:space="0" w:color="auto"/>
              <w:right w:val="single" w:sz="4" w:space="0" w:color="auto"/>
            </w:tcBorders>
            <w:shd w:val="clear" w:color="auto" w:fill="auto"/>
            <w:noWrap/>
            <w:vAlign w:val="bottom"/>
            <w:hideMark/>
          </w:tcPr>
          <w:p w14:paraId="5A8415C0"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 xml:space="preserve"> Fixed assets turnover ratio</w:t>
            </w:r>
          </w:p>
        </w:tc>
        <w:tc>
          <w:tcPr>
            <w:tcW w:w="645" w:type="dxa"/>
            <w:tcBorders>
              <w:top w:val="nil"/>
              <w:left w:val="nil"/>
              <w:bottom w:val="single" w:sz="4" w:space="0" w:color="auto"/>
              <w:right w:val="single" w:sz="4" w:space="0" w:color="auto"/>
            </w:tcBorders>
            <w:shd w:val="clear" w:color="auto" w:fill="auto"/>
            <w:noWrap/>
            <w:vAlign w:val="bottom"/>
            <w:hideMark/>
          </w:tcPr>
          <w:p w14:paraId="18435B7E"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18</w:t>
            </w:r>
          </w:p>
        </w:tc>
        <w:tc>
          <w:tcPr>
            <w:tcW w:w="1080" w:type="dxa"/>
            <w:tcBorders>
              <w:top w:val="nil"/>
              <w:left w:val="nil"/>
              <w:bottom w:val="single" w:sz="4" w:space="0" w:color="auto"/>
              <w:right w:val="single" w:sz="4" w:space="0" w:color="auto"/>
            </w:tcBorders>
            <w:shd w:val="clear" w:color="auto" w:fill="auto"/>
            <w:noWrap/>
            <w:vAlign w:val="bottom"/>
            <w:hideMark/>
          </w:tcPr>
          <w:p w14:paraId="6B19A419"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13</w:t>
            </w:r>
          </w:p>
        </w:tc>
      </w:tr>
      <w:tr w:rsidR="00850B5E" w:rsidRPr="00850B5E" w14:paraId="55DE9230" w14:textId="77777777" w:rsidTr="00471486">
        <w:trPr>
          <w:trHeight w:val="300"/>
          <w:jc w:val="center"/>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14:paraId="4A6CEF58"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4</w:t>
            </w:r>
          </w:p>
        </w:tc>
        <w:tc>
          <w:tcPr>
            <w:tcW w:w="3655" w:type="dxa"/>
            <w:tcBorders>
              <w:top w:val="nil"/>
              <w:left w:val="nil"/>
              <w:bottom w:val="single" w:sz="4" w:space="0" w:color="auto"/>
              <w:right w:val="single" w:sz="4" w:space="0" w:color="auto"/>
            </w:tcBorders>
            <w:shd w:val="clear" w:color="auto" w:fill="auto"/>
            <w:noWrap/>
            <w:vAlign w:val="bottom"/>
            <w:hideMark/>
          </w:tcPr>
          <w:p w14:paraId="5026D072"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Accounts payable turnover ratio</w:t>
            </w:r>
          </w:p>
        </w:tc>
        <w:tc>
          <w:tcPr>
            <w:tcW w:w="645" w:type="dxa"/>
            <w:tcBorders>
              <w:top w:val="nil"/>
              <w:left w:val="nil"/>
              <w:bottom w:val="single" w:sz="4" w:space="0" w:color="auto"/>
              <w:right w:val="single" w:sz="4" w:space="0" w:color="auto"/>
            </w:tcBorders>
            <w:shd w:val="clear" w:color="auto" w:fill="auto"/>
            <w:noWrap/>
            <w:vAlign w:val="bottom"/>
            <w:hideMark/>
          </w:tcPr>
          <w:p w14:paraId="7C177835"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14</w:t>
            </w:r>
          </w:p>
        </w:tc>
        <w:tc>
          <w:tcPr>
            <w:tcW w:w="1080" w:type="dxa"/>
            <w:tcBorders>
              <w:top w:val="nil"/>
              <w:left w:val="nil"/>
              <w:bottom w:val="single" w:sz="4" w:space="0" w:color="auto"/>
              <w:right w:val="single" w:sz="4" w:space="0" w:color="auto"/>
            </w:tcBorders>
            <w:shd w:val="clear" w:color="auto" w:fill="auto"/>
            <w:noWrap/>
            <w:vAlign w:val="bottom"/>
            <w:hideMark/>
          </w:tcPr>
          <w:p w14:paraId="2B6B7E71"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18</w:t>
            </w:r>
          </w:p>
        </w:tc>
      </w:tr>
      <w:tr w:rsidR="00850B5E" w:rsidRPr="00850B5E" w14:paraId="41E12DF7" w14:textId="77777777" w:rsidTr="00471486">
        <w:trPr>
          <w:trHeight w:val="300"/>
          <w:jc w:val="center"/>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14:paraId="569B0CCF"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 </w:t>
            </w:r>
          </w:p>
        </w:tc>
        <w:tc>
          <w:tcPr>
            <w:tcW w:w="3655" w:type="dxa"/>
            <w:tcBorders>
              <w:top w:val="nil"/>
              <w:left w:val="nil"/>
              <w:bottom w:val="single" w:sz="4" w:space="0" w:color="auto"/>
              <w:right w:val="single" w:sz="4" w:space="0" w:color="auto"/>
            </w:tcBorders>
            <w:shd w:val="clear" w:color="auto" w:fill="auto"/>
            <w:noWrap/>
            <w:vAlign w:val="bottom"/>
            <w:hideMark/>
          </w:tcPr>
          <w:p w14:paraId="15474515"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14:paraId="6A31EEF9"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 </w:t>
            </w:r>
          </w:p>
        </w:tc>
        <w:tc>
          <w:tcPr>
            <w:tcW w:w="1080" w:type="dxa"/>
            <w:tcBorders>
              <w:top w:val="nil"/>
              <w:left w:val="nil"/>
              <w:bottom w:val="single" w:sz="4" w:space="0" w:color="auto"/>
              <w:right w:val="single" w:sz="4" w:space="0" w:color="auto"/>
            </w:tcBorders>
            <w:shd w:val="clear" w:color="auto" w:fill="auto"/>
            <w:noWrap/>
            <w:vAlign w:val="bottom"/>
            <w:hideMark/>
          </w:tcPr>
          <w:p w14:paraId="18A9B714"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 </w:t>
            </w:r>
          </w:p>
        </w:tc>
      </w:tr>
      <w:tr w:rsidR="00850B5E" w:rsidRPr="00850B5E" w14:paraId="66C47E7E" w14:textId="77777777" w:rsidTr="00471486">
        <w:trPr>
          <w:trHeight w:val="300"/>
          <w:jc w:val="center"/>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14:paraId="76AD434E"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 </w:t>
            </w:r>
          </w:p>
        </w:tc>
        <w:tc>
          <w:tcPr>
            <w:tcW w:w="3655" w:type="dxa"/>
            <w:tcBorders>
              <w:top w:val="nil"/>
              <w:left w:val="nil"/>
              <w:bottom w:val="single" w:sz="4" w:space="0" w:color="auto"/>
              <w:right w:val="single" w:sz="4" w:space="0" w:color="auto"/>
            </w:tcBorders>
            <w:shd w:val="clear" w:color="auto" w:fill="auto"/>
            <w:noWrap/>
            <w:vAlign w:val="bottom"/>
            <w:hideMark/>
          </w:tcPr>
          <w:p w14:paraId="6FFBFAB9" w14:textId="77777777" w:rsidR="00850B5E" w:rsidRPr="00850B5E" w:rsidRDefault="00850B5E" w:rsidP="00850B5E">
            <w:pPr>
              <w:spacing w:before="0" w:beforeAutospacing="0" w:after="0" w:afterAutospacing="0" w:line="240" w:lineRule="auto"/>
              <w:jc w:val="left"/>
              <w:rPr>
                <w:rFonts w:ascii="Calibri" w:eastAsia="Times New Roman" w:hAnsi="Calibri" w:cs="Calibri"/>
                <w:b/>
                <w:bCs/>
                <w:sz w:val="22"/>
                <w:szCs w:val="22"/>
              </w:rPr>
            </w:pPr>
            <w:r w:rsidRPr="00850B5E">
              <w:rPr>
                <w:rFonts w:ascii="Calibri" w:eastAsia="Times New Roman" w:hAnsi="Calibri" w:cs="Calibri"/>
                <w:b/>
                <w:bCs/>
                <w:sz w:val="22"/>
                <w:szCs w:val="22"/>
              </w:rPr>
              <w:t>Liquidity ratio</w:t>
            </w:r>
          </w:p>
        </w:tc>
        <w:tc>
          <w:tcPr>
            <w:tcW w:w="645" w:type="dxa"/>
            <w:tcBorders>
              <w:top w:val="nil"/>
              <w:left w:val="nil"/>
              <w:bottom w:val="single" w:sz="4" w:space="0" w:color="auto"/>
              <w:right w:val="single" w:sz="4" w:space="0" w:color="auto"/>
            </w:tcBorders>
            <w:shd w:val="clear" w:color="auto" w:fill="auto"/>
            <w:noWrap/>
            <w:vAlign w:val="bottom"/>
            <w:hideMark/>
          </w:tcPr>
          <w:p w14:paraId="30CE80EC"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 </w:t>
            </w:r>
          </w:p>
        </w:tc>
        <w:tc>
          <w:tcPr>
            <w:tcW w:w="1080" w:type="dxa"/>
            <w:tcBorders>
              <w:top w:val="nil"/>
              <w:left w:val="nil"/>
              <w:bottom w:val="single" w:sz="4" w:space="0" w:color="auto"/>
              <w:right w:val="single" w:sz="4" w:space="0" w:color="auto"/>
            </w:tcBorders>
            <w:shd w:val="clear" w:color="auto" w:fill="auto"/>
            <w:noWrap/>
            <w:vAlign w:val="bottom"/>
            <w:hideMark/>
          </w:tcPr>
          <w:p w14:paraId="7D349EFE"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 </w:t>
            </w:r>
          </w:p>
        </w:tc>
      </w:tr>
      <w:tr w:rsidR="00850B5E" w:rsidRPr="00850B5E" w14:paraId="192DC1A0" w14:textId="77777777" w:rsidTr="00471486">
        <w:trPr>
          <w:trHeight w:val="300"/>
          <w:jc w:val="center"/>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14:paraId="1B358A4F"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1</w:t>
            </w:r>
          </w:p>
        </w:tc>
        <w:tc>
          <w:tcPr>
            <w:tcW w:w="3655" w:type="dxa"/>
            <w:tcBorders>
              <w:top w:val="nil"/>
              <w:left w:val="nil"/>
              <w:bottom w:val="single" w:sz="4" w:space="0" w:color="auto"/>
              <w:right w:val="single" w:sz="4" w:space="0" w:color="auto"/>
            </w:tcBorders>
            <w:shd w:val="clear" w:color="auto" w:fill="auto"/>
            <w:noWrap/>
            <w:vAlign w:val="bottom"/>
            <w:hideMark/>
          </w:tcPr>
          <w:p w14:paraId="7007A6B4"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Current ratio</w:t>
            </w:r>
          </w:p>
        </w:tc>
        <w:tc>
          <w:tcPr>
            <w:tcW w:w="645" w:type="dxa"/>
            <w:tcBorders>
              <w:top w:val="nil"/>
              <w:left w:val="nil"/>
              <w:bottom w:val="single" w:sz="4" w:space="0" w:color="auto"/>
              <w:right w:val="single" w:sz="4" w:space="0" w:color="auto"/>
            </w:tcBorders>
            <w:shd w:val="clear" w:color="auto" w:fill="auto"/>
            <w:noWrap/>
            <w:vAlign w:val="bottom"/>
            <w:hideMark/>
          </w:tcPr>
          <w:p w14:paraId="70933575"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2</w:t>
            </w:r>
          </w:p>
        </w:tc>
        <w:tc>
          <w:tcPr>
            <w:tcW w:w="1080" w:type="dxa"/>
            <w:tcBorders>
              <w:top w:val="nil"/>
              <w:left w:val="nil"/>
              <w:bottom w:val="single" w:sz="4" w:space="0" w:color="auto"/>
              <w:right w:val="single" w:sz="4" w:space="0" w:color="auto"/>
            </w:tcBorders>
            <w:shd w:val="clear" w:color="auto" w:fill="auto"/>
            <w:noWrap/>
            <w:vAlign w:val="bottom"/>
            <w:hideMark/>
          </w:tcPr>
          <w:p w14:paraId="5A76C343"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1.5</w:t>
            </w:r>
          </w:p>
        </w:tc>
      </w:tr>
      <w:tr w:rsidR="00850B5E" w:rsidRPr="00850B5E" w14:paraId="7BCC4048" w14:textId="77777777" w:rsidTr="00471486">
        <w:trPr>
          <w:trHeight w:val="300"/>
          <w:jc w:val="center"/>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14:paraId="0B69DA44"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2</w:t>
            </w:r>
          </w:p>
        </w:tc>
        <w:tc>
          <w:tcPr>
            <w:tcW w:w="3655" w:type="dxa"/>
            <w:tcBorders>
              <w:top w:val="nil"/>
              <w:left w:val="nil"/>
              <w:bottom w:val="single" w:sz="4" w:space="0" w:color="auto"/>
              <w:right w:val="single" w:sz="4" w:space="0" w:color="auto"/>
            </w:tcBorders>
            <w:shd w:val="clear" w:color="auto" w:fill="auto"/>
            <w:noWrap/>
            <w:vAlign w:val="bottom"/>
            <w:hideMark/>
          </w:tcPr>
          <w:p w14:paraId="76E70C96"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Quick assets ratio</w:t>
            </w:r>
          </w:p>
        </w:tc>
        <w:tc>
          <w:tcPr>
            <w:tcW w:w="645" w:type="dxa"/>
            <w:tcBorders>
              <w:top w:val="nil"/>
              <w:left w:val="nil"/>
              <w:bottom w:val="single" w:sz="4" w:space="0" w:color="auto"/>
              <w:right w:val="single" w:sz="4" w:space="0" w:color="auto"/>
            </w:tcBorders>
            <w:shd w:val="clear" w:color="auto" w:fill="auto"/>
            <w:noWrap/>
            <w:vAlign w:val="bottom"/>
            <w:hideMark/>
          </w:tcPr>
          <w:p w14:paraId="18DAC4F0"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0.85</w:t>
            </w:r>
          </w:p>
        </w:tc>
        <w:tc>
          <w:tcPr>
            <w:tcW w:w="1080" w:type="dxa"/>
            <w:tcBorders>
              <w:top w:val="nil"/>
              <w:left w:val="nil"/>
              <w:bottom w:val="single" w:sz="4" w:space="0" w:color="auto"/>
              <w:right w:val="single" w:sz="4" w:space="0" w:color="auto"/>
            </w:tcBorders>
            <w:shd w:val="clear" w:color="auto" w:fill="auto"/>
            <w:noWrap/>
            <w:vAlign w:val="bottom"/>
            <w:hideMark/>
          </w:tcPr>
          <w:p w14:paraId="1BC1FB23" w14:textId="77777777" w:rsidR="00850B5E" w:rsidRPr="00850B5E" w:rsidRDefault="00850B5E" w:rsidP="00850B5E">
            <w:pPr>
              <w:spacing w:before="0" w:beforeAutospacing="0" w:after="0" w:afterAutospacing="0" w:line="240" w:lineRule="auto"/>
              <w:jc w:val="right"/>
              <w:rPr>
                <w:rFonts w:ascii="Calibri" w:eastAsia="Times New Roman" w:hAnsi="Calibri" w:cs="Calibri"/>
                <w:sz w:val="22"/>
                <w:szCs w:val="22"/>
              </w:rPr>
            </w:pPr>
            <w:r w:rsidRPr="00850B5E">
              <w:rPr>
                <w:rFonts w:ascii="Calibri" w:eastAsia="Times New Roman" w:hAnsi="Calibri" w:cs="Calibri"/>
                <w:sz w:val="22"/>
                <w:szCs w:val="22"/>
              </w:rPr>
              <w:t>0.97</w:t>
            </w:r>
          </w:p>
        </w:tc>
      </w:tr>
      <w:tr w:rsidR="00850B5E" w:rsidRPr="00850B5E" w14:paraId="431771BE" w14:textId="77777777" w:rsidTr="00471486">
        <w:trPr>
          <w:trHeight w:val="300"/>
          <w:jc w:val="center"/>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14:paraId="65CB10CD"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 </w:t>
            </w:r>
          </w:p>
        </w:tc>
        <w:tc>
          <w:tcPr>
            <w:tcW w:w="3655" w:type="dxa"/>
            <w:tcBorders>
              <w:top w:val="nil"/>
              <w:left w:val="nil"/>
              <w:bottom w:val="single" w:sz="4" w:space="0" w:color="auto"/>
              <w:right w:val="single" w:sz="4" w:space="0" w:color="auto"/>
            </w:tcBorders>
            <w:shd w:val="clear" w:color="auto" w:fill="auto"/>
            <w:noWrap/>
            <w:vAlign w:val="bottom"/>
            <w:hideMark/>
          </w:tcPr>
          <w:p w14:paraId="3A50720C"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 </w:t>
            </w:r>
          </w:p>
        </w:tc>
        <w:tc>
          <w:tcPr>
            <w:tcW w:w="645" w:type="dxa"/>
            <w:tcBorders>
              <w:top w:val="nil"/>
              <w:left w:val="nil"/>
              <w:bottom w:val="single" w:sz="4" w:space="0" w:color="auto"/>
              <w:right w:val="single" w:sz="4" w:space="0" w:color="auto"/>
            </w:tcBorders>
            <w:shd w:val="clear" w:color="auto" w:fill="auto"/>
            <w:noWrap/>
            <w:vAlign w:val="bottom"/>
            <w:hideMark/>
          </w:tcPr>
          <w:p w14:paraId="3B340D94"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 </w:t>
            </w:r>
          </w:p>
        </w:tc>
        <w:tc>
          <w:tcPr>
            <w:tcW w:w="1080" w:type="dxa"/>
            <w:tcBorders>
              <w:top w:val="nil"/>
              <w:left w:val="nil"/>
              <w:bottom w:val="single" w:sz="4" w:space="0" w:color="auto"/>
              <w:right w:val="single" w:sz="4" w:space="0" w:color="auto"/>
            </w:tcBorders>
            <w:shd w:val="clear" w:color="auto" w:fill="auto"/>
            <w:noWrap/>
            <w:vAlign w:val="bottom"/>
            <w:hideMark/>
          </w:tcPr>
          <w:p w14:paraId="56F9AAB9" w14:textId="77777777" w:rsidR="00850B5E" w:rsidRPr="00850B5E" w:rsidRDefault="00850B5E" w:rsidP="00850B5E">
            <w:pPr>
              <w:spacing w:before="0" w:beforeAutospacing="0" w:after="0" w:afterAutospacing="0" w:line="240" w:lineRule="auto"/>
              <w:jc w:val="left"/>
              <w:rPr>
                <w:rFonts w:ascii="Calibri" w:eastAsia="Times New Roman" w:hAnsi="Calibri" w:cs="Calibri"/>
                <w:sz w:val="22"/>
                <w:szCs w:val="22"/>
              </w:rPr>
            </w:pPr>
            <w:r w:rsidRPr="00850B5E">
              <w:rPr>
                <w:rFonts w:ascii="Calibri" w:eastAsia="Times New Roman" w:hAnsi="Calibri" w:cs="Calibri"/>
                <w:sz w:val="22"/>
                <w:szCs w:val="22"/>
              </w:rPr>
              <w:t> </w:t>
            </w:r>
          </w:p>
        </w:tc>
      </w:tr>
    </w:tbl>
    <w:p w14:paraId="75736D7F" w14:textId="77777777" w:rsidR="00C14FD6" w:rsidRDefault="00C14FD6" w:rsidP="00C14FD6">
      <w:pPr>
        <w:pStyle w:val="Heading2"/>
      </w:pPr>
    </w:p>
    <w:p w14:paraId="683C9B6B" w14:textId="710ABF91" w:rsidR="00F94D0D" w:rsidRDefault="006942D6" w:rsidP="00C14FD6">
      <w:pPr>
        <w:pStyle w:val="Heading2"/>
      </w:pPr>
      <w:r>
        <w:t>I</w:t>
      </w:r>
      <w:r w:rsidR="00C14FD6">
        <w:t xml:space="preserve"> b. Basic description</w:t>
      </w:r>
    </w:p>
    <w:p w14:paraId="7823427E" w14:textId="77777777" w:rsidR="00A175C8" w:rsidRDefault="00F60D0C" w:rsidP="00C14FD6">
      <w:r>
        <w:t xml:space="preserve">Based on table of results it can be interpreted that; Hilton has decline in performance as compared to 2018 to 2019. It has only improved in terms of quick assets ratio and accounts payable ratio. Hotel requires </w:t>
      </w:r>
      <w:r w:rsidR="00C2596F">
        <w:t>much improvement</w:t>
      </w:r>
      <w:r>
        <w:t xml:space="preserve">; as it has not performed well in 2019. </w:t>
      </w:r>
      <w:r w:rsidR="00C2596F">
        <w:t xml:space="preserve">Company has also </w:t>
      </w:r>
      <w:r w:rsidR="00A175C8">
        <w:t>needed</w:t>
      </w:r>
      <w:r w:rsidR="00C2596F">
        <w:t xml:space="preserve"> to focus on its debtors and creditors policy to meet the working capital requirement in long run. </w:t>
      </w:r>
    </w:p>
    <w:p w14:paraId="7BBAC7D1" w14:textId="77777777" w:rsidR="00A175C8" w:rsidRDefault="00A175C8" w:rsidP="00A175C8">
      <w:pPr>
        <w:pStyle w:val="Heading2"/>
      </w:pPr>
      <w:r>
        <w:lastRenderedPageBreak/>
        <w:t>ii. Analysis</w:t>
      </w:r>
    </w:p>
    <w:p w14:paraId="47909A6E" w14:textId="77777777" w:rsidR="00A175C8" w:rsidRDefault="00A175C8" w:rsidP="00A175C8">
      <w:pPr>
        <w:pStyle w:val="Heading3"/>
      </w:pPr>
      <w:r>
        <w:t xml:space="preserve">ii a. Breakdown of the families </w:t>
      </w:r>
    </w:p>
    <w:p w14:paraId="11815165" w14:textId="77777777" w:rsidR="00C14FD6" w:rsidRDefault="00F60D0C" w:rsidP="00A175C8">
      <w:pPr>
        <w:pStyle w:val="Heading3"/>
      </w:pPr>
      <w:r>
        <w:t xml:space="preserve"> </w:t>
      </w:r>
    </w:p>
    <w:p w14:paraId="291C4498" w14:textId="77777777" w:rsidR="00A175C8" w:rsidRPr="00A175C8" w:rsidRDefault="006942D6" w:rsidP="00A175C8">
      <w:r>
        <w:rPr>
          <w:noProof/>
        </w:rPr>
        <w:pict w14:anchorId="0F074829">
          <v:rect id="_x0000_s1026" style="position:absolute;left:0;text-align:left;margin-left:188.85pt;margin-top:16.65pt;width:95.05pt;height:45.5pt;z-index:251658240">
            <v:textbox>
              <w:txbxContent>
                <w:p w14:paraId="6ACE4411" w14:textId="77777777" w:rsidR="00A175C8" w:rsidRDefault="00A175C8">
                  <w:r>
                    <w:t>Ratio Analysis</w:t>
                  </w:r>
                </w:p>
              </w:txbxContent>
            </v:textbox>
          </v:rect>
        </w:pict>
      </w:r>
    </w:p>
    <w:p w14:paraId="3C8037D6" w14:textId="77777777" w:rsidR="00C14FD6" w:rsidRPr="00C14FD6" w:rsidRDefault="006942D6" w:rsidP="00C14FD6">
      <w:r>
        <w:rPr>
          <w:noProof/>
        </w:rPr>
        <w:pict w14:anchorId="25681128">
          <v:shapetype id="_x0000_t32" coordsize="21600,21600" o:spt="32" o:oned="t" path="m,l21600,21600e" filled="f">
            <v:path arrowok="t" fillok="f" o:connecttype="none"/>
            <o:lock v:ext="edit" shapetype="t"/>
          </v:shapetype>
          <v:shape id="_x0000_s1035" type="#_x0000_t32" style="position:absolute;left:0;text-align:left;margin-left:283.9pt;margin-top:.95pt;width:99.2pt;height:35.1pt;z-index:251664384" o:connectortype="straight">
            <v:stroke endarrow="block"/>
          </v:shape>
        </w:pict>
      </w:r>
      <w:r>
        <w:rPr>
          <w:noProof/>
        </w:rPr>
        <w:pict w14:anchorId="2466F137">
          <v:shape id="_x0000_s1034" type="#_x0000_t32" style="position:absolute;left:0;text-align:left;margin-left:235pt;margin-top:27.45pt;width:.7pt;height:12pt;z-index:251663360" o:connectortype="straight">
            <v:stroke endarrow="block"/>
          </v:shape>
        </w:pict>
      </w:r>
      <w:r>
        <w:rPr>
          <w:noProof/>
        </w:rPr>
        <w:pict w14:anchorId="1C40A1FA">
          <v:shape id="_x0000_s1033" type="#_x0000_t32" style="position:absolute;left:0;text-align:left;margin-left:76.75pt;margin-top:.95pt;width:112.1pt;height:35.1pt;flip:x;z-index:251662336" o:connectortype="straight">
            <v:stroke endarrow="block"/>
          </v:shape>
        </w:pict>
      </w:r>
    </w:p>
    <w:p w14:paraId="1DEAE490" w14:textId="77777777" w:rsidR="006A0F60" w:rsidRDefault="006942D6" w:rsidP="00F94D0D">
      <w:r>
        <w:rPr>
          <w:noProof/>
        </w:rPr>
        <w:pict w14:anchorId="7692A2DF">
          <v:rect id="_x0000_s1027" style="position:absolute;left:0;text-align:left;margin-left:12.7pt;margin-top:4.75pt;width:115pt;height:45.5pt;z-index:251659264">
            <v:textbox>
              <w:txbxContent>
                <w:p w14:paraId="19A5F521" w14:textId="77777777" w:rsidR="00A175C8" w:rsidRDefault="00A175C8">
                  <w:r>
                    <w:t>Profitability ratio</w:t>
                  </w:r>
                </w:p>
              </w:txbxContent>
            </v:textbox>
          </v:rect>
        </w:pict>
      </w:r>
      <w:r>
        <w:rPr>
          <w:noProof/>
        </w:rPr>
        <w:pict w14:anchorId="727F47E9">
          <v:rect id="_x0000_s1029" style="position:absolute;left:0;text-align:left;margin-left:340.8pt;margin-top:1.35pt;width:95.05pt;height:45.5pt;z-index:251661312">
            <v:textbox>
              <w:txbxContent>
                <w:p w14:paraId="068F6E3D" w14:textId="77777777" w:rsidR="00A175C8" w:rsidRDefault="00A175C8">
                  <w:r>
                    <w:t>Liquidity ratio</w:t>
                  </w:r>
                </w:p>
              </w:txbxContent>
            </v:textbox>
          </v:rect>
        </w:pict>
      </w:r>
      <w:r>
        <w:rPr>
          <w:noProof/>
        </w:rPr>
        <w:pict w14:anchorId="17F69C13">
          <v:rect id="_x0000_s1028" style="position:absolute;left:0;text-align:left;margin-left:188.85pt;margin-top:4.75pt;width:95.05pt;height:45.5pt;z-index:251660288">
            <v:textbox>
              <w:txbxContent>
                <w:p w14:paraId="4C11208D" w14:textId="77777777" w:rsidR="00A175C8" w:rsidRDefault="00A175C8">
                  <w:r>
                    <w:t>Efficiency ratio</w:t>
                  </w:r>
                </w:p>
              </w:txbxContent>
            </v:textbox>
          </v:rect>
        </w:pict>
      </w:r>
    </w:p>
    <w:p w14:paraId="574F174B" w14:textId="77777777" w:rsidR="006A0F60" w:rsidRPr="006A0F60" w:rsidRDefault="006A0F60" w:rsidP="006A0F60"/>
    <w:p w14:paraId="103D6DD1" w14:textId="77777777" w:rsidR="006A0F60" w:rsidRPr="006A0F60" w:rsidRDefault="006A0F60" w:rsidP="006A0F60"/>
    <w:p w14:paraId="1FAAAF0A" w14:textId="77777777" w:rsidR="00850B5E" w:rsidRDefault="00BD434F" w:rsidP="00BD434F">
      <w:pPr>
        <w:pStyle w:val="Heading3"/>
      </w:pPr>
      <w:r>
        <w:t>Ii b.  Details of each family</w:t>
      </w:r>
    </w:p>
    <w:p w14:paraId="7209CA60" w14:textId="77777777" w:rsidR="00BD434F" w:rsidRDefault="00191FC5" w:rsidP="00BD434F">
      <w:pPr>
        <w:rPr>
          <w:b/>
          <w:bCs/>
          <w:u w:val="single"/>
        </w:rPr>
      </w:pPr>
      <w:r>
        <w:rPr>
          <w:b/>
          <w:bCs/>
          <w:u w:val="single"/>
        </w:rPr>
        <w:t>Profitability ratio:</w:t>
      </w:r>
    </w:p>
    <w:p w14:paraId="7CA5CA78" w14:textId="77777777" w:rsidR="00F10EEF" w:rsidRDefault="00F10EEF" w:rsidP="00F10EEF">
      <w:r>
        <w:t xml:space="preserve">Profit ratios are measures related to the money that auditors and financial experts use to measure and evaluate </w:t>
      </w:r>
      <w:r w:rsidR="00AC357B">
        <w:t>a</w:t>
      </w:r>
      <w:r>
        <w:t xml:space="preserve"> </w:t>
      </w:r>
      <w:r w:rsidR="003E3358">
        <w:t>Hilton hotel</w:t>
      </w:r>
      <w:r>
        <w:t>'s ability to make a</w:t>
      </w:r>
      <w:r w:rsidR="00AC357B">
        <w:t xml:space="preserve"> profit (profit) versus revenue</w:t>
      </w:r>
      <w:r>
        <w:t xml:space="preserve"> input, accounting report resources, labor costs and investor value during a given period. They show how well </w:t>
      </w:r>
      <w:r w:rsidR="00AC357B">
        <w:t>a</w:t>
      </w:r>
      <w:r>
        <w:t xml:space="preserve"> </w:t>
      </w:r>
      <w:r w:rsidR="003E3358">
        <w:t>Hilton hotel</w:t>
      </w:r>
      <w:r>
        <w:t xml:space="preserve"> is using its benefits for the benefit of returns and incentives for investors.</w:t>
      </w:r>
    </w:p>
    <w:p w14:paraId="7F5558B3" w14:textId="77777777" w:rsidR="00191FC5" w:rsidRDefault="00F10EEF" w:rsidP="00F10EEF">
      <w:r>
        <w:t xml:space="preserve">Most </w:t>
      </w:r>
      <w:r w:rsidR="003E3358">
        <w:t>Hilton hotel</w:t>
      </w:r>
      <w:r>
        <w:t>s usually deal with a higher check or value, as this means that the company is doing very well by extracting revenue income, benefits and income. The proportions are more valuable if separated from comparable groups or from previous periods. The most commonly used productivity constants are analyzed below.</w:t>
      </w:r>
    </w:p>
    <w:p w14:paraId="0838B5A7" w14:textId="77777777" w:rsidR="00F10EEF" w:rsidRDefault="00F10EEF" w:rsidP="00F10EEF">
      <w:pPr>
        <w:rPr>
          <w:u w:val="single"/>
        </w:rPr>
      </w:pPr>
      <w:r>
        <w:rPr>
          <w:u w:val="single"/>
        </w:rPr>
        <w:t>Types:</w:t>
      </w:r>
    </w:p>
    <w:p w14:paraId="029D8D6E" w14:textId="77777777" w:rsidR="006D1C4B" w:rsidRDefault="00A87E9D" w:rsidP="00F10EEF">
      <w:r>
        <w:rPr>
          <w:i/>
          <w:iCs/>
        </w:rPr>
        <w:t>Gross profit:</w:t>
      </w:r>
      <w:r>
        <w:t xml:space="preserve"> </w:t>
      </w:r>
    </w:p>
    <w:p w14:paraId="71476C8E" w14:textId="77777777" w:rsidR="00F10EEF" w:rsidRDefault="006D1C4B" w:rsidP="00F10EEF">
      <w:r w:rsidRPr="006D1C4B">
        <w:t xml:space="preserve">Gross profit margin: examining the net benefits of trading revenue. This shows how much a company wins, considering the costs necessary to create its products and campaigns. A high </w:t>
      </w:r>
      <w:r w:rsidRPr="006D1C4B">
        <w:lastRenderedPageBreak/>
        <w:t>percentage of total revenues reflects increased efficiency in the operation of the center, which means it can distribute operating costs, fixed costs, profits, and recession, while bringing in revenue net interest to the company. Moreover, low net income reflects significant expenditure on the products sold, which can be attributed to unfavorable purchase agreements, low sales costs</w:t>
      </w:r>
      <w:r>
        <w:t>, low business, market conflict</w:t>
      </w:r>
      <w:r w:rsidRPr="006D1C4B">
        <w:t xml:space="preserve"> strong or wrong business promotion techniques.</w:t>
      </w:r>
    </w:p>
    <w:p w14:paraId="5C1C7B3F" w14:textId="77777777" w:rsidR="006D1C4B" w:rsidRDefault="006D1C4B" w:rsidP="00F10EEF">
      <w:pPr>
        <w:rPr>
          <w:i/>
          <w:iCs/>
        </w:rPr>
      </w:pPr>
      <w:r>
        <w:rPr>
          <w:i/>
          <w:iCs/>
        </w:rPr>
        <w:t>EBITA Margin:</w:t>
      </w:r>
    </w:p>
    <w:p w14:paraId="4BB113CD" w14:textId="77777777" w:rsidR="006D1C4B" w:rsidRDefault="006A00AE" w:rsidP="00F10EEF">
      <w:r w:rsidRPr="006A00AE">
        <w:t xml:space="preserve">EBITDA represents earnings, interest, depreciation, amortization and increases. Talk to an </w:t>
      </w:r>
      <w:r w:rsidR="003E3358">
        <w:t>Hilton hotel</w:t>
      </w:r>
      <w:r w:rsidRPr="006A00AE">
        <w:t xml:space="preserve">'s productivity before considering things that don't work like reward and valuations, just like non-monetary items like depreciation. The advantage of cutting an </w:t>
      </w:r>
      <w:r w:rsidR="003E3358">
        <w:t>Hilton hotel</w:t>
      </w:r>
      <w:r w:rsidRPr="006A00AE">
        <w:t xml:space="preserve">'s EBITDA margin is that it is far from difficult to compare with different groups as it prohibits costs that may be invisible or relatively selective. The disadvantage of EBTIDA is that it tends to be completely different from the net profit and age of real income, which are better indicators of the </w:t>
      </w:r>
      <w:r w:rsidR="003E3358">
        <w:t>Hilton hotel</w:t>
      </w:r>
      <w:r w:rsidRPr="006A00AE">
        <w:t>'s performance. EBITDA is generally used in various valuation techniques.</w:t>
      </w:r>
    </w:p>
    <w:p w14:paraId="6351793C" w14:textId="77777777" w:rsidR="006A00AE" w:rsidRPr="006A00AE" w:rsidRDefault="006A00AE" w:rsidP="006A00AE">
      <w:pPr>
        <w:rPr>
          <w:i/>
          <w:iCs/>
        </w:rPr>
      </w:pPr>
      <w:r w:rsidRPr="006A00AE">
        <w:rPr>
          <w:i/>
          <w:iCs/>
        </w:rPr>
        <w:t>Operating profit margin</w:t>
      </w:r>
    </w:p>
    <w:p w14:paraId="47A4E3DD" w14:textId="77777777" w:rsidR="006A00AE" w:rsidRDefault="006A00AE" w:rsidP="006A00AE">
      <w:r>
        <w:t xml:space="preserve">Net working income - takes the benefit of a business-like rate of profit before finding intellectual costs and personal obligations. High-income </w:t>
      </w:r>
      <w:r w:rsidR="003E3358">
        <w:t>Hilton hotel</w:t>
      </w:r>
      <w:r>
        <w:t xml:space="preserve">s are generally more prepared to pay for fixed costs and committed to commitments, have better opportunities to withstand financial downturns and are better equipped to offer lower costs than its competitors that have lower net income. Gross operating income is routinely used to monitor the quality of an </w:t>
      </w:r>
      <w:r w:rsidR="003E3358">
        <w:t>Hilton hotel</w:t>
      </w:r>
      <w:r>
        <w:t xml:space="preserve">'s management as proper administration can generously improve an </w:t>
      </w:r>
      <w:r w:rsidR="003E3358">
        <w:t>Hilton hotel</w:t>
      </w:r>
      <w:r>
        <w:t>'s productivity by handling its labor costs.</w:t>
      </w:r>
    </w:p>
    <w:p w14:paraId="1BC672CC" w14:textId="77777777" w:rsidR="006A00AE" w:rsidRPr="006A00AE" w:rsidRDefault="006A00AE" w:rsidP="006A00AE">
      <w:pPr>
        <w:rPr>
          <w:i/>
          <w:iCs/>
        </w:rPr>
      </w:pPr>
      <w:r w:rsidRPr="006A00AE">
        <w:rPr>
          <w:i/>
          <w:iCs/>
        </w:rPr>
        <w:t>Net profit margin</w:t>
      </w:r>
    </w:p>
    <w:p w14:paraId="272EC9F6" w14:textId="77777777" w:rsidR="006A00AE" w:rsidRDefault="006A00AE" w:rsidP="006A00AE">
      <w:r>
        <w:t xml:space="preserve">Net income is the main concern. It looks at a group's net income and divides it into total revenue. It provides a snapshot of how profitable an </w:t>
      </w:r>
      <w:r w:rsidR="003E3358">
        <w:t>Hilton hotel</w:t>
      </w:r>
      <w:r>
        <w:t xml:space="preserve"> is after considering all costs, including interest and charges. The incentive to use the total revenue is to profit. A negative aspect of this measure is that it introduces a lot of “confusion, for example, once the costs and earnings have been made, which makes it harder to stop group show and its competitors.</w:t>
      </w:r>
    </w:p>
    <w:p w14:paraId="4906B1A4" w14:textId="77777777" w:rsidR="006A00AE" w:rsidRPr="002977C8" w:rsidRDefault="006A00AE" w:rsidP="006A00AE">
      <w:pPr>
        <w:rPr>
          <w:i/>
          <w:iCs/>
        </w:rPr>
      </w:pPr>
      <w:r w:rsidRPr="002977C8">
        <w:rPr>
          <w:i/>
          <w:iCs/>
        </w:rPr>
        <w:lastRenderedPageBreak/>
        <w:t>Revenue Margin</w:t>
      </w:r>
    </w:p>
    <w:p w14:paraId="20D9C12A" w14:textId="77777777" w:rsidR="006A00AE" w:rsidRDefault="006A00AE" w:rsidP="006A00AE">
      <w:r>
        <w:t xml:space="preserve">Income margin: communicates the link between income deriving from work exercises and contracts entered into by the company. Measures the </w:t>
      </w:r>
      <w:r w:rsidR="003E3358">
        <w:t>Hilton hotel</w:t>
      </w:r>
      <w:r>
        <w:t xml:space="preserve">'s ability to exchange cash contracts. The higher the level of income, the more money you get from contracts to pay suppliers, profits, resources and administrative responsibilities, just like you buy capital resources. Negative revenue, however, means that regardless of whether the company is issuing contracts or benefits, it could currently lose money. For a low-income group, the </w:t>
      </w:r>
      <w:r w:rsidR="003E3358">
        <w:t>Hilton hotel</w:t>
      </w:r>
      <w:r>
        <w:t xml:space="preserve"> can choose to invest or raise funds through financial experts to speed things up.</w:t>
      </w:r>
    </w:p>
    <w:p w14:paraId="5CD420E7" w14:textId="77777777" w:rsidR="006A00AE" w:rsidRDefault="006A00AE" w:rsidP="006A00AE">
      <w:r>
        <w:t xml:space="preserve">Tracking revenue is the key to an </w:t>
      </w:r>
      <w:r w:rsidR="003E3358">
        <w:t>Hilton hotel</w:t>
      </w:r>
      <w:r>
        <w:t xml:space="preserve">'s success because sufficient revenue always limits costs (e.g., avoid late installment costs and extra enrollment costs) and give up. authorize an </w:t>
      </w:r>
      <w:r w:rsidR="003E3358">
        <w:t>Hilton hotel</w:t>
      </w:r>
      <w:r>
        <w:t xml:space="preserve"> to take advantage of additional benefits or development openings that may arise (for example, the opportunity to buy at a substantial discount when a competitor leaves a company).</w:t>
      </w:r>
    </w:p>
    <w:p w14:paraId="50FF240B" w14:textId="77777777" w:rsidR="006A00AE" w:rsidRPr="002977C8" w:rsidRDefault="006A00AE" w:rsidP="006A00AE">
      <w:pPr>
        <w:rPr>
          <w:i/>
          <w:iCs/>
        </w:rPr>
      </w:pPr>
      <w:r w:rsidRPr="002977C8">
        <w:rPr>
          <w:i/>
          <w:iCs/>
        </w:rPr>
        <w:t>Cash flow margin</w:t>
      </w:r>
    </w:p>
    <w:p w14:paraId="6716A9F0" w14:textId="77777777" w:rsidR="006A00AE" w:rsidRDefault="006A00AE" w:rsidP="006A00AE">
      <w:r>
        <w:t xml:space="preserve">Profit for Resources (ROA), as the name suggests, shows the level of net income compared to the overall resources of the </w:t>
      </w:r>
      <w:r w:rsidR="003E3358">
        <w:t>Hilton hotel</w:t>
      </w:r>
      <w:r>
        <w:t xml:space="preserve">. The ROA allowance is in particular the amount of post-cost benefit that an </w:t>
      </w:r>
      <w:r w:rsidR="003E3358">
        <w:t>Hilton hotel</w:t>
      </w:r>
      <w:r>
        <w:t xml:space="preserve"> generates for every single dollar of benefits it has. It also measures the power of corporate earnings. The lower the profit for every dollar of earnings, the more a structure will increase in an </w:t>
      </w:r>
      <w:r w:rsidR="003E3358">
        <w:t>Hilton hotel</w:t>
      </w:r>
      <w:r>
        <w:t xml:space="preserve">. In particular, </w:t>
      </w:r>
      <w:r w:rsidR="003E3358">
        <w:t>Hilton hotel</w:t>
      </w:r>
      <w:r>
        <w:t xml:space="preserve">s that reduce high profitability resources must purchase hardware and equipment to earn. The often heavily promoted business campaigns involve multimedia communications administrations, vehicle manufacturers and railways. Non-resource focused agency initiatives are encouraging programming offices and </w:t>
      </w:r>
      <w:r w:rsidR="003E3358">
        <w:t>Hilton hotel</w:t>
      </w:r>
      <w:r>
        <w:t>s.</w:t>
      </w:r>
    </w:p>
    <w:p w14:paraId="6B824443" w14:textId="77777777" w:rsidR="002977C8" w:rsidRDefault="00846084" w:rsidP="006A00AE">
      <w:pPr>
        <w:rPr>
          <w:b/>
          <w:bCs/>
          <w:u w:val="single"/>
        </w:rPr>
      </w:pPr>
      <w:r>
        <w:rPr>
          <w:b/>
          <w:bCs/>
          <w:u w:val="single"/>
        </w:rPr>
        <w:t>Efficiency ratio</w:t>
      </w:r>
    </w:p>
    <w:p w14:paraId="7F81A3A4" w14:textId="77777777" w:rsidR="002F52D1" w:rsidRDefault="002F52D1" w:rsidP="002F52D1">
      <w:r>
        <w:t xml:space="preserve">Efficiency ratios measure a company's ability to use its benefits and responsibilities to create a business. A highly productive society has limited its net interest in resources, and therefore needs less capital and bonds to stay in business. Because of the benefits, the efficiency ratios compare the accumulated settlement of benefits by business or the cost of products sold. Due to the </w:t>
      </w:r>
      <w:r>
        <w:lastRenderedPageBreak/>
        <w:t xml:space="preserve">liabilities, the percentage of primary capacity analyzes the payments to be added to the purchases from suppliers. To give an idea of ​​performance, these proportions usually contradict the influence of several </w:t>
      </w:r>
      <w:r w:rsidR="003E3358">
        <w:t>Hilton hotel</w:t>
      </w:r>
      <w:r>
        <w:t>s in a similar category. The next stage is seen as limitations of capacity:</w:t>
      </w:r>
    </w:p>
    <w:p w14:paraId="2B6FBA99" w14:textId="77777777" w:rsidR="002F52D1" w:rsidRDefault="002F52D1" w:rsidP="002F52D1">
      <w:r w:rsidRPr="002F52D1">
        <w:t>Accounts receivable turnover</w:t>
      </w:r>
      <w:r>
        <w:t>: Guaranteed as credit transactions separated from normal credit records. A high conversion rate is obtained by simply specifying high-end customer management, as well as limiting the amount of credit given and participating in vigorous assortment exercises.</w:t>
      </w:r>
    </w:p>
    <w:p w14:paraId="78564856" w14:textId="77777777" w:rsidR="00846084" w:rsidRDefault="002F52D1" w:rsidP="002F52D1">
      <w:r w:rsidRPr="002F52D1">
        <w:t>Inventory turnover</w:t>
      </w:r>
      <w:r>
        <w:t>: Determined to be the cost of commodities sold separately from ordinary stocks. A high conversion rate is obtained by limiting inventory levels, using precision to save the creation frame and using custom components for all exported products, between different strategies.</w:t>
      </w:r>
    </w:p>
    <w:p w14:paraId="2121F365" w14:textId="77777777" w:rsidR="002F52D1" w:rsidRDefault="002F52D1" w:rsidP="002F52D1">
      <w:r>
        <w:t xml:space="preserve">Fixed asset turnover: defined as contracts divided by standard fixed assets. A high percentage of </w:t>
      </w:r>
      <w:r w:rsidR="001C2081">
        <w:t>turnovers</w:t>
      </w:r>
      <w:r>
        <w:t xml:space="preserve"> can be achieved by redistributing a poorer resource creation to suppliers, maintaining hardware utilization rates and finding interest on the march without unnecessary expenses.</w:t>
      </w:r>
    </w:p>
    <w:p w14:paraId="2E832FC0" w14:textId="77777777" w:rsidR="002F52D1" w:rsidRDefault="002F52D1" w:rsidP="002F52D1"/>
    <w:p w14:paraId="79CBAC38" w14:textId="77777777" w:rsidR="002F52D1" w:rsidRDefault="002F52D1" w:rsidP="002F52D1">
      <w:r w:rsidRPr="002F52D1">
        <w:t>Accounts payable turnover</w:t>
      </w:r>
      <w:r>
        <w:t>: guaranteed as a total purchase from suppliers divided by standard payments. Changes to this part are limited by hidden indemnity terms agreed by the suppliers.</w:t>
      </w:r>
    </w:p>
    <w:p w14:paraId="159AC786" w14:textId="77777777" w:rsidR="002F52D1" w:rsidRDefault="002F52D1" w:rsidP="002F52D1">
      <w:r>
        <w:t>Efficiency ratios are used to judge business management. In the event that the benefit allowance is not high, this shows that the supervisory body is competent to apply a basic measure of benefits to a specific measure of contracts. Conversely, a low-risk allowance suggests the board's operational capacity, as payments are expanding.</w:t>
      </w:r>
    </w:p>
    <w:p w14:paraId="6DE517CC" w14:textId="77777777" w:rsidR="002F52D1" w:rsidRDefault="002F52D1" w:rsidP="002F52D1">
      <w:r>
        <w:t xml:space="preserve">The use of effectiveness constraints can have a significant impact on the business. For example, a low rate of reversal of service could be characterized by delays in the portion sensitive to past terms, which could result in additional credit to suppliers. Likewise, the desire to obtain a high allocation of resources could push the board of directors to reduce essential interests in fixed </w:t>
      </w:r>
      <w:r>
        <w:lastRenderedPageBreak/>
        <w:t>structures or to store finished products in quantities so low as to allow transportation. your customers have canceled. After all, consideration of productivity benefits may not be inappropriate for commercial interests.</w:t>
      </w:r>
    </w:p>
    <w:p w14:paraId="08CEEF30" w14:textId="77777777" w:rsidR="001C2081" w:rsidRDefault="001C2081" w:rsidP="002F52D1">
      <w:pPr>
        <w:rPr>
          <w:b/>
          <w:bCs/>
          <w:u w:val="single"/>
        </w:rPr>
      </w:pPr>
      <w:r>
        <w:rPr>
          <w:b/>
          <w:bCs/>
          <w:u w:val="single"/>
        </w:rPr>
        <w:t>Liquidity ratio:</w:t>
      </w:r>
    </w:p>
    <w:p w14:paraId="05BAC481" w14:textId="77777777" w:rsidR="001C2081" w:rsidRDefault="001C2081" w:rsidP="001C2081">
      <w:r>
        <w:t xml:space="preserve">Liquidity ratios are the ratios that measure </w:t>
      </w:r>
      <w:r w:rsidR="00AC357B">
        <w:t>a</w:t>
      </w:r>
      <w:r>
        <w:t xml:space="preserve"> </w:t>
      </w:r>
      <w:r w:rsidR="003E3358">
        <w:t>Hilton hotel</w:t>
      </w:r>
      <w:r>
        <w:t xml:space="preserve">'s ability to fulfill its mandatory interim commitments. These allowances measure </w:t>
      </w:r>
      <w:r w:rsidR="00AC357B">
        <w:t>a</w:t>
      </w:r>
      <w:r>
        <w:t xml:space="preserve"> </w:t>
      </w:r>
      <w:r w:rsidR="003E3358">
        <w:t>Hilton hotel</w:t>
      </w:r>
      <w:r>
        <w:t>'s ability to take care of its transition responsibilities when they expire.</w:t>
      </w:r>
    </w:p>
    <w:p w14:paraId="691147F3" w14:textId="77777777" w:rsidR="001C2081" w:rsidRDefault="001C2081" w:rsidP="001C2081">
      <w:r>
        <w:t>Liquidity ratios are another effect on the remoteness of cash and other liquid assets from current loans and liabilities. They show the times when momentary compulsion is guaranteed by money and fluid resources. If the value is more than 1, this means that the transition promises are fully guaranteed.</w:t>
      </w:r>
    </w:p>
    <w:p w14:paraId="5702333B" w14:textId="77777777" w:rsidR="001C2081" w:rsidRDefault="001C2081" w:rsidP="001C2081">
      <w:r>
        <w:t>For the most part, the higher the liquidity ratios, the greater will be the limit of wellbeing that the group will devote to meeting current liabilities. The most well-known liquidity ratios of 1 show that the group has adequate financial well-being and is becoming more nervous in budget problems.</w:t>
      </w:r>
    </w:p>
    <w:p w14:paraId="0A74453D" w14:textId="77777777" w:rsidR="001C2081" w:rsidRDefault="001C2081" w:rsidP="001C2081">
      <w:r>
        <w:t>Most basic configurations of liquidity ratios include the current portion, the portion of the underlying audit (also known as the snap portion), the portion of the liquidity ratio. cash allowance and working capital allowance. Different experts are considered relevant by different experts. Some analysts consider money parties as important assets only because they are intended to be used to deal with temporary liabilities in an emergency. Some analysts regard people in debt and exchange credits as an extension of the relevant resources in cash and cash. Stock estimation is also considered an appropriate resource for determining liquidity ratios by some experts.</w:t>
      </w:r>
    </w:p>
    <w:p w14:paraId="2990F0BB" w14:textId="77777777" w:rsidR="001C2081" w:rsidRDefault="001C2081" w:rsidP="001C2081">
      <w:r>
        <w:t xml:space="preserve">The idea of ​​a cash cycle is equally important for a better understanding of liquidity constants. The unspent money goes through group activities. Group money is usually wrapped in finished products, commodities and swap account holders. It is not until the stock is sold that the complaints are raised, and until the account owners take into account that the </w:t>
      </w:r>
      <w:r w:rsidR="003E3358">
        <w:t>Hilton hotel</w:t>
      </w:r>
      <w:r>
        <w:t xml:space="preserve"> </w:t>
      </w:r>
      <w:r>
        <w:lastRenderedPageBreak/>
        <w:t>receives money. Cash cycle money is called working capital and liquidity allowances seek to measure the discrepancy between current resources and current liabilities.</w:t>
      </w:r>
    </w:p>
    <w:p w14:paraId="386FF8EC" w14:textId="77777777" w:rsidR="001C2081" w:rsidRDefault="001C2081" w:rsidP="001C2081">
      <w:r>
        <w:t xml:space="preserve">A group of </w:t>
      </w:r>
      <w:r w:rsidR="003E3358">
        <w:t>Hilton hotel</w:t>
      </w:r>
      <w:r>
        <w:t xml:space="preserve">s needs the ability to distribute money from a cash cycle to fulfill their budget commitments when lenders seek an allowance. At the end of the day, a group of </w:t>
      </w:r>
      <w:r w:rsidR="003E3358">
        <w:t>Hilton hotel</w:t>
      </w:r>
      <w:r>
        <w:t>s should be able to turn nonviolent resources into money. Liquidity allowances attempt to measure the group's capacity.</w:t>
      </w:r>
    </w:p>
    <w:p w14:paraId="3AAD380C" w14:textId="77777777" w:rsidR="001C2081" w:rsidRDefault="001C2081" w:rsidP="001C2081">
      <w:r w:rsidRPr="001C2081">
        <w:rPr>
          <w:b/>
          <w:bCs/>
        </w:rPr>
        <w:t>Types</w:t>
      </w:r>
      <w:r>
        <w:t>:</w:t>
      </w:r>
    </w:p>
    <w:p w14:paraId="224BF4AF" w14:textId="77777777" w:rsidR="001C2081" w:rsidRDefault="00BA5C22" w:rsidP="001C2081">
      <w:pPr>
        <w:rPr>
          <w:u w:val="single"/>
        </w:rPr>
      </w:pPr>
      <w:r w:rsidRPr="00BA5C22">
        <w:rPr>
          <w:u w:val="single"/>
        </w:rPr>
        <w:t>Acid-Test Ratio</w:t>
      </w:r>
    </w:p>
    <w:p w14:paraId="56F6AC9F" w14:textId="77777777" w:rsidR="00BA5C22" w:rsidRDefault="00BA5C22" w:rsidP="00BA5C22">
      <w:r>
        <w:t xml:space="preserve">The term "acid-to-test ratio" is known as fast concentration. The analysis percentage is basically used to determine if an </w:t>
      </w:r>
      <w:r w:rsidR="003E3358">
        <w:t>Hilton hotel</w:t>
      </w:r>
      <w:r>
        <w:t xml:space="preserve"> has satisfactory mobile resources that can be converted to a fraction of a second to cash to pay for the </w:t>
      </w:r>
      <w:r w:rsidR="003E3358">
        <w:t>Hilton hotel</w:t>
      </w:r>
      <w:r>
        <w:t>’s transition responsibilities. In order to determine the portion of the benefit test, the agency's existing resources must be divided according to current responsibilities.</w:t>
      </w:r>
    </w:p>
    <w:p w14:paraId="504941CD" w14:textId="77777777" w:rsidR="00BA5C22" w:rsidRDefault="00BA5C22" w:rsidP="00BA5C22"/>
    <w:p w14:paraId="256E40D9" w14:textId="77777777" w:rsidR="00BA5C22" w:rsidRDefault="00BA5C22" w:rsidP="00BA5C22">
      <w:r>
        <w:t>The equation for the integral analysis portion is:</w:t>
      </w:r>
    </w:p>
    <w:p w14:paraId="11BA837A" w14:textId="77777777" w:rsidR="00BA5C22" w:rsidRDefault="00BA5C22" w:rsidP="00BA5C22">
      <w:r>
        <w:t>Quick Asset = (Money + Credits + Bargaining Protection) / Current Liabilities</w:t>
      </w:r>
    </w:p>
    <w:p w14:paraId="3B528D1A" w14:textId="77777777" w:rsidR="00BA5C22" w:rsidRDefault="00BA5C22" w:rsidP="00BA5C22">
      <w:r>
        <w:t>The stock is not prohibited from estimating the portion of the benefit test so well that it can be very difficult for a company to convert the entire stock into cash in a short period of time. Excluding stock from the recipe a quick portion is a higher indicator of a group's ability to pay attention to current commitments than the conventional portion that reminds us of the stock for its equation.</w:t>
      </w:r>
    </w:p>
    <w:p w14:paraId="68FBF79C" w14:textId="77777777" w:rsidR="00BA5C22" w:rsidRDefault="00BA5C22" w:rsidP="00BA5C22">
      <w:pPr>
        <w:rPr>
          <w:u w:val="single"/>
        </w:rPr>
      </w:pPr>
      <w:r>
        <w:rPr>
          <w:u w:val="single"/>
        </w:rPr>
        <w:t>Current ratio</w:t>
      </w:r>
    </w:p>
    <w:p w14:paraId="2556FB5B" w14:textId="77777777" w:rsidR="000F0CB7" w:rsidRDefault="000F0CB7" w:rsidP="000F0CB7">
      <w:r>
        <w:t>The current part of the budget execution part is a group liquidity implementation function.</w:t>
      </w:r>
    </w:p>
    <w:p w14:paraId="14F5AA2D" w14:textId="77777777" w:rsidR="000F0CB7" w:rsidRDefault="000F0CB7" w:rsidP="000F0CB7">
      <w:r>
        <w:lastRenderedPageBreak/>
        <w:t xml:space="preserve">The current part demonstrates an </w:t>
      </w:r>
      <w:r w:rsidR="003E3358">
        <w:t>Hilton hotel</w:t>
      </w:r>
      <w:r>
        <w:t xml:space="preserve">'s ability to fulfill its current responsibilities. The current part estimates whether a company has sufficient resources to meet its obligations over the next year. Potential renters use this allowance to decide whether to make unsecured loans. The current part can give an idea of ​​the productivity of the work cycle of an </w:t>
      </w:r>
      <w:r w:rsidR="003E3358">
        <w:t>Hilton hotel</w:t>
      </w:r>
      <w:r>
        <w:t xml:space="preserve"> or of its ability to transform the form into money. The current portion is called the working capital quota.</w:t>
      </w:r>
    </w:p>
    <w:p w14:paraId="2F8E4B34" w14:textId="77777777" w:rsidR="000F0CB7" w:rsidRDefault="000F0CB7" w:rsidP="000F0CB7">
      <w:r>
        <w:t>Measure formula:</w:t>
      </w:r>
    </w:p>
    <w:p w14:paraId="00E7CEFB" w14:textId="77777777" w:rsidR="000F0CB7" w:rsidRDefault="000F0CB7" w:rsidP="000F0CB7">
      <w:r>
        <w:t>The current allowance is determined by separating existing resources into current liabilities:</w:t>
      </w:r>
    </w:p>
    <w:p w14:paraId="57FC126D" w14:textId="77777777" w:rsidR="000F0CB7" w:rsidRDefault="000F0CB7" w:rsidP="000F0CB7">
      <w:r>
        <w:t>Current portion = Current assets / Current liabilities</w:t>
      </w:r>
    </w:p>
    <w:p w14:paraId="7C5BD5FB" w14:textId="77777777" w:rsidR="000F0CB7" w:rsidRDefault="000F0CB7" w:rsidP="000F0CB7">
      <w:r>
        <w:t>Both functions appear in the accounting report (definition of the balance sheet position).</w:t>
      </w:r>
    </w:p>
    <w:p w14:paraId="6A2D098C" w14:textId="77777777" w:rsidR="000F0CB7" w:rsidRPr="000F0CB7" w:rsidRDefault="000F0CB7" w:rsidP="000F0CB7">
      <w:pPr>
        <w:rPr>
          <w:i/>
          <w:iCs/>
        </w:rPr>
      </w:pPr>
      <w:r w:rsidRPr="000F0CB7">
        <w:rPr>
          <w:i/>
          <w:iCs/>
        </w:rPr>
        <w:t>Standards and limitations</w:t>
      </w:r>
    </w:p>
    <w:p w14:paraId="5CD43A5E" w14:textId="77777777" w:rsidR="000F0CB7" w:rsidRDefault="000F0CB7" w:rsidP="000F0CB7">
      <w:r>
        <w:t xml:space="preserve">The higher the proportion, the more fluid the body will be. An eligible current allowance is usually 2; is a budget setting agreed upon for most features. Precious personalized quotas move from one company to another. For most modern </w:t>
      </w:r>
      <w:r w:rsidR="003E3358">
        <w:t>Hilton hotel</w:t>
      </w:r>
      <w:r>
        <w:t>s, 1.5 can be a satisfactory present bonus.</w:t>
      </w:r>
    </w:p>
    <w:p w14:paraId="54D00150" w14:textId="77777777" w:rsidR="00BA5C22" w:rsidRDefault="000F0CB7" w:rsidP="000F0CB7">
      <w:r>
        <w:t>Low attributes for the current part (values ​​less than 1) indicate that a company may have problems meeting current obligations. Be that as it may, a speculator should monitor the group's operating income to improve the feeling of liquidity. A low operating allowance can be constantly reinforced by a strong work income.</w:t>
      </w:r>
    </w:p>
    <w:p w14:paraId="4ACF39BF" w14:textId="77777777" w:rsidR="000F0CB7" w:rsidRDefault="000F0CB7" w:rsidP="000F0CB7">
      <w:r>
        <w:t xml:space="preserve">If the current percentage is too high (much more than 2), at that point the </w:t>
      </w:r>
      <w:r w:rsidR="003E3358">
        <w:t>Hilton hotel</w:t>
      </w:r>
      <w:r>
        <w:t xml:space="preserve"> may not use their existing resources or momentary funding offices productively. This can also present problems in working capital management.</w:t>
      </w:r>
    </w:p>
    <w:p w14:paraId="0AE72C82" w14:textId="77777777" w:rsidR="000F0CB7" w:rsidRDefault="000F0CB7" w:rsidP="000F0CB7">
      <w:r>
        <w:t xml:space="preserve">All else being equal, loan managers consider that a high percentage of flow exceeds a low percentage of flow, given that a high percentage of flow means the </w:t>
      </w:r>
      <w:r w:rsidR="003E3358">
        <w:t>Hilton hotel</w:t>
      </w:r>
      <w:r>
        <w:t xml:space="preserve"> has to meet its obligations expected for the year.</w:t>
      </w:r>
    </w:p>
    <w:p w14:paraId="61A31BB7" w14:textId="77777777" w:rsidR="000F0CB7" w:rsidRDefault="00F83094" w:rsidP="000F0CB7">
      <w:pPr>
        <w:rPr>
          <w:u w:val="single"/>
        </w:rPr>
      </w:pPr>
      <w:r>
        <w:rPr>
          <w:u w:val="single"/>
        </w:rPr>
        <w:lastRenderedPageBreak/>
        <w:t>Working capital ratio:</w:t>
      </w:r>
    </w:p>
    <w:p w14:paraId="496B26ED" w14:textId="77777777" w:rsidR="003E3358" w:rsidRDefault="003E3358" w:rsidP="003E3358">
      <w:r>
        <w:t>Working capital is the amount by which an estimate of an Hilton hotel's current resources exceeds current liabilities. It is also called net working capital. Here and there the term "working capital" is used as an equivalent word for "conventional structures", however often as "net working capital", for example the amount of structures existing over current liabilities. Working capital is used regularly to evaluate a company's ability to meet its current commitments. Measure how many mobile resources an Hilton hotel needs to do.</w:t>
      </w:r>
    </w:p>
    <w:p w14:paraId="2EC13E12" w14:textId="77777777" w:rsidR="003E3358" w:rsidRDefault="003E3358" w:rsidP="003E3358">
      <w:r>
        <w:t>Working capital is a normal part of an Hilton hotel's liquidity, capacity and well-being.</w:t>
      </w:r>
    </w:p>
    <w:p w14:paraId="46770890" w14:textId="77777777" w:rsidR="003E3358" w:rsidRDefault="003E3358" w:rsidP="003E3358">
      <w:r>
        <w:t>The options that are identified with working capital and temporary finance are called working capital management. These include managing the relationship between mobile content resources (investments, liquidity, liquidity) and the main liabilities.</w:t>
      </w:r>
    </w:p>
    <w:p w14:paraId="5F9055DA" w14:textId="77777777" w:rsidR="003E3358" w:rsidRDefault="003E3358" w:rsidP="003E3358">
      <w:r>
        <w:t>Formula</w:t>
      </w:r>
    </w:p>
    <w:p w14:paraId="3F3A685C" w14:textId="77777777" w:rsidR="003E3358" w:rsidRDefault="003E3358" w:rsidP="003E3358">
      <w:r>
        <w:t>Working capital (net working capital) = Current fund - current liabilities</w:t>
      </w:r>
    </w:p>
    <w:p w14:paraId="3EC254EF" w14:textId="77777777" w:rsidR="00F83094" w:rsidRDefault="003E3358" w:rsidP="003E3358">
      <w:r>
        <w:t>Both functions are displayed in the resource report (call cash position).</w:t>
      </w:r>
    </w:p>
    <w:p w14:paraId="4041218D" w14:textId="77777777" w:rsidR="003E3358" w:rsidRPr="003E3358" w:rsidRDefault="003E3358" w:rsidP="003E3358">
      <w:pPr>
        <w:rPr>
          <w:i/>
          <w:iCs/>
        </w:rPr>
      </w:pPr>
      <w:r w:rsidRPr="003E3358">
        <w:rPr>
          <w:i/>
          <w:iCs/>
        </w:rPr>
        <w:t>Standards and boundaries</w:t>
      </w:r>
    </w:p>
    <w:p w14:paraId="1DB0F810" w14:textId="77777777" w:rsidR="003E3358" w:rsidRDefault="003E3358" w:rsidP="003E3358">
      <w:r>
        <w:t>The number can be safe (merits) or negative (dangerous attributes), depending on how many roles the Hilton hotel discharges. Advanced working capital for the most part shows that an Hilton hotel can quickly address its important responsibilities. All in all, Hilton hotels with a lot of working capital become increasingly productive because they can grow and advance their activities.</w:t>
      </w:r>
    </w:p>
    <w:p w14:paraId="29294F7C" w14:textId="77777777" w:rsidR="003E3358" w:rsidRDefault="003E3358" w:rsidP="003E3358">
      <w:r>
        <w:t>Hilton Hotel with a negative working capital may not have the necessary resources to develop. Analysts are aware of the reduction in working capital; they suggest that an Hilton hotel gets into debt too much, tries to maintain or improve agreements, covers cards too quickly, or collects credits too gradually. Notwithstanding that working capital may be negative in some Hilton hotels (e.g. sales of basic food products) (this activity is supported by its suppliers).</w:t>
      </w:r>
    </w:p>
    <w:p w14:paraId="619E93E9" w14:textId="1CA51048" w:rsidR="003E3358" w:rsidRDefault="003E3358" w:rsidP="006942D6">
      <w:r>
        <w:br w:type="page"/>
      </w:r>
      <w:r w:rsidR="00D11F5A">
        <w:lastRenderedPageBreak/>
        <w:t>REFERENCES</w:t>
      </w:r>
    </w:p>
    <w:p w14:paraId="1B9D43C3" w14:textId="77777777" w:rsidR="00865DE0" w:rsidRPr="00865DE0" w:rsidRDefault="00865DE0" w:rsidP="00865DE0">
      <w:pPr>
        <w:spacing w:before="0" w:beforeAutospacing="0" w:after="0" w:afterAutospacing="0" w:line="240" w:lineRule="auto"/>
        <w:ind w:left="567" w:hanging="425"/>
        <w:rPr>
          <w:color w:val="222222"/>
          <w:shd w:val="clear" w:color="auto" w:fill="FFFFFF"/>
        </w:rPr>
      </w:pPr>
      <w:r w:rsidRPr="00865DE0">
        <w:rPr>
          <w:color w:val="222222"/>
          <w:shd w:val="clear" w:color="auto" w:fill="FFFFFF"/>
        </w:rPr>
        <w:t>Ang, J.S., 1991. Small business uniqueness and the theory of financial management. </w:t>
      </w:r>
      <w:r w:rsidRPr="00865DE0">
        <w:rPr>
          <w:i/>
          <w:iCs/>
          <w:color w:val="222222"/>
          <w:shd w:val="clear" w:color="auto" w:fill="FFFFFF"/>
        </w:rPr>
        <w:t>Journal of small business finance</w:t>
      </w:r>
      <w:r w:rsidRPr="00865DE0">
        <w:rPr>
          <w:color w:val="222222"/>
          <w:shd w:val="clear" w:color="auto" w:fill="FFFFFF"/>
        </w:rPr>
        <w:t>, </w:t>
      </w:r>
      <w:r w:rsidRPr="00865DE0">
        <w:rPr>
          <w:i/>
          <w:iCs/>
          <w:color w:val="222222"/>
          <w:shd w:val="clear" w:color="auto" w:fill="FFFFFF"/>
        </w:rPr>
        <w:t>1</w:t>
      </w:r>
      <w:r w:rsidRPr="00865DE0">
        <w:rPr>
          <w:color w:val="222222"/>
          <w:shd w:val="clear" w:color="auto" w:fill="FFFFFF"/>
        </w:rPr>
        <w:t>(1), pp.1-13.</w:t>
      </w:r>
    </w:p>
    <w:p w14:paraId="7B3D5BD0" w14:textId="77777777" w:rsidR="00865DE0" w:rsidRPr="00865DE0" w:rsidRDefault="00865DE0" w:rsidP="00865DE0">
      <w:pPr>
        <w:spacing w:before="0" w:beforeAutospacing="0" w:after="0" w:afterAutospacing="0" w:line="240" w:lineRule="auto"/>
        <w:ind w:left="567" w:hanging="425"/>
        <w:rPr>
          <w:color w:val="222222"/>
          <w:shd w:val="clear" w:color="auto" w:fill="FFFFFF"/>
        </w:rPr>
      </w:pPr>
      <w:r w:rsidRPr="00865DE0">
        <w:rPr>
          <w:color w:val="222222"/>
          <w:shd w:val="clear" w:color="auto" w:fill="FFFFFF"/>
        </w:rPr>
        <w:t xml:space="preserve">Baird, A.V., Boyer, W.E. and </w:t>
      </w:r>
      <w:proofErr w:type="spellStart"/>
      <w:r w:rsidRPr="00865DE0">
        <w:rPr>
          <w:color w:val="222222"/>
          <w:shd w:val="clear" w:color="auto" w:fill="FFFFFF"/>
        </w:rPr>
        <w:t>Pithavadian</w:t>
      </w:r>
      <w:proofErr w:type="spellEnd"/>
      <w:r w:rsidRPr="00865DE0">
        <w:rPr>
          <w:color w:val="222222"/>
          <w:shd w:val="clear" w:color="auto" w:fill="FFFFFF"/>
        </w:rPr>
        <w:t xml:space="preserve">, S.S., </w:t>
      </w:r>
      <w:proofErr w:type="spellStart"/>
      <w:r w:rsidRPr="00865DE0">
        <w:rPr>
          <w:color w:val="222222"/>
          <w:shd w:val="clear" w:color="auto" w:fill="FFFFFF"/>
        </w:rPr>
        <w:t>Batterymarch</w:t>
      </w:r>
      <w:proofErr w:type="spellEnd"/>
      <w:r w:rsidRPr="00865DE0">
        <w:rPr>
          <w:color w:val="222222"/>
          <w:shd w:val="clear" w:color="auto" w:fill="FFFFFF"/>
        </w:rPr>
        <w:t xml:space="preserve"> Investment System, 1993. </w:t>
      </w:r>
      <w:r w:rsidRPr="00865DE0">
        <w:rPr>
          <w:i/>
          <w:iCs/>
          <w:color w:val="222222"/>
          <w:shd w:val="clear" w:color="auto" w:fill="FFFFFF"/>
        </w:rPr>
        <w:t>Financial management system</w:t>
      </w:r>
      <w:r w:rsidRPr="00865DE0">
        <w:rPr>
          <w:color w:val="222222"/>
          <w:shd w:val="clear" w:color="auto" w:fill="FFFFFF"/>
        </w:rPr>
        <w:t>. U.S. Patent 5,220,500.</w:t>
      </w:r>
    </w:p>
    <w:p w14:paraId="7BF841CE" w14:textId="77777777" w:rsidR="00865DE0" w:rsidRPr="00865DE0" w:rsidRDefault="00865DE0" w:rsidP="00865DE0">
      <w:pPr>
        <w:spacing w:before="0" w:beforeAutospacing="0" w:after="0" w:afterAutospacing="0" w:line="240" w:lineRule="auto"/>
        <w:ind w:left="567" w:hanging="425"/>
        <w:rPr>
          <w:color w:val="222222"/>
          <w:shd w:val="clear" w:color="auto" w:fill="FFFFFF"/>
        </w:rPr>
      </w:pPr>
      <w:r w:rsidRPr="00865DE0">
        <w:rPr>
          <w:color w:val="222222"/>
          <w:shd w:val="clear" w:color="auto" w:fill="FFFFFF"/>
        </w:rPr>
        <w:t>Baker, H.K. and Powell, G., 2009. </w:t>
      </w:r>
      <w:r w:rsidRPr="00865DE0">
        <w:rPr>
          <w:i/>
          <w:iCs/>
          <w:color w:val="222222"/>
          <w:shd w:val="clear" w:color="auto" w:fill="FFFFFF"/>
        </w:rPr>
        <w:t>Understanding financial management: A practical guide</w:t>
      </w:r>
      <w:r w:rsidRPr="00865DE0">
        <w:rPr>
          <w:color w:val="222222"/>
          <w:shd w:val="clear" w:color="auto" w:fill="FFFFFF"/>
        </w:rPr>
        <w:t>. John Wiley &amp; Sons.</w:t>
      </w:r>
    </w:p>
    <w:p w14:paraId="7E0176CA" w14:textId="77777777" w:rsidR="00865DE0" w:rsidRPr="00865DE0" w:rsidRDefault="00865DE0" w:rsidP="00865DE0">
      <w:pPr>
        <w:spacing w:before="0" w:beforeAutospacing="0" w:after="0" w:afterAutospacing="0" w:line="240" w:lineRule="auto"/>
        <w:ind w:left="567" w:hanging="425"/>
        <w:rPr>
          <w:color w:val="222222"/>
          <w:shd w:val="clear" w:color="auto" w:fill="FFFFFF"/>
        </w:rPr>
      </w:pPr>
      <w:r w:rsidRPr="00865DE0">
        <w:rPr>
          <w:color w:val="222222"/>
          <w:shd w:val="clear" w:color="auto" w:fill="FFFFFF"/>
        </w:rPr>
        <w:t xml:space="preserve">Bekaert, G. and </w:t>
      </w:r>
      <w:proofErr w:type="spellStart"/>
      <w:r w:rsidRPr="00865DE0">
        <w:rPr>
          <w:color w:val="222222"/>
          <w:shd w:val="clear" w:color="auto" w:fill="FFFFFF"/>
        </w:rPr>
        <w:t>Hodrick</w:t>
      </w:r>
      <w:proofErr w:type="spellEnd"/>
      <w:r w:rsidRPr="00865DE0">
        <w:rPr>
          <w:color w:val="222222"/>
          <w:shd w:val="clear" w:color="auto" w:fill="FFFFFF"/>
        </w:rPr>
        <w:t>, R., 2017. </w:t>
      </w:r>
      <w:r w:rsidRPr="00865DE0">
        <w:rPr>
          <w:i/>
          <w:iCs/>
          <w:color w:val="222222"/>
          <w:shd w:val="clear" w:color="auto" w:fill="FFFFFF"/>
        </w:rPr>
        <w:t>International financial management</w:t>
      </w:r>
      <w:r w:rsidRPr="00865DE0">
        <w:rPr>
          <w:color w:val="222222"/>
          <w:shd w:val="clear" w:color="auto" w:fill="FFFFFF"/>
        </w:rPr>
        <w:t>. Cambridge University Press.</w:t>
      </w:r>
    </w:p>
    <w:p w14:paraId="1937266F" w14:textId="77777777" w:rsidR="00865DE0" w:rsidRPr="00865DE0" w:rsidRDefault="00865DE0" w:rsidP="00865DE0">
      <w:pPr>
        <w:spacing w:before="0" w:beforeAutospacing="0" w:after="0" w:afterAutospacing="0" w:line="240" w:lineRule="auto"/>
        <w:ind w:left="567" w:hanging="425"/>
        <w:rPr>
          <w:color w:val="222222"/>
          <w:shd w:val="clear" w:color="auto" w:fill="FFFFFF"/>
        </w:rPr>
      </w:pPr>
      <w:r w:rsidRPr="00865DE0">
        <w:rPr>
          <w:color w:val="222222"/>
          <w:shd w:val="clear" w:color="auto" w:fill="FFFFFF"/>
        </w:rPr>
        <w:t>Block, S.B., Hirt, G.A. and Danielsen, B.R., 1994. </w:t>
      </w:r>
      <w:r w:rsidRPr="00865DE0">
        <w:rPr>
          <w:i/>
          <w:iCs/>
          <w:color w:val="222222"/>
          <w:shd w:val="clear" w:color="auto" w:fill="FFFFFF"/>
        </w:rPr>
        <w:t>Foundations of financial management</w:t>
      </w:r>
      <w:r w:rsidRPr="00865DE0">
        <w:rPr>
          <w:color w:val="222222"/>
          <w:shd w:val="clear" w:color="auto" w:fill="FFFFFF"/>
        </w:rPr>
        <w:t>. New York: Irwin.</w:t>
      </w:r>
    </w:p>
    <w:p w14:paraId="73CA3E52" w14:textId="77777777" w:rsidR="00865DE0" w:rsidRPr="00865DE0" w:rsidRDefault="00865DE0" w:rsidP="00865DE0">
      <w:pPr>
        <w:spacing w:before="0" w:beforeAutospacing="0" w:after="0" w:afterAutospacing="0" w:line="240" w:lineRule="auto"/>
        <w:ind w:left="567" w:hanging="425"/>
        <w:rPr>
          <w:color w:val="222222"/>
          <w:shd w:val="clear" w:color="auto" w:fill="FFFFFF"/>
        </w:rPr>
      </w:pPr>
      <w:r w:rsidRPr="00865DE0">
        <w:rPr>
          <w:color w:val="222222"/>
          <w:shd w:val="clear" w:color="auto" w:fill="FFFFFF"/>
        </w:rPr>
        <w:t xml:space="preserve">Brigham, E.F. and </w:t>
      </w:r>
      <w:proofErr w:type="spellStart"/>
      <w:r w:rsidRPr="00865DE0">
        <w:rPr>
          <w:color w:val="222222"/>
          <w:shd w:val="clear" w:color="auto" w:fill="FFFFFF"/>
        </w:rPr>
        <w:t>Daves</w:t>
      </w:r>
      <w:proofErr w:type="spellEnd"/>
      <w:r w:rsidRPr="00865DE0">
        <w:rPr>
          <w:color w:val="222222"/>
          <w:shd w:val="clear" w:color="auto" w:fill="FFFFFF"/>
        </w:rPr>
        <w:t>, P.R., 2012. </w:t>
      </w:r>
      <w:r w:rsidRPr="00865DE0">
        <w:rPr>
          <w:i/>
          <w:iCs/>
          <w:color w:val="222222"/>
          <w:shd w:val="clear" w:color="auto" w:fill="FFFFFF"/>
        </w:rPr>
        <w:t>Intermediate financial management</w:t>
      </w:r>
      <w:r w:rsidRPr="00865DE0">
        <w:rPr>
          <w:color w:val="222222"/>
          <w:shd w:val="clear" w:color="auto" w:fill="FFFFFF"/>
        </w:rPr>
        <w:t>. Nelson Education.</w:t>
      </w:r>
    </w:p>
    <w:p w14:paraId="30C5D35D" w14:textId="77777777" w:rsidR="00865DE0" w:rsidRPr="00865DE0" w:rsidRDefault="00865DE0" w:rsidP="00865DE0">
      <w:pPr>
        <w:spacing w:before="0" w:beforeAutospacing="0" w:after="0" w:afterAutospacing="0" w:line="240" w:lineRule="auto"/>
        <w:ind w:left="567" w:hanging="425"/>
        <w:rPr>
          <w:color w:val="222222"/>
          <w:shd w:val="clear" w:color="auto" w:fill="FFFFFF"/>
        </w:rPr>
      </w:pPr>
      <w:r w:rsidRPr="00865DE0">
        <w:rPr>
          <w:color w:val="222222"/>
          <w:shd w:val="clear" w:color="auto" w:fill="FFFFFF"/>
        </w:rPr>
        <w:t>Brigham, E.F. and Ehrhardt, M.C., 2013. </w:t>
      </w:r>
      <w:r w:rsidRPr="00865DE0">
        <w:rPr>
          <w:i/>
          <w:iCs/>
          <w:color w:val="222222"/>
          <w:shd w:val="clear" w:color="auto" w:fill="FFFFFF"/>
        </w:rPr>
        <w:t>Financial management: Theory &amp; practice</w:t>
      </w:r>
      <w:r w:rsidRPr="00865DE0">
        <w:rPr>
          <w:color w:val="222222"/>
          <w:shd w:val="clear" w:color="auto" w:fill="FFFFFF"/>
        </w:rPr>
        <w:t>. Cengage Learning.</w:t>
      </w:r>
    </w:p>
    <w:p w14:paraId="304A6F20" w14:textId="77777777" w:rsidR="00865DE0" w:rsidRPr="00865DE0" w:rsidRDefault="00865DE0" w:rsidP="00865DE0">
      <w:pPr>
        <w:spacing w:before="0" w:beforeAutospacing="0" w:after="0" w:afterAutospacing="0" w:line="240" w:lineRule="auto"/>
        <w:ind w:left="567" w:hanging="425"/>
        <w:rPr>
          <w:color w:val="222222"/>
          <w:shd w:val="clear" w:color="auto" w:fill="FFFFFF"/>
        </w:rPr>
      </w:pPr>
      <w:r w:rsidRPr="00865DE0">
        <w:rPr>
          <w:color w:val="222222"/>
          <w:shd w:val="clear" w:color="auto" w:fill="FFFFFF"/>
        </w:rPr>
        <w:t>Brigham, E.F. and Houston, J.F., 2012. </w:t>
      </w:r>
      <w:r w:rsidRPr="00865DE0">
        <w:rPr>
          <w:i/>
          <w:iCs/>
          <w:color w:val="222222"/>
          <w:shd w:val="clear" w:color="auto" w:fill="FFFFFF"/>
        </w:rPr>
        <w:t>Fundamentals of financial management</w:t>
      </w:r>
      <w:r w:rsidRPr="00865DE0">
        <w:rPr>
          <w:color w:val="222222"/>
          <w:shd w:val="clear" w:color="auto" w:fill="FFFFFF"/>
        </w:rPr>
        <w:t>. Cengage Learning.</w:t>
      </w:r>
    </w:p>
    <w:p w14:paraId="3295FE62" w14:textId="77777777" w:rsidR="00865DE0" w:rsidRPr="00865DE0" w:rsidRDefault="00865DE0" w:rsidP="00865DE0">
      <w:pPr>
        <w:spacing w:before="0" w:beforeAutospacing="0" w:after="0" w:afterAutospacing="0" w:line="240" w:lineRule="auto"/>
        <w:ind w:left="567" w:hanging="425"/>
        <w:rPr>
          <w:color w:val="222222"/>
          <w:shd w:val="clear" w:color="auto" w:fill="FFFFFF"/>
        </w:rPr>
      </w:pPr>
      <w:r w:rsidRPr="00865DE0">
        <w:rPr>
          <w:color w:val="222222"/>
          <w:shd w:val="clear" w:color="auto" w:fill="FFFFFF"/>
        </w:rPr>
        <w:t>Chandra, P., 2011. </w:t>
      </w:r>
      <w:r w:rsidRPr="00865DE0">
        <w:rPr>
          <w:i/>
          <w:iCs/>
          <w:color w:val="222222"/>
          <w:shd w:val="clear" w:color="auto" w:fill="FFFFFF"/>
        </w:rPr>
        <w:t>Financial management</w:t>
      </w:r>
      <w:r w:rsidRPr="00865DE0">
        <w:rPr>
          <w:color w:val="222222"/>
          <w:shd w:val="clear" w:color="auto" w:fill="FFFFFF"/>
        </w:rPr>
        <w:t>. Tata McGraw-Hill Education.</w:t>
      </w:r>
    </w:p>
    <w:p w14:paraId="3F4CD4B0" w14:textId="77777777" w:rsidR="00865DE0" w:rsidRPr="00865DE0" w:rsidRDefault="00865DE0" w:rsidP="00865DE0">
      <w:pPr>
        <w:spacing w:before="0" w:beforeAutospacing="0" w:after="0" w:afterAutospacing="0" w:line="240" w:lineRule="auto"/>
        <w:ind w:left="567" w:hanging="425"/>
        <w:rPr>
          <w:color w:val="222222"/>
          <w:shd w:val="clear" w:color="auto" w:fill="FFFFFF"/>
        </w:rPr>
      </w:pPr>
      <w:r w:rsidRPr="00865DE0">
        <w:rPr>
          <w:color w:val="222222"/>
          <w:shd w:val="clear" w:color="auto" w:fill="FFFFFF"/>
        </w:rPr>
        <w:t>Dew, J. and Xiao, J.J., 2011. The financial management behavior scale: Development and validation. </w:t>
      </w:r>
      <w:r w:rsidRPr="00865DE0">
        <w:rPr>
          <w:i/>
          <w:iCs/>
          <w:color w:val="222222"/>
          <w:shd w:val="clear" w:color="auto" w:fill="FFFFFF"/>
        </w:rPr>
        <w:t>Journal of Financial Counseling and Planning</w:t>
      </w:r>
      <w:r w:rsidRPr="00865DE0">
        <w:rPr>
          <w:color w:val="222222"/>
          <w:shd w:val="clear" w:color="auto" w:fill="FFFFFF"/>
        </w:rPr>
        <w:t>, </w:t>
      </w:r>
      <w:r w:rsidRPr="00865DE0">
        <w:rPr>
          <w:i/>
          <w:iCs/>
          <w:color w:val="222222"/>
          <w:shd w:val="clear" w:color="auto" w:fill="FFFFFF"/>
        </w:rPr>
        <w:t>22</w:t>
      </w:r>
      <w:r w:rsidRPr="00865DE0">
        <w:rPr>
          <w:color w:val="222222"/>
          <w:shd w:val="clear" w:color="auto" w:fill="FFFFFF"/>
        </w:rPr>
        <w:t>(1), p.43.</w:t>
      </w:r>
    </w:p>
    <w:p w14:paraId="01882AAD" w14:textId="77777777" w:rsidR="00865DE0" w:rsidRPr="00865DE0" w:rsidRDefault="00865DE0" w:rsidP="00865DE0">
      <w:pPr>
        <w:spacing w:before="0" w:beforeAutospacing="0" w:after="0" w:afterAutospacing="0" w:line="240" w:lineRule="auto"/>
        <w:ind w:left="567" w:hanging="425"/>
        <w:rPr>
          <w:color w:val="222222"/>
          <w:shd w:val="clear" w:color="auto" w:fill="FFFFFF"/>
        </w:rPr>
      </w:pPr>
      <w:r w:rsidRPr="00865DE0">
        <w:rPr>
          <w:color w:val="222222"/>
          <w:shd w:val="clear" w:color="auto" w:fill="FFFFFF"/>
        </w:rPr>
        <w:t>Ehrhardt, M.C. and Brigham, E.F., 2011. </w:t>
      </w:r>
      <w:r w:rsidRPr="00865DE0">
        <w:rPr>
          <w:i/>
          <w:iCs/>
          <w:color w:val="222222"/>
          <w:shd w:val="clear" w:color="auto" w:fill="FFFFFF"/>
        </w:rPr>
        <w:t>Financial management: theory and practice</w:t>
      </w:r>
      <w:r w:rsidRPr="00865DE0">
        <w:rPr>
          <w:color w:val="222222"/>
          <w:shd w:val="clear" w:color="auto" w:fill="FFFFFF"/>
        </w:rPr>
        <w:t>. South-Western Cengage Learning.</w:t>
      </w:r>
    </w:p>
    <w:p w14:paraId="5FD9CDF1" w14:textId="77777777" w:rsidR="00865DE0" w:rsidRPr="00865DE0" w:rsidRDefault="00865DE0" w:rsidP="00865DE0">
      <w:pPr>
        <w:spacing w:before="0" w:beforeAutospacing="0" w:after="0" w:afterAutospacing="0" w:line="240" w:lineRule="auto"/>
        <w:ind w:left="567" w:hanging="425"/>
        <w:rPr>
          <w:color w:val="222222"/>
          <w:shd w:val="clear" w:color="auto" w:fill="FFFFFF"/>
        </w:rPr>
      </w:pPr>
      <w:proofErr w:type="spellStart"/>
      <w:r w:rsidRPr="00865DE0">
        <w:rPr>
          <w:color w:val="222222"/>
          <w:shd w:val="clear" w:color="auto" w:fill="FFFFFF"/>
        </w:rPr>
        <w:t>Filbeck</w:t>
      </w:r>
      <w:proofErr w:type="spellEnd"/>
      <w:r w:rsidRPr="00865DE0">
        <w:rPr>
          <w:color w:val="222222"/>
          <w:shd w:val="clear" w:color="auto" w:fill="FFFFFF"/>
        </w:rPr>
        <w:t>, G. and Lee, S., 2000. Financial management techniques in family businesses. </w:t>
      </w:r>
      <w:r w:rsidRPr="00865DE0">
        <w:rPr>
          <w:i/>
          <w:iCs/>
          <w:color w:val="222222"/>
          <w:shd w:val="clear" w:color="auto" w:fill="FFFFFF"/>
        </w:rPr>
        <w:t>Family Business Review</w:t>
      </w:r>
      <w:r w:rsidRPr="00865DE0">
        <w:rPr>
          <w:color w:val="222222"/>
          <w:shd w:val="clear" w:color="auto" w:fill="FFFFFF"/>
        </w:rPr>
        <w:t>, </w:t>
      </w:r>
      <w:r w:rsidRPr="00865DE0">
        <w:rPr>
          <w:i/>
          <w:iCs/>
          <w:color w:val="222222"/>
          <w:shd w:val="clear" w:color="auto" w:fill="FFFFFF"/>
        </w:rPr>
        <w:t>13</w:t>
      </w:r>
      <w:r w:rsidRPr="00865DE0">
        <w:rPr>
          <w:color w:val="222222"/>
          <w:shd w:val="clear" w:color="auto" w:fill="FFFFFF"/>
        </w:rPr>
        <w:t>(3), pp.201-216.</w:t>
      </w:r>
    </w:p>
    <w:p w14:paraId="41BE7F01" w14:textId="77777777" w:rsidR="00865DE0" w:rsidRPr="00865DE0" w:rsidRDefault="00865DE0" w:rsidP="00865DE0">
      <w:pPr>
        <w:spacing w:before="0" w:beforeAutospacing="0" w:after="0" w:afterAutospacing="0" w:line="240" w:lineRule="auto"/>
        <w:ind w:left="567" w:hanging="425"/>
        <w:rPr>
          <w:color w:val="222222"/>
          <w:shd w:val="clear" w:color="auto" w:fill="FFFFFF"/>
        </w:rPr>
      </w:pPr>
      <w:proofErr w:type="spellStart"/>
      <w:r w:rsidRPr="00865DE0">
        <w:rPr>
          <w:color w:val="222222"/>
          <w:shd w:val="clear" w:color="auto" w:fill="FFFFFF"/>
        </w:rPr>
        <w:t>Gapenski</w:t>
      </w:r>
      <w:proofErr w:type="spellEnd"/>
      <w:r w:rsidRPr="00865DE0">
        <w:rPr>
          <w:color w:val="222222"/>
          <w:shd w:val="clear" w:color="auto" w:fill="FFFFFF"/>
        </w:rPr>
        <w:t>, L.C. and Pink, G.H., 2007. </w:t>
      </w:r>
      <w:r w:rsidRPr="00865DE0">
        <w:rPr>
          <w:i/>
          <w:iCs/>
          <w:color w:val="222222"/>
          <w:shd w:val="clear" w:color="auto" w:fill="FFFFFF"/>
        </w:rPr>
        <w:t>Understanding healthcare financial management</w:t>
      </w:r>
      <w:r w:rsidRPr="00865DE0">
        <w:rPr>
          <w:color w:val="222222"/>
          <w:shd w:val="clear" w:color="auto" w:fill="FFFFFF"/>
        </w:rPr>
        <w:t>. Chicago: Health Administration Press.</w:t>
      </w:r>
    </w:p>
    <w:p w14:paraId="441B103F" w14:textId="77777777" w:rsidR="00865DE0" w:rsidRPr="00865DE0" w:rsidRDefault="00865DE0" w:rsidP="00865DE0">
      <w:pPr>
        <w:spacing w:before="0" w:beforeAutospacing="0" w:after="0" w:afterAutospacing="0" w:line="240" w:lineRule="auto"/>
        <w:ind w:left="567" w:hanging="425"/>
        <w:rPr>
          <w:color w:val="222222"/>
          <w:shd w:val="clear" w:color="auto" w:fill="FFFFFF"/>
        </w:rPr>
      </w:pPr>
      <w:r w:rsidRPr="00865DE0">
        <w:rPr>
          <w:color w:val="222222"/>
          <w:shd w:val="clear" w:color="auto" w:fill="FFFFFF"/>
        </w:rPr>
        <w:t>Higgins, R.C. and Reimers, M., 1995. </w:t>
      </w:r>
      <w:r w:rsidRPr="00865DE0">
        <w:rPr>
          <w:i/>
          <w:iCs/>
          <w:color w:val="222222"/>
          <w:shd w:val="clear" w:color="auto" w:fill="FFFFFF"/>
        </w:rPr>
        <w:t>Analysis for financial management</w:t>
      </w:r>
      <w:r w:rsidRPr="00865DE0">
        <w:rPr>
          <w:color w:val="222222"/>
          <w:shd w:val="clear" w:color="auto" w:fill="FFFFFF"/>
        </w:rPr>
        <w:t> (No. s 53). Chicago: Irwin.</w:t>
      </w:r>
    </w:p>
    <w:p w14:paraId="5D4B1448" w14:textId="77777777" w:rsidR="00865DE0" w:rsidRPr="00865DE0" w:rsidRDefault="00865DE0" w:rsidP="00865DE0">
      <w:pPr>
        <w:spacing w:before="0" w:beforeAutospacing="0" w:after="0" w:afterAutospacing="0" w:line="240" w:lineRule="auto"/>
        <w:ind w:left="567" w:hanging="425"/>
        <w:rPr>
          <w:color w:val="222222"/>
          <w:shd w:val="clear" w:color="auto" w:fill="FFFFFF"/>
        </w:rPr>
      </w:pPr>
      <w:r w:rsidRPr="00865DE0">
        <w:rPr>
          <w:color w:val="222222"/>
          <w:shd w:val="clear" w:color="auto" w:fill="FFFFFF"/>
        </w:rPr>
        <w:t xml:space="preserve">Jones, C., </w:t>
      </w:r>
      <w:proofErr w:type="spellStart"/>
      <w:r w:rsidRPr="00865DE0">
        <w:rPr>
          <w:color w:val="222222"/>
          <w:shd w:val="clear" w:color="auto" w:fill="FFFFFF"/>
        </w:rPr>
        <w:t>Finkler</w:t>
      </w:r>
      <w:proofErr w:type="spellEnd"/>
      <w:r w:rsidRPr="00865DE0">
        <w:rPr>
          <w:color w:val="222222"/>
          <w:shd w:val="clear" w:color="auto" w:fill="FFFFFF"/>
        </w:rPr>
        <w:t xml:space="preserve">, S.A., Kovner, C.T. and </w:t>
      </w:r>
      <w:proofErr w:type="spellStart"/>
      <w:r w:rsidRPr="00865DE0">
        <w:rPr>
          <w:color w:val="222222"/>
          <w:shd w:val="clear" w:color="auto" w:fill="FFFFFF"/>
        </w:rPr>
        <w:t>Mose</w:t>
      </w:r>
      <w:proofErr w:type="spellEnd"/>
      <w:r w:rsidRPr="00865DE0">
        <w:rPr>
          <w:color w:val="222222"/>
          <w:shd w:val="clear" w:color="auto" w:fill="FFFFFF"/>
        </w:rPr>
        <w:t>, J., 2018. </w:t>
      </w:r>
      <w:r w:rsidRPr="00865DE0">
        <w:rPr>
          <w:i/>
          <w:iCs/>
          <w:color w:val="222222"/>
          <w:shd w:val="clear" w:color="auto" w:fill="FFFFFF"/>
        </w:rPr>
        <w:t>Financial Management for Nurse Managers and Executives-E-Book</w:t>
      </w:r>
      <w:r w:rsidRPr="00865DE0">
        <w:rPr>
          <w:color w:val="222222"/>
          <w:shd w:val="clear" w:color="auto" w:fill="FFFFFF"/>
        </w:rPr>
        <w:t>. Elsevier Health Sciences.</w:t>
      </w:r>
    </w:p>
    <w:p w14:paraId="2455EE5E" w14:textId="77777777" w:rsidR="00865DE0" w:rsidRPr="00865DE0" w:rsidRDefault="00865DE0" w:rsidP="00865DE0">
      <w:pPr>
        <w:spacing w:before="0" w:beforeAutospacing="0" w:after="0" w:afterAutospacing="0" w:line="240" w:lineRule="auto"/>
        <w:ind w:left="567" w:hanging="425"/>
        <w:rPr>
          <w:color w:val="222222"/>
          <w:shd w:val="clear" w:color="auto" w:fill="FFFFFF"/>
        </w:rPr>
      </w:pPr>
      <w:r w:rsidRPr="00865DE0">
        <w:rPr>
          <w:color w:val="222222"/>
          <w:shd w:val="clear" w:color="auto" w:fill="FFFFFF"/>
        </w:rPr>
        <w:t>Madura, J., 2020. </w:t>
      </w:r>
      <w:r w:rsidRPr="00865DE0">
        <w:rPr>
          <w:i/>
          <w:iCs/>
          <w:color w:val="222222"/>
          <w:shd w:val="clear" w:color="auto" w:fill="FFFFFF"/>
        </w:rPr>
        <w:t>International financial management</w:t>
      </w:r>
      <w:r w:rsidRPr="00865DE0">
        <w:rPr>
          <w:color w:val="222222"/>
          <w:shd w:val="clear" w:color="auto" w:fill="FFFFFF"/>
        </w:rPr>
        <w:t>. Cengage Learning.</w:t>
      </w:r>
    </w:p>
    <w:p w14:paraId="0FA64852" w14:textId="77777777" w:rsidR="00865DE0" w:rsidRPr="00865DE0" w:rsidRDefault="00865DE0" w:rsidP="00865DE0">
      <w:pPr>
        <w:spacing w:before="0" w:beforeAutospacing="0" w:after="0" w:afterAutospacing="0" w:line="240" w:lineRule="auto"/>
        <w:ind w:left="567" w:hanging="425"/>
        <w:rPr>
          <w:color w:val="222222"/>
          <w:shd w:val="clear" w:color="auto" w:fill="FFFFFF"/>
        </w:rPr>
      </w:pPr>
      <w:r w:rsidRPr="00865DE0">
        <w:rPr>
          <w:color w:val="222222"/>
          <w:shd w:val="clear" w:color="auto" w:fill="FFFFFF"/>
        </w:rPr>
        <w:t xml:space="preserve">McMahon, R., Holmes, S., Hutchinson, P. and </w:t>
      </w:r>
      <w:proofErr w:type="spellStart"/>
      <w:r w:rsidRPr="00865DE0">
        <w:rPr>
          <w:color w:val="222222"/>
          <w:shd w:val="clear" w:color="auto" w:fill="FFFFFF"/>
        </w:rPr>
        <w:t>Forsaith</w:t>
      </w:r>
      <w:proofErr w:type="spellEnd"/>
      <w:r w:rsidRPr="00865DE0">
        <w:rPr>
          <w:color w:val="222222"/>
          <w:shd w:val="clear" w:color="auto" w:fill="FFFFFF"/>
        </w:rPr>
        <w:t>, D., 1993. </w:t>
      </w:r>
      <w:r w:rsidRPr="00865DE0">
        <w:rPr>
          <w:i/>
          <w:iCs/>
          <w:color w:val="222222"/>
          <w:shd w:val="clear" w:color="auto" w:fill="FFFFFF"/>
        </w:rPr>
        <w:t>Small enterprise financial management: Theory and practice</w:t>
      </w:r>
      <w:r w:rsidRPr="00865DE0">
        <w:rPr>
          <w:color w:val="222222"/>
          <w:shd w:val="clear" w:color="auto" w:fill="FFFFFF"/>
        </w:rPr>
        <w:t>.</w:t>
      </w:r>
    </w:p>
    <w:p w14:paraId="79311FCB" w14:textId="77777777" w:rsidR="00865DE0" w:rsidRPr="00865DE0" w:rsidRDefault="00865DE0" w:rsidP="00865DE0">
      <w:pPr>
        <w:spacing w:before="0" w:beforeAutospacing="0" w:after="0" w:afterAutospacing="0" w:line="240" w:lineRule="auto"/>
        <w:ind w:left="567" w:hanging="425"/>
        <w:rPr>
          <w:color w:val="222222"/>
          <w:shd w:val="clear" w:color="auto" w:fill="FFFFFF"/>
        </w:rPr>
      </w:pPr>
      <w:r w:rsidRPr="00865DE0">
        <w:rPr>
          <w:color w:val="222222"/>
          <w:shd w:val="clear" w:color="auto" w:fill="FFFFFF"/>
        </w:rPr>
        <w:t>McMenamin, J., 2002. </w:t>
      </w:r>
      <w:r w:rsidRPr="00865DE0">
        <w:rPr>
          <w:i/>
          <w:iCs/>
          <w:color w:val="222222"/>
          <w:shd w:val="clear" w:color="auto" w:fill="FFFFFF"/>
        </w:rPr>
        <w:t>Financial management: an introduction</w:t>
      </w:r>
      <w:r w:rsidRPr="00865DE0">
        <w:rPr>
          <w:color w:val="222222"/>
          <w:shd w:val="clear" w:color="auto" w:fill="FFFFFF"/>
        </w:rPr>
        <w:t>. Routledge.</w:t>
      </w:r>
    </w:p>
    <w:p w14:paraId="6C9D9CD0" w14:textId="77777777" w:rsidR="00865DE0" w:rsidRPr="00865DE0" w:rsidRDefault="00865DE0" w:rsidP="00865DE0">
      <w:pPr>
        <w:spacing w:before="0" w:beforeAutospacing="0" w:after="0" w:afterAutospacing="0" w:line="240" w:lineRule="auto"/>
        <w:ind w:left="567" w:hanging="425"/>
        <w:rPr>
          <w:rFonts w:ascii="Arial" w:hAnsi="Arial" w:cs="Arial"/>
          <w:color w:val="222222"/>
          <w:sz w:val="18"/>
          <w:szCs w:val="18"/>
          <w:shd w:val="clear" w:color="auto" w:fill="FFFFFF"/>
        </w:rPr>
      </w:pPr>
      <w:r w:rsidRPr="00865DE0">
        <w:rPr>
          <w:color w:val="222222"/>
          <w:shd w:val="clear" w:color="auto" w:fill="FFFFFF"/>
        </w:rPr>
        <w:t>Peel, M.J. and Wilson, N., 1996. Working capital and financial management practices in the small firm sector. </w:t>
      </w:r>
      <w:r w:rsidRPr="00865DE0">
        <w:rPr>
          <w:i/>
          <w:iCs/>
          <w:color w:val="222222"/>
          <w:shd w:val="clear" w:color="auto" w:fill="FFFFFF"/>
        </w:rPr>
        <w:t xml:space="preserve">International </w:t>
      </w:r>
      <w:r w:rsidRPr="00865DE0">
        <w:rPr>
          <w:rFonts w:ascii="Arial" w:hAnsi="Arial" w:cs="Arial"/>
          <w:i/>
          <w:iCs/>
          <w:color w:val="222222"/>
          <w:sz w:val="18"/>
          <w:szCs w:val="18"/>
          <w:shd w:val="clear" w:color="auto" w:fill="FFFFFF"/>
        </w:rPr>
        <w:t>Small Business Journal</w:t>
      </w:r>
      <w:r w:rsidRPr="00865DE0">
        <w:rPr>
          <w:rFonts w:ascii="Arial" w:hAnsi="Arial" w:cs="Arial"/>
          <w:color w:val="222222"/>
          <w:sz w:val="18"/>
          <w:szCs w:val="18"/>
          <w:shd w:val="clear" w:color="auto" w:fill="FFFFFF"/>
        </w:rPr>
        <w:t>, </w:t>
      </w:r>
      <w:r w:rsidRPr="00865DE0">
        <w:rPr>
          <w:rFonts w:ascii="Arial" w:hAnsi="Arial" w:cs="Arial"/>
          <w:i/>
          <w:iCs/>
          <w:color w:val="222222"/>
          <w:sz w:val="18"/>
          <w:szCs w:val="18"/>
          <w:shd w:val="clear" w:color="auto" w:fill="FFFFFF"/>
        </w:rPr>
        <w:t>14</w:t>
      </w:r>
      <w:r w:rsidRPr="00865DE0">
        <w:rPr>
          <w:rFonts w:ascii="Arial" w:hAnsi="Arial" w:cs="Arial"/>
          <w:color w:val="222222"/>
          <w:sz w:val="18"/>
          <w:szCs w:val="18"/>
          <w:shd w:val="clear" w:color="auto" w:fill="FFFFFF"/>
        </w:rPr>
        <w:t>(2), pp.52-68.</w:t>
      </w:r>
    </w:p>
    <w:p w14:paraId="7595D151" w14:textId="77777777" w:rsidR="00865DE0" w:rsidRPr="00865DE0" w:rsidRDefault="00865DE0" w:rsidP="00865DE0">
      <w:pPr>
        <w:spacing w:before="0" w:beforeAutospacing="0" w:after="0" w:afterAutospacing="0" w:line="240" w:lineRule="auto"/>
        <w:ind w:left="567" w:hanging="425"/>
        <w:rPr>
          <w:color w:val="222222"/>
          <w:shd w:val="clear" w:color="auto" w:fill="FFFFFF"/>
        </w:rPr>
      </w:pPr>
      <w:r w:rsidRPr="00865DE0">
        <w:rPr>
          <w:color w:val="222222"/>
          <w:shd w:val="clear" w:color="auto" w:fill="FFFFFF"/>
        </w:rPr>
        <w:t>Pollitt, C., 2001. Integrating financial management and performance management. </w:t>
      </w:r>
      <w:r w:rsidRPr="00865DE0">
        <w:rPr>
          <w:i/>
          <w:iCs/>
          <w:color w:val="222222"/>
          <w:shd w:val="clear" w:color="auto" w:fill="FFFFFF"/>
        </w:rPr>
        <w:t>OECD Journal on Budgeting</w:t>
      </w:r>
      <w:r w:rsidRPr="00865DE0">
        <w:rPr>
          <w:color w:val="222222"/>
          <w:shd w:val="clear" w:color="auto" w:fill="FFFFFF"/>
        </w:rPr>
        <w:t>, </w:t>
      </w:r>
      <w:r w:rsidRPr="00865DE0">
        <w:rPr>
          <w:i/>
          <w:iCs/>
          <w:color w:val="222222"/>
          <w:shd w:val="clear" w:color="auto" w:fill="FFFFFF"/>
        </w:rPr>
        <w:t>1</w:t>
      </w:r>
      <w:r w:rsidRPr="00865DE0">
        <w:rPr>
          <w:color w:val="222222"/>
          <w:shd w:val="clear" w:color="auto" w:fill="FFFFFF"/>
        </w:rPr>
        <w:t>(2), pp.7-37.</w:t>
      </w:r>
    </w:p>
    <w:p w14:paraId="0F8C1713" w14:textId="77777777" w:rsidR="00865DE0" w:rsidRPr="00865DE0" w:rsidRDefault="00865DE0" w:rsidP="00865DE0">
      <w:pPr>
        <w:spacing w:before="0" w:beforeAutospacing="0" w:after="0" w:afterAutospacing="0" w:line="240" w:lineRule="auto"/>
        <w:ind w:left="567" w:hanging="425"/>
        <w:rPr>
          <w:color w:val="222222"/>
          <w:shd w:val="clear" w:color="auto" w:fill="FFFFFF"/>
        </w:rPr>
      </w:pPr>
      <w:r w:rsidRPr="00865DE0">
        <w:rPr>
          <w:color w:val="222222"/>
          <w:shd w:val="clear" w:color="auto" w:fill="FFFFFF"/>
        </w:rPr>
        <w:t>Pringle, J.J. and Solomon, E., 1980. </w:t>
      </w:r>
      <w:r w:rsidRPr="00865DE0">
        <w:rPr>
          <w:i/>
          <w:iCs/>
          <w:color w:val="222222"/>
          <w:shd w:val="clear" w:color="auto" w:fill="FFFFFF"/>
        </w:rPr>
        <w:t>An introduction to financial management</w:t>
      </w:r>
      <w:r w:rsidRPr="00865DE0">
        <w:rPr>
          <w:color w:val="222222"/>
          <w:shd w:val="clear" w:color="auto" w:fill="FFFFFF"/>
        </w:rPr>
        <w:t>. Santa Monica, Calif.: Goodyear Publishing Company.</w:t>
      </w:r>
    </w:p>
    <w:p w14:paraId="0C5DF71E" w14:textId="77777777" w:rsidR="00865DE0" w:rsidRPr="00865DE0" w:rsidRDefault="00865DE0" w:rsidP="00865DE0">
      <w:pPr>
        <w:spacing w:before="0" w:beforeAutospacing="0" w:after="0" w:afterAutospacing="0" w:line="240" w:lineRule="auto"/>
        <w:ind w:left="567" w:hanging="425"/>
        <w:rPr>
          <w:color w:val="222222"/>
          <w:shd w:val="clear" w:color="auto" w:fill="FFFFFF"/>
        </w:rPr>
      </w:pPr>
      <w:r w:rsidRPr="00865DE0">
        <w:rPr>
          <w:color w:val="222222"/>
          <w:shd w:val="clear" w:color="auto" w:fill="FFFFFF"/>
        </w:rPr>
        <w:t xml:space="preserve">Shapiro, A.C. and </w:t>
      </w:r>
      <w:proofErr w:type="spellStart"/>
      <w:r w:rsidRPr="00865DE0">
        <w:rPr>
          <w:color w:val="222222"/>
          <w:shd w:val="clear" w:color="auto" w:fill="FFFFFF"/>
        </w:rPr>
        <w:t>Hanouna</w:t>
      </w:r>
      <w:proofErr w:type="spellEnd"/>
      <w:r w:rsidRPr="00865DE0">
        <w:rPr>
          <w:color w:val="222222"/>
          <w:shd w:val="clear" w:color="auto" w:fill="FFFFFF"/>
        </w:rPr>
        <w:t>, P., 2019. </w:t>
      </w:r>
      <w:r w:rsidRPr="00865DE0">
        <w:rPr>
          <w:i/>
          <w:iCs/>
          <w:color w:val="222222"/>
          <w:shd w:val="clear" w:color="auto" w:fill="FFFFFF"/>
        </w:rPr>
        <w:t>Multinational financial management</w:t>
      </w:r>
      <w:r w:rsidRPr="00865DE0">
        <w:rPr>
          <w:color w:val="222222"/>
          <w:shd w:val="clear" w:color="auto" w:fill="FFFFFF"/>
        </w:rPr>
        <w:t>. John Wiley &amp; Sons.</w:t>
      </w:r>
    </w:p>
    <w:p w14:paraId="0BDDEAC1" w14:textId="77777777" w:rsidR="00865DE0" w:rsidRPr="00865DE0" w:rsidRDefault="00865DE0" w:rsidP="00865DE0">
      <w:pPr>
        <w:spacing w:before="0" w:beforeAutospacing="0" w:after="0" w:afterAutospacing="0" w:line="240" w:lineRule="auto"/>
        <w:ind w:left="567" w:hanging="425"/>
        <w:rPr>
          <w:color w:val="222222"/>
          <w:shd w:val="clear" w:color="auto" w:fill="FFFFFF"/>
        </w:rPr>
      </w:pPr>
      <w:r w:rsidRPr="00865DE0">
        <w:rPr>
          <w:color w:val="222222"/>
          <w:shd w:val="clear" w:color="auto" w:fill="FFFFFF"/>
        </w:rPr>
        <w:t>Stern, J., Stewart, B. and Chew, D., 1995. The EVA financial management system. </w:t>
      </w:r>
      <w:r w:rsidRPr="00865DE0">
        <w:rPr>
          <w:i/>
          <w:iCs/>
          <w:color w:val="222222"/>
          <w:shd w:val="clear" w:color="auto" w:fill="FFFFFF"/>
        </w:rPr>
        <w:t>Journal of applied corporate finance</w:t>
      </w:r>
      <w:r w:rsidRPr="00865DE0">
        <w:rPr>
          <w:color w:val="222222"/>
          <w:shd w:val="clear" w:color="auto" w:fill="FFFFFF"/>
        </w:rPr>
        <w:t>, </w:t>
      </w:r>
      <w:r w:rsidRPr="00865DE0">
        <w:rPr>
          <w:i/>
          <w:iCs/>
          <w:color w:val="222222"/>
          <w:shd w:val="clear" w:color="auto" w:fill="FFFFFF"/>
        </w:rPr>
        <w:t>8</w:t>
      </w:r>
      <w:r w:rsidRPr="00865DE0">
        <w:rPr>
          <w:color w:val="222222"/>
          <w:shd w:val="clear" w:color="auto" w:fill="FFFFFF"/>
        </w:rPr>
        <w:t>(2).</w:t>
      </w:r>
    </w:p>
    <w:p w14:paraId="5B83B212" w14:textId="77777777" w:rsidR="00865DE0" w:rsidRPr="00865DE0" w:rsidRDefault="00865DE0" w:rsidP="00865DE0">
      <w:pPr>
        <w:spacing w:before="0" w:beforeAutospacing="0" w:after="0" w:afterAutospacing="0" w:line="240" w:lineRule="auto"/>
        <w:ind w:left="567" w:hanging="425"/>
        <w:rPr>
          <w:color w:val="222222"/>
          <w:shd w:val="clear" w:color="auto" w:fill="FFFFFF"/>
        </w:rPr>
      </w:pPr>
      <w:r w:rsidRPr="00865DE0">
        <w:rPr>
          <w:color w:val="222222"/>
          <w:shd w:val="clear" w:color="auto" w:fill="FFFFFF"/>
        </w:rPr>
        <w:t>Titman, S., Keown, A.J., Martin, J.D. and Martin, T., 2011. </w:t>
      </w:r>
      <w:r w:rsidRPr="00865DE0">
        <w:rPr>
          <w:i/>
          <w:iCs/>
          <w:color w:val="222222"/>
          <w:shd w:val="clear" w:color="auto" w:fill="FFFFFF"/>
        </w:rPr>
        <w:t>Financial management: Principles and applications</w:t>
      </w:r>
      <w:r w:rsidRPr="00865DE0">
        <w:rPr>
          <w:color w:val="222222"/>
          <w:shd w:val="clear" w:color="auto" w:fill="FFFFFF"/>
        </w:rPr>
        <w:t> (Vol. 11). Boston: Prentice Hall.</w:t>
      </w:r>
    </w:p>
    <w:p w14:paraId="66535313" w14:textId="77777777" w:rsidR="00865DE0" w:rsidRPr="00865DE0" w:rsidRDefault="00865DE0" w:rsidP="00865DE0">
      <w:pPr>
        <w:spacing w:before="0" w:beforeAutospacing="0" w:after="0" w:afterAutospacing="0" w:line="240" w:lineRule="auto"/>
        <w:ind w:left="567" w:hanging="425"/>
        <w:rPr>
          <w:color w:val="222222"/>
          <w:shd w:val="clear" w:color="auto" w:fill="FFFFFF"/>
        </w:rPr>
      </w:pPr>
      <w:r w:rsidRPr="00865DE0">
        <w:rPr>
          <w:color w:val="222222"/>
          <w:shd w:val="clear" w:color="auto" w:fill="FFFFFF"/>
        </w:rPr>
        <w:lastRenderedPageBreak/>
        <w:t>Van Horne James, C., 2002. </w:t>
      </w:r>
      <w:r w:rsidRPr="00865DE0">
        <w:rPr>
          <w:i/>
          <w:iCs/>
          <w:color w:val="222222"/>
          <w:shd w:val="clear" w:color="auto" w:fill="FFFFFF"/>
        </w:rPr>
        <w:t>Financial Management &amp; Policy, 12/E</w:t>
      </w:r>
      <w:r w:rsidRPr="00865DE0">
        <w:rPr>
          <w:color w:val="222222"/>
          <w:shd w:val="clear" w:color="auto" w:fill="FFFFFF"/>
        </w:rPr>
        <w:t>. Pearson Education India.</w:t>
      </w:r>
    </w:p>
    <w:p w14:paraId="25A6E761" w14:textId="77777777" w:rsidR="00BF6CD9" w:rsidRPr="00D11F5A" w:rsidRDefault="00BF6CD9" w:rsidP="00D11F5A"/>
    <w:sectPr w:rsidR="00BF6CD9" w:rsidRPr="00D11F5A" w:rsidSect="00FB52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7F71C0A"/>
    <w:multiLevelType w:val="hybridMultilevel"/>
    <w:tmpl w:val="A6A23B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43CE6"/>
    <w:rsid w:val="00027592"/>
    <w:rsid w:val="000C4BD1"/>
    <w:rsid w:val="000F0CB7"/>
    <w:rsid w:val="00130128"/>
    <w:rsid w:val="00164E3F"/>
    <w:rsid w:val="00191FC5"/>
    <w:rsid w:val="00193A13"/>
    <w:rsid w:val="001A4019"/>
    <w:rsid w:val="001C2081"/>
    <w:rsid w:val="002977C8"/>
    <w:rsid w:val="00297DBA"/>
    <w:rsid w:val="002D63E1"/>
    <w:rsid w:val="002E5170"/>
    <w:rsid w:val="002F52D1"/>
    <w:rsid w:val="00342A4E"/>
    <w:rsid w:val="00365164"/>
    <w:rsid w:val="0038386A"/>
    <w:rsid w:val="003917F9"/>
    <w:rsid w:val="003E3358"/>
    <w:rsid w:val="00430470"/>
    <w:rsid w:val="00465706"/>
    <w:rsid w:val="00471486"/>
    <w:rsid w:val="004F077C"/>
    <w:rsid w:val="004F677A"/>
    <w:rsid w:val="00504092"/>
    <w:rsid w:val="00505778"/>
    <w:rsid w:val="00551B31"/>
    <w:rsid w:val="00553A58"/>
    <w:rsid w:val="005E4AB0"/>
    <w:rsid w:val="00652215"/>
    <w:rsid w:val="006942D6"/>
    <w:rsid w:val="006A00AE"/>
    <w:rsid w:val="006A0F60"/>
    <w:rsid w:val="006A23AE"/>
    <w:rsid w:val="006D1C4B"/>
    <w:rsid w:val="00710B8C"/>
    <w:rsid w:val="008369E4"/>
    <w:rsid w:val="00846084"/>
    <w:rsid w:val="00850B5E"/>
    <w:rsid w:val="00861A44"/>
    <w:rsid w:val="00865DE0"/>
    <w:rsid w:val="008D6066"/>
    <w:rsid w:val="008E3D3B"/>
    <w:rsid w:val="00967611"/>
    <w:rsid w:val="009E0625"/>
    <w:rsid w:val="00A175C8"/>
    <w:rsid w:val="00A36CBA"/>
    <w:rsid w:val="00A60C70"/>
    <w:rsid w:val="00A87E9D"/>
    <w:rsid w:val="00AC357B"/>
    <w:rsid w:val="00B16DFB"/>
    <w:rsid w:val="00B43CE6"/>
    <w:rsid w:val="00B45903"/>
    <w:rsid w:val="00B6688A"/>
    <w:rsid w:val="00BA5C22"/>
    <w:rsid w:val="00BD434F"/>
    <w:rsid w:val="00BF6CD9"/>
    <w:rsid w:val="00C02CE4"/>
    <w:rsid w:val="00C14FD6"/>
    <w:rsid w:val="00C2596F"/>
    <w:rsid w:val="00C26AD1"/>
    <w:rsid w:val="00CA3325"/>
    <w:rsid w:val="00CD3807"/>
    <w:rsid w:val="00CE65C2"/>
    <w:rsid w:val="00D11F5A"/>
    <w:rsid w:val="00D2031D"/>
    <w:rsid w:val="00D749F3"/>
    <w:rsid w:val="00DA2A6B"/>
    <w:rsid w:val="00DA4A64"/>
    <w:rsid w:val="00DD3948"/>
    <w:rsid w:val="00DE7393"/>
    <w:rsid w:val="00E33EEB"/>
    <w:rsid w:val="00E962C4"/>
    <w:rsid w:val="00EA21B2"/>
    <w:rsid w:val="00EC3F36"/>
    <w:rsid w:val="00EF6EEC"/>
    <w:rsid w:val="00F1069B"/>
    <w:rsid w:val="00F10EEF"/>
    <w:rsid w:val="00F60D0C"/>
    <w:rsid w:val="00F822E3"/>
    <w:rsid w:val="00F83094"/>
    <w:rsid w:val="00F8332F"/>
    <w:rsid w:val="00F94D0D"/>
    <w:rsid w:val="00FB529C"/>
    <w:rsid w:val="00FC577D"/>
    <w:rsid w:val="00FD04B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rules v:ext="edit">
        <o:r id="V:Rule1" type="connector" idref="#_x0000_s1034"/>
        <o:r id="V:Rule2" type="connector" idref="#_x0000_s1033"/>
        <o:r id="V:Rule3" type="connector" idref="#_x0000_s1035"/>
      </o:rules>
    </o:shapelayout>
  </w:shapeDefaults>
  <w:decimalSymbol w:val="."/>
  <w:listSeparator w:val=","/>
  <w14:docId w14:val="4F58862D"/>
  <w15:docId w15:val="{6ADCBD00-A523-4405-97E4-8C887CEA2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color w:val="000000"/>
        <w:sz w:val="24"/>
        <w:szCs w:val="24"/>
        <w:lang w:val="en-US" w:eastAsia="en-US" w:bidi="hi-IN"/>
      </w:rPr>
    </w:rPrDefault>
    <w:pPrDefault>
      <w:pPr>
        <w:spacing w:before="100" w:beforeAutospacing="1"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29C"/>
  </w:style>
  <w:style w:type="paragraph" w:styleId="Heading1">
    <w:name w:val="heading 1"/>
    <w:basedOn w:val="Normal"/>
    <w:next w:val="Normal"/>
    <w:link w:val="Heading1Char"/>
    <w:uiPriority w:val="9"/>
    <w:qFormat/>
    <w:rsid w:val="00B43CE6"/>
    <w:pPr>
      <w:keepNext/>
      <w:keepLines/>
      <w:spacing w:before="480" w:after="0"/>
      <w:outlineLvl w:val="0"/>
    </w:pPr>
    <w:rPr>
      <w:rFonts w:asciiTheme="majorHAnsi" w:eastAsiaTheme="majorEastAsia" w:hAnsiTheme="majorHAnsi" w:cstheme="majorBidi"/>
      <w:b/>
      <w:bCs/>
      <w:color w:val="365F91" w:themeColor="accent1" w:themeShade="BF"/>
      <w:sz w:val="28"/>
      <w:szCs w:val="25"/>
    </w:rPr>
  </w:style>
  <w:style w:type="paragraph" w:styleId="Heading2">
    <w:name w:val="heading 2"/>
    <w:basedOn w:val="Normal"/>
    <w:next w:val="Normal"/>
    <w:link w:val="Heading2Char"/>
    <w:uiPriority w:val="9"/>
    <w:unhideWhenUsed/>
    <w:qFormat/>
    <w:rsid w:val="00F94D0D"/>
    <w:pPr>
      <w:keepNext/>
      <w:keepLines/>
      <w:spacing w:before="200" w:after="0"/>
      <w:outlineLvl w:val="1"/>
    </w:pPr>
    <w:rPr>
      <w:rFonts w:asciiTheme="majorHAnsi" w:eastAsiaTheme="majorEastAsia" w:hAnsiTheme="majorHAnsi" w:cstheme="majorBidi"/>
      <w:b/>
      <w:bCs/>
      <w:color w:val="4F81BD" w:themeColor="accent1"/>
      <w:sz w:val="26"/>
      <w:szCs w:val="23"/>
    </w:rPr>
  </w:style>
  <w:style w:type="paragraph" w:styleId="Heading3">
    <w:name w:val="heading 3"/>
    <w:basedOn w:val="Normal"/>
    <w:next w:val="Normal"/>
    <w:link w:val="Heading3Char"/>
    <w:uiPriority w:val="9"/>
    <w:unhideWhenUsed/>
    <w:qFormat/>
    <w:rsid w:val="00A175C8"/>
    <w:pPr>
      <w:keepNext/>
      <w:keepLines/>
      <w:spacing w:before="200" w:after="0"/>
      <w:outlineLvl w:val="2"/>
    </w:pPr>
    <w:rPr>
      <w:rFonts w:asciiTheme="majorHAnsi" w:eastAsiaTheme="majorEastAsia" w:hAnsiTheme="majorHAnsi" w:cstheme="majorBidi"/>
      <w:b/>
      <w:bCs/>
      <w:color w:val="4F81BD" w:themeColor="accent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3CE6"/>
    <w:rPr>
      <w:rFonts w:asciiTheme="majorHAnsi" w:eastAsiaTheme="majorEastAsia" w:hAnsiTheme="majorHAnsi" w:cstheme="majorBidi"/>
      <w:b/>
      <w:bCs/>
      <w:color w:val="365F91" w:themeColor="accent1" w:themeShade="BF"/>
      <w:sz w:val="28"/>
      <w:szCs w:val="25"/>
    </w:rPr>
  </w:style>
  <w:style w:type="character" w:customStyle="1" w:styleId="Heading2Char">
    <w:name w:val="Heading 2 Char"/>
    <w:basedOn w:val="DefaultParagraphFont"/>
    <w:link w:val="Heading2"/>
    <w:uiPriority w:val="9"/>
    <w:rsid w:val="00F94D0D"/>
    <w:rPr>
      <w:rFonts w:asciiTheme="majorHAnsi" w:eastAsiaTheme="majorEastAsia" w:hAnsiTheme="majorHAnsi" w:cstheme="majorBidi"/>
      <w:b/>
      <w:bCs/>
      <w:color w:val="4F81BD" w:themeColor="accent1"/>
      <w:sz w:val="26"/>
      <w:szCs w:val="23"/>
    </w:rPr>
  </w:style>
  <w:style w:type="paragraph" w:styleId="BalloonText">
    <w:name w:val="Balloon Text"/>
    <w:basedOn w:val="Normal"/>
    <w:link w:val="BalloonTextChar"/>
    <w:uiPriority w:val="99"/>
    <w:semiHidden/>
    <w:unhideWhenUsed/>
    <w:rsid w:val="00A60C70"/>
    <w:pPr>
      <w:spacing w:before="0"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A60C70"/>
    <w:rPr>
      <w:rFonts w:ascii="Tahoma" w:hAnsi="Tahoma" w:cs="Mangal"/>
      <w:sz w:val="16"/>
      <w:szCs w:val="14"/>
    </w:rPr>
  </w:style>
  <w:style w:type="character" w:customStyle="1" w:styleId="Heading3Char">
    <w:name w:val="Heading 3 Char"/>
    <w:basedOn w:val="DefaultParagraphFont"/>
    <w:link w:val="Heading3"/>
    <w:uiPriority w:val="9"/>
    <w:rsid w:val="00A175C8"/>
    <w:rPr>
      <w:rFonts w:asciiTheme="majorHAnsi" w:eastAsiaTheme="majorEastAsia" w:hAnsiTheme="majorHAnsi" w:cstheme="majorBidi"/>
      <w:b/>
      <w:bCs/>
      <w:color w:val="4F81BD" w:themeColor="accent1"/>
      <w:szCs w:val="21"/>
    </w:rPr>
  </w:style>
  <w:style w:type="paragraph" w:styleId="ListParagraph">
    <w:name w:val="List Paragraph"/>
    <w:basedOn w:val="Normal"/>
    <w:uiPriority w:val="34"/>
    <w:qFormat/>
    <w:rsid w:val="00BF6CD9"/>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399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13</Pages>
  <Words>2917</Words>
  <Characters>16630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jang bogo</dc:creator>
  <cp:lastModifiedBy>mihai anghel cristea</cp:lastModifiedBy>
  <cp:revision>30</cp:revision>
  <dcterms:created xsi:type="dcterms:W3CDTF">2020-07-02T14:53:00Z</dcterms:created>
  <dcterms:modified xsi:type="dcterms:W3CDTF">2020-07-04T20:45:00Z</dcterms:modified>
</cp:coreProperties>
</file>