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9BF9E1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95A78">
              <w:rPr>
                <w:rFonts w:ascii="Times New Roman" w:hAnsi="Times New Roman" w:cs="Times New Roman"/>
                <w:b/>
                <w:color w:val="auto"/>
                <w:sz w:val="48"/>
              </w:rPr>
              <w:t>Stephanie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A85768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95A78">
              <w:rPr>
                <w:rFonts w:ascii="Times New Roman" w:hAnsi="Times New Roman" w:cs="Times New Roman"/>
                <w:b/>
                <w:color w:val="auto"/>
                <w:sz w:val="48"/>
              </w:rPr>
              <w:t xml:space="preserve"> s.grace90@hotmail.co.uk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8DD1B2D" w:rsidR="0085230E" w:rsidRDefault="00195A7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2520109</w:t>
            </w:r>
          </w:p>
          <w:p w14:paraId="2BDF0C93" w14:textId="77777777" w:rsidR="00195A78" w:rsidRPr="005D3F07" w:rsidRDefault="00195A78"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D68DA91" w14:textId="26F2385F" w:rsidR="00D3203C" w:rsidRDefault="00E83F91" w:rsidP="00195A78">
      <w:pPr>
        <w:jc w:val="center"/>
        <w:rPr>
          <w:b/>
          <w:sz w:val="24"/>
          <w:szCs w:val="24"/>
        </w:rPr>
      </w:pPr>
      <w:r>
        <w:rPr>
          <w:b/>
          <w:sz w:val="24"/>
          <w:szCs w:val="24"/>
        </w:rPr>
        <w:br w:type="page"/>
      </w: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8FBCD07" w14:textId="77777777" w:rsidR="000B43C9" w:rsidRDefault="000B43C9" w:rsidP="000B43C9">
            <w:pPr>
              <w:spacing w:line="360" w:lineRule="auto"/>
              <w:jc w:val="both"/>
              <w:rPr>
                <w:b/>
                <w:bCs/>
                <w:iCs/>
                <w:sz w:val="24"/>
                <w:szCs w:val="24"/>
              </w:rPr>
            </w:pPr>
            <w:r w:rsidRPr="000B43C9">
              <w:rPr>
                <w:b/>
                <w:bCs/>
                <w:iCs/>
                <w:sz w:val="24"/>
                <w:szCs w:val="24"/>
              </w:rPr>
              <w:t>Safeguarding Adolescents in Complex Family Systems: A Reflective Account of Practice within a Children Looked After Team in Wales</w:t>
            </w:r>
          </w:p>
          <w:p w14:paraId="5CF7245A" w14:textId="77777777" w:rsidR="000B43C9" w:rsidRPr="000B43C9" w:rsidRDefault="000B43C9" w:rsidP="000B43C9">
            <w:pPr>
              <w:spacing w:line="360" w:lineRule="auto"/>
              <w:jc w:val="both"/>
              <w:rPr>
                <w:b/>
                <w:bCs/>
                <w:iCs/>
                <w:sz w:val="24"/>
                <w:szCs w:val="24"/>
              </w:rPr>
            </w:pPr>
          </w:p>
          <w:p w14:paraId="0EF543E3" w14:textId="77777777" w:rsidR="000B43C9" w:rsidRPr="000B43C9" w:rsidRDefault="000B43C9" w:rsidP="000B43C9">
            <w:pPr>
              <w:spacing w:line="360" w:lineRule="auto"/>
              <w:jc w:val="both"/>
              <w:rPr>
                <w:b/>
                <w:bCs/>
                <w:iCs/>
                <w:sz w:val="24"/>
                <w:szCs w:val="24"/>
              </w:rPr>
            </w:pPr>
            <w:r w:rsidRPr="000B43C9">
              <w:rPr>
                <w:b/>
                <w:bCs/>
                <w:iCs/>
                <w:sz w:val="24"/>
                <w:szCs w:val="24"/>
              </w:rPr>
              <w:t>Introduction and Context</w:t>
            </w:r>
          </w:p>
          <w:p w14:paraId="723A13BC" w14:textId="77777777" w:rsidR="000B43C9" w:rsidRPr="000B43C9" w:rsidRDefault="000B43C9" w:rsidP="000B43C9">
            <w:pPr>
              <w:spacing w:line="360" w:lineRule="auto"/>
              <w:jc w:val="both"/>
              <w:rPr>
                <w:iCs/>
                <w:sz w:val="24"/>
                <w:szCs w:val="24"/>
              </w:rPr>
            </w:pPr>
            <w:r w:rsidRPr="000B43C9">
              <w:rPr>
                <w:iCs/>
                <w:sz w:val="24"/>
                <w:szCs w:val="24"/>
              </w:rPr>
              <w:t>Working within a Children Looked After (CLA) team in Wales, I was allocated a case that presented a particularly complex set of challenges requiring careful navigation of safeguarding, adolescent development, family dynamics, and substance misuse. The young person I supported was sixteen years old, exhibiting significant emotional dysregulation, engaging in self-harming behaviours, and using ketamine at levels indicative of dependency. These complexities were compounded by her mother’s recent custodial sentence following threatening behaviour toward professionals, prior child removals, and ongoing mental health and substance misuse concerns. At the time of my involvement, multi-agency assessments had identified the mother as high risk, and previous social worker relationships had broken down.</w:t>
            </w:r>
          </w:p>
          <w:p w14:paraId="3913FCF2" w14:textId="77777777" w:rsidR="000B43C9" w:rsidRPr="000B43C9" w:rsidRDefault="000B43C9" w:rsidP="000B43C9">
            <w:pPr>
              <w:spacing w:line="360" w:lineRule="auto"/>
              <w:jc w:val="both"/>
              <w:rPr>
                <w:iCs/>
                <w:sz w:val="24"/>
                <w:szCs w:val="24"/>
              </w:rPr>
            </w:pPr>
            <w:r w:rsidRPr="000B43C9">
              <w:rPr>
                <w:iCs/>
                <w:sz w:val="24"/>
                <w:szCs w:val="24"/>
              </w:rPr>
              <w:t xml:space="preserve">At the time of my involvement, the young person was already subject to a full care order under section 31 of the Children Act 1989, following earlier child protection concerns and care </w:t>
            </w:r>
            <w:r w:rsidRPr="000B43C9">
              <w:rPr>
                <w:iCs/>
                <w:sz w:val="24"/>
                <w:szCs w:val="24"/>
              </w:rPr>
              <w:lastRenderedPageBreak/>
              <w:t>proceedings. The local authority therefore shared parental responsibility, and my role was to respond to the safeguarding risks that continued to develop while she was looked after. This included reviewing her safety, placement arrangements and family relationships, while making sure her wishes and feelings remained part of the planning.</w:t>
            </w:r>
          </w:p>
          <w:p w14:paraId="4EDBAE40" w14:textId="77777777" w:rsidR="000B43C9" w:rsidRPr="000B43C9" w:rsidRDefault="000B43C9" w:rsidP="000B43C9">
            <w:pPr>
              <w:spacing w:line="360" w:lineRule="auto"/>
              <w:jc w:val="both"/>
              <w:rPr>
                <w:iCs/>
                <w:sz w:val="24"/>
                <w:szCs w:val="24"/>
              </w:rPr>
            </w:pPr>
            <w:r w:rsidRPr="000B43C9">
              <w:rPr>
                <w:iCs/>
                <w:sz w:val="24"/>
                <w:szCs w:val="24"/>
              </w:rPr>
              <w:t>My professional responsibilities therefore required me to operate within the legal frameworks of Parts 6 and 9 of the Social Services and Well-being (Wales) Act 2014 (SSWBA), alongside the ethical and practice standards set out in the Social Care Wales Code of Professional Practice (2017) (COPP). Part 6 of the SSWBA places duties on local authorities as corporate parents to safeguard and promote the well-being of children looked after, including emotional, educational, physical, and social well-being. Part 9 emphasises partnership working and inter-agency cooperation in safeguarding children and young people.</w:t>
            </w:r>
          </w:p>
          <w:p w14:paraId="5CB89B06" w14:textId="77777777" w:rsidR="000B43C9" w:rsidRPr="000B43C9" w:rsidRDefault="000B43C9" w:rsidP="000B43C9">
            <w:pPr>
              <w:spacing w:line="360" w:lineRule="auto"/>
              <w:jc w:val="both"/>
              <w:rPr>
                <w:iCs/>
                <w:sz w:val="24"/>
                <w:szCs w:val="24"/>
              </w:rPr>
            </w:pPr>
            <w:r w:rsidRPr="000B43C9">
              <w:rPr>
                <w:iCs/>
                <w:sz w:val="24"/>
                <w:szCs w:val="24"/>
              </w:rPr>
              <w:t>I also considered the Well-being of Future Generations (Wales) Act 2015, which promotes prevention and joint working, and the United Nations Convention on the Rights of the Child (1989), particularly her right to be heard and protected. These helped me think about how to respect her wishes while still acting when I believed she was unsafe.</w:t>
            </w:r>
          </w:p>
          <w:p w14:paraId="312023DA" w14:textId="77777777" w:rsidR="000B43C9" w:rsidRPr="000B43C9" w:rsidRDefault="000B43C9" w:rsidP="000B43C9">
            <w:pPr>
              <w:spacing w:line="360" w:lineRule="auto"/>
              <w:jc w:val="both"/>
              <w:rPr>
                <w:iCs/>
                <w:sz w:val="24"/>
                <w:szCs w:val="24"/>
              </w:rPr>
            </w:pPr>
            <w:r w:rsidRPr="000B43C9">
              <w:rPr>
                <w:iCs/>
                <w:sz w:val="24"/>
                <w:szCs w:val="24"/>
              </w:rPr>
              <w:t>The case highlighted the realities of safeguarding adolescents within complex family systems. While legislative frameworks establish statutory responsibilities, practice within the CLA context often involves navigating tensions between autonomy, protection, and relationship-building. This was particularly evident throughout my work with the young person, whose presentation required focus on the interaction between trauma, emotional dysregulation, family instability, and substance misuse.</w:t>
            </w:r>
          </w:p>
          <w:p w14:paraId="390C2089" w14:textId="77777777" w:rsidR="000B43C9" w:rsidRPr="000B43C9" w:rsidRDefault="000B43C9" w:rsidP="000B43C9">
            <w:pPr>
              <w:spacing w:line="360" w:lineRule="auto"/>
              <w:jc w:val="both"/>
              <w:rPr>
                <w:iCs/>
                <w:sz w:val="24"/>
                <w:szCs w:val="24"/>
              </w:rPr>
            </w:pPr>
            <w:r w:rsidRPr="000B43C9">
              <w:rPr>
                <w:iCs/>
                <w:sz w:val="24"/>
                <w:szCs w:val="24"/>
              </w:rPr>
              <w:t>Research suggests that adolescents who experience trauma, instability, and disrupted attachments are significantly more vulnerable to substance misuse, self-harm, and emotional dysregulation (McPherson et al., 2023; Petrillo, 2021). Trauma-informed perspectives suggest these behaviours may operate as coping mechanisms rather than simply deliberate risk-taking behaviours (Sweeney et al., 2018). This reinforced the need for interventions that were not only risk-focused, but also relationship-based and trauma-informed.</w:t>
            </w:r>
          </w:p>
          <w:p w14:paraId="21490668" w14:textId="77777777" w:rsidR="000B43C9" w:rsidRPr="000B43C9" w:rsidRDefault="000B43C9" w:rsidP="000B43C9">
            <w:pPr>
              <w:spacing w:line="360" w:lineRule="auto"/>
              <w:jc w:val="both"/>
              <w:rPr>
                <w:iCs/>
                <w:sz w:val="24"/>
                <w:szCs w:val="24"/>
              </w:rPr>
            </w:pPr>
            <w:r w:rsidRPr="000B43C9">
              <w:rPr>
                <w:iCs/>
                <w:sz w:val="24"/>
                <w:szCs w:val="24"/>
              </w:rPr>
              <w:t xml:space="preserve">Her ketamine use was not happening in isolation. I was concerned about how easily she could access drugs locally, the influence of peers and the limited support she was willing to accept. National data shows that ketamine use is a concern among young people (ONS, 2023), but I </w:t>
            </w:r>
            <w:r w:rsidRPr="000B43C9">
              <w:rPr>
                <w:iCs/>
                <w:sz w:val="24"/>
                <w:szCs w:val="24"/>
              </w:rPr>
              <w:lastRenderedPageBreak/>
              <w:t>needed to understand the particular risks in her life rather than assume statistics explained her circumstances.</w:t>
            </w:r>
          </w:p>
          <w:p w14:paraId="09878712" w14:textId="77777777" w:rsidR="000B43C9" w:rsidRPr="000B43C9" w:rsidRDefault="000B43C9" w:rsidP="000B43C9">
            <w:pPr>
              <w:spacing w:line="360" w:lineRule="auto"/>
              <w:jc w:val="both"/>
              <w:rPr>
                <w:iCs/>
                <w:sz w:val="24"/>
                <w:szCs w:val="24"/>
              </w:rPr>
            </w:pPr>
            <w:r w:rsidRPr="000B43C9">
              <w:rPr>
                <w:iCs/>
                <w:sz w:val="24"/>
                <w:szCs w:val="24"/>
              </w:rPr>
              <w:t>Adolescence also affected how I understood risk. Blakemore (2018) explains how decision-making and emotional regulation continue developing during adolescence. I kept this in mind when the young person acted impulsively or struggled to manage her emotions, while recognising that her views still mattered.</w:t>
            </w:r>
          </w:p>
          <w:p w14:paraId="2F55755D" w14:textId="77777777" w:rsidR="000B43C9" w:rsidRDefault="000B43C9" w:rsidP="000B43C9">
            <w:pPr>
              <w:spacing w:line="360" w:lineRule="auto"/>
              <w:jc w:val="both"/>
              <w:rPr>
                <w:iCs/>
                <w:sz w:val="24"/>
                <w:szCs w:val="24"/>
              </w:rPr>
            </w:pPr>
            <w:r w:rsidRPr="000B43C9">
              <w:rPr>
                <w:iCs/>
                <w:sz w:val="24"/>
                <w:szCs w:val="24"/>
              </w:rPr>
              <w:t>This assignment critically reflects upon my involvement within this case, analysing how legislation, theory, professional judgement, safeguarding procedures, and relationship-based practice informed my assessment and intervention. It also considers the limitations of intervention, ethical dilemmas, and the realities of safeguarding adolescents within complex family systems.</w:t>
            </w:r>
          </w:p>
          <w:p w14:paraId="30D004FF" w14:textId="77777777" w:rsidR="000B43C9" w:rsidRPr="000B43C9" w:rsidRDefault="000B43C9" w:rsidP="000B43C9">
            <w:pPr>
              <w:spacing w:line="360" w:lineRule="auto"/>
              <w:jc w:val="both"/>
              <w:rPr>
                <w:iCs/>
                <w:sz w:val="24"/>
                <w:szCs w:val="24"/>
              </w:rPr>
            </w:pPr>
          </w:p>
          <w:p w14:paraId="7C84309F" w14:textId="77777777" w:rsidR="000B43C9" w:rsidRPr="000B43C9" w:rsidRDefault="000B43C9" w:rsidP="000B43C9">
            <w:pPr>
              <w:spacing w:line="360" w:lineRule="auto"/>
              <w:jc w:val="both"/>
              <w:rPr>
                <w:b/>
                <w:bCs/>
                <w:iCs/>
                <w:sz w:val="24"/>
                <w:szCs w:val="24"/>
              </w:rPr>
            </w:pPr>
            <w:r w:rsidRPr="000B43C9">
              <w:rPr>
                <w:b/>
                <w:bCs/>
                <w:iCs/>
                <w:sz w:val="24"/>
                <w:szCs w:val="24"/>
              </w:rPr>
              <w:t>Complexity of Family Dynamics and Risk Assessment</w:t>
            </w:r>
          </w:p>
          <w:p w14:paraId="764A3AAC" w14:textId="77777777" w:rsidR="000B43C9" w:rsidRPr="000B43C9" w:rsidRDefault="000B43C9" w:rsidP="000B43C9">
            <w:pPr>
              <w:spacing w:line="360" w:lineRule="auto"/>
              <w:jc w:val="both"/>
              <w:rPr>
                <w:iCs/>
                <w:sz w:val="24"/>
                <w:szCs w:val="24"/>
              </w:rPr>
            </w:pPr>
            <w:r w:rsidRPr="000B43C9">
              <w:rPr>
                <w:iCs/>
                <w:sz w:val="24"/>
                <w:szCs w:val="24"/>
              </w:rPr>
              <w:t>The young person’s family context was particularly challenging. Her mother had recently served a 28-day prison sentence, and multi-agency records identified her as high risk to professionals. The mother had a history of mental health difficulties, substance misuse, and aggressive behaviour toward previous social workers, which had contributed to the breakdown of professional relationships and previous child removals. These factors created a high-stakes context in which professional safety, relational engagement, and child well-being were deeply interconnected. The Wales Safeguarding Procedures (2020) emphasise that safeguarding assessments must consider both immediate and cumulative risk factors, including parental mental health, substance misuse, domestic instability, and previous child protection history.</w:t>
            </w:r>
          </w:p>
          <w:p w14:paraId="18B9BC84" w14:textId="77777777" w:rsidR="000B43C9" w:rsidRPr="000B43C9" w:rsidRDefault="000B43C9" w:rsidP="000B43C9">
            <w:pPr>
              <w:spacing w:line="360" w:lineRule="auto"/>
              <w:jc w:val="both"/>
              <w:rPr>
                <w:iCs/>
                <w:sz w:val="24"/>
                <w:szCs w:val="24"/>
              </w:rPr>
            </w:pPr>
            <w:r w:rsidRPr="000B43C9">
              <w:rPr>
                <w:iCs/>
                <w:sz w:val="24"/>
                <w:szCs w:val="24"/>
              </w:rPr>
              <w:t>In line with Part 9 of the SSWBA, I worked alongside probation, police, and health services to ensure coordinated safeguarding and risk management when planning family time following the mother’s release. During a prison visit, I prioritised relational engagement by asking what mattered to her and what outcomes she hoped to achieve following her sentence. She spoke primarily about her children and the welfare of her dogs, both of which represented important attachments and sources of emotional stability.</w:t>
            </w:r>
          </w:p>
          <w:p w14:paraId="2881DA50" w14:textId="77777777" w:rsidR="000B43C9" w:rsidRPr="000B43C9" w:rsidRDefault="000B43C9" w:rsidP="000B43C9">
            <w:pPr>
              <w:spacing w:line="360" w:lineRule="auto"/>
              <w:jc w:val="both"/>
              <w:rPr>
                <w:iCs/>
                <w:sz w:val="24"/>
                <w:szCs w:val="24"/>
              </w:rPr>
            </w:pPr>
            <w:r w:rsidRPr="000B43C9">
              <w:rPr>
                <w:iCs/>
                <w:sz w:val="24"/>
                <w:szCs w:val="24"/>
              </w:rPr>
              <w:t xml:space="preserve">Attachment theory highlights that emotional bonds, including attachments to pets, can provide continuity, security, and identity during periods of disruption and trauma (Howe, 2018). By </w:t>
            </w:r>
            <w:r w:rsidRPr="000B43C9">
              <w:rPr>
                <w:iCs/>
                <w:sz w:val="24"/>
                <w:szCs w:val="24"/>
              </w:rPr>
              <w:lastRenderedPageBreak/>
              <w:t>arranging practical support for the dogs, involving the older sibling in maintaining aspects of the household, and ensuring the mother’s belongings remained secure, I adopted a strengths-based and trauma-informed approach that acknowledged family identity while continuing to assess safeguarding concerns.</w:t>
            </w:r>
          </w:p>
          <w:p w14:paraId="18A0F80C" w14:textId="77777777" w:rsidR="000B43C9" w:rsidRPr="000B43C9" w:rsidRDefault="000B43C9" w:rsidP="000B43C9">
            <w:pPr>
              <w:spacing w:line="360" w:lineRule="auto"/>
              <w:jc w:val="both"/>
              <w:rPr>
                <w:iCs/>
                <w:sz w:val="24"/>
                <w:szCs w:val="24"/>
              </w:rPr>
            </w:pPr>
            <w:r w:rsidRPr="000B43C9">
              <w:rPr>
                <w:iCs/>
                <w:sz w:val="24"/>
                <w:szCs w:val="24"/>
              </w:rPr>
              <w:t>Although these interventions may initially appear small, they were strategically important in reducing hostility, building trust, promoting engagement, and enabling observation of family dynamics. Systems theory suggests that social workers are not detached observers, but become part of the systems they intervene within (Payne, 2020). Similarly, the Camden Model of Social Work emphasises the importance of relationship-based and systemic practice, recognising that professional interactions influence family functioning and outcomes (Forrester et al., 2020). Over a period of weeks, this relational engagement contributed to a reduction in the mother’s assessed risk from high to medium, enabling supervised access to council buildings and more constructive engagement with professionals. Relationship-based practice has been linked with improved cooperation and reduced resistance within safeguarding contexts (Ingram and Smith, 2018; Forrester et al., 2019), and this was reflected within the case.</w:t>
            </w:r>
          </w:p>
          <w:p w14:paraId="725894AF" w14:textId="77777777" w:rsidR="000B43C9" w:rsidRPr="000B43C9" w:rsidRDefault="000B43C9" w:rsidP="000B43C9">
            <w:pPr>
              <w:spacing w:line="360" w:lineRule="auto"/>
              <w:jc w:val="both"/>
              <w:rPr>
                <w:iCs/>
                <w:sz w:val="24"/>
                <w:szCs w:val="24"/>
              </w:rPr>
            </w:pPr>
            <w:r w:rsidRPr="000B43C9">
              <w:rPr>
                <w:iCs/>
                <w:sz w:val="24"/>
                <w:szCs w:val="24"/>
              </w:rPr>
              <w:t>This work also required defensible professional judgement. While the mother’s historical risks could not be ignored, it was equally important that assessment remained dynamic rather than solely historical. The Wales Safeguarding Procedures (2020) emphasise the importance of evidence-informed assessment and ongoing review of risk. Through consistent engagement, observation, and multi-agency information sharing, I was able to identify gradual reductions in hostility and increased cooperation with professionals. This highlighted the importance of balancing historical concerns with current presentation, recognising that risk can fluctuate over time rather than remain static.</w:t>
            </w:r>
          </w:p>
          <w:p w14:paraId="4B4D03D8" w14:textId="77777777" w:rsidR="000B43C9" w:rsidRDefault="000B43C9" w:rsidP="000B43C9">
            <w:pPr>
              <w:spacing w:line="360" w:lineRule="auto"/>
              <w:jc w:val="both"/>
              <w:rPr>
                <w:iCs/>
                <w:sz w:val="24"/>
                <w:szCs w:val="24"/>
              </w:rPr>
            </w:pPr>
            <w:r w:rsidRPr="000B43C9">
              <w:rPr>
                <w:iCs/>
                <w:sz w:val="24"/>
                <w:szCs w:val="24"/>
              </w:rPr>
              <w:t>At times, this created professional anxiety, particularly given the mother’s previous aggression toward professionals. Looking back, I recognised the importance of not allowing organisational fear or defensive practice to override balanced assessment. Munro (2011) argues that overly risk-averse practice can reduce meaningful engagement with families and limit opportunities for positive change. This was particularly relevant in this case, where relationship-based practice became an important protective factor.</w:t>
            </w:r>
          </w:p>
          <w:p w14:paraId="3C3AD89E" w14:textId="77777777" w:rsidR="0071130E" w:rsidRPr="000B43C9" w:rsidRDefault="0071130E" w:rsidP="000B43C9">
            <w:pPr>
              <w:spacing w:line="360" w:lineRule="auto"/>
              <w:jc w:val="both"/>
              <w:rPr>
                <w:iCs/>
                <w:sz w:val="24"/>
                <w:szCs w:val="24"/>
              </w:rPr>
            </w:pPr>
          </w:p>
          <w:p w14:paraId="6499627D" w14:textId="3894EBAF" w:rsidR="000B43C9" w:rsidRPr="0071130E" w:rsidRDefault="000B43C9" w:rsidP="000B43C9">
            <w:pPr>
              <w:spacing w:line="360" w:lineRule="auto"/>
              <w:jc w:val="both"/>
              <w:rPr>
                <w:b/>
                <w:bCs/>
                <w:iCs/>
                <w:sz w:val="24"/>
                <w:szCs w:val="24"/>
              </w:rPr>
            </w:pPr>
            <w:r w:rsidRPr="0071130E">
              <w:rPr>
                <w:b/>
                <w:bCs/>
                <w:iCs/>
                <w:sz w:val="24"/>
                <w:szCs w:val="24"/>
              </w:rPr>
              <w:lastRenderedPageBreak/>
              <w:t>Safeguarding Adolescents</w:t>
            </w:r>
          </w:p>
          <w:p w14:paraId="6B643A43" w14:textId="77777777" w:rsidR="000B43C9" w:rsidRPr="000B43C9" w:rsidRDefault="000B43C9" w:rsidP="000B43C9">
            <w:pPr>
              <w:spacing w:line="360" w:lineRule="auto"/>
              <w:jc w:val="both"/>
              <w:rPr>
                <w:iCs/>
                <w:sz w:val="24"/>
                <w:szCs w:val="24"/>
              </w:rPr>
            </w:pPr>
            <w:r w:rsidRPr="000B43C9">
              <w:rPr>
                <w:iCs/>
                <w:sz w:val="24"/>
                <w:szCs w:val="24"/>
              </w:rPr>
              <w:t xml:space="preserve">While relational approaches facilitated engagement with the mother, the young person’s ongoing ketamine use and refusal to attend health appointments remained significant concerns. Despite repeated encouragement and discussion, she declined to see her GP or access sexual health services, leaving potential physical health complications such as ketamine-induced bladder damage unaddressed (Morgan et al., 2022). </w:t>
            </w:r>
          </w:p>
          <w:p w14:paraId="7F1C08E8" w14:textId="77777777" w:rsidR="000B43C9" w:rsidRPr="000B43C9" w:rsidRDefault="000B43C9" w:rsidP="000B43C9">
            <w:pPr>
              <w:spacing w:line="360" w:lineRule="auto"/>
              <w:jc w:val="both"/>
              <w:rPr>
                <w:iCs/>
                <w:sz w:val="24"/>
                <w:szCs w:val="24"/>
              </w:rPr>
            </w:pPr>
            <w:r w:rsidRPr="000B43C9">
              <w:rPr>
                <w:iCs/>
                <w:sz w:val="24"/>
                <w:szCs w:val="24"/>
              </w:rPr>
              <w:t>The young person’s refusal to engage with health services raised important questions regarding adolescent autonomy and safeguarding. At sixteen, she was able to make certain decisions independently; however, these decisions were occurring within the context of trauma, emotional dysregulation, and substance misuse. This created an ethical tension between respecting her autonomy and fulfilling safeguarding responsibilities. Banks (2021) highlights that social workers frequently operate within situations where there is no perfect resolution, requiring practitioners to balance competing rights, risks, and responsibilities. In practice, this meant maintaining engagement and monitoring risk while recognising that coercive intervention may have damaged trust and reduced future opportunities for support.</w:t>
            </w:r>
          </w:p>
          <w:p w14:paraId="718EB420" w14:textId="77777777" w:rsidR="000B43C9" w:rsidRPr="000B43C9" w:rsidRDefault="000B43C9" w:rsidP="000B43C9">
            <w:pPr>
              <w:spacing w:line="360" w:lineRule="auto"/>
              <w:jc w:val="both"/>
              <w:rPr>
                <w:iCs/>
                <w:sz w:val="24"/>
                <w:szCs w:val="24"/>
              </w:rPr>
            </w:pPr>
            <w:r w:rsidRPr="000B43C9">
              <w:rPr>
                <w:iCs/>
                <w:sz w:val="24"/>
                <w:szCs w:val="24"/>
              </w:rPr>
              <w:t>In practice, I continued to offer opportunities to discuss her health rather than treating refusal as the end of the conversation. I sought advice from health colleagues and considered how to explain the risks of ketamine in a way she could understand without frightening or judging her. I also had to distinguish an unwise decision from a lack of capacity. At sixteen, capacity needed to be considered for the particular decision under the Mental Capacity Act 2005, rather than assumed from her substance use or the risks involved. This made me more aware of the importance of recording both her views and the reasons for my response.</w:t>
            </w:r>
          </w:p>
          <w:p w14:paraId="0AA1159B" w14:textId="77777777" w:rsidR="000B43C9" w:rsidRPr="000B43C9" w:rsidRDefault="000B43C9" w:rsidP="000B43C9">
            <w:pPr>
              <w:spacing w:line="360" w:lineRule="auto"/>
              <w:jc w:val="both"/>
              <w:rPr>
                <w:iCs/>
                <w:sz w:val="24"/>
                <w:szCs w:val="24"/>
              </w:rPr>
            </w:pPr>
            <w:r w:rsidRPr="000B43C9">
              <w:rPr>
                <w:iCs/>
                <w:sz w:val="24"/>
                <w:szCs w:val="24"/>
              </w:rPr>
              <w:t xml:space="preserve">Trauma-informed theory and attachment perspectives were particularly useful in understanding the behaviours of both the young person and her mother, as they shifted the focus from “what is wrong” to “what has happened”. This helped me remain curious rather than punitive when assessing risk and engagement. Trauma-informed practice emphasises safety, trustworthiness, collaboration, choice, and empowerment (Sweeney et al., 2018). Maintaining these principles was important in reducing professional defensiveness and promoting cooperation, particularly given the family’s previous experiences with statutory services. Research into adolescent safeguarding suggests that punitive or compliance-focused approaches can increase disengagement in trauma-exposed young people (Lefevre, </w:t>
            </w:r>
            <w:r w:rsidRPr="000B43C9">
              <w:rPr>
                <w:iCs/>
                <w:sz w:val="24"/>
                <w:szCs w:val="24"/>
              </w:rPr>
              <w:lastRenderedPageBreak/>
              <w:t>2020). Reflecting on this critically, I recognised that maintaining a trusting professional relationship was a safeguarding intervention in itself, even where immediate behavioural change was limited.</w:t>
            </w:r>
          </w:p>
          <w:p w14:paraId="60C69706" w14:textId="77777777" w:rsidR="000B43C9" w:rsidRPr="000B43C9" w:rsidRDefault="000B43C9" w:rsidP="000B43C9">
            <w:pPr>
              <w:spacing w:line="360" w:lineRule="auto"/>
              <w:jc w:val="both"/>
              <w:rPr>
                <w:iCs/>
                <w:sz w:val="24"/>
                <w:szCs w:val="24"/>
              </w:rPr>
            </w:pPr>
            <w:r w:rsidRPr="000B43C9">
              <w:rPr>
                <w:iCs/>
                <w:sz w:val="24"/>
                <w:szCs w:val="24"/>
              </w:rPr>
              <w:t>I did not think a sanctions-led approach would help. She already mistrusted professionals, and I worried that insisting on compliance would lead to further disengagement. Trauma-informed practice encouraged me to remain calm, explain my concerns and offer choices where possible (Sweeney et al., 2018). However, I also had to be clear when her safety required action, even if she did not agree.</w:t>
            </w:r>
          </w:p>
          <w:p w14:paraId="3D9CB877" w14:textId="77777777" w:rsidR="000B43C9" w:rsidRDefault="000B43C9" w:rsidP="000B43C9">
            <w:pPr>
              <w:spacing w:line="360" w:lineRule="auto"/>
              <w:jc w:val="both"/>
              <w:rPr>
                <w:iCs/>
                <w:sz w:val="24"/>
                <w:szCs w:val="24"/>
              </w:rPr>
            </w:pPr>
            <w:r w:rsidRPr="000B43C9">
              <w:rPr>
                <w:iCs/>
                <w:sz w:val="24"/>
                <w:szCs w:val="24"/>
              </w:rPr>
              <w:t>Despite this, the young person’s continued refusal to engage with health services demonstrated the limitations of relationship-based interventions. While trust and engagement improved in some areas, unresolved physical health risks remained. This reinforced the reality that safeguarding adolescents is often an ongoing process of risk reduction rather than complete risk elimination. Working Together to Safeguard People (2022) highlights that safeguarding adolescents often requires ongoing assessment, relationship-building, and coordinated intervention rather than single-event crisis responses.</w:t>
            </w:r>
          </w:p>
          <w:p w14:paraId="66FBC509" w14:textId="77777777" w:rsidR="006D7ABE" w:rsidRPr="000B43C9" w:rsidRDefault="006D7ABE" w:rsidP="000B43C9">
            <w:pPr>
              <w:spacing w:line="360" w:lineRule="auto"/>
              <w:jc w:val="both"/>
              <w:rPr>
                <w:iCs/>
                <w:sz w:val="24"/>
                <w:szCs w:val="24"/>
              </w:rPr>
            </w:pPr>
          </w:p>
          <w:p w14:paraId="405D8DAA" w14:textId="77777777" w:rsidR="000B43C9" w:rsidRPr="006D7ABE" w:rsidRDefault="000B43C9" w:rsidP="000B43C9">
            <w:pPr>
              <w:spacing w:line="360" w:lineRule="auto"/>
              <w:jc w:val="both"/>
              <w:rPr>
                <w:b/>
                <w:bCs/>
                <w:iCs/>
                <w:sz w:val="24"/>
                <w:szCs w:val="24"/>
              </w:rPr>
            </w:pPr>
            <w:r w:rsidRPr="006D7ABE">
              <w:rPr>
                <w:b/>
                <w:bCs/>
                <w:iCs/>
                <w:sz w:val="24"/>
                <w:szCs w:val="24"/>
              </w:rPr>
              <w:t>Adolescent Risk in Rural Contexts</w:t>
            </w:r>
          </w:p>
          <w:p w14:paraId="601083D4" w14:textId="2BD0E50D" w:rsidR="000B43C9" w:rsidRPr="000B43C9" w:rsidRDefault="000B43C9" w:rsidP="000B43C9">
            <w:pPr>
              <w:spacing w:line="360" w:lineRule="auto"/>
              <w:jc w:val="both"/>
              <w:rPr>
                <w:iCs/>
                <w:sz w:val="24"/>
                <w:szCs w:val="24"/>
              </w:rPr>
            </w:pPr>
            <w:r w:rsidRPr="000B43C9">
              <w:rPr>
                <w:iCs/>
                <w:sz w:val="24"/>
                <w:szCs w:val="24"/>
              </w:rPr>
              <w:t xml:space="preserve">Contextual Safeguarding theory proposes that adolescent harm often occurs outside the family home, within peer groups, schools, and community environments (Firmin, 2017). In smaller towns within </w:t>
            </w:r>
            <w:r w:rsidR="003639F3">
              <w:rPr>
                <w:iCs/>
                <w:sz w:val="24"/>
                <w:szCs w:val="24"/>
              </w:rPr>
              <w:t xml:space="preserve">this young person’s region of </w:t>
            </w:r>
            <w:r w:rsidRPr="000B43C9">
              <w:rPr>
                <w:iCs/>
                <w:sz w:val="24"/>
                <w:szCs w:val="24"/>
              </w:rPr>
              <w:t>Wales, peer networks and localised drug markets can normalise ketamine use, while limited youth provision reduces protective opportunities for young people. National and regional data emphasise the significance of this context. The 2023 ONS survey reported increasing ketamine use among young people, while Public Health Wales (2024) identified rising concerns regarding adolescent substance misuse in rural communities where access to services may be limited.</w:t>
            </w:r>
          </w:p>
          <w:p w14:paraId="749E4A62" w14:textId="77777777" w:rsidR="000B43C9" w:rsidRPr="000B43C9" w:rsidRDefault="000B43C9" w:rsidP="000B43C9">
            <w:pPr>
              <w:spacing w:line="360" w:lineRule="auto"/>
              <w:jc w:val="both"/>
              <w:rPr>
                <w:iCs/>
                <w:sz w:val="24"/>
                <w:szCs w:val="24"/>
              </w:rPr>
            </w:pPr>
            <w:r w:rsidRPr="000B43C9">
              <w:rPr>
                <w:iCs/>
                <w:sz w:val="24"/>
                <w:szCs w:val="24"/>
              </w:rPr>
              <w:t xml:space="preserve">The rural context also created barriers linked to transport, service accessibility, confidentiality, and stigma. In smaller communities, young people may fear being recognised when accessing substance misuse or sexual health support, which can further reduce engagement. Public Health Wales (2023) highlights that rural safeguarding often requires greater creativity and flexibility from practitioners due to limited local resources and reduced service availability. This also linked closely to the principles of the Well-being of Future Generations (Wales) Act 2015, </w:t>
            </w:r>
            <w:r w:rsidRPr="000B43C9">
              <w:rPr>
                <w:iCs/>
                <w:sz w:val="24"/>
                <w:szCs w:val="24"/>
              </w:rPr>
              <w:lastRenderedPageBreak/>
              <w:t>which promotes prevention and early intervention. However, reflecting critically, preventative approaches are difficult to achieve where services are overstretched or difficult to access. This demonstrated the tension between policy aspirations and the realities of frontline practice.</w:t>
            </w:r>
          </w:p>
          <w:p w14:paraId="779880CB" w14:textId="77777777" w:rsidR="000B43C9" w:rsidRPr="000B43C9" w:rsidRDefault="000B43C9" w:rsidP="000B43C9">
            <w:pPr>
              <w:spacing w:line="360" w:lineRule="auto"/>
              <w:jc w:val="both"/>
              <w:rPr>
                <w:iCs/>
                <w:sz w:val="24"/>
                <w:szCs w:val="24"/>
              </w:rPr>
            </w:pPr>
            <w:r w:rsidRPr="000B43C9">
              <w:rPr>
                <w:iCs/>
                <w:sz w:val="24"/>
                <w:szCs w:val="24"/>
              </w:rPr>
              <w:t>The availability of Welsh-funded support services did not necessarily guarantee engagement. Research suggests that adolescents experiencing trauma and substance misuse frequently demonstrate ambivalence toward intervention, particularly where trust in professionals has previously broken down (Lefevre, 2020; McPherson et al., 2023). Waiting lists, service thresholds, transport difficulties, and the young person’s ambivalence toward intervention all constrained the effectiveness of support. This showed me the importance of advocacy, persistence, and creative multi-agency working within safeguarding practice.</w:t>
            </w:r>
          </w:p>
          <w:p w14:paraId="3091DADE" w14:textId="77777777" w:rsidR="000B43C9" w:rsidRDefault="000B43C9" w:rsidP="000B43C9">
            <w:pPr>
              <w:spacing w:line="360" w:lineRule="auto"/>
              <w:jc w:val="both"/>
              <w:rPr>
                <w:iCs/>
                <w:sz w:val="24"/>
                <w:szCs w:val="24"/>
              </w:rPr>
            </w:pPr>
            <w:r w:rsidRPr="000B43C9">
              <w:rPr>
                <w:iCs/>
                <w:sz w:val="24"/>
                <w:szCs w:val="24"/>
              </w:rPr>
              <w:t>Bronfenbrenner's ecological systems theory (1979) helped me make sense of the different pressures around her, from family and peers to local services. I used this thinking when asking agencies to consider community risks as well as risks within her placement. Moving her away did not remove the relationships drawing her back.</w:t>
            </w:r>
          </w:p>
          <w:p w14:paraId="2CBCDDDC" w14:textId="77777777" w:rsidR="0071130E" w:rsidRPr="0071130E" w:rsidRDefault="0071130E" w:rsidP="000B43C9">
            <w:pPr>
              <w:spacing w:line="360" w:lineRule="auto"/>
              <w:jc w:val="both"/>
              <w:rPr>
                <w:b/>
                <w:bCs/>
                <w:iCs/>
                <w:sz w:val="24"/>
                <w:szCs w:val="24"/>
              </w:rPr>
            </w:pPr>
          </w:p>
          <w:p w14:paraId="66863882" w14:textId="77777777" w:rsidR="000B43C9" w:rsidRPr="0071130E" w:rsidRDefault="000B43C9" w:rsidP="000B43C9">
            <w:pPr>
              <w:spacing w:line="360" w:lineRule="auto"/>
              <w:jc w:val="both"/>
              <w:rPr>
                <w:b/>
                <w:bCs/>
                <w:iCs/>
                <w:sz w:val="24"/>
                <w:szCs w:val="24"/>
              </w:rPr>
            </w:pPr>
            <w:r w:rsidRPr="0071130E">
              <w:rPr>
                <w:b/>
                <w:bCs/>
                <w:iCs/>
                <w:sz w:val="24"/>
                <w:szCs w:val="24"/>
              </w:rPr>
              <w:t>Systems, Theory, and Critical Reflection on Practice</w:t>
            </w:r>
          </w:p>
          <w:p w14:paraId="4632C677" w14:textId="77777777" w:rsidR="000B43C9" w:rsidRPr="000B43C9" w:rsidRDefault="000B43C9" w:rsidP="000B43C9">
            <w:pPr>
              <w:spacing w:line="360" w:lineRule="auto"/>
              <w:jc w:val="both"/>
              <w:rPr>
                <w:iCs/>
                <w:sz w:val="24"/>
                <w:szCs w:val="24"/>
              </w:rPr>
            </w:pPr>
            <w:r w:rsidRPr="000B43C9">
              <w:rPr>
                <w:iCs/>
                <w:sz w:val="24"/>
                <w:szCs w:val="24"/>
              </w:rPr>
              <w:t>I found it helpful to look beyond the young person's behaviour and consider what was happening around her. Systems theory helped me think about the links between family, friends, professionals and the local community (Payne, 2020). Her ketamine use and missing episodes could not be separated from these relationships. This changed the questions I asked in meetings: not just how we could stop her going missing, but why she kept returning and what support might make a difference.</w:t>
            </w:r>
          </w:p>
          <w:p w14:paraId="24F4AB02" w14:textId="77777777" w:rsidR="000B43C9" w:rsidRPr="000B43C9" w:rsidRDefault="000B43C9" w:rsidP="000B43C9">
            <w:pPr>
              <w:spacing w:line="360" w:lineRule="auto"/>
              <w:jc w:val="both"/>
              <w:rPr>
                <w:iCs/>
                <w:sz w:val="24"/>
                <w:szCs w:val="24"/>
              </w:rPr>
            </w:pPr>
            <w:r w:rsidRPr="000B43C9">
              <w:rPr>
                <w:iCs/>
                <w:sz w:val="24"/>
                <w:szCs w:val="24"/>
              </w:rPr>
              <w:t xml:space="preserve">The Camden Model of Social Work provided a practical framework for using systemic and relationship-based practice within day-to-day intervention (Forrester et al., 2020). This model emphasises that social workers are part of the systems they seek to influence, rather than detached observers. In practice, this meant my interventions were intentionally relational. Visiting the mother in prison, facilitating care for her pets, supporting aspects of household stability, and maintaining consistent communication all functioned as opportunities for engagement and assessment. Critical reflection also required me to acknowledge the limitations of these approaches. Despite significant relational work, the young person </w:t>
            </w:r>
            <w:r w:rsidRPr="000B43C9">
              <w:rPr>
                <w:iCs/>
                <w:sz w:val="24"/>
                <w:szCs w:val="24"/>
              </w:rPr>
              <w:lastRenderedPageBreak/>
              <w:t>continued to refuse engagement with healthcare services. This highlighted the limitations of strengths-based and trauma-informed approaches when autonomy conflicts with safeguarding priorities.</w:t>
            </w:r>
          </w:p>
          <w:p w14:paraId="59513528" w14:textId="77777777" w:rsidR="000B43C9" w:rsidRPr="000B43C9" w:rsidRDefault="000B43C9" w:rsidP="000B43C9">
            <w:pPr>
              <w:spacing w:line="360" w:lineRule="auto"/>
              <w:jc w:val="both"/>
              <w:rPr>
                <w:iCs/>
                <w:sz w:val="24"/>
                <w:szCs w:val="24"/>
              </w:rPr>
            </w:pPr>
            <w:r w:rsidRPr="000B43C9">
              <w:rPr>
                <w:iCs/>
                <w:sz w:val="24"/>
                <w:szCs w:val="24"/>
              </w:rPr>
              <w:t>The case also reinforced the importance of reflective supervision in complex safeguarding work. Discussing the young person’s ongoing refusal to engage with healthcare services in supervision helped me critically reflect on whether my interventions remained proportionate, child-centred, and ethically defensible. Wilkins and Antonopoulou (2019) identify reflective supervision as essential in supporting professional judgement and reducing emotionally reactive decision-making in child and family social work. At times, I noticed feelings of frustration and helplessness when interventions did not lead to measurable behavioural change. Reflective supervision models emphasise the importance of emotional containment and critical reflection in safeguarding work involving chronic risk and uncertainty (Wilkins and Antonopoulou, 2019). Reflecting on this critically helped me recognise the risk of equating professional success solely with compliance or engagement. Instead, maintaining consistency, relational trust, and ongoing oversight were important outcomes in themselves.</w:t>
            </w:r>
          </w:p>
          <w:p w14:paraId="1B7119AC" w14:textId="77777777" w:rsidR="000B43C9" w:rsidRDefault="000B43C9" w:rsidP="000B43C9">
            <w:pPr>
              <w:spacing w:line="360" w:lineRule="auto"/>
              <w:jc w:val="both"/>
              <w:rPr>
                <w:iCs/>
                <w:sz w:val="24"/>
                <w:szCs w:val="24"/>
              </w:rPr>
            </w:pPr>
            <w:r w:rsidRPr="000B43C9">
              <w:rPr>
                <w:iCs/>
                <w:sz w:val="24"/>
                <w:szCs w:val="24"/>
              </w:rPr>
              <w:t>I also learned that relationship-based work has limits. I could keep offering support and building trust, but I could not make the young person accept treatment. High caseloads and placement shortages made this harder (Ruch et al., 2018). In supervision, I considered how to remain available without taking personal responsibility for every decision she made. This helped me keep professional boundaries while continuing to challenge whether our plans were making her safer.</w:t>
            </w:r>
          </w:p>
          <w:p w14:paraId="38BDAE3B" w14:textId="77777777" w:rsidR="0071130E" w:rsidRPr="000B43C9" w:rsidRDefault="0071130E" w:rsidP="000B43C9">
            <w:pPr>
              <w:spacing w:line="360" w:lineRule="auto"/>
              <w:jc w:val="both"/>
              <w:rPr>
                <w:iCs/>
                <w:sz w:val="24"/>
                <w:szCs w:val="24"/>
              </w:rPr>
            </w:pPr>
          </w:p>
          <w:p w14:paraId="5CF2A2AA" w14:textId="7E4061D8" w:rsidR="000B43C9" w:rsidRPr="0071130E" w:rsidRDefault="000B43C9" w:rsidP="000B43C9">
            <w:pPr>
              <w:spacing w:line="360" w:lineRule="auto"/>
              <w:jc w:val="both"/>
              <w:rPr>
                <w:b/>
                <w:bCs/>
                <w:iCs/>
                <w:sz w:val="24"/>
                <w:szCs w:val="24"/>
              </w:rPr>
            </w:pPr>
            <w:r w:rsidRPr="0071130E">
              <w:rPr>
                <w:b/>
                <w:bCs/>
                <w:iCs/>
                <w:sz w:val="24"/>
                <w:szCs w:val="24"/>
              </w:rPr>
              <w:t>Partnership</w:t>
            </w:r>
            <w:r w:rsidR="0071130E">
              <w:rPr>
                <w:b/>
                <w:bCs/>
                <w:iCs/>
                <w:sz w:val="24"/>
                <w:szCs w:val="24"/>
              </w:rPr>
              <w:t xml:space="preserve"> working</w:t>
            </w:r>
          </w:p>
          <w:p w14:paraId="63574306" w14:textId="77777777" w:rsidR="000B43C9" w:rsidRPr="000B43C9" w:rsidRDefault="000B43C9" w:rsidP="000B43C9">
            <w:pPr>
              <w:spacing w:line="360" w:lineRule="auto"/>
              <w:jc w:val="both"/>
              <w:rPr>
                <w:iCs/>
                <w:sz w:val="24"/>
                <w:szCs w:val="24"/>
              </w:rPr>
            </w:pPr>
            <w:r w:rsidRPr="000B43C9">
              <w:rPr>
                <w:iCs/>
                <w:sz w:val="24"/>
                <w:szCs w:val="24"/>
              </w:rPr>
              <w:t>Effective safeguarding within this case required robust multi-agency collaboration, reflecting the requirements of Part 9 of the SSWBA 2014. I worked alongside probation, police, CAMHS, substance misuse services, and youth support agencies to manage safeguarding concerns and coordinate interventions. Multi-agency collaboration was essential in managing risk, particularly as no single agency held a complete understanding of the young person’s presentation. Information sharing between probation, CAMHS, police, and substance misuse services enabled a more holistic assessment of both immediate and longer-term safeguarding concerns.</w:t>
            </w:r>
          </w:p>
          <w:p w14:paraId="25B33345" w14:textId="77777777" w:rsidR="000B43C9" w:rsidRPr="000B43C9" w:rsidRDefault="000B43C9" w:rsidP="000B43C9">
            <w:pPr>
              <w:spacing w:line="360" w:lineRule="auto"/>
              <w:jc w:val="both"/>
              <w:rPr>
                <w:iCs/>
                <w:sz w:val="24"/>
                <w:szCs w:val="24"/>
              </w:rPr>
            </w:pPr>
            <w:r w:rsidRPr="000B43C9">
              <w:rPr>
                <w:iCs/>
                <w:sz w:val="24"/>
                <w:szCs w:val="24"/>
              </w:rPr>
              <w:lastRenderedPageBreak/>
              <w:t>I chaired professionals' discussions when missing episodes and placement difficulties escalated. I completed return home interviews and used what she told me about family, peers and placement difficulties to review risk and raise questions in meetings. I also completed a child exploitation screening tool. I was concerned that its scoring gave too much weight to adult perpetrators and did not properly reflect risks from peers. Rather than relying on the score alone, I shared my concerns with other professionals and kept the wider context in the assessment. I worked with the placements team to look for local options because she repeatedly returned to the area, and I explored safer adults within the family network for contingency planning. This did not remove the risks, but it meant our response was based on what was actually happening rather than simply repeating the same placement plan.</w:t>
            </w:r>
          </w:p>
          <w:p w14:paraId="66C29BBB" w14:textId="77777777" w:rsidR="000B43C9" w:rsidRPr="000B43C9" w:rsidRDefault="000B43C9" w:rsidP="000B43C9">
            <w:pPr>
              <w:spacing w:line="360" w:lineRule="auto"/>
              <w:jc w:val="both"/>
              <w:rPr>
                <w:iCs/>
                <w:sz w:val="24"/>
                <w:szCs w:val="24"/>
              </w:rPr>
            </w:pPr>
            <w:r w:rsidRPr="000B43C9">
              <w:rPr>
                <w:iCs/>
                <w:sz w:val="24"/>
                <w:szCs w:val="24"/>
              </w:rPr>
              <w:t>Joint planning discussions regarding overnight stays with the mother following her release from prison required careful balancing of relational needs, risk assessment, and professional accountability. Overnight family time arrangements were continually reviewed through multi-agency discussion and ongoing assessment of risk. Partnership working was not without challenges. Different agencies held varying perspectives regarding risk, autonomy, and intervention thresholds. While some professionals prioritised the young person’s right to make independent choices, others focused more heavily upon the long-term health implications of ongoing ketamine use, or the mother’s criminality. These differing perspectives occasionally created tensions within planning discussions, highlighting the complexity of safeguarding adolescents who sit between childhood and adulthood.</w:t>
            </w:r>
          </w:p>
          <w:p w14:paraId="52DD4194" w14:textId="77777777" w:rsidR="000B43C9" w:rsidRDefault="000B43C9" w:rsidP="000B43C9">
            <w:pPr>
              <w:spacing w:line="360" w:lineRule="auto"/>
              <w:jc w:val="both"/>
              <w:rPr>
                <w:iCs/>
                <w:sz w:val="24"/>
                <w:szCs w:val="24"/>
              </w:rPr>
            </w:pPr>
            <w:r w:rsidRPr="000B43C9">
              <w:rPr>
                <w:iCs/>
                <w:sz w:val="24"/>
                <w:szCs w:val="24"/>
              </w:rPr>
              <w:t xml:space="preserve">The Working Together to Safeguard People guidance in Wales stresses communication and shared responsibility. In this case, I found that agencies sometimes viewed the same risk differently. I had to bring those views together, make sure concerns were recorded and question whether proposed actions were realistic. I also requested that the wider ketamine concerns were raised at a Bronze multi-agency meeting. This was because I felt social care was being left to manage risks linked to local drug supply and peer networks that required a wider response. Part 9 of the SSWBA 2014 supported my view that this was a shared responsibility. I cannot say that the meeting itself reduced ketamine use, but requesting it was an important step in challenging the focus on individual young people rather than the community risks around them. Liverpool Combatting Drugs Partnership's (2026) published ketamine action plan offers an example of a city treating ketamine harm as a strategic issue. </w:t>
            </w:r>
            <w:r w:rsidRPr="000B43C9">
              <w:rPr>
                <w:iCs/>
                <w:sz w:val="24"/>
                <w:szCs w:val="24"/>
              </w:rPr>
              <w:lastRenderedPageBreak/>
              <w:t>I only had the plan's cover available for this comparison, so I cannot judge its specific actions or effectiveness. This made me question whether a similarly visible shared approach would help locally. Portugal's wider health-led drug policy also offers a comparison, although its experience cannot simply be transferred to a sixteen-year-old in care in Wales. The main learning for me was that safeguarding needs action both around the child and in the places where harm occurs.</w:t>
            </w:r>
          </w:p>
          <w:p w14:paraId="6C896B85" w14:textId="77777777" w:rsidR="0071130E" w:rsidRPr="000B43C9" w:rsidRDefault="0071130E" w:rsidP="000B43C9">
            <w:pPr>
              <w:spacing w:line="360" w:lineRule="auto"/>
              <w:jc w:val="both"/>
              <w:rPr>
                <w:iCs/>
                <w:sz w:val="24"/>
                <w:szCs w:val="24"/>
              </w:rPr>
            </w:pPr>
          </w:p>
          <w:p w14:paraId="0D29B325" w14:textId="77777777" w:rsidR="000B43C9" w:rsidRPr="0071130E" w:rsidRDefault="000B43C9" w:rsidP="000B43C9">
            <w:pPr>
              <w:spacing w:line="360" w:lineRule="auto"/>
              <w:jc w:val="both"/>
              <w:rPr>
                <w:b/>
                <w:bCs/>
                <w:iCs/>
                <w:sz w:val="24"/>
                <w:szCs w:val="24"/>
              </w:rPr>
            </w:pPr>
            <w:r w:rsidRPr="0071130E">
              <w:rPr>
                <w:b/>
                <w:bCs/>
                <w:iCs/>
                <w:sz w:val="24"/>
                <w:szCs w:val="24"/>
              </w:rPr>
              <w:t>Ethical Dilemmas and Professional Challenges</w:t>
            </w:r>
          </w:p>
          <w:p w14:paraId="13CA46E5" w14:textId="77777777" w:rsidR="000B43C9" w:rsidRPr="000B43C9" w:rsidRDefault="000B43C9" w:rsidP="000B43C9">
            <w:pPr>
              <w:spacing w:line="360" w:lineRule="auto"/>
              <w:jc w:val="both"/>
              <w:rPr>
                <w:iCs/>
                <w:sz w:val="24"/>
                <w:szCs w:val="24"/>
              </w:rPr>
            </w:pPr>
            <w:r w:rsidRPr="000B43C9">
              <w:rPr>
                <w:iCs/>
                <w:sz w:val="24"/>
                <w:szCs w:val="24"/>
              </w:rPr>
              <w:t>This case presented multiple ethical dilemmas. The young person’s autonomy frequently conflicted with my duty to protect her from harm. While she had increasing rights to make independent decisions at sixteen, her ongoing ketamine use and refusal of health interventions placed her at significant physical and emotional risk. Human rights considerations were also relevant throughout the case. The Human Rights Act 1998 and the UNCRC both emphasise the right to family life, participation in decision-making, and protection from harm. Balancing these rights was particularly challenging when considering overnight stays with the mother following her release from prison.</w:t>
            </w:r>
          </w:p>
          <w:p w14:paraId="520E785C" w14:textId="77777777" w:rsidR="000B43C9" w:rsidRPr="000B43C9" w:rsidRDefault="000B43C9" w:rsidP="000B43C9">
            <w:pPr>
              <w:spacing w:line="360" w:lineRule="auto"/>
              <w:jc w:val="both"/>
              <w:rPr>
                <w:iCs/>
                <w:sz w:val="24"/>
                <w:szCs w:val="24"/>
              </w:rPr>
            </w:pPr>
            <w:r w:rsidRPr="000B43C9">
              <w:rPr>
                <w:iCs/>
                <w:sz w:val="24"/>
                <w:szCs w:val="24"/>
              </w:rPr>
              <w:t>While safeguarding concerns remained, family relationships were important to her. I therefore kept her wishes in discussions about family time, while sharing concerns with the wider professional network and reviewing arrangements as risks changed. Article 8 of the Human Rights Act 1998 requires respect for family life, but it does not mean ignoring safeguarding concerns. I also arranged legal planning discussions when missing episodes, self-harm and exploitation concerns increased. We considered whether restrictions on her liberty or secure accommodation could be justified. I found this difficult because a highly restrictive setting could feel like punishment to her. I sought legal advice rather than assuming that a care order alone allowed restrictions of that level. In Wales, secure accommodation involves specific legal criteria and safeguards; it is not simply a placement decision. I learned to ask what immediate harm a restriction would prevent, whether there was a less restrictive option and how the young person's views would be heard. These were difficult questions, but they made my reasoning more balanced.</w:t>
            </w:r>
          </w:p>
          <w:p w14:paraId="102C51F8" w14:textId="77777777" w:rsidR="000B43C9" w:rsidRDefault="000B43C9" w:rsidP="000B43C9">
            <w:pPr>
              <w:spacing w:line="360" w:lineRule="auto"/>
              <w:jc w:val="both"/>
              <w:rPr>
                <w:iCs/>
                <w:sz w:val="24"/>
                <w:szCs w:val="24"/>
              </w:rPr>
            </w:pPr>
            <w:r w:rsidRPr="000B43C9">
              <w:rPr>
                <w:iCs/>
                <w:sz w:val="24"/>
                <w:szCs w:val="24"/>
              </w:rPr>
              <w:t xml:space="preserve">Managing relationships with the mother also required careful professional boundaries. While she had a history of aggression and high-risk behaviour, her engagement with professionals </w:t>
            </w:r>
            <w:r w:rsidRPr="000B43C9">
              <w:rPr>
                <w:iCs/>
                <w:sz w:val="24"/>
                <w:szCs w:val="24"/>
              </w:rPr>
              <w:lastRenderedPageBreak/>
              <w:t>improved gradually over time. Maintaining professional boundaries while building trust required ongoing reflection and supervision. For example, supporting practical tasks such as care for pets and maintaining aspects of the household could potentially have been interpreted as enabling behaviour. However, within a trauma-informed framework, these interventions functioned as opportunities for relational engagement, stability, and assessment. Professional safety remained an ongoing consideration throughout the case. The mother’s historical aggression toward professionals required careful risk management, multi-agency planning, and monitoring during interactions within council buildings. Balancing the young person’s right to family contact with professional safety reflected the real-world complexity of safeguarding practice.</w:t>
            </w:r>
          </w:p>
          <w:p w14:paraId="1DC59EC6" w14:textId="77777777" w:rsidR="0071130E" w:rsidRPr="000B43C9" w:rsidRDefault="0071130E" w:rsidP="000B43C9">
            <w:pPr>
              <w:spacing w:line="360" w:lineRule="auto"/>
              <w:jc w:val="both"/>
              <w:rPr>
                <w:iCs/>
                <w:sz w:val="24"/>
                <w:szCs w:val="24"/>
              </w:rPr>
            </w:pPr>
          </w:p>
          <w:p w14:paraId="0F5143D4" w14:textId="77777777" w:rsidR="000B43C9" w:rsidRPr="0071130E" w:rsidRDefault="000B43C9" w:rsidP="000B43C9">
            <w:pPr>
              <w:spacing w:line="360" w:lineRule="auto"/>
              <w:jc w:val="both"/>
              <w:rPr>
                <w:b/>
                <w:bCs/>
                <w:iCs/>
                <w:sz w:val="24"/>
                <w:szCs w:val="24"/>
              </w:rPr>
            </w:pPr>
            <w:r w:rsidRPr="0071130E">
              <w:rPr>
                <w:b/>
                <w:bCs/>
                <w:iCs/>
                <w:sz w:val="24"/>
                <w:szCs w:val="24"/>
              </w:rPr>
              <w:t>Safeguarding Strategies and Professional Boundaries</w:t>
            </w:r>
          </w:p>
          <w:p w14:paraId="3BA3E05A" w14:textId="77777777" w:rsidR="000B43C9" w:rsidRPr="000B43C9" w:rsidRDefault="000B43C9" w:rsidP="000B43C9">
            <w:pPr>
              <w:spacing w:line="360" w:lineRule="auto"/>
              <w:jc w:val="both"/>
              <w:rPr>
                <w:iCs/>
                <w:sz w:val="24"/>
                <w:szCs w:val="24"/>
              </w:rPr>
            </w:pPr>
            <w:r w:rsidRPr="000B43C9">
              <w:rPr>
                <w:iCs/>
                <w:sz w:val="24"/>
                <w:szCs w:val="24"/>
              </w:rPr>
              <w:t>Safeguarding the young person required careful attention to risk management, professional boundaries, and ethical decision-making. The SCW COPP (2017) emphasises promoting well-being, exercising professional judgement, and maintaining ethical relationships, all of which were central to my intervention.</w:t>
            </w:r>
          </w:p>
          <w:p w14:paraId="18E2A95A" w14:textId="77777777" w:rsidR="000B43C9" w:rsidRPr="000B43C9" w:rsidRDefault="000B43C9" w:rsidP="000B43C9">
            <w:pPr>
              <w:spacing w:line="360" w:lineRule="auto"/>
              <w:jc w:val="both"/>
              <w:rPr>
                <w:iCs/>
                <w:sz w:val="24"/>
                <w:szCs w:val="24"/>
              </w:rPr>
            </w:pPr>
            <w:r w:rsidRPr="000B43C9">
              <w:rPr>
                <w:iCs/>
                <w:sz w:val="24"/>
                <w:szCs w:val="24"/>
              </w:rPr>
              <w:t>Balancing the young person’s autonomy with safeguarding responsibilities required subtle and proportionate intervention. Safety planning, structured family time, regular home visits, and ongoing multi-agency communication helped manage risk while preserving engagement. This case also highlighted the importance of anti-oppressive and culturally sensitive practice. Although the young person and family did not identify as Welsh-speaking, practice within Wales requires awareness of cultural identity, inclusion, and equitable access to services. The ‘active offer’ principle within Welsh public services emphasises that individuals should be able to access services in Welsh without needing to request it (Welsh Language Standards, 2018). Reflecting on this broadened my understanding of culturally responsive safeguarding practice and the wider responsibilities of social workers within Wales.</w:t>
            </w:r>
          </w:p>
          <w:p w14:paraId="4A878E34" w14:textId="77777777" w:rsidR="000B43C9" w:rsidRDefault="000B43C9" w:rsidP="000B43C9">
            <w:pPr>
              <w:spacing w:line="360" w:lineRule="auto"/>
              <w:jc w:val="both"/>
              <w:rPr>
                <w:iCs/>
                <w:sz w:val="24"/>
                <w:szCs w:val="24"/>
              </w:rPr>
            </w:pPr>
            <w:r w:rsidRPr="000B43C9">
              <w:rPr>
                <w:iCs/>
                <w:sz w:val="24"/>
                <w:szCs w:val="24"/>
              </w:rPr>
              <w:t xml:space="preserve">Working with the mother also required maintaining professional boundaries amidst a history of high-risk behaviours and aggression toward professionals. By separating the mother’s support needs from the child’s safeguarding needs, I was able to maintain engagement without compromising child-centred practice. Critical reflection also highlighted the importance of power within safeguarding relationships. My role involved statutory authority as both a </w:t>
            </w:r>
            <w:r w:rsidRPr="000B43C9">
              <w:rPr>
                <w:iCs/>
                <w:sz w:val="24"/>
                <w:szCs w:val="24"/>
              </w:rPr>
              <w:lastRenderedPageBreak/>
              <w:t>social worker and corporate parent, influencing decisions regarding family time, intervention, and risk management. Contemporary safeguarding literature critiques overly hierarchical or coercive practice models that may undermine trust and reduce engagement (Forrester et al., 2019; Featherstone et al., 2018; Bilson and Martin, 2017). Reflecting on this, I aimed to exercise power relationally rather than punitively, prioritising transparency, consistency, and collaborative communication wherever possible.</w:t>
            </w:r>
          </w:p>
          <w:p w14:paraId="26A4215A" w14:textId="77777777" w:rsidR="0071130E" w:rsidRPr="000B43C9" w:rsidRDefault="0071130E" w:rsidP="000B43C9">
            <w:pPr>
              <w:spacing w:line="360" w:lineRule="auto"/>
              <w:jc w:val="both"/>
              <w:rPr>
                <w:iCs/>
                <w:sz w:val="24"/>
                <w:szCs w:val="24"/>
              </w:rPr>
            </w:pPr>
          </w:p>
          <w:p w14:paraId="4D6736AF" w14:textId="7E250AAE" w:rsidR="000B43C9" w:rsidRPr="0071130E" w:rsidRDefault="000B43C9" w:rsidP="000B43C9">
            <w:pPr>
              <w:spacing w:line="360" w:lineRule="auto"/>
              <w:jc w:val="both"/>
              <w:rPr>
                <w:b/>
                <w:bCs/>
                <w:iCs/>
                <w:sz w:val="24"/>
                <w:szCs w:val="24"/>
              </w:rPr>
            </w:pPr>
            <w:r w:rsidRPr="0071130E">
              <w:rPr>
                <w:b/>
                <w:bCs/>
                <w:iCs/>
                <w:sz w:val="24"/>
                <w:szCs w:val="24"/>
              </w:rPr>
              <w:t>Reflection on Learning and Professional Development</w:t>
            </w:r>
          </w:p>
          <w:p w14:paraId="0BA9B098" w14:textId="77777777" w:rsidR="000B43C9" w:rsidRPr="000B43C9" w:rsidRDefault="000B43C9" w:rsidP="000B43C9">
            <w:pPr>
              <w:spacing w:line="360" w:lineRule="auto"/>
              <w:jc w:val="both"/>
              <w:rPr>
                <w:iCs/>
                <w:sz w:val="24"/>
                <w:szCs w:val="24"/>
              </w:rPr>
            </w:pPr>
            <w:r w:rsidRPr="000B43C9">
              <w:rPr>
                <w:iCs/>
                <w:sz w:val="24"/>
                <w:szCs w:val="24"/>
              </w:rPr>
              <w:t>The main learning for me was that building a relationship was part of safeguarding, not something separate from it. I kept contact with the young person when she did not want help and tried to be clear with her about what I could and could not agree to. I also learned that listening did not mean accepting every risk. I needed to explain my concerns, seek advice and continue reviewing plans even when she disagreed.</w:t>
            </w:r>
          </w:p>
          <w:p w14:paraId="07E8629B" w14:textId="77777777" w:rsidR="000B43C9" w:rsidRPr="000B43C9" w:rsidRDefault="000B43C9" w:rsidP="000B43C9">
            <w:pPr>
              <w:spacing w:line="360" w:lineRule="auto"/>
              <w:jc w:val="both"/>
              <w:rPr>
                <w:iCs/>
                <w:sz w:val="24"/>
                <w:szCs w:val="24"/>
              </w:rPr>
            </w:pPr>
            <w:r w:rsidRPr="000B43C9">
              <w:rPr>
                <w:iCs/>
                <w:sz w:val="24"/>
                <w:szCs w:val="24"/>
              </w:rPr>
              <w:t>No single theory explained everything in this case. Trauma-informed practice helped me respond without judging her, contextual safeguarding helped me consider peer and community risks, and systems theory helped me understand family relationships. However, none of these approaches could make her attend health appointments or stay in a placement. I had to use professional judgement alongside them and be clear about what was still unsafe.</w:t>
            </w:r>
          </w:p>
          <w:p w14:paraId="791B8E4D" w14:textId="77777777" w:rsidR="000B43C9" w:rsidRPr="000B43C9" w:rsidRDefault="000B43C9" w:rsidP="000B43C9">
            <w:pPr>
              <w:spacing w:line="360" w:lineRule="auto"/>
              <w:jc w:val="both"/>
              <w:rPr>
                <w:iCs/>
                <w:sz w:val="24"/>
                <w:szCs w:val="24"/>
              </w:rPr>
            </w:pPr>
            <w:r w:rsidRPr="000B43C9">
              <w:rPr>
                <w:iCs/>
                <w:sz w:val="24"/>
                <w:szCs w:val="24"/>
              </w:rPr>
              <w:t>The case also strengthened my understanding of the importance of analytical recording and justifiable decision-making. Recording not only documented interventions and risk assessments, but also provided evidence of professional reasoning, multi-agency discussions, and safeguarding rationale. Maintaining clear records was particularly important when assessing overnight stays with the mother, and monitoring changes in risk presentation. The SCW COPP (2017) highlights the responsibility of practitioners to maintain accurate and accountable records, recognising recording as a core safeguarding activity rather than simply an administrative task. Similarly, the Wales Safeguarding Procedures (2020) emphasise the importance of defensible recording, professional accountability, and clear multi-agency information sharing within safeguarding assessments.</w:t>
            </w:r>
          </w:p>
          <w:p w14:paraId="312F1071" w14:textId="77777777" w:rsidR="000B43C9" w:rsidRPr="000B43C9" w:rsidRDefault="000B43C9" w:rsidP="000B43C9">
            <w:pPr>
              <w:spacing w:line="360" w:lineRule="auto"/>
              <w:jc w:val="both"/>
              <w:rPr>
                <w:iCs/>
                <w:sz w:val="24"/>
                <w:szCs w:val="24"/>
              </w:rPr>
            </w:pPr>
            <w:r w:rsidRPr="000B43C9">
              <w:rPr>
                <w:iCs/>
                <w:sz w:val="24"/>
                <w:szCs w:val="24"/>
              </w:rPr>
              <w:t xml:space="preserve">This experience also reinforced the importance of recognising professional limitations. Despite significant intervention, some risks remained unresolved. Looking back, I recognised that social workers cannot control all outcomes, particularly when working with adolescents </w:t>
            </w:r>
            <w:r w:rsidRPr="000B43C9">
              <w:rPr>
                <w:iCs/>
                <w:sz w:val="24"/>
                <w:szCs w:val="24"/>
              </w:rPr>
              <w:lastRenderedPageBreak/>
              <w:t>experiencing trauma, substance misuse, and emotional dysregulation. Instead, effective safeguarding often involves reducing harm, maintaining engagement, and continuing assessment over time.</w:t>
            </w:r>
          </w:p>
          <w:p w14:paraId="75968B40" w14:textId="77777777" w:rsidR="000B43C9" w:rsidRDefault="000B43C9" w:rsidP="000B43C9">
            <w:pPr>
              <w:spacing w:line="360" w:lineRule="auto"/>
              <w:jc w:val="both"/>
              <w:rPr>
                <w:iCs/>
                <w:sz w:val="24"/>
                <w:szCs w:val="24"/>
              </w:rPr>
            </w:pPr>
            <w:r w:rsidRPr="000B43C9">
              <w:rPr>
                <w:iCs/>
                <w:sz w:val="24"/>
                <w:szCs w:val="24"/>
              </w:rPr>
              <w:t>Supervision played a significant role in supporting reflective practice throughout this case. Discussing anxieties, ethical dilemmas, safeguarding concerns, and emotional responses strengthened my professional judgement and decision-making. This case also increased my awareness of the emotional demands of adolescent safeguarding work. Feelings of frustration, uncertainty, and anxiety were at times unavoidable, particularly where interventions did not lead to immediate behavioural change. Reflective supervision and critical self-awareness were therefore essential in maintaining professional resilience and preventing emotionally reactive decision-making.</w:t>
            </w:r>
          </w:p>
          <w:p w14:paraId="10F02DA2" w14:textId="77777777" w:rsidR="0071130E" w:rsidRPr="000B43C9" w:rsidRDefault="0071130E" w:rsidP="000B43C9">
            <w:pPr>
              <w:spacing w:line="360" w:lineRule="auto"/>
              <w:jc w:val="both"/>
              <w:rPr>
                <w:iCs/>
                <w:sz w:val="24"/>
                <w:szCs w:val="24"/>
              </w:rPr>
            </w:pPr>
          </w:p>
          <w:p w14:paraId="2B690C0A" w14:textId="77777777" w:rsidR="000B43C9" w:rsidRPr="0071130E" w:rsidRDefault="000B43C9" w:rsidP="000B43C9">
            <w:pPr>
              <w:spacing w:line="360" w:lineRule="auto"/>
              <w:jc w:val="both"/>
              <w:rPr>
                <w:b/>
                <w:bCs/>
                <w:iCs/>
                <w:sz w:val="24"/>
                <w:szCs w:val="24"/>
              </w:rPr>
            </w:pPr>
            <w:r w:rsidRPr="0071130E">
              <w:rPr>
                <w:b/>
                <w:bCs/>
                <w:iCs/>
                <w:sz w:val="24"/>
                <w:szCs w:val="24"/>
              </w:rPr>
              <w:t>Conclusion</w:t>
            </w:r>
          </w:p>
          <w:p w14:paraId="77FFA3C9" w14:textId="77777777" w:rsidR="000B43C9" w:rsidRPr="000B43C9" w:rsidRDefault="000B43C9" w:rsidP="000B43C9">
            <w:pPr>
              <w:spacing w:line="360" w:lineRule="auto"/>
              <w:jc w:val="both"/>
              <w:rPr>
                <w:iCs/>
                <w:sz w:val="24"/>
                <w:szCs w:val="24"/>
              </w:rPr>
            </w:pPr>
            <w:r w:rsidRPr="000B43C9">
              <w:rPr>
                <w:iCs/>
                <w:sz w:val="24"/>
                <w:szCs w:val="24"/>
              </w:rPr>
              <w:t>This case demonstrates the multifaceted nature of safeguarding adolescents within complex family systems. Legislative frameworks, including Parts 6 and 9 of the SSWBA 2014, provided statutory guidance and safeguarding responsibilities, while trauma-informed, systems, attachment, and contextual safeguarding theories informed assessment and intervention. The case highlighted the importance of relationship-based practice within adolescent safeguarding, particularly where previous relationships with professionals had broken down. Practical interventions such as supporting pet care, preserving household continuity, and maintaining consistent communication significantly influenced trust, engagement, and assessment opportunities.</w:t>
            </w:r>
          </w:p>
          <w:p w14:paraId="253B5327" w14:textId="77777777" w:rsidR="000B43C9" w:rsidRPr="000B43C9" w:rsidRDefault="000B43C9" w:rsidP="000B43C9">
            <w:pPr>
              <w:spacing w:line="360" w:lineRule="auto"/>
              <w:jc w:val="both"/>
              <w:rPr>
                <w:iCs/>
                <w:sz w:val="24"/>
                <w:szCs w:val="24"/>
              </w:rPr>
            </w:pPr>
            <w:r w:rsidRPr="000B43C9">
              <w:rPr>
                <w:iCs/>
                <w:sz w:val="24"/>
                <w:szCs w:val="24"/>
              </w:rPr>
              <w:t xml:space="preserve">At the same time, the case demonstrated the limitations of intervention. Despite significant professional involvement, the young person continued to decline engagement with healthcare services, leaving ongoing physical and emotional health risks unresolved. This reinforced the reality that safeguarding adolescents often involves ongoing risk reduction rather than complete elimination of harm. The case also reinforced that safeguarding adolescents differs significantly from safeguarding younger children. Adolescents often exercise greater autonomy, spend more time within peer and community contexts, and may actively resist professional intervention. This requires safeguarding approaches that are flexible, relationship-based, and informed by trauma, adolescent development, and contextual </w:t>
            </w:r>
            <w:r w:rsidRPr="000B43C9">
              <w:rPr>
                <w:iCs/>
                <w:sz w:val="24"/>
                <w:szCs w:val="24"/>
              </w:rPr>
              <w:lastRenderedPageBreak/>
              <w:t>safeguarding principles. Ultimately, this experience strengthened my understanding that effective social work is not solely measured by immediate behavioural change, but also by the ability to maintain engagement, exercise defensible professional judgement, and continue safeguarding efforts within highly complex circumstances.</w:t>
            </w:r>
          </w:p>
          <w:p w14:paraId="6FF1BFD4" w14:textId="77777777" w:rsidR="000B43C9" w:rsidRPr="000B43C9" w:rsidRDefault="000B43C9" w:rsidP="000B43C9">
            <w:pPr>
              <w:spacing w:line="360" w:lineRule="auto"/>
              <w:jc w:val="both"/>
              <w:rPr>
                <w:iCs/>
                <w:sz w:val="24"/>
                <w:szCs w:val="24"/>
              </w:rPr>
            </w:pPr>
            <w:r w:rsidRPr="000B43C9">
              <w:rPr>
                <w:iCs/>
                <w:sz w:val="24"/>
                <w:szCs w:val="24"/>
              </w:rPr>
              <w:t>This assignment has reinforced the importance of reflective practice, professional curiosity, ethical decision-making, and multi-agency collaboration in safeguarding adolescents within complex family systems. It has also strengthened my understanding of how Welsh legislation, safeguarding procedures, and evidence-informed practice frameworks underpin defensible social work intervention within complex adolescent safeguarding cases. It also highlighted that effective social work requires balancing autonomy with protection, exercising power proportionately, and maintaining compassionate, relationship-based practice even within situations of uncertainty and unresolved risk.</w:t>
            </w:r>
          </w:p>
          <w:p w14:paraId="28591EDB" w14:textId="77777777" w:rsidR="000B43C9" w:rsidRPr="000B43C9" w:rsidRDefault="000B43C9" w:rsidP="000B43C9">
            <w:pPr>
              <w:spacing w:line="360" w:lineRule="auto"/>
              <w:jc w:val="both"/>
              <w:rPr>
                <w:iCs/>
                <w:sz w:val="24"/>
                <w:szCs w:val="24"/>
              </w:rPr>
            </w:pPr>
          </w:p>
          <w:p w14:paraId="6B72316B" w14:textId="7E016E54" w:rsidR="008803EB" w:rsidRPr="000B43C9" w:rsidRDefault="000B43C9" w:rsidP="000B43C9">
            <w:pPr>
              <w:spacing w:line="360" w:lineRule="auto"/>
              <w:jc w:val="both"/>
              <w:rPr>
                <w:iCs/>
                <w:sz w:val="24"/>
                <w:szCs w:val="24"/>
              </w:rPr>
            </w:pPr>
            <w:r w:rsidRPr="000B43C9">
              <w:rPr>
                <w:iCs/>
                <w:sz w:val="24"/>
                <w:szCs w:val="24"/>
              </w:rPr>
              <w:t>Word count: 4385</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0771E" w14:textId="77777777" w:rsidR="005E3233" w:rsidRDefault="005E3233">
      <w:r>
        <w:separator/>
      </w:r>
    </w:p>
  </w:endnote>
  <w:endnote w:type="continuationSeparator" w:id="0">
    <w:p w14:paraId="68299496" w14:textId="77777777" w:rsidR="005E3233" w:rsidRDefault="005E32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C7FF7" w14:textId="77777777" w:rsidR="005E3233" w:rsidRDefault="005E3233">
      <w:r>
        <w:separator/>
      </w:r>
    </w:p>
  </w:footnote>
  <w:footnote w:type="continuationSeparator" w:id="0">
    <w:p w14:paraId="5E383F8F" w14:textId="77777777" w:rsidR="005E3233" w:rsidRDefault="005E32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3C9"/>
    <w:rsid w:val="000B68B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5A78"/>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39F3"/>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3233"/>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7ABE"/>
    <w:rsid w:val="006E481E"/>
    <w:rsid w:val="006E795F"/>
    <w:rsid w:val="006F0862"/>
    <w:rsid w:val="006F1438"/>
    <w:rsid w:val="006F2A9E"/>
    <w:rsid w:val="006F5ED3"/>
    <w:rsid w:val="00700249"/>
    <w:rsid w:val="007069CD"/>
    <w:rsid w:val="00706BB5"/>
    <w:rsid w:val="0071130E"/>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3EB"/>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5046</Words>
  <Characters>28764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Stephanie Davies</cp:lastModifiedBy>
  <cp:revision>6</cp:revision>
  <cp:lastPrinted>2020-02-11T19:20:00Z</cp:lastPrinted>
  <dcterms:created xsi:type="dcterms:W3CDTF">2026-10-14T07:01:00Z</dcterms:created>
  <dcterms:modified xsi:type="dcterms:W3CDTF">2026-10-14T07:09:00Z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