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1AB9D9" w14:textId="2AF4E972" w:rsidR="00972EA4" w:rsidRDefault="00972EA4" w:rsidP="004F3920">
      <w:pPr>
        <w:spacing w:line="360" w:lineRule="auto"/>
        <w:rPr>
          <w:b/>
          <w:bCs/>
        </w:rPr>
      </w:pPr>
      <w:r w:rsidRPr="00594FAC">
        <w:rPr>
          <w:rFonts w:ascii="Arial" w:hAnsi="Arial" w:cs="Arial"/>
          <w:noProof/>
        </w:rPr>
        <w:drawing>
          <wp:anchor distT="0" distB="0" distL="114300" distR="114300" simplePos="0" relativeHeight="251659264" behindDoc="0" locked="0" layoutInCell="1" allowOverlap="1" wp14:anchorId="10AC8113" wp14:editId="44E07464">
            <wp:simplePos x="0" y="0"/>
            <wp:positionH relativeFrom="column">
              <wp:posOffset>0</wp:posOffset>
            </wp:positionH>
            <wp:positionV relativeFrom="paragraph">
              <wp:posOffset>381000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68EC0934" w14:textId="77777777" w:rsidR="00972EA4" w:rsidRDefault="00972EA4" w:rsidP="004F3920">
      <w:pPr>
        <w:spacing w:line="360" w:lineRule="auto"/>
        <w:rPr>
          <w:b/>
          <w:bCs/>
        </w:rPr>
      </w:pPr>
    </w:p>
    <w:p w14:paraId="61F1E350" w14:textId="77777777" w:rsidR="00972EA4" w:rsidRDefault="00972EA4" w:rsidP="004F3920">
      <w:pPr>
        <w:spacing w:line="360" w:lineRule="auto"/>
        <w:rPr>
          <w:b/>
          <w:bCs/>
        </w:rPr>
      </w:pPr>
    </w:p>
    <w:p w14:paraId="7DC8AE13" w14:textId="77777777" w:rsidR="00972EA4" w:rsidRDefault="00972EA4" w:rsidP="004F3920">
      <w:pPr>
        <w:spacing w:line="360" w:lineRule="auto"/>
        <w:rPr>
          <w:b/>
          <w:bCs/>
        </w:rPr>
      </w:pPr>
    </w:p>
    <w:p w14:paraId="4585E664" w14:textId="17AA5D44" w:rsidR="004F3920" w:rsidRPr="004F3920" w:rsidRDefault="004F3920" w:rsidP="004F3920">
      <w:pPr>
        <w:spacing w:line="360" w:lineRule="auto"/>
        <w:rPr>
          <w:b/>
          <w:bCs/>
        </w:rPr>
      </w:pPr>
      <w:r w:rsidRPr="004F3920">
        <w:rPr>
          <w:b/>
          <w:bCs/>
        </w:rPr>
        <w:t>BSc (Hons) Health and Social Care</w:t>
      </w:r>
    </w:p>
    <w:p w14:paraId="1EEC8DED" w14:textId="78B1680E" w:rsidR="004F3920" w:rsidRDefault="004F3920" w:rsidP="004F3920">
      <w:pPr>
        <w:spacing w:line="360" w:lineRule="auto"/>
      </w:pPr>
      <w:r>
        <w:t>Module: Introduction to Independent Research Skills (BMHP5019)</w:t>
      </w:r>
    </w:p>
    <w:p w14:paraId="22E85ABB" w14:textId="1215D5E3" w:rsidR="004F3920" w:rsidRDefault="004F3920" w:rsidP="004F3920">
      <w:pPr>
        <w:spacing w:line="360" w:lineRule="auto"/>
      </w:pPr>
      <w:r>
        <w:t xml:space="preserve">Assessment title: Assignment 2 - Written Assignment </w:t>
      </w:r>
      <w:r w:rsidR="00972EA4">
        <w:t>(Research Report)</w:t>
      </w:r>
    </w:p>
    <w:p w14:paraId="7848D0AB" w14:textId="204E3F61" w:rsidR="004F3920" w:rsidRDefault="004F3920" w:rsidP="004F3920">
      <w:pPr>
        <w:spacing w:line="360" w:lineRule="auto"/>
      </w:pPr>
      <w:r>
        <w:t xml:space="preserve">Student ID: </w:t>
      </w:r>
      <w:r w:rsidR="00DC0183">
        <w:t>2415793</w:t>
      </w:r>
    </w:p>
    <w:p w14:paraId="180401A9" w14:textId="3658B519" w:rsidR="004F3920" w:rsidRDefault="004F3920" w:rsidP="004F3920">
      <w:pPr>
        <w:spacing w:line="360" w:lineRule="auto"/>
      </w:pPr>
      <w:r>
        <w:t xml:space="preserve">Student Name: </w:t>
      </w:r>
      <w:r w:rsidR="00DC0183">
        <w:t>Marcelina Musteata</w:t>
      </w:r>
    </w:p>
    <w:p w14:paraId="2EFD2E92" w14:textId="5C73F053" w:rsidR="004F3920" w:rsidRDefault="004F3920" w:rsidP="004F3920">
      <w:pPr>
        <w:spacing w:line="360" w:lineRule="auto"/>
      </w:pPr>
      <w:r>
        <w:t xml:space="preserve">Date of submission: </w:t>
      </w:r>
      <w:r w:rsidR="00800B98">
        <w:t>14</w:t>
      </w:r>
      <w:r w:rsidR="00DC0183" w:rsidRPr="00DC0183">
        <w:rPr>
          <w:vertAlign w:val="superscript"/>
        </w:rPr>
        <w:t>th</w:t>
      </w:r>
      <w:r w:rsidR="00DC0183">
        <w:t xml:space="preserve"> August</w:t>
      </w:r>
    </w:p>
    <w:p w14:paraId="2843A5C1" w14:textId="2B6B2382" w:rsidR="004F3920" w:rsidRDefault="004F3920" w:rsidP="004F3920">
      <w:pPr>
        <w:spacing w:line="360" w:lineRule="auto"/>
      </w:pPr>
      <w:r>
        <w:t>Lecturer’s name:</w:t>
      </w:r>
      <w:r w:rsidR="00DC0183">
        <w:t xml:space="preserve"> </w:t>
      </w:r>
      <w:proofErr w:type="gramStart"/>
      <w:r w:rsidR="00054513">
        <w:t>Dr  Eleni</w:t>
      </w:r>
      <w:proofErr w:type="gramEnd"/>
      <w:r w:rsidR="00054513">
        <w:t xml:space="preserve"> </w:t>
      </w:r>
      <w:proofErr w:type="spellStart"/>
      <w:r w:rsidR="00054513">
        <w:t>Koutsogeorgou</w:t>
      </w:r>
      <w:proofErr w:type="spellEnd"/>
      <w:r w:rsidR="00054513">
        <w:t xml:space="preserve">-Andreou </w:t>
      </w:r>
    </w:p>
    <w:p w14:paraId="0BD91BDC" w14:textId="77777777" w:rsidR="004F3920" w:rsidRDefault="004F3920" w:rsidP="004F3920">
      <w:pPr>
        <w:spacing w:line="360" w:lineRule="auto"/>
      </w:pPr>
    </w:p>
    <w:p w14:paraId="7E7A4137" w14:textId="77777777" w:rsidR="004F3920" w:rsidRDefault="004F3920" w:rsidP="004F3920">
      <w:pPr>
        <w:spacing w:line="360" w:lineRule="auto"/>
      </w:pPr>
    </w:p>
    <w:p w14:paraId="24AF31A4" w14:textId="77777777" w:rsidR="004F3920" w:rsidRDefault="004F3920" w:rsidP="004F3920">
      <w:pPr>
        <w:spacing w:line="360" w:lineRule="auto"/>
      </w:pPr>
    </w:p>
    <w:p w14:paraId="3687701C" w14:textId="77777777" w:rsidR="004F3920" w:rsidRDefault="004F3920" w:rsidP="004F3920">
      <w:pPr>
        <w:spacing w:line="360" w:lineRule="auto"/>
      </w:pPr>
    </w:p>
    <w:p w14:paraId="535BAFCD" w14:textId="77777777" w:rsidR="004F3920" w:rsidRDefault="004F3920" w:rsidP="004F3920">
      <w:pPr>
        <w:spacing w:line="360" w:lineRule="auto"/>
      </w:pPr>
    </w:p>
    <w:p w14:paraId="24750EFF" w14:textId="77777777" w:rsidR="004F3920" w:rsidRDefault="004F3920" w:rsidP="004F3920">
      <w:pPr>
        <w:spacing w:line="360" w:lineRule="auto"/>
      </w:pPr>
    </w:p>
    <w:p w14:paraId="0C5B7E3D" w14:textId="77777777" w:rsidR="004F3920" w:rsidRDefault="004F3920" w:rsidP="004F3920">
      <w:pPr>
        <w:spacing w:line="360" w:lineRule="auto"/>
      </w:pPr>
    </w:p>
    <w:p w14:paraId="7486691B" w14:textId="77777777" w:rsidR="004F3920" w:rsidRDefault="004F3920" w:rsidP="004F3920">
      <w:pPr>
        <w:spacing w:line="360" w:lineRule="auto"/>
      </w:pPr>
    </w:p>
    <w:p w14:paraId="04C1381F" w14:textId="77777777" w:rsidR="004F3920" w:rsidRDefault="004F3920" w:rsidP="004F3920">
      <w:pPr>
        <w:spacing w:line="360" w:lineRule="auto"/>
      </w:pPr>
    </w:p>
    <w:p w14:paraId="2D623688" w14:textId="77777777" w:rsidR="004F3920" w:rsidRDefault="004F3920" w:rsidP="004F3920">
      <w:pPr>
        <w:spacing w:line="360" w:lineRule="auto"/>
      </w:pPr>
    </w:p>
    <w:p w14:paraId="51D403D8" w14:textId="77777777" w:rsidR="004F3920" w:rsidRDefault="004F3920" w:rsidP="004F3920">
      <w:pPr>
        <w:spacing w:line="360" w:lineRule="auto"/>
      </w:pPr>
    </w:p>
    <w:p w14:paraId="349FEE92" w14:textId="77777777" w:rsidR="004F3920" w:rsidRDefault="004F3920" w:rsidP="004F3920">
      <w:pPr>
        <w:spacing w:line="360" w:lineRule="auto"/>
      </w:pPr>
    </w:p>
    <w:sdt>
      <w:sdtPr>
        <w:rPr>
          <w:rFonts w:asciiTheme="minorHAnsi" w:eastAsiaTheme="minorHAnsi" w:hAnsiTheme="minorHAnsi" w:cstheme="minorBidi"/>
          <w:b w:val="0"/>
          <w:bCs w:val="0"/>
          <w:color w:val="auto"/>
          <w:kern w:val="2"/>
          <w:sz w:val="24"/>
          <w:szCs w:val="24"/>
          <w:lang w:val="en-GB"/>
          <w14:ligatures w14:val="standardContextual"/>
        </w:rPr>
        <w:id w:val="2000534059"/>
        <w:docPartObj>
          <w:docPartGallery w:val="Table of Contents"/>
          <w:docPartUnique/>
        </w:docPartObj>
      </w:sdtPr>
      <w:sdtEndPr>
        <w:rPr>
          <w:noProof/>
        </w:rPr>
      </w:sdtEndPr>
      <w:sdtContent>
        <w:p w14:paraId="388F51B9" w14:textId="7FE2D1FE" w:rsidR="00972EA4" w:rsidRDefault="00972EA4">
          <w:pPr>
            <w:pStyle w:val="TOCHeading"/>
          </w:pPr>
          <w:r>
            <w:t>Table of Contents</w:t>
          </w:r>
        </w:p>
        <w:p w14:paraId="0103E6FB" w14:textId="413C83EB" w:rsidR="00972EA4" w:rsidRDefault="00972EA4">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36773598" w:history="1">
            <w:r w:rsidRPr="00A970EA">
              <w:rPr>
                <w:rStyle w:val="Hyperlink"/>
                <w:noProof/>
              </w:rPr>
              <w:t>Introduction</w:t>
            </w:r>
            <w:r>
              <w:rPr>
                <w:noProof/>
                <w:webHidden/>
              </w:rPr>
              <w:tab/>
            </w:r>
            <w:r>
              <w:rPr>
                <w:noProof/>
                <w:webHidden/>
              </w:rPr>
              <w:fldChar w:fldCharType="begin"/>
            </w:r>
            <w:r>
              <w:rPr>
                <w:noProof/>
                <w:webHidden/>
              </w:rPr>
              <w:instrText xml:space="preserve"> PAGEREF _Toc236773598 \h </w:instrText>
            </w:r>
            <w:r>
              <w:rPr>
                <w:noProof/>
                <w:webHidden/>
              </w:rPr>
            </w:r>
            <w:r>
              <w:rPr>
                <w:noProof/>
                <w:webHidden/>
              </w:rPr>
              <w:fldChar w:fldCharType="separate"/>
            </w:r>
            <w:r>
              <w:rPr>
                <w:noProof/>
                <w:webHidden/>
              </w:rPr>
              <w:t>2</w:t>
            </w:r>
            <w:r>
              <w:rPr>
                <w:noProof/>
                <w:webHidden/>
              </w:rPr>
              <w:fldChar w:fldCharType="end"/>
            </w:r>
          </w:hyperlink>
        </w:p>
        <w:p w14:paraId="0DC0CB2F" w14:textId="0663E856" w:rsidR="00972EA4" w:rsidRDefault="00972EA4">
          <w:pPr>
            <w:pStyle w:val="TOC1"/>
            <w:tabs>
              <w:tab w:val="right" w:leader="dot" w:pos="9016"/>
            </w:tabs>
            <w:rPr>
              <w:noProof/>
            </w:rPr>
          </w:pPr>
          <w:hyperlink w:anchor="_Toc236773599" w:history="1">
            <w:r w:rsidRPr="00A970EA">
              <w:rPr>
                <w:rStyle w:val="Hyperlink"/>
                <w:noProof/>
              </w:rPr>
              <w:t>Background</w:t>
            </w:r>
            <w:r>
              <w:rPr>
                <w:noProof/>
                <w:webHidden/>
              </w:rPr>
              <w:tab/>
            </w:r>
            <w:r>
              <w:rPr>
                <w:noProof/>
                <w:webHidden/>
              </w:rPr>
              <w:fldChar w:fldCharType="begin"/>
            </w:r>
            <w:r>
              <w:rPr>
                <w:noProof/>
                <w:webHidden/>
              </w:rPr>
              <w:instrText xml:space="preserve"> PAGEREF _Toc236773599 \h </w:instrText>
            </w:r>
            <w:r>
              <w:rPr>
                <w:noProof/>
                <w:webHidden/>
              </w:rPr>
            </w:r>
            <w:r>
              <w:rPr>
                <w:noProof/>
                <w:webHidden/>
              </w:rPr>
              <w:fldChar w:fldCharType="separate"/>
            </w:r>
            <w:r>
              <w:rPr>
                <w:noProof/>
                <w:webHidden/>
              </w:rPr>
              <w:t>4</w:t>
            </w:r>
            <w:r>
              <w:rPr>
                <w:noProof/>
                <w:webHidden/>
              </w:rPr>
              <w:fldChar w:fldCharType="end"/>
            </w:r>
          </w:hyperlink>
        </w:p>
        <w:p w14:paraId="383F83B0" w14:textId="6B5D059D" w:rsidR="00972EA4" w:rsidRDefault="00972EA4">
          <w:pPr>
            <w:pStyle w:val="TOC1"/>
            <w:tabs>
              <w:tab w:val="right" w:leader="dot" w:pos="9016"/>
            </w:tabs>
            <w:rPr>
              <w:noProof/>
            </w:rPr>
          </w:pPr>
          <w:hyperlink w:anchor="_Toc236773600" w:history="1">
            <w:r w:rsidRPr="00A970EA">
              <w:rPr>
                <w:rStyle w:val="Hyperlink"/>
                <w:noProof/>
              </w:rPr>
              <w:t>Methods</w:t>
            </w:r>
            <w:r>
              <w:rPr>
                <w:noProof/>
                <w:webHidden/>
              </w:rPr>
              <w:tab/>
            </w:r>
            <w:r>
              <w:rPr>
                <w:noProof/>
                <w:webHidden/>
              </w:rPr>
              <w:fldChar w:fldCharType="begin"/>
            </w:r>
            <w:r>
              <w:rPr>
                <w:noProof/>
                <w:webHidden/>
              </w:rPr>
              <w:instrText xml:space="preserve"> PAGEREF _Toc236773600 \h </w:instrText>
            </w:r>
            <w:r>
              <w:rPr>
                <w:noProof/>
                <w:webHidden/>
              </w:rPr>
            </w:r>
            <w:r>
              <w:rPr>
                <w:noProof/>
                <w:webHidden/>
              </w:rPr>
              <w:fldChar w:fldCharType="separate"/>
            </w:r>
            <w:r>
              <w:rPr>
                <w:noProof/>
                <w:webHidden/>
              </w:rPr>
              <w:t>6</w:t>
            </w:r>
            <w:r>
              <w:rPr>
                <w:noProof/>
                <w:webHidden/>
              </w:rPr>
              <w:fldChar w:fldCharType="end"/>
            </w:r>
          </w:hyperlink>
        </w:p>
        <w:p w14:paraId="77ABD7CC" w14:textId="1ABEDBEB" w:rsidR="00972EA4" w:rsidRDefault="00972EA4">
          <w:pPr>
            <w:pStyle w:val="TOC1"/>
            <w:tabs>
              <w:tab w:val="right" w:leader="dot" w:pos="9016"/>
            </w:tabs>
            <w:rPr>
              <w:noProof/>
            </w:rPr>
          </w:pPr>
          <w:hyperlink w:anchor="_Toc236773601" w:history="1">
            <w:r w:rsidRPr="00A970EA">
              <w:rPr>
                <w:rStyle w:val="Hyperlink"/>
                <w:noProof/>
              </w:rPr>
              <w:t>Results</w:t>
            </w:r>
            <w:r>
              <w:rPr>
                <w:noProof/>
                <w:webHidden/>
              </w:rPr>
              <w:tab/>
            </w:r>
            <w:r>
              <w:rPr>
                <w:noProof/>
                <w:webHidden/>
              </w:rPr>
              <w:fldChar w:fldCharType="begin"/>
            </w:r>
            <w:r>
              <w:rPr>
                <w:noProof/>
                <w:webHidden/>
              </w:rPr>
              <w:instrText xml:space="preserve"> PAGEREF _Toc236773601 \h </w:instrText>
            </w:r>
            <w:r>
              <w:rPr>
                <w:noProof/>
                <w:webHidden/>
              </w:rPr>
            </w:r>
            <w:r>
              <w:rPr>
                <w:noProof/>
                <w:webHidden/>
              </w:rPr>
              <w:fldChar w:fldCharType="separate"/>
            </w:r>
            <w:r>
              <w:rPr>
                <w:noProof/>
                <w:webHidden/>
              </w:rPr>
              <w:t>7</w:t>
            </w:r>
            <w:r>
              <w:rPr>
                <w:noProof/>
                <w:webHidden/>
              </w:rPr>
              <w:fldChar w:fldCharType="end"/>
            </w:r>
          </w:hyperlink>
        </w:p>
        <w:p w14:paraId="1682AFDD" w14:textId="542DB7A4" w:rsidR="00972EA4" w:rsidRDefault="00972EA4">
          <w:pPr>
            <w:pStyle w:val="TOC2"/>
            <w:tabs>
              <w:tab w:val="right" w:leader="dot" w:pos="9016"/>
            </w:tabs>
            <w:rPr>
              <w:noProof/>
            </w:rPr>
          </w:pPr>
          <w:hyperlink w:anchor="_Toc236773602" w:history="1">
            <w:r w:rsidRPr="00A970EA">
              <w:rPr>
                <w:rStyle w:val="Hyperlink"/>
                <w:noProof/>
              </w:rPr>
              <w:t>Theme 1: Service user experiences of community mental health services</w:t>
            </w:r>
            <w:r>
              <w:rPr>
                <w:noProof/>
                <w:webHidden/>
              </w:rPr>
              <w:tab/>
            </w:r>
            <w:r>
              <w:rPr>
                <w:noProof/>
                <w:webHidden/>
              </w:rPr>
              <w:fldChar w:fldCharType="begin"/>
            </w:r>
            <w:r>
              <w:rPr>
                <w:noProof/>
                <w:webHidden/>
              </w:rPr>
              <w:instrText xml:space="preserve"> PAGEREF _Toc236773602 \h </w:instrText>
            </w:r>
            <w:r>
              <w:rPr>
                <w:noProof/>
                <w:webHidden/>
              </w:rPr>
            </w:r>
            <w:r>
              <w:rPr>
                <w:noProof/>
                <w:webHidden/>
              </w:rPr>
              <w:fldChar w:fldCharType="separate"/>
            </w:r>
            <w:r>
              <w:rPr>
                <w:noProof/>
                <w:webHidden/>
              </w:rPr>
              <w:t>8</w:t>
            </w:r>
            <w:r>
              <w:rPr>
                <w:noProof/>
                <w:webHidden/>
              </w:rPr>
              <w:fldChar w:fldCharType="end"/>
            </w:r>
          </w:hyperlink>
        </w:p>
        <w:p w14:paraId="2EA1636A" w14:textId="30AB06CA" w:rsidR="00972EA4" w:rsidRDefault="00972EA4">
          <w:pPr>
            <w:pStyle w:val="TOC2"/>
            <w:tabs>
              <w:tab w:val="right" w:leader="dot" w:pos="9016"/>
            </w:tabs>
            <w:rPr>
              <w:noProof/>
            </w:rPr>
          </w:pPr>
          <w:hyperlink w:anchor="_Toc236773603" w:history="1">
            <w:r w:rsidRPr="00A970EA">
              <w:rPr>
                <w:rStyle w:val="Hyperlink"/>
                <w:noProof/>
              </w:rPr>
              <w:t>Theme 2: Workforce pressures and staff experiences</w:t>
            </w:r>
            <w:r>
              <w:rPr>
                <w:noProof/>
                <w:webHidden/>
              </w:rPr>
              <w:tab/>
            </w:r>
            <w:r>
              <w:rPr>
                <w:noProof/>
                <w:webHidden/>
              </w:rPr>
              <w:fldChar w:fldCharType="begin"/>
            </w:r>
            <w:r>
              <w:rPr>
                <w:noProof/>
                <w:webHidden/>
              </w:rPr>
              <w:instrText xml:space="preserve"> PAGEREF _Toc236773603 \h </w:instrText>
            </w:r>
            <w:r>
              <w:rPr>
                <w:noProof/>
                <w:webHidden/>
              </w:rPr>
            </w:r>
            <w:r>
              <w:rPr>
                <w:noProof/>
                <w:webHidden/>
              </w:rPr>
              <w:fldChar w:fldCharType="separate"/>
            </w:r>
            <w:r>
              <w:rPr>
                <w:noProof/>
                <w:webHidden/>
              </w:rPr>
              <w:t>8</w:t>
            </w:r>
            <w:r>
              <w:rPr>
                <w:noProof/>
                <w:webHidden/>
              </w:rPr>
              <w:fldChar w:fldCharType="end"/>
            </w:r>
          </w:hyperlink>
        </w:p>
        <w:p w14:paraId="006FA0D8" w14:textId="2C1F988E" w:rsidR="00972EA4" w:rsidRDefault="00972EA4">
          <w:pPr>
            <w:pStyle w:val="TOC2"/>
            <w:tabs>
              <w:tab w:val="right" w:leader="dot" w:pos="9016"/>
            </w:tabs>
            <w:rPr>
              <w:noProof/>
            </w:rPr>
          </w:pPr>
          <w:hyperlink w:anchor="_Toc236773604" w:history="1">
            <w:r w:rsidRPr="00A970EA">
              <w:rPr>
                <w:rStyle w:val="Hyperlink"/>
                <w:noProof/>
              </w:rPr>
              <w:t>Theme 3: Variation in service provision and continuity of care</w:t>
            </w:r>
            <w:r>
              <w:rPr>
                <w:noProof/>
                <w:webHidden/>
              </w:rPr>
              <w:tab/>
            </w:r>
            <w:r>
              <w:rPr>
                <w:noProof/>
                <w:webHidden/>
              </w:rPr>
              <w:fldChar w:fldCharType="begin"/>
            </w:r>
            <w:r>
              <w:rPr>
                <w:noProof/>
                <w:webHidden/>
              </w:rPr>
              <w:instrText xml:space="preserve"> PAGEREF _Toc236773604 \h </w:instrText>
            </w:r>
            <w:r>
              <w:rPr>
                <w:noProof/>
                <w:webHidden/>
              </w:rPr>
            </w:r>
            <w:r>
              <w:rPr>
                <w:noProof/>
                <w:webHidden/>
              </w:rPr>
              <w:fldChar w:fldCharType="separate"/>
            </w:r>
            <w:r>
              <w:rPr>
                <w:noProof/>
                <w:webHidden/>
              </w:rPr>
              <w:t>9</w:t>
            </w:r>
            <w:r>
              <w:rPr>
                <w:noProof/>
                <w:webHidden/>
              </w:rPr>
              <w:fldChar w:fldCharType="end"/>
            </w:r>
          </w:hyperlink>
        </w:p>
        <w:p w14:paraId="557A2EF2" w14:textId="2DAF0003" w:rsidR="00972EA4" w:rsidRDefault="00972EA4">
          <w:pPr>
            <w:pStyle w:val="TOC1"/>
            <w:tabs>
              <w:tab w:val="right" w:leader="dot" w:pos="9016"/>
            </w:tabs>
            <w:rPr>
              <w:noProof/>
            </w:rPr>
          </w:pPr>
          <w:hyperlink w:anchor="_Toc236773605" w:history="1">
            <w:r w:rsidRPr="00A970EA">
              <w:rPr>
                <w:rStyle w:val="Hyperlink"/>
                <w:noProof/>
              </w:rPr>
              <w:t>Discussion</w:t>
            </w:r>
            <w:r>
              <w:rPr>
                <w:noProof/>
                <w:webHidden/>
              </w:rPr>
              <w:tab/>
            </w:r>
            <w:r>
              <w:rPr>
                <w:noProof/>
                <w:webHidden/>
              </w:rPr>
              <w:fldChar w:fldCharType="begin"/>
            </w:r>
            <w:r>
              <w:rPr>
                <w:noProof/>
                <w:webHidden/>
              </w:rPr>
              <w:instrText xml:space="preserve"> PAGEREF _Toc236773605 \h </w:instrText>
            </w:r>
            <w:r>
              <w:rPr>
                <w:noProof/>
                <w:webHidden/>
              </w:rPr>
            </w:r>
            <w:r>
              <w:rPr>
                <w:noProof/>
                <w:webHidden/>
              </w:rPr>
              <w:fldChar w:fldCharType="separate"/>
            </w:r>
            <w:r>
              <w:rPr>
                <w:noProof/>
                <w:webHidden/>
              </w:rPr>
              <w:t>12</w:t>
            </w:r>
            <w:r>
              <w:rPr>
                <w:noProof/>
                <w:webHidden/>
              </w:rPr>
              <w:fldChar w:fldCharType="end"/>
            </w:r>
          </w:hyperlink>
        </w:p>
        <w:p w14:paraId="4B67E7C2" w14:textId="1F82EE7E" w:rsidR="00972EA4" w:rsidRDefault="00972EA4">
          <w:pPr>
            <w:pStyle w:val="TOC1"/>
            <w:tabs>
              <w:tab w:val="right" w:leader="dot" w:pos="9016"/>
            </w:tabs>
            <w:rPr>
              <w:noProof/>
            </w:rPr>
          </w:pPr>
          <w:hyperlink w:anchor="_Toc236773606" w:history="1">
            <w:r w:rsidRPr="00A970EA">
              <w:rPr>
                <w:rStyle w:val="Hyperlink"/>
                <w:noProof/>
              </w:rPr>
              <w:t>Conclusion</w:t>
            </w:r>
            <w:r>
              <w:rPr>
                <w:noProof/>
                <w:webHidden/>
              </w:rPr>
              <w:tab/>
            </w:r>
            <w:r>
              <w:rPr>
                <w:noProof/>
                <w:webHidden/>
              </w:rPr>
              <w:fldChar w:fldCharType="begin"/>
            </w:r>
            <w:r>
              <w:rPr>
                <w:noProof/>
                <w:webHidden/>
              </w:rPr>
              <w:instrText xml:space="preserve"> PAGEREF _Toc236773606 \h </w:instrText>
            </w:r>
            <w:r>
              <w:rPr>
                <w:noProof/>
                <w:webHidden/>
              </w:rPr>
            </w:r>
            <w:r>
              <w:rPr>
                <w:noProof/>
                <w:webHidden/>
              </w:rPr>
              <w:fldChar w:fldCharType="separate"/>
            </w:r>
            <w:r>
              <w:rPr>
                <w:noProof/>
                <w:webHidden/>
              </w:rPr>
              <w:t>14</w:t>
            </w:r>
            <w:r>
              <w:rPr>
                <w:noProof/>
                <w:webHidden/>
              </w:rPr>
              <w:fldChar w:fldCharType="end"/>
            </w:r>
          </w:hyperlink>
        </w:p>
        <w:p w14:paraId="6C32EDB7" w14:textId="76D5C4EB" w:rsidR="00972EA4" w:rsidRDefault="00972EA4">
          <w:pPr>
            <w:pStyle w:val="TOC1"/>
            <w:tabs>
              <w:tab w:val="right" w:leader="dot" w:pos="9016"/>
            </w:tabs>
            <w:rPr>
              <w:noProof/>
            </w:rPr>
          </w:pPr>
          <w:hyperlink w:anchor="_Toc236773607" w:history="1">
            <w:r w:rsidRPr="00A970EA">
              <w:rPr>
                <w:rStyle w:val="Hyperlink"/>
                <w:noProof/>
              </w:rPr>
              <w:t>References</w:t>
            </w:r>
            <w:r>
              <w:rPr>
                <w:noProof/>
                <w:webHidden/>
              </w:rPr>
              <w:tab/>
            </w:r>
            <w:r>
              <w:rPr>
                <w:noProof/>
                <w:webHidden/>
              </w:rPr>
              <w:fldChar w:fldCharType="begin"/>
            </w:r>
            <w:r>
              <w:rPr>
                <w:noProof/>
                <w:webHidden/>
              </w:rPr>
              <w:instrText xml:space="preserve"> PAGEREF _Toc236773607 \h </w:instrText>
            </w:r>
            <w:r>
              <w:rPr>
                <w:noProof/>
                <w:webHidden/>
              </w:rPr>
            </w:r>
            <w:r>
              <w:rPr>
                <w:noProof/>
                <w:webHidden/>
              </w:rPr>
              <w:fldChar w:fldCharType="separate"/>
            </w:r>
            <w:r>
              <w:rPr>
                <w:noProof/>
                <w:webHidden/>
              </w:rPr>
              <w:t>15</w:t>
            </w:r>
            <w:r>
              <w:rPr>
                <w:noProof/>
                <w:webHidden/>
              </w:rPr>
              <w:fldChar w:fldCharType="end"/>
            </w:r>
          </w:hyperlink>
        </w:p>
        <w:p w14:paraId="6D3F0584" w14:textId="01F06F19" w:rsidR="00972EA4" w:rsidRDefault="00972EA4">
          <w:r>
            <w:rPr>
              <w:b/>
              <w:bCs/>
              <w:noProof/>
            </w:rPr>
            <w:fldChar w:fldCharType="end"/>
          </w:r>
        </w:p>
      </w:sdtContent>
    </w:sdt>
    <w:p w14:paraId="10F88438" w14:textId="77777777" w:rsidR="004F3920" w:rsidRDefault="004F3920" w:rsidP="004F3920">
      <w:pPr>
        <w:spacing w:line="360" w:lineRule="auto"/>
      </w:pPr>
    </w:p>
    <w:p w14:paraId="43CA5B3D" w14:textId="77777777" w:rsidR="00972EA4" w:rsidRDefault="00972EA4" w:rsidP="004F3920">
      <w:pPr>
        <w:spacing w:line="360" w:lineRule="auto"/>
      </w:pPr>
    </w:p>
    <w:p w14:paraId="3C7D8BC3" w14:textId="77777777" w:rsidR="00972EA4" w:rsidRDefault="00972EA4" w:rsidP="004F3920">
      <w:pPr>
        <w:spacing w:line="360" w:lineRule="auto"/>
      </w:pPr>
    </w:p>
    <w:p w14:paraId="1D1B5D10" w14:textId="77777777" w:rsidR="00972EA4" w:rsidRDefault="00972EA4" w:rsidP="004F3920">
      <w:pPr>
        <w:spacing w:line="360" w:lineRule="auto"/>
      </w:pPr>
    </w:p>
    <w:p w14:paraId="226B74A5" w14:textId="77777777" w:rsidR="00972EA4" w:rsidRDefault="00972EA4" w:rsidP="004F3920">
      <w:pPr>
        <w:spacing w:line="360" w:lineRule="auto"/>
      </w:pPr>
    </w:p>
    <w:p w14:paraId="71CDAF06" w14:textId="77777777" w:rsidR="00972EA4" w:rsidRDefault="00972EA4" w:rsidP="004F3920">
      <w:pPr>
        <w:spacing w:line="360" w:lineRule="auto"/>
      </w:pPr>
    </w:p>
    <w:p w14:paraId="453F934D" w14:textId="77777777" w:rsidR="00972EA4" w:rsidRDefault="00972EA4" w:rsidP="004F3920">
      <w:pPr>
        <w:spacing w:line="360" w:lineRule="auto"/>
      </w:pPr>
    </w:p>
    <w:p w14:paraId="5EF824C0" w14:textId="77777777" w:rsidR="004F3920" w:rsidRDefault="004F3920" w:rsidP="004F3920">
      <w:pPr>
        <w:spacing w:line="360" w:lineRule="auto"/>
      </w:pPr>
    </w:p>
    <w:p w14:paraId="45C03F7A" w14:textId="77777777" w:rsidR="004F3920" w:rsidRDefault="004F3920" w:rsidP="004F3920">
      <w:pPr>
        <w:spacing w:line="360" w:lineRule="auto"/>
      </w:pPr>
    </w:p>
    <w:p w14:paraId="477B4C39" w14:textId="77777777" w:rsidR="004F3920" w:rsidRDefault="004F3920" w:rsidP="004F3920">
      <w:pPr>
        <w:spacing w:line="360" w:lineRule="auto"/>
      </w:pPr>
    </w:p>
    <w:p w14:paraId="78D51619" w14:textId="77777777" w:rsidR="004F3920" w:rsidRDefault="004F3920" w:rsidP="004F3920">
      <w:pPr>
        <w:spacing w:line="360" w:lineRule="auto"/>
      </w:pPr>
    </w:p>
    <w:p w14:paraId="06B76F69" w14:textId="77777777" w:rsidR="004F3920" w:rsidRDefault="004F3920" w:rsidP="004F3920">
      <w:pPr>
        <w:spacing w:line="360" w:lineRule="auto"/>
      </w:pPr>
    </w:p>
    <w:p w14:paraId="5C22228F" w14:textId="05CD18F8" w:rsidR="00DD29FD" w:rsidRDefault="00A5415D" w:rsidP="00A5415D">
      <w:pPr>
        <w:pStyle w:val="Heading1"/>
        <w:spacing w:line="360" w:lineRule="auto"/>
      </w:pPr>
      <w:bookmarkStart w:id="0" w:name="_Toc236773598"/>
      <w:r>
        <w:lastRenderedPageBreak/>
        <w:t>Introduction</w:t>
      </w:r>
      <w:bookmarkEnd w:id="0"/>
    </w:p>
    <w:p w14:paraId="0F6357D9" w14:textId="5D71448E" w:rsidR="00A5415D" w:rsidRDefault="00A5415D" w:rsidP="00A5415D">
      <w:pPr>
        <w:spacing w:line="360" w:lineRule="auto"/>
      </w:pPr>
      <w:r>
        <w:t>Mental health is recognised as a vital aspect of health and wellbeing that shapes and affects an individual's thinking, feelings, and functioning in everyday life. The World Health Organization (2025) defines mental health as a state of well-being in which one realises their capabilities, adapts to everyday life stresses, works productively, and contributes to society. Community mental health services in England have a key role to play in supporting adults with severe and enduring mental health conditions, assisting with assessment, treatment, rehabilitation and recovery in community settings as opposed to hospital settings (NHS, 2019). The move towards community care is part of a wider agenda to provide full, integrated and accessible services which are person-centred and supportive to recovery, minimising unnecessary hospital admissions and enhancing quality of life. The NHS (2019) Community Mental Health Framework for Adults and Older Adults outlines a vision of integrated services for health, social care and voluntary sector organisations, which are modernised and based in the community to offer coordinated support to people based on their needs.</w:t>
      </w:r>
    </w:p>
    <w:p w14:paraId="08E1CEEA" w14:textId="6D06B186" w:rsidR="00A5415D" w:rsidRDefault="00A5415D" w:rsidP="00A5415D">
      <w:pPr>
        <w:spacing w:line="360" w:lineRule="auto"/>
      </w:pPr>
      <w:r>
        <w:t>The need for mental health services in the community is growing and is an increasing priority in England. The NHS Long Term Plan and policies that have followed have placed a strong emphasis on the need to enhance the support provided in communities, with multidisciplinary working, personalised care planning and improved continuity of care. They are designed to treat the clinical symptoms, as well as broader social determinants of health (SDOH), such as housing, employment and social inclusion. While there are clear policy goals, evidence also suggests that many services are experiencing difficulties with workforce shortages, rising demand, disjointed care pathways and unequal access, which are impacting their ability to provide consistently effective services (NHS, 2019).</w:t>
      </w:r>
    </w:p>
    <w:p w14:paraId="731A96E8" w14:textId="6897B2C2" w:rsidR="00A5415D" w:rsidRDefault="00A5415D" w:rsidP="00A5415D">
      <w:pPr>
        <w:spacing w:line="360" w:lineRule="auto"/>
      </w:pPr>
      <w:r>
        <w:t xml:space="preserve">This research uses a scoping review approach to draw a map of the current evidence around adult community mental health services in England. Scoping reviews are especially suitable for examining general research areas as they identify, summarise and synthesise existing evidence and point to areas of knowledge that may be subject to further investigation (Mak and Thomas, 2022). To examine the experiences of service </w:t>
      </w:r>
      <w:r>
        <w:lastRenderedPageBreak/>
        <w:t>users and health care professionals in community mental health services, the present review focuses on recent peer-reviewed studies published in the last five years, which align with the research proposal, between 2020 and 2025.</w:t>
      </w:r>
    </w:p>
    <w:p w14:paraId="7A3882EF" w14:textId="77B05208" w:rsidR="00A5415D" w:rsidRDefault="00A5415D" w:rsidP="00A5415D">
      <w:pPr>
        <w:spacing w:line="360" w:lineRule="auto"/>
      </w:pPr>
      <w:r>
        <w:t>An ongoing challenge over the effectiveness and sustainability of community mental health services in England has underpinned the need for this review. Previous studies have shown that service users appreciate and seek therapeutic relationships with service providers that are caring and long-lasting but often struggle to obtain timely and suitable help (</w:t>
      </w:r>
      <w:proofErr w:type="spellStart"/>
      <w:r>
        <w:t>Trevillion</w:t>
      </w:r>
      <w:proofErr w:type="spellEnd"/>
      <w:r>
        <w:t xml:space="preserve"> et al., 2022). Likewise, health professionals have reported that the community mental health system is facing challenges due to a shortage of staff, high workloads and restricted resources (Sambrook et al., 2025). Additionally, there is evidence that there is a suboptimal transition between inpatient and community services that can have a negative impact on recovery and continuity of care (Minchin et al., 2025).</w:t>
      </w:r>
    </w:p>
    <w:p w14:paraId="0DC88F11" w14:textId="133BAB7D" w:rsidR="00A5415D" w:rsidRDefault="00A5415D" w:rsidP="00A5415D">
      <w:pPr>
        <w:spacing w:line="360" w:lineRule="auto"/>
      </w:pPr>
      <w:r>
        <w:t>The review will provide information on the evidence addressing the following research questions: (1) What is the evidence about the challenges and opportunities in providing effective community mental health services for adults in England? And (2) How do adults and health care professionals feel about community mental health services in England?</w:t>
      </w:r>
    </w:p>
    <w:p w14:paraId="4CD3646D" w14:textId="77777777" w:rsidR="00A5415D" w:rsidRDefault="00A5415D" w:rsidP="00A5415D">
      <w:pPr>
        <w:spacing w:line="360" w:lineRule="auto"/>
      </w:pPr>
    </w:p>
    <w:p w14:paraId="486DF223" w14:textId="369C8231" w:rsidR="00A5415D" w:rsidRDefault="00D6141E" w:rsidP="00BA27AA">
      <w:pPr>
        <w:pStyle w:val="Heading1"/>
        <w:spacing w:line="360" w:lineRule="auto"/>
      </w:pPr>
      <w:bookmarkStart w:id="1" w:name="_Toc236773599"/>
      <w:r>
        <w:t>Background</w:t>
      </w:r>
      <w:bookmarkEnd w:id="1"/>
    </w:p>
    <w:p w14:paraId="116F0D63" w14:textId="551407E1" w:rsidR="00D6141E" w:rsidRDefault="00D6141E" w:rsidP="00D6141E">
      <w:pPr>
        <w:spacing w:line="360" w:lineRule="auto"/>
      </w:pPr>
      <w:r>
        <w:t>Mental health is a big public health priority in England; about 1 in every 4 adults has a mental health problem every year (NHS England, n.d.). Community mental health services are available to adults with severe mental illness for assessment, treatment and continuing support to encourage their recovery, independence and social inclusion and to minimise the need for in-patient services. In the last 20 years, mental health policy has moved away from using institutions to provide mental health services and towards supporting services in the community, where treatment that is closer to home is more effective and person-centred care is more likely to be supported (NHS, 2019).</w:t>
      </w:r>
    </w:p>
    <w:p w14:paraId="6C6153F9" w14:textId="77777777" w:rsidR="00D6141E" w:rsidRDefault="00D6141E" w:rsidP="00D6141E">
      <w:pPr>
        <w:spacing w:line="360" w:lineRule="auto"/>
      </w:pPr>
    </w:p>
    <w:p w14:paraId="4FEAEF03" w14:textId="78379920" w:rsidR="00D6141E" w:rsidRDefault="00D6141E" w:rsidP="00D6141E">
      <w:pPr>
        <w:spacing w:line="360" w:lineRule="auto"/>
      </w:pPr>
      <w:r>
        <w:t>This is led by key policy which has been developed to support this vision of integrated place-based services, and this is the Community Mental Health Framework for Adults and Older Adults (NHS England, 2019). The framework promotes a whole-person, whole-system approach to delivering personalised services and suggests a way of working between NHS organisations, local authorities and voluntary service providers that can enhance the quality of services delivered. It also encourages prevention, early intervention, continuity of care, co-production with service users to enhance long-term recovery and minimise fragmentation between services (NHS, 2019).</w:t>
      </w:r>
    </w:p>
    <w:p w14:paraId="6B1EC02A" w14:textId="6C4C8553" w:rsidR="00D6141E" w:rsidRDefault="00D6141E" w:rsidP="00D6141E">
      <w:pPr>
        <w:spacing w:line="360" w:lineRule="auto"/>
      </w:pPr>
      <w:r>
        <w:t>The Mental Health Act 1983 (as amended by the Mental Health Act 2007) gives the basis for mental health care in England. It governs the assessment, treatment and protection of individuals with mental disorders and compulsion to detain when required. The changes of 2007 brought in Community Treatment Orders (CTOs), a broader definition of mental disorder and increased the powers of approved mental health professionals, plus the emphasis on care in the least restrictive environment (legislation.gov.uk, 2007). These laws, along with the Mental Capacity Act 2005, contribute to ethical and rights-respecting mental health care (legislation.gov.uk, 2005).</w:t>
      </w:r>
    </w:p>
    <w:p w14:paraId="5C4760A1" w14:textId="273C2DFF" w:rsidR="00D6141E" w:rsidRDefault="00D6141E" w:rsidP="00D6141E">
      <w:pPr>
        <w:spacing w:line="360" w:lineRule="auto"/>
      </w:pPr>
      <w:r>
        <w:t>Other recent developments have reinforced the focus on the provision of community care, including the NHS Long Term Plan (NHS England, 2019), which pledged to provide more funding for mental health services, increase community services and increase the integration of physical and mental health care. The commitments are being realised through the Community Mental Health Transformation Programme, which will involve the redesign of local services around multi-disciplinary teams based in the neighbourhood that will provide personalised and coordinated support for adults with severe mental illness. Advice for clinical practice also comes from the National Institute for Health and Care Excellence (2025), which currently advises for the use of evidence-based assessment, psychological therapies, recovery-oriented practice and shared decision-making as a means of enhancing the quality and consistency of mental health care.</w:t>
      </w:r>
    </w:p>
    <w:p w14:paraId="3B4F3186" w14:textId="6F921CD3" w:rsidR="00D6141E" w:rsidRDefault="00D6141E" w:rsidP="00D6141E">
      <w:pPr>
        <w:spacing w:line="360" w:lineRule="auto"/>
      </w:pPr>
      <w:r>
        <w:lastRenderedPageBreak/>
        <w:t>Community mental health care goes hand in hand with multidisciplinary teams (MDTs). They are usually a multidisciplinary team that comprises psychiatrists, mental health nurses, psychologists, occupational therapists, social workers, pharmacists and peer support workers and work together to meet the clinical, psychological and social needs of the person. Good MDT working helps to keep agencies informed, has a positive impact on continuity of care and supports whole-person recovery, especially for individuals with complex mental health needs (NHS, 2019).</w:t>
      </w:r>
    </w:p>
    <w:p w14:paraId="00EC3B1A" w14:textId="2B1A3759" w:rsidR="00A5415D" w:rsidRDefault="00D6141E" w:rsidP="00D6141E">
      <w:pPr>
        <w:spacing w:line="360" w:lineRule="auto"/>
      </w:pPr>
      <w:r>
        <w:t>Nevertheless, there are continued problems in community mental health services. There has been an increasing need for support due to greater awareness of mental health, demographic change and the impact of the long-term COVID-19 pandemic on services in the NHS. High caseloads and staff burnout are caused by workforce shortages and recruitment issues, and there are long waiting times for access to assessment and treatment</w:t>
      </w:r>
      <w:r w:rsidR="00BA27AA">
        <w:t xml:space="preserve"> (Stepanova et al., 2024)</w:t>
      </w:r>
      <w:r>
        <w:t>. In addition, service users have poor continuity of care, as services are fragmented between inpatient and community care settings, which negatively impacts their experience of transition</w:t>
      </w:r>
      <w:r w:rsidR="00BA27AA">
        <w:t xml:space="preserve"> (Markovich et al., 2026)</w:t>
      </w:r>
      <w:r>
        <w:t>. Moreover, there are enduring health disparities, where residents of communities with low socio-economic status and high ethnic diversity are likely to have less access to services and poorer mental health outcomes</w:t>
      </w:r>
      <w:r w:rsidR="00BA27AA">
        <w:t xml:space="preserve"> (Raghavan and Jones Nielsen, n.d.)</w:t>
      </w:r>
      <w:r>
        <w:t xml:space="preserve">. These are echoed in recent research: </w:t>
      </w:r>
      <w:proofErr w:type="spellStart"/>
      <w:r>
        <w:t>Trevillion</w:t>
      </w:r>
      <w:proofErr w:type="spellEnd"/>
      <w:r>
        <w:t xml:space="preserve"> et al. (2022) wrote about the significance of therapeutic relationships; Sambrook et al. (2025) discussed pressures on the health care workforce; and Minchin et al. (2025) found that there were variations in mental health services across England. These challenges were taken together to underpin the current scoping review.</w:t>
      </w:r>
    </w:p>
    <w:p w14:paraId="40BFE318" w14:textId="77777777" w:rsidR="00BA27AA" w:rsidRDefault="00BA27AA" w:rsidP="00D6141E">
      <w:pPr>
        <w:spacing w:line="360" w:lineRule="auto"/>
      </w:pPr>
    </w:p>
    <w:p w14:paraId="41198FAC" w14:textId="6AF0C015" w:rsidR="00BA27AA" w:rsidRDefault="00CC0FB9" w:rsidP="00CC0FB9">
      <w:pPr>
        <w:pStyle w:val="Heading1"/>
        <w:spacing w:line="360" w:lineRule="auto"/>
      </w:pPr>
      <w:bookmarkStart w:id="2" w:name="_Toc236773600"/>
      <w:r>
        <w:t>Methods</w:t>
      </w:r>
      <w:bookmarkEnd w:id="2"/>
    </w:p>
    <w:p w14:paraId="26D99624" w14:textId="31187872" w:rsidR="00CC0FB9" w:rsidRDefault="00CC0FB9" w:rsidP="00CC0FB9">
      <w:pPr>
        <w:spacing w:line="360" w:lineRule="auto"/>
      </w:pPr>
      <w:r>
        <w:t xml:space="preserve">A scoping review design was used in this study to identify, map and synthesise the current evidence on community mental health services for adults in England. A scoping review approach was selected due to the nature of the review questions that aimed to investigate the breadth of evidence available on service delivery, service user </w:t>
      </w:r>
      <w:r>
        <w:lastRenderedPageBreak/>
        <w:t>experiences and perspectives of health care professionals on the effectiveness of a single intervention. Scoping reviews are especially beneficial in the analysis of a complex healthcare topic to identify gaps in the research and to inform future policy, practice and research (Mak and Thomas, 2022).</w:t>
      </w:r>
    </w:p>
    <w:p w14:paraId="3083041E" w14:textId="433D1E23" w:rsidR="00CC0FB9" w:rsidRDefault="00CC0FB9" w:rsidP="00CC0FB9">
      <w:pPr>
        <w:spacing w:line="360" w:lineRule="auto"/>
      </w:pPr>
      <w:r>
        <w:t>The review was conducted using the five-stage process proposed by Arksey and O'Malley (2005): Identifying the research question, identifying relevant studies, study selection, charting the data and collating, summarising and reporting the findings. To enhance transparency and methodological rigour, reporting was done according to the Preferred Reporting Items for Systematic Reviews and Meta-Analyses Extension for Scoping Reviews (PRISMA-</w:t>
      </w:r>
      <w:proofErr w:type="spellStart"/>
      <w:r>
        <w:t>ScR</w:t>
      </w:r>
      <w:proofErr w:type="spellEnd"/>
      <w:r>
        <w:t>).</w:t>
      </w:r>
    </w:p>
    <w:p w14:paraId="50DC7A62" w14:textId="6AF48FCA" w:rsidR="00CC0FB9" w:rsidRDefault="00CC0FB9" w:rsidP="00CC0FB9">
      <w:pPr>
        <w:spacing w:line="360" w:lineRule="auto"/>
      </w:pPr>
      <w:r>
        <w:t>The electronic searches were conducted in the research proposal, using the databases CINAHL, PubMed, PsycINFO and Scopus. The search terms used were variations of 'community mental health services' and 'England', with the terms 'adult mental health', 'service users', 'healthcare professionals' and 'community care', using the Boolean operators (AND/OR) between the different terms. To ensure that the evidence provided was in line with current policy and practice, searches were limited to peer-reviewed articles published in English from the year 2020 to 2025.</w:t>
      </w:r>
    </w:p>
    <w:p w14:paraId="53E74C9E" w14:textId="4553B527" w:rsidR="00CC0FB9" w:rsidRDefault="00CC0FB9" w:rsidP="00CC0FB9">
      <w:pPr>
        <w:spacing w:line="360" w:lineRule="auto"/>
      </w:pPr>
      <w:r>
        <w:t>Studies were eligible for inclusion if they investigated adult community mental health services in England and reported the experiences of service users and/or health services personnel, service delivery or factors influencing community mental health care. Only studies which included inpatient settings were included, along with those that included child and adolescent services, non-UK populations, conference abstracts or non-peer-reviewed literature. Studies were initially screened by their titles and abstracts for eligibility, and then papers with potential relevance were screened in full text. Five studies were chosen for data extraction that fulfilled the inclusion criteria.</w:t>
      </w:r>
    </w:p>
    <w:p w14:paraId="3D7751AD" w14:textId="49E53789" w:rsidR="00CC0FB9" w:rsidRDefault="00CC0FB9" w:rsidP="00CC0FB9">
      <w:pPr>
        <w:spacing w:line="360" w:lineRule="auto"/>
      </w:pPr>
      <w:r>
        <w:t>A structured table was used to extract data, which included author, year of the study, design used, participants, setting, objectives and main findings. Thematic analysis was used to synthesise the extracted data, allowing the patterns and concepts that emerged from the studies to be identified and grouped into themes, which could be linked to the community mental health services.</w:t>
      </w:r>
    </w:p>
    <w:p w14:paraId="7ED55E5E" w14:textId="392D42E8" w:rsidR="00CC0FB9" w:rsidRDefault="00CC0FB9" w:rsidP="00CC0FB9">
      <w:pPr>
        <w:spacing w:line="360" w:lineRule="auto"/>
      </w:pPr>
      <w:r>
        <w:lastRenderedPageBreak/>
        <w:t>This study only involved a literature review, so formal ethics approval was not required. However, the review was undertaken with an understanding of the principles of academic integrity with accurate referencing, objective reporting and no plagiarism.</w:t>
      </w:r>
    </w:p>
    <w:p w14:paraId="4A37EF29" w14:textId="09CC20AC" w:rsidR="00CC0FB9" w:rsidRDefault="00CC0FB9" w:rsidP="00CC0FB9">
      <w:pPr>
        <w:spacing w:line="360" w:lineRule="auto"/>
      </w:pPr>
      <w:r>
        <w:t>A potential bias in this review is that it only included English-language, peer-reviewed studies published from 2020 to 2025 and may not have included relevant studies from past years or grey literature. In addition, the restricted number of studies included restricts the generalisability of the findings but is appropriate for a scoping review.</w:t>
      </w:r>
    </w:p>
    <w:p w14:paraId="713AD8BA" w14:textId="77777777" w:rsidR="00CC0FB9" w:rsidRDefault="00CC0FB9" w:rsidP="00CC0FB9">
      <w:pPr>
        <w:spacing w:line="360" w:lineRule="auto"/>
      </w:pPr>
    </w:p>
    <w:p w14:paraId="793C4C75" w14:textId="37271A2D" w:rsidR="00CC0FB9" w:rsidRDefault="001679FA" w:rsidP="001679FA">
      <w:pPr>
        <w:pStyle w:val="Heading1"/>
        <w:spacing w:line="360" w:lineRule="auto"/>
      </w:pPr>
      <w:bookmarkStart w:id="3" w:name="_Toc236773601"/>
      <w:r>
        <w:t>Results</w:t>
      </w:r>
      <w:bookmarkEnd w:id="3"/>
    </w:p>
    <w:p w14:paraId="69ADBBDE" w14:textId="37A5B13C" w:rsidR="001679FA" w:rsidRDefault="001679FA" w:rsidP="00CC0FB9">
      <w:pPr>
        <w:spacing w:line="360" w:lineRule="auto"/>
      </w:pPr>
      <w:r w:rsidRPr="001679FA">
        <w:t xml:space="preserve">Three peer-reviewed studies were chosen for inclusion in this scoping review after the search strategy and application of the inclusion and exclusion criteria. All the studies were conducted from 2022 to 2025 and were about the provision of adult community mental health services in England. Two studies used qualitative research approaches to investigate the service user and health service provider experiences, while one study was a cross-sectional ecological study exploring the differential provision of mental health services across England. The studies covered various themes relating to community mental health </w:t>
      </w:r>
      <w:r>
        <w:t>services but</w:t>
      </w:r>
      <w:r w:rsidRPr="001679FA">
        <w:t xml:space="preserve"> together offered evidence on topics such as experience of the </w:t>
      </w:r>
      <w:r>
        <w:t>services,</w:t>
      </w:r>
      <w:r w:rsidRPr="001679FA">
        <w:t xml:space="preserve"> workforce issues, and continuity of care. </w:t>
      </w:r>
    </w:p>
    <w:p w14:paraId="266E19B4" w14:textId="6FCC5139" w:rsidR="001679FA" w:rsidRDefault="001679FA" w:rsidP="001679FA">
      <w:pPr>
        <w:pStyle w:val="Heading2"/>
        <w:spacing w:line="360" w:lineRule="auto"/>
      </w:pPr>
      <w:bookmarkStart w:id="4" w:name="_Toc236773602"/>
      <w:r>
        <w:t>Theme 1: Service user experiences of community mental health services</w:t>
      </w:r>
      <w:bookmarkEnd w:id="4"/>
    </w:p>
    <w:p w14:paraId="30F42B9F" w14:textId="787DAE43" w:rsidR="001679FA" w:rsidRDefault="001679FA" w:rsidP="00CC0FB9">
      <w:pPr>
        <w:spacing w:line="360" w:lineRule="auto"/>
      </w:pPr>
      <w:proofErr w:type="spellStart"/>
      <w:r w:rsidRPr="001679FA">
        <w:t>Trevillion</w:t>
      </w:r>
      <w:proofErr w:type="spellEnd"/>
      <w:r w:rsidRPr="001679FA">
        <w:t xml:space="preserve"> et al. (2022) investigated adults with complex emotional needs' views of community mental health services in England. Compassionate, trusting and long-term therapeutic relationships with health care professionals were essential to positive recovery experiences, as consistently reported by participants. The service users appreciated empathetic professionals who listened to them without </w:t>
      </w:r>
      <w:r>
        <w:t>judgement</w:t>
      </w:r>
      <w:r w:rsidRPr="001679FA">
        <w:t xml:space="preserve"> and engaged them in decision-making around their care. Many participants also reported a problem in obtaining suitable services and in the service pathways, that is, the lack of consistency in the support offered by the different providers. Multiple people had their </w:t>
      </w:r>
      <w:r w:rsidRPr="001679FA">
        <w:lastRenderedPageBreak/>
        <w:t xml:space="preserve">referrals not </w:t>
      </w:r>
      <w:r>
        <w:t>followed up</w:t>
      </w:r>
      <w:r w:rsidRPr="001679FA">
        <w:t xml:space="preserve"> in a timely fashion, causing a delay in recovery and frustration. Participants also highlighted the importance of continuity of care, as it was important that there were no multiple changes in professionals, as this meant they lost trust and needed to repeat their experiences. The overall findings indicate that the effective provision of community mental health services requires more than clinical </w:t>
      </w:r>
      <w:r>
        <w:t>work – person-centred</w:t>
      </w:r>
      <w:r w:rsidRPr="001679FA">
        <w:t xml:space="preserve"> relationships with the emphasis on trust, consistency and collaborative care are also crucial.</w:t>
      </w:r>
    </w:p>
    <w:p w14:paraId="2E59B8EE" w14:textId="4BD3A0D5" w:rsidR="001679FA" w:rsidRDefault="001679FA" w:rsidP="00CC0FB9">
      <w:pPr>
        <w:spacing w:line="360" w:lineRule="auto"/>
      </w:pPr>
      <w:r w:rsidRPr="001679FA">
        <w:t>Participants also highlighted the need for them to be treated with dignity, respect and understanding during their interactions with community mental health services. They appreciated services that took a "whole person" view of mental health and considered the broader social determinants of mental health, such as employment status, housing and personal relationships. On the other hand, participants said they felt discouraged if they found the services challenging to navigate</w:t>
      </w:r>
      <w:r>
        <w:t xml:space="preserve"> or if</w:t>
      </w:r>
      <w:r w:rsidRPr="001679FA">
        <w:t xml:space="preserve"> communication was lacking among the professionals, leading to repetitive assessments and inconsistent services. Involving service users in care planning and decision-making was thought to build trust, foster recovery and help to make support more targeted to their needs and personal situations.</w:t>
      </w:r>
    </w:p>
    <w:p w14:paraId="08521FF9" w14:textId="41FA317C" w:rsidR="001679FA" w:rsidRDefault="001679FA" w:rsidP="001679FA">
      <w:pPr>
        <w:pStyle w:val="Heading2"/>
        <w:spacing w:line="360" w:lineRule="auto"/>
      </w:pPr>
      <w:bookmarkStart w:id="5" w:name="_Toc236773603"/>
      <w:r>
        <w:t>Theme 2: Workforce pressures and staff experiences</w:t>
      </w:r>
      <w:bookmarkEnd w:id="5"/>
    </w:p>
    <w:p w14:paraId="32408880" w14:textId="63CE9272" w:rsidR="001679FA" w:rsidRDefault="001679FA" w:rsidP="00CC0FB9">
      <w:pPr>
        <w:spacing w:line="360" w:lineRule="auto"/>
      </w:pPr>
      <w:r w:rsidRPr="001679FA">
        <w:t xml:space="preserve">The study by Sambrook et al. (2025) explored the experiences of NHS and voluntary sector mental health care workers delivering mental health care in the community setting in England. Participants noted that community mental health services were operating under great pressure due to growing </w:t>
      </w:r>
      <w:r>
        <w:t>demand and</w:t>
      </w:r>
      <w:r w:rsidRPr="001679FA">
        <w:t xml:space="preserve"> a lack of staff and resources. Staff stated that they had high workloads, recruitment and retention challenges </w:t>
      </w:r>
      <w:r>
        <w:t>for</w:t>
      </w:r>
      <w:r w:rsidRPr="001679FA">
        <w:t xml:space="preserve"> experienced staff and less time to offer individualised care. Several participants raised concerns that administration and organisational pressures led to a decrease in therapeutic relationships with the service users. Staff also said they were feeling emotionally drained and burnt </w:t>
      </w:r>
      <w:r>
        <w:t>out and</w:t>
      </w:r>
      <w:r w:rsidRPr="001679FA">
        <w:t xml:space="preserve"> were concerned if the shortage of staff would be sustainable in the </w:t>
      </w:r>
      <w:r>
        <w:t>long term</w:t>
      </w:r>
      <w:r w:rsidRPr="001679FA">
        <w:t xml:space="preserve"> for community mental health services. Despite these difficulties, healthcare practitioners continued to provide </w:t>
      </w:r>
      <w:r>
        <w:t>good-quality</w:t>
      </w:r>
      <w:r w:rsidRPr="001679FA">
        <w:t xml:space="preserve"> care and </w:t>
      </w:r>
      <w:r w:rsidRPr="001679FA">
        <w:lastRenderedPageBreak/>
        <w:t xml:space="preserve">appreciated the benefits of </w:t>
      </w:r>
      <w:r>
        <w:t>multidisciplinary</w:t>
      </w:r>
      <w:r w:rsidRPr="001679FA">
        <w:t xml:space="preserve"> working and partnerships between </w:t>
      </w:r>
      <w:r>
        <w:t xml:space="preserve">the </w:t>
      </w:r>
      <w:r w:rsidRPr="001679FA">
        <w:t xml:space="preserve">NHS and </w:t>
      </w:r>
      <w:r>
        <w:t>third-sector</w:t>
      </w:r>
      <w:r w:rsidRPr="001679FA">
        <w:t xml:space="preserve"> organisations in supporting recovery.</w:t>
      </w:r>
    </w:p>
    <w:p w14:paraId="4202E710" w14:textId="21DE338D" w:rsidR="001679FA" w:rsidRDefault="001679FA" w:rsidP="00CC0FB9">
      <w:pPr>
        <w:spacing w:line="360" w:lineRule="auto"/>
      </w:pPr>
      <w:r w:rsidRPr="001679FA">
        <w:t xml:space="preserve">The study also identified the influence of staffing issues on staff wellbeing and the quality-of-service provision. A significant number of participants were concerned about ongoing staffing </w:t>
      </w:r>
      <w:r>
        <w:t>deficits,</w:t>
      </w:r>
      <w:r w:rsidRPr="001679FA">
        <w:t xml:space="preserve"> which were making proactive recovery-based services more difficult, leading to more reactive and crisis-based services. However, while many staff recognised the importance of continuity of care, they also reported that this was not always possible due to limited </w:t>
      </w:r>
      <w:r>
        <w:t>resources and</w:t>
      </w:r>
      <w:r w:rsidRPr="001679FA">
        <w:t xml:space="preserve"> that they were unable to reach service users regularly. Participants highlighted the importance of increased investment in workforce recruitment, retention, staff development and </w:t>
      </w:r>
      <w:r>
        <w:t>multidisciplinary</w:t>
      </w:r>
      <w:r w:rsidRPr="001679FA">
        <w:t xml:space="preserve"> working to enhance staff wellbeing and the effectiveness of community services and supports for mental health.</w:t>
      </w:r>
    </w:p>
    <w:p w14:paraId="36BAFE23" w14:textId="1D21F2EB" w:rsidR="001679FA" w:rsidRDefault="001679FA" w:rsidP="001679FA">
      <w:pPr>
        <w:pStyle w:val="Heading2"/>
        <w:spacing w:line="360" w:lineRule="auto"/>
      </w:pPr>
      <w:bookmarkStart w:id="6" w:name="_Toc236773604"/>
      <w:r>
        <w:t>Theme 3: Variation in service provision and continuity of care</w:t>
      </w:r>
      <w:bookmarkEnd w:id="6"/>
    </w:p>
    <w:p w14:paraId="5ADE72D6" w14:textId="3512B3CB" w:rsidR="001679FA" w:rsidRDefault="001679FA" w:rsidP="001679FA">
      <w:pPr>
        <w:spacing w:line="360" w:lineRule="auto"/>
      </w:pPr>
      <w:r>
        <w:t>Using national data, Minchin et al. (2025) looked at the variation in mental health services provision across England. The study showed significant geographical variation in the provision of community mental health services and that this variation in resources, deprivation and service organisation had an impact on the outcomes for patients. There were inequalities in rates of involuntary psychiatric hospitalisation, with areas of higher social deprivation having higher rates. The findings also showed the need for seamless inpatient/community connections. Individuals were more likely to have disrupted recovery and poor continuity of care where the discharge planning and follow-up were not consistent. The study findings indicated that coordination of services and minimising regional variation should be a focus in service development in the future. Together, the findings suggest that a key factor for effective community mental health care will be the integration of services and the level of equity in the distribution of resources and continuity of care across England.</w:t>
      </w:r>
    </w:p>
    <w:p w14:paraId="19F508B7" w14:textId="6A4A18C8" w:rsidR="001679FA" w:rsidRDefault="001679FA" w:rsidP="001679FA">
      <w:pPr>
        <w:spacing w:line="360" w:lineRule="auto"/>
      </w:pPr>
      <w:r>
        <w:t xml:space="preserve">Continuity of care was a consistent finding across the three studies as an important factor in positive outcomes in community mental health services. Despite the different approaches and perspectives of each study, there was a clear recognition of the need for 'integrated' services and supportive professional relationships and sufficient </w:t>
      </w:r>
      <w:r>
        <w:lastRenderedPageBreak/>
        <w:t>workforce capacity to provide 'person-centred' services. The findings also highlight that the workforce continues to be a major obstacle to meeting the aims of current NHS mental health policy, together with geographical inequalities and disjointed care pathways.</w:t>
      </w:r>
    </w:p>
    <w:tbl>
      <w:tblPr>
        <w:tblStyle w:val="TableGrid"/>
        <w:tblW w:w="0" w:type="auto"/>
        <w:tblLook w:val="04A0" w:firstRow="1" w:lastRow="0" w:firstColumn="1" w:lastColumn="0" w:noHBand="0" w:noVBand="1"/>
      </w:tblPr>
      <w:tblGrid>
        <w:gridCol w:w="1491"/>
        <w:gridCol w:w="1768"/>
        <w:gridCol w:w="1494"/>
        <w:gridCol w:w="2403"/>
        <w:gridCol w:w="1860"/>
      </w:tblGrid>
      <w:tr w:rsidR="004F3920" w:rsidRPr="004F3920" w14:paraId="48E608C3" w14:textId="77777777" w:rsidTr="004F3920">
        <w:tc>
          <w:tcPr>
            <w:tcW w:w="1803" w:type="dxa"/>
          </w:tcPr>
          <w:p w14:paraId="4ED1F1B5" w14:textId="1CAA13F0" w:rsidR="004F3920" w:rsidRPr="004F3920" w:rsidRDefault="004F3920" w:rsidP="001679FA">
            <w:pPr>
              <w:spacing w:line="360" w:lineRule="auto"/>
              <w:rPr>
                <w:b/>
                <w:bCs/>
              </w:rPr>
            </w:pPr>
            <w:r w:rsidRPr="004F3920">
              <w:rPr>
                <w:b/>
                <w:bCs/>
              </w:rPr>
              <w:t>Study</w:t>
            </w:r>
          </w:p>
        </w:tc>
        <w:tc>
          <w:tcPr>
            <w:tcW w:w="1803" w:type="dxa"/>
          </w:tcPr>
          <w:p w14:paraId="67329E58" w14:textId="5153D60C" w:rsidR="004F3920" w:rsidRPr="004F3920" w:rsidRDefault="004F3920" w:rsidP="001679FA">
            <w:pPr>
              <w:spacing w:line="360" w:lineRule="auto"/>
              <w:rPr>
                <w:b/>
                <w:bCs/>
              </w:rPr>
            </w:pPr>
            <w:r w:rsidRPr="004F3920">
              <w:rPr>
                <w:b/>
                <w:bCs/>
              </w:rPr>
              <w:t>Aim</w:t>
            </w:r>
          </w:p>
        </w:tc>
        <w:tc>
          <w:tcPr>
            <w:tcW w:w="1803" w:type="dxa"/>
          </w:tcPr>
          <w:p w14:paraId="1BF17DE6" w14:textId="4ADD715F" w:rsidR="004F3920" w:rsidRPr="004F3920" w:rsidRDefault="004F3920" w:rsidP="001679FA">
            <w:pPr>
              <w:spacing w:line="360" w:lineRule="auto"/>
              <w:rPr>
                <w:b/>
                <w:bCs/>
              </w:rPr>
            </w:pPr>
            <w:r w:rsidRPr="004F3920">
              <w:rPr>
                <w:b/>
                <w:bCs/>
              </w:rPr>
              <w:t>Design</w:t>
            </w:r>
          </w:p>
        </w:tc>
        <w:tc>
          <w:tcPr>
            <w:tcW w:w="1803" w:type="dxa"/>
          </w:tcPr>
          <w:p w14:paraId="1A77918F" w14:textId="0ABC7036" w:rsidR="004F3920" w:rsidRPr="004F3920" w:rsidRDefault="004F3920" w:rsidP="001679FA">
            <w:pPr>
              <w:spacing w:line="360" w:lineRule="auto"/>
              <w:rPr>
                <w:b/>
                <w:bCs/>
              </w:rPr>
            </w:pPr>
            <w:r w:rsidRPr="004F3920">
              <w:rPr>
                <w:b/>
                <w:bCs/>
              </w:rPr>
              <w:t>Participants/Setting</w:t>
            </w:r>
          </w:p>
        </w:tc>
        <w:tc>
          <w:tcPr>
            <w:tcW w:w="1804" w:type="dxa"/>
          </w:tcPr>
          <w:p w14:paraId="7817ECD8" w14:textId="0A5B4888" w:rsidR="004F3920" w:rsidRPr="004F3920" w:rsidRDefault="004F3920" w:rsidP="001679FA">
            <w:pPr>
              <w:spacing w:line="360" w:lineRule="auto"/>
              <w:rPr>
                <w:b/>
                <w:bCs/>
              </w:rPr>
            </w:pPr>
            <w:r w:rsidRPr="004F3920">
              <w:rPr>
                <w:b/>
                <w:bCs/>
              </w:rPr>
              <w:t>Key Findings</w:t>
            </w:r>
          </w:p>
        </w:tc>
      </w:tr>
      <w:tr w:rsidR="004F3920" w14:paraId="42F3FE21" w14:textId="77777777" w:rsidTr="004F3920">
        <w:tc>
          <w:tcPr>
            <w:tcW w:w="1803" w:type="dxa"/>
          </w:tcPr>
          <w:p w14:paraId="3BEB0911" w14:textId="36161551" w:rsidR="004F3920" w:rsidRPr="004F3920" w:rsidRDefault="004F3920" w:rsidP="001679FA">
            <w:pPr>
              <w:spacing w:line="360" w:lineRule="auto"/>
              <w:rPr>
                <w:b/>
                <w:bCs/>
              </w:rPr>
            </w:pPr>
            <w:proofErr w:type="spellStart"/>
            <w:r w:rsidRPr="004F3920">
              <w:rPr>
                <w:b/>
                <w:bCs/>
              </w:rPr>
              <w:t>Trevillion</w:t>
            </w:r>
            <w:proofErr w:type="spellEnd"/>
            <w:r w:rsidRPr="004F3920">
              <w:rPr>
                <w:b/>
                <w:bCs/>
              </w:rPr>
              <w:t xml:space="preserve"> et al. (2022)</w:t>
            </w:r>
          </w:p>
        </w:tc>
        <w:tc>
          <w:tcPr>
            <w:tcW w:w="1803" w:type="dxa"/>
          </w:tcPr>
          <w:p w14:paraId="42C79E0D" w14:textId="478E47D3" w:rsidR="004F3920" w:rsidRDefault="004F3920" w:rsidP="001679FA">
            <w:pPr>
              <w:spacing w:line="360" w:lineRule="auto"/>
            </w:pPr>
            <w:r>
              <w:t>To analyse service users’ experiences of community health services among England-based adults with complex emotional needs</w:t>
            </w:r>
          </w:p>
        </w:tc>
        <w:tc>
          <w:tcPr>
            <w:tcW w:w="1803" w:type="dxa"/>
          </w:tcPr>
          <w:p w14:paraId="7F07407F" w14:textId="2E2FFF5B" w:rsidR="004F3920" w:rsidRDefault="004F3920" w:rsidP="001679FA">
            <w:pPr>
              <w:spacing w:line="360" w:lineRule="auto"/>
            </w:pPr>
            <w:r>
              <w:t>Qualitative interview study (co-produced)</w:t>
            </w:r>
          </w:p>
        </w:tc>
        <w:tc>
          <w:tcPr>
            <w:tcW w:w="1803" w:type="dxa"/>
          </w:tcPr>
          <w:p w14:paraId="544237EE" w14:textId="2622947C" w:rsidR="004F3920" w:rsidRDefault="004F3920" w:rsidP="001679FA">
            <w:pPr>
              <w:spacing w:line="360" w:lineRule="auto"/>
            </w:pPr>
            <w:r>
              <w:t>Adults with complex emotional needs who are receiving community health services in England</w:t>
            </w:r>
          </w:p>
        </w:tc>
        <w:tc>
          <w:tcPr>
            <w:tcW w:w="1804" w:type="dxa"/>
          </w:tcPr>
          <w:p w14:paraId="0B687F9A" w14:textId="224A4B54" w:rsidR="004F3920" w:rsidRDefault="004F3920" w:rsidP="001679FA">
            <w:pPr>
              <w:spacing w:line="360" w:lineRule="auto"/>
            </w:pPr>
            <w:r>
              <w:t>Compassionate therapeutic relationships and continuity of care were highly appreciated. Participants highlighted barriers to appropriate care services and fragmented care pathways</w:t>
            </w:r>
          </w:p>
        </w:tc>
      </w:tr>
      <w:tr w:rsidR="004F3920" w14:paraId="308A156A" w14:textId="77777777" w:rsidTr="004F3920">
        <w:tc>
          <w:tcPr>
            <w:tcW w:w="1803" w:type="dxa"/>
          </w:tcPr>
          <w:p w14:paraId="256900E5" w14:textId="5398D326" w:rsidR="004F3920" w:rsidRPr="004F3920" w:rsidRDefault="004F3920" w:rsidP="001679FA">
            <w:pPr>
              <w:spacing w:line="360" w:lineRule="auto"/>
              <w:rPr>
                <w:b/>
                <w:bCs/>
              </w:rPr>
            </w:pPr>
            <w:r w:rsidRPr="004F3920">
              <w:rPr>
                <w:b/>
                <w:bCs/>
              </w:rPr>
              <w:t>Sambrook et al. (2025)</w:t>
            </w:r>
          </w:p>
        </w:tc>
        <w:tc>
          <w:tcPr>
            <w:tcW w:w="1803" w:type="dxa"/>
          </w:tcPr>
          <w:p w14:paraId="485420EA" w14:textId="6246E49B" w:rsidR="004F3920" w:rsidRDefault="004F3920" w:rsidP="001679FA">
            <w:pPr>
              <w:spacing w:line="360" w:lineRule="auto"/>
            </w:pPr>
            <w:r>
              <w:t>To explore NHS and third-sector staff experiences of community mental healthcare in England</w:t>
            </w:r>
          </w:p>
        </w:tc>
        <w:tc>
          <w:tcPr>
            <w:tcW w:w="1803" w:type="dxa"/>
          </w:tcPr>
          <w:p w14:paraId="5E7F9509" w14:textId="3E12BC9D" w:rsidR="004F3920" w:rsidRDefault="004F3920" w:rsidP="001679FA">
            <w:pPr>
              <w:spacing w:line="360" w:lineRule="auto"/>
            </w:pPr>
            <w:r>
              <w:t>Qualitative study</w:t>
            </w:r>
          </w:p>
        </w:tc>
        <w:tc>
          <w:tcPr>
            <w:tcW w:w="1803" w:type="dxa"/>
          </w:tcPr>
          <w:p w14:paraId="5F8566EA" w14:textId="45AEFA56" w:rsidR="004F3920" w:rsidRDefault="004F3920" w:rsidP="001679FA">
            <w:pPr>
              <w:spacing w:line="360" w:lineRule="auto"/>
            </w:pPr>
            <w:r>
              <w:t>Healthcare staff in the NHS and voluntary-sector community mental health services</w:t>
            </w:r>
          </w:p>
        </w:tc>
        <w:tc>
          <w:tcPr>
            <w:tcW w:w="1804" w:type="dxa"/>
          </w:tcPr>
          <w:p w14:paraId="1BCA0763" w14:textId="4EE795B1" w:rsidR="004F3920" w:rsidRDefault="004F3920" w:rsidP="001679FA">
            <w:pPr>
              <w:spacing w:line="360" w:lineRule="auto"/>
            </w:pPr>
            <w:r>
              <w:t>Staff reported increasing demand, high caseloads, limited resources which affected quality of care and workforce shortage</w:t>
            </w:r>
          </w:p>
        </w:tc>
      </w:tr>
      <w:tr w:rsidR="004F3920" w14:paraId="72F6E30C" w14:textId="77777777" w:rsidTr="004F3920">
        <w:tc>
          <w:tcPr>
            <w:tcW w:w="1803" w:type="dxa"/>
          </w:tcPr>
          <w:p w14:paraId="3C64630B" w14:textId="6B1BCCA2" w:rsidR="004F3920" w:rsidRPr="004F3920" w:rsidRDefault="004F3920" w:rsidP="001679FA">
            <w:pPr>
              <w:spacing w:line="360" w:lineRule="auto"/>
              <w:rPr>
                <w:b/>
                <w:bCs/>
              </w:rPr>
            </w:pPr>
            <w:r w:rsidRPr="004F3920">
              <w:rPr>
                <w:b/>
                <w:bCs/>
              </w:rPr>
              <w:t>Minchin et al. (2025)</w:t>
            </w:r>
          </w:p>
        </w:tc>
        <w:tc>
          <w:tcPr>
            <w:tcW w:w="1803" w:type="dxa"/>
          </w:tcPr>
          <w:p w14:paraId="7238672C" w14:textId="5C40F406" w:rsidR="004F3920" w:rsidRDefault="004F3920" w:rsidP="001679FA">
            <w:pPr>
              <w:spacing w:line="360" w:lineRule="auto"/>
            </w:pPr>
            <w:r>
              <w:t xml:space="preserve">To delve into factors </w:t>
            </w:r>
            <w:r>
              <w:lastRenderedPageBreak/>
              <w:t>associated with variation in involuntary psychiatric hospitalisation across England</w:t>
            </w:r>
          </w:p>
        </w:tc>
        <w:tc>
          <w:tcPr>
            <w:tcW w:w="1803" w:type="dxa"/>
          </w:tcPr>
          <w:p w14:paraId="78DAFC71" w14:textId="27AE11CF" w:rsidR="004F3920" w:rsidRDefault="004F3920" w:rsidP="001679FA">
            <w:pPr>
              <w:spacing w:line="360" w:lineRule="auto"/>
            </w:pPr>
            <w:r>
              <w:lastRenderedPageBreak/>
              <w:t xml:space="preserve">Cross-sectional </w:t>
            </w:r>
            <w:r>
              <w:lastRenderedPageBreak/>
              <w:t>ecological study</w:t>
            </w:r>
          </w:p>
        </w:tc>
        <w:tc>
          <w:tcPr>
            <w:tcW w:w="1803" w:type="dxa"/>
          </w:tcPr>
          <w:p w14:paraId="041365D4" w14:textId="6A7AD41D" w:rsidR="004F3920" w:rsidRDefault="004F3920" w:rsidP="001679FA">
            <w:pPr>
              <w:spacing w:line="360" w:lineRule="auto"/>
            </w:pPr>
            <w:r>
              <w:lastRenderedPageBreak/>
              <w:t>National data from England</w:t>
            </w:r>
          </w:p>
        </w:tc>
        <w:tc>
          <w:tcPr>
            <w:tcW w:w="1804" w:type="dxa"/>
          </w:tcPr>
          <w:p w14:paraId="77362358" w14:textId="6056ED41" w:rsidR="004F3920" w:rsidRDefault="004F3920" w:rsidP="001679FA">
            <w:pPr>
              <w:spacing w:line="360" w:lineRule="auto"/>
            </w:pPr>
            <w:r>
              <w:t xml:space="preserve">Significant geographical </w:t>
            </w:r>
            <w:r>
              <w:lastRenderedPageBreak/>
              <w:t>variation was pinpointed. Social deprivation, alongside with service organisation and continuity of care influenced outcomes and put an emphasis on inequalities across community mental health provision</w:t>
            </w:r>
          </w:p>
        </w:tc>
      </w:tr>
    </w:tbl>
    <w:p w14:paraId="2DE21E1D" w14:textId="77777777" w:rsidR="004F3920" w:rsidRDefault="004F3920" w:rsidP="001679FA">
      <w:pPr>
        <w:spacing w:line="360" w:lineRule="auto"/>
      </w:pPr>
    </w:p>
    <w:p w14:paraId="471B98CA" w14:textId="77777777" w:rsidR="001679FA" w:rsidRDefault="001679FA" w:rsidP="001679FA">
      <w:pPr>
        <w:spacing w:line="360" w:lineRule="auto"/>
      </w:pPr>
    </w:p>
    <w:p w14:paraId="404F09A2" w14:textId="009D187C" w:rsidR="001679FA" w:rsidRDefault="003A7360" w:rsidP="007A453D">
      <w:pPr>
        <w:pStyle w:val="Heading1"/>
        <w:spacing w:line="360" w:lineRule="auto"/>
      </w:pPr>
      <w:bookmarkStart w:id="7" w:name="_Toc236773605"/>
      <w:r>
        <w:t>Discussion</w:t>
      </w:r>
      <w:bookmarkEnd w:id="7"/>
    </w:p>
    <w:p w14:paraId="1FC394D1" w14:textId="34360F07" w:rsidR="003A7360" w:rsidRDefault="003A7360" w:rsidP="003A7360">
      <w:pPr>
        <w:spacing w:line="360" w:lineRule="auto"/>
      </w:pPr>
      <w:r>
        <w:t xml:space="preserve">The scoping review revealed three main themes concerning adult community mental health services in England, namely, service user experiences, staff pressures and service provision variation. The results show that the national policy has been encouraging the provision of integrated and person-centred community care, but there remain various factors that hinder the provision of effective services. In all three studies, continuity of care was the most important predictor of patient satisfaction and quality of care. </w:t>
      </w:r>
      <w:proofErr w:type="spellStart"/>
      <w:r>
        <w:t>Trevillion</w:t>
      </w:r>
      <w:proofErr w:type="spellEnd"/>
      <w:r>
        <w:t xml:space="preserve"> et al. (2022) found that therapeutic relationships grounded in compassion and consistency were seen as key to recovery, and Sambrook et al. (2025) found that low worker levels meant workers were less able to provide this kind of </w:t>
      </w:r>
      <w:r>
        <w:lastRenderedPageBreak/>
        <w:t>personalised care. Likewise, Minchin et al. (2025) identified regional variation in the provision of services as a factor that exacerbated access and impeded the flow between inpatient and community settings.</w:t>
      </w:r>
    </w:p>
    <w:p w14:paraId="2D30EBF2" w14:textId="746504ED" w:rsidR="003A7360" w:rsidRDefault="003A7360" w:rsidP="003A7360">
      <w:pPr>
        <w:spacing w:line="360" w:lineRule="auto"/>
      </w:pPr>
      <w:r>
        <w:t xml:space="preserve">This is in line with the broader evidence. The NHS England Community Mental Health Survey </w:t>
      </w:r>
      <w:r w:rsidR="007A453D">
        <w:t>(2019)</w:t>
      </w:r>
      <w:r>
        <w:t xml:space="preserve"> showed that service users wanted to be listened to, have service tailored to their needs and have continuity of care but often faced long waiting times, poor communication between services and problems accessing services. Many respondents reported that their mental health worsened during the time that they were waiting for support, and the need for coordinated care pathways was also highlighted. Similarly, a recent quick scan literature review by the Care Quality Commission</w:t>
      </w:r>
      <w:r w:rsidR="007A453D">
        <w:t xml:space="preserve"> (2025)</w:t>
      </w:r>
      <w:r>
        <w:t xml:space="preserve"> has found that the problems of lack of service capacity and pressures on the workforce are impacting the way the Community Mental Health Framework is being put in place despite the continued work of the transformation programmes.</w:t>
      </w:r>
    </w:p>
    <w:p w14:paraId="48D86A78" w14:textId="77777777" w:rsidR="003A7360" w:rsidRDefault="003A7360" w:rsidP="003A7360">
      <w:pPr>
        <w:spacing w:line="360" w:lineRule="auto"/>
      </w:pPr>
    </w:p>
    <w:p w14:paraId="19CB1017" w14:textId="1DCA90D2" w:rsidR="003A7360" w:rsidRDefault="003A7360" w:rsidP="003A7360">
      <w:pPr>
        <w:spacing w:line="360" w:lineRule="auto"/>
      </w:pPr>
      <w:r>
        <w:t>The results are also aligned with NHS policy at the present time, which highlights the importance of multidisciplinary working and integrated care as key aspects of community mental health services. The Community Mental Health Framework (NHS, 2019) encourages multidisciplinary working to provide collaborative care and acknowledges that clinical, psychological and social factors all play a role in recovery. Sambrook et al. (2025), however, indicate that staffing levels are low, and caseloads are rising, which makes it harder for staff to provide the care and support that national policy intends, characterised by a personalised, recovery-focused approach. Staff pressures may also lead to staff burnout, lower levels of job satisfaction and staff turnover, which continue to restrict staff capacity.</w:t>
      </w:r>
    </w:p>
    <w:p w14:paraId="7296893A" w14:textId="06BF4D21" w:rsidR="003A7360" w:rsidRDefault="003A7360" w:rsidP="003A7360">
      <w:pPr>
        <w:spacing w:line="360" w:lineRule="auto"/>
      </w:pPr>
      <w:r>
        <w:t xml:space="preserve">The review also emphasised continuity of care across organisational boundaries as well. Repeated changes of HCPs led to a decrease in trust and service users needing to repeat experiences with each change, according to </w:t>
      </w:r>
      <w:proofErr w:type="spellStart"/>
      <w:r>
        <w:t>Trevillion</w:t>
      </w:r>
      <w:proofErr w:type="spellEnd"/>
      <w:r>
        <w:t xml:space="preserve"> et al. (2022). Likewise, Minchin et al. (2025) found that inconsistent transitioning from inpatient to community services was a key factor driving inequalities in outcomes. Continuity of care, effective information sharing and coordinated risk management are also listed as being </w:t>
      </w:r>
      <w:r>
        <w:lastRenderedPageBreak/>
        <w:t xml:space="preserve">important to safe mental health in the community by NHS England </w:t>
      </w:r>
      <w:r w:rsidR="007A453D">
        <w:t xml:space="preserve">(n.d.) </w:t>
      </w:r>
      <w:r>
        <w:t>guidance. The findings indicate that there is still a need to continue efforts to improve communication between services and care coordination.</w:t>
      </w:r>
    </w:p>
    <w:p w14:paraId="7AD1E167" w14:textId="3507A830" w:rsidR="003A7360" w:rsidRDefault="003A7360" w:rsidP="003A7360">
      <w:pPr>
        <w:spacing w:line="360" w:lineRule="auto"/>
      </w:pPr>
      <w:r>
        <w:t>There are several implications in practice for England. Greater investment in hiring, retaining and enhancing the skills of the workforce to lessen staff shortages and enhance continuity of care is needed</w:t>
      </w:r>
      <w:r w:rsidR="007A453D">
        <w:t xml:space="preserve"> (Sambrook et al., 2025)</w:t>
      </w:r>
      <w:r>
        <w:t>. Second, the working of multidisciplinary teams needs to be improved so that they can work more collaboratively across NHS, social care and voluntary sector organisations for the provision of more holistic, person-centred support</w:t>
      </w:r>
      <w:r w:rsidR="007A453D">
        <w:t xml:space="preserve"> (Sambrook et al., 2025)</w:t>
      </w:r>
      <w:r>
        <w:t>. Lastly, a uniform application of the Community Mental Health Framework (2019) can help enhance access and outcomes for patients, which may help to reduce disparities among regions. Better discharge planning and aftercare can also help to minimise unnecessary hospital admissions and ensure ongoing recovery.</w:t>
      </w:r>
    </w:p>
    <w:p w14:paraId="6D020B21" w14:textId="72B969D8" w:rsidR="003A7360" w:rsidRDefault="003A7360" w:rsidP="003A7360">
      <w:pPr>
        <w:spacing w:line="360" w:lineRule="auto"/>
      </w:pPr>
      <w:r>
        <w:t>There are several strengths in this review. The review followed a transparent and systematic approach to identifying and synthesising evidence, as recommended by Arksey and O'Malley (2005) and PRISMA-</w:t>
      </w:r>
      <w:proofErr w:type="spellStart"/>
      <w:r>
        <w:t>ScR.</w:t>
      </w:r>
      <w:proofErr w:type="spellEnd"/>
      <w:r>
        <w:t xml:space="preserve"> The studies included in this report reflect varying viewpoints, both by looking at the service users and at the health professionals, and by using national information about service provision. These studies combined gave a wide range of the current issues that face community mental health services in England.</w:t>
      </w:r>
    </w:p>
    <w:p w14:paraId="7A20D09F" w14:textId="5981E503" w:rsidR="003A7360" w:rsidRDefault="003A7360" w:rsidP="003A7360">
      <w:pPr>
        <w:spacing w:line="360" w:lineRule="auto"/>
      </w:pPr>
      <w:r>
        <w:t>But there are some caveats to note. There were only three peer-reviewed studies published over the last three years (2022–2025) available, which resulted in a narrow scope of evidence. Grey literature and studies outside England have not been covered and so may not have been captured in the review. Furthermore, the studies included were conducted with varying research designs, thus making comparisons difficult. The results, therefore, give useful information about the mental health services in the community today but must be viewed with caution and cannot be seen as representative of all services in England.</w:t>
      </w:r>
    </w:p>
    <w:p w14:paraId="711EA5B8" w14:textId="77777777" w:rsidR="007A453D" w:rsidRDefault="007A453D" w:rsidP="003A7360">
      <w:pPr>
        <w:spacing w:line="360" w:lineRule="auto"/>
      </w:pPr>
    </w:p>
    <w:p w14:paraId="07F7CF22" w14:textId="26451C8D" w:rsidR="007A453D" w:rsidRDefault="004F3920" w:rsidP="004F3920">
      <w:pPr>
        <w:pStyle w:val="Heading1"/>
        <w:spacing w:line="360" w:lineRule="auto"/>
      </w:pPr>
      <w:bookmarkStart w:id="8" w:name="_Toc236773606"/>
      <w:r>
        <w:lastRenderedPageBreak/>
        <w:t>Conclusion</w:t>
      </w:r>
      <w:bookmarkEnd w:id="8"/>
    </w:p>
    <w:p w14:paraId="748A85A8" w14:textId="783940C4" w:rsidR="004F3920" w:rsidRDefault="004F3920" w:rsidP="003A7360">
      <w:pPr>
        <w:spacing w:line="360" w:lineRule="auto"/>
      </w:pPr>
      <w:r w:rsidRPr="004F3920">
        <w:t xml:space="preserve">This scoping review aimed to summarise the current evidence regarding community mental health services for adults in England and to explore the barriers and opportunities to effective service </w:t>
      </w:r>
      <w:r>
        <w:t>provision and</w:t>
      </w:r>
      <w:r w:rsidRPr="004F3920">
        <w:t xml:space="preserve"> the views of service users and healthcare professionals. The results have confirmed that continuity of care, compassionate therapeutic relationships, and multidisciplinary working are key to the quality of community mental health services (</w:t>
      </w:r>
      <w:proofErr w:type="spellStart"/>
      <w:r w:rsidRPr="004F3920">
        <w:t>Trevillion</w:t>
      </w:r>
      <w:proofErr w:type="spellEnd"/>
      <w:r w:rsidRPr="004F3920">
        <w:t xml:space="preserve"> et al., 2022). The national policy goals are still not being attained, however, due to workforce shortages, rising demand, regional inequities and fractured care pathways (Sambrook et al., 2025; Minchin et al., 2025). The NHS Community Mental Health Framework (NHS, 2019) and the Community Mental Health Transformation Programme offer a strong vision for integrated, person-centred care, but it will take time to build up workforce capacity and ensure coordinated service delivery and access to care, with fairness across England. More studies of various types and the </w:t>
      </w:r>
      <w:r>
        <w:t>long-term</w:t>
      </w:r>
      <w:r w:rsidRPr="004F3920">
        <w:t xml:space="preserve"> effects of service change projects on patients should be done in future research. In summary, enhancing partnership working between the health, social care and voluntary </w:t>
      </w:r>
      <w:r>
        <w:t>sectors</w:t>
      </w:r>
      <w:r w:rsidRPr="004F3920">
        <w:t xml:space="preserve"> will play a key role in aiding the continuity of care, closing the inequalities and facilitating recovery for adults who use community mental health services in England (NHS, 2019).</w:t>
      </w:r>
    </w:p>
    <w:p w14:paraId="7D38EBFF" w14:textId="77777777" w:rsidR="001679FA" w:rsidRDefault="001679FA" w:rsidP="001679FA">
      <w:pPr>
        <w:spacing w:line="360" w:lineRule="auto"/>
      </w:pPr>
    </w:p>
    <w:p w14:paraId="524D30FE" w14:textId="77777777" w:rsidR="001679FA" w:rsidRDefault="001679FA" w:rsidP="001679FA">
      <w:pPr>
        <w:spacing w:line="360" w:lineRule="auto"/>
      </w:pPr>
    </w:p>
    <w:p w14:paraId="78426617" w14:textId="77777777" w:rsidR="001679FA" w:rsidRDefault="001679FA" w:rsidP="001679FA">
      <w:pPr>
        <w:spacing w:line="360" w:lineRule="auto"/>
      </w:pPr>
    </w:p>
    <w:p w14:paraId="3A0E1E7A" w14:textId="77777777" w:rsidR="00CC0FB9" w:rsidRDefault="00CC0FB9" w:rsidP="00CC0FB9">
      <w:pPr>
        <w:spacing w:line="360" w:lineRule="auto"/>
      </w:pPr>
    </w:p>
    <w:p w14:paraId="0BCBCD0A" w14:textId="77777777" w:rsidR="00CC0FB9" w:rsidRDefault="00CC0FB9" w:rsidP="00CC0FB9">
      <w:pPr>
        <w:spacing w:line="360" w:lineRule="auto"/>
      </w:pPr>
    </w:p>
    <w:p w14:paraId="0E4C2957" w14:textId="77777777" w:rsidR="00A5415D" w:rsidRDefault="00A5415D" w:rsidP="00A5415D">
      <w:pPr>
        <w:spacing w:line="360" w:lineRule="auto"/>
      </w:pPr>
    </w:p>
    <w:p w14:paraId="5128431F" w14:textId="77777777" w:rsidR="00A5415D" w:rsidRDefault="00A5415D" w:rsidP="00A5415D">
      <w:pPr>
        <w:spacing w:line="360" w:lineRule="auto"/>
      </w:pPr>
    </w:p>
    <w:p w14:paraId="76FC34DD" w14:textId="77777777" w:rsidR="00A5415D" w:rsidRDefault="00A5415D" w:rsidP="00A5415D">
      <w:pPr>
        <w:spacing w:line="360" w:lineRule="auto"/>
      </w:pPr>
    </w:p>
    <w:p w14:paraId="3B80D2A5" w14:textId="77777777" w:rsidR="00A5415D" w:rsidRDefault="00A5415D" w:rsidP="00A5415D">
      <w:pPr>
        <w:spacing w:line="360" w:lineRule="auto"/>
      </w:pPr>
    </w:p>
    <w:p w14:paraId="0DF18666" w14:textId="4101FCFC" w:rsidR="00A5415D" w:rsidRDefault="00A5415D" w:rsidP="003A7360">
      <w:pPr>
        <w:pStyle w:val="Heading1"/>
        <w:spacing w:line="360" w:lineRule="auto"/>
      </w:pPr>
      <w:bookmarkStart w:id="9" w:name="_Toc236773607"/>
      <w:r>
        <w:lastRenderedPageBreak/>
        <w:t>References</w:t>
      </w:r>
      <w:bookmarkEnd w:id="9"/>
    </w:p>
    <w:p w14:paraId="0B9D7605" w14:textId="2EB2E3A1" w:rsidR="00CC0FB9" w:rsidRDefault="00CC0FB9" w:rsidP="00CC0FB9">
      <w:pPr>
        <w:spacing w:line="360" w:lineRule="auto"/>
      </w:pPr>
      <w:r>
        <w:t>Arksey, H. and O’Malley, L. (2005) ‘</w:t>
      </w:r>
      <w:r w:rsidRPr="00CC0FB9">
        <w:t>Scoping Studies: Towards a Methodological Framework</w:t>
      </w:r>
      <w:r>
        <w:t xml:space="preserve">’. </w:t>
      </w:r>
      <w:r w:rsidRPr="00CC0FB9">
        <w:rPr>
          <w:i/>
          <w:iCs/>
        </w:rPr>
        <w:t>International Journal of Social Research Methodology</w:t>
      </w:r>
      <w:r>
        <w:t xml:space="preserve">, 8(1):19-32, </w:t>
      </w:r>
      <w:r w:rsidRPr="00CC0FB9">
        <w:t>DOI:10.1080/1364557032000119616</w:t>
      </w:r>
      <w:r>
        <w:t xml:space="preserve">. Available at </w:t>
      </w:r>
      <w:hyperlink r:id="rId7" w:history="1">
        <w:r w:rsidRPr="009273CB">
          <w:rPr>
            <w:rStyle w:val="Hyperlink"/>
          </w:rPr>
          <w:t>https://www.researchgate.net/publication/237739321_Scoping_Studies_Towards_a_Methodological_Framework</w:t>
        </w:r>
      </w:hyperlink>
      <w:r>
        <w:t xml:space="preserve"> </w:t>
      </w:r>
    </w:p>
    <w:p w14:paraId="21C57D08" w14:textId="26151E8A" w:rsidR="007A453D" w:rsidRDefault="007A453D" w:rsidP="00CC0FB9">
      <w:pPr>
        <w:spacing w:line="360" w:lineRule="auto"/>
      </w:pPr>
      <w:r>
        <w:t xml:space="preserve">Care Quality Commission (2025) </w:t>
      </w:r>
      <w:r w:rsidRPr="007A453D">
        <w:rPr>
          <w:i/>
          <w:iCs/>
        </w:rPr>
        <w:t>The state of health care and adult social care in England 2024/25</w:t>
      </w:r>
      <w:r>
        <w:t xml:space="preserve">. Available at </w:t>
      </w:r>
      <w:hyperlink r:id="rId8" w:history="1">
        <w:r w:rsidRPr="009273CB">
          <w:rPr>
            <w:rStyle w:val="Hyperlink"/>
          </w:rPr>
          <w:t>https://www.cqc.org.uk/publications/major-report/state-care/2024-2025/access/mh</w:t>
        </w:r>
      </w:hyperlink>
      <w:r>
        <w:t xml:space="preserve"> </w:t>
      </w:r>
    </w:p>
    <w:p w14:paraId="767508E5" w14:textId="43D76635" w:rsidR="00D6141E" w:rsidRDefault="00D6141E" w:rsidP="00D6141E">
      <w:pPr>
        <w:spacing w:line="360" w:lineRule="auto"/>
      </w:pPr>
      <w:r>
        <w:t xml:space="preserve">Legislation.gov.uk (2005) </w:t>
      </w:r>
      <w:r w:rsidRPr="00D6141E">
        <w:rPr>
          <w:i/>
          <w:iCs/>
        </w:rPr>
        <w:t>Mental Capacity Act 2005</w:t>
      </w:r>
      <w:r>
        <w:t xml:space="preserve">. Available at </w:t>
      </w:r>
      <w:hyperlink r:id="rId9" w:history="1">
        <w:r w:rsidRPr="009273CB">
          <w:rPr>
            <w:rStyle w:val="Hyperlink"/>
          </w:rPr>
          <w:t>https://www.legislation.gov.uk/ukpga/2005/9/contents</w:t>
        </w:r>
      </w:hyperlink>
      <w:r>
        <w:t xml:space="preserve"> </w:t>
      </w:r>
    </w:p>
    <w:p w14:paraId="648B3FA1" w14:textId="76F02F07" w:rsidR="00D6141E" w:rsidRDefault="00D6141E" w:rsidP="00D6141E">
      <w:pPr>
        <w:spacing w:line="360" w:lineRule="auto"/>
      </w:pPr>
      <w:r>
        <w:t xml:space="preserve">Legislation.gov.uk (2007) </w:t>
      </w:r>
      <w:r w:rsidRPr="00D6141E">
        <w:rPr>
          <w:i/>
          <w:iCs/>
        </w:rPr>
        <w:t>Mental Health Act 2007</w:t>
      </w:r>
      <w:r>
        <w:t xml:space="preserve">. Available at </w:t>
      </w:r>
      <w:hyperlink r:id="rId10" w:history="1">
        <w:r w:rsidRPr="009273CB">
          <w:rPr>
            <w:rStyle w:val="Hyperlink"/>
          </w:rPr>
          <w:t>https://www.legislation.gov.uk/ukpga/2007/12/contents</w:t>
        </w:r>
      </w:hyperlink>
      <w:r>
        <w:t xml:space="preserve"> </w:t>
      </w:r>
    </w:p>
    <w:p w14:paraId="3EAF4759" w14:textId="2A627600" w:rsidR="00A5415D" w:rsidRDefault="00A5415D" w:rsidP="00A5415D">
      <w:pPr>
        <w:spacing w:line="360" w:lineRule="auto"/>
      </w:pPr>
      <w:r>
        <w:t>Mak, S. and Thomas, A. (2022) ‘</w:t>
      </w:r>
      <w:r w:rsidRPr="00A5415D">
        <w:t>Steps for Conducting a Scoping Review</w:t>
      </w:r>
      <w:r>
        <w:t xml:space="preserve">’. </w:t>
      </w:r>
      <w:r w:rsidRPr="00A5415D">
        <w:rPr>
          <w:i/>
          <w:iCs/>
        </w:rPr>
        <w:t>Journal of Graduate Medical Education</w:t>
      </w:r>
      <w:r>
        <w:t xml:space="preserve">, </w:t>
      </w:r>
      <w:r w:rsidRPr="00A5415D">
        <w:t xml:space="preserve">14(5):565–567. </w:t>
      </w:r>
      <w:proofErr w:type="spellStart"/>
      <w:r w:rsidRPr="00A5415D">
        <w:t>doi</w:t>
      </w:r>
      <w:proofErr w:type="spellEnd"/>
      <w:r w:rsidRPr="00A5415D">
        <w:t>: 10.4300/JGME-D-22-00621.1</w:t>
      </w:r>
      <w:r>
        <w:t xml:space="preserve">. Available at </w:t>
      </w:r>
      <w:hyperlink r:id="rId11" w:history="1">
        <w:r w:rsidRPr="009273CB">
          <w:rPr>
            <w:rStyle w:val="Hyperlink"/>
          </w:rPr>
          <w:t>https://pmc.ncbi.nlm.nih.gov/articles/PMC9580325/</w:t>
        </w:r>
      </w:hyperlink>
      <w:r>
        <w:t xml:space="preserve"> </w:t>
      </w:r>
    </w:p>
    <w:p w14:paraId="5F22CB65" w14:textId="5A20DE93" w:rsidR="00BA27AA" w:rsidRDefault="00BA27AA" w:rsidP="00BA27AA">
      <w:pPr>
        <w:spacing w:line="360" w:lineRule="auto"/>
      </w:pPr>
      <w:r>
        <w:t>Markovich, L., Sela, Y., and Grinberg, K. (2026) ‘</w:t>
      </w:r>
      <w:r w:rsidRPr="00BA27AA">
        <w:t>Continuity of Care Across Hospital-to-Community Transitions: A Narrative Review Integrating Concepts, Measurement, and Nursing-Relevant Approaches</w:t>
      </w:r>
      <w:r>
        <w:t xml:space="preserve">’. </w:t>
      </w:r>
      <w:r w:rsidRPr="00BA27AA">
        <w:rPr>
          <w:i/>
          <w:iCs/>
        </w:rPr>
        <w:t>Healthcare</w:t>
      </w:r>
      <w:r>
        <w:t xml:space="preserve">, 14(5):656, DOI:10.3390/healthcare14050656. Available at </w:t>
      </w:r>
      <w:hyperlink r:id="rId12" w:history="1">
        <w:r w:rsidRPr="009273CB">
          <w:rPr>
            <w:rStyle w:val="Hyperlink"/>
          </w:rPr>
          <w:t>https://www.researchgate.net/publication/401619081_Continuity_of_Care_Across_Hospital-to-Community_Transitions_A_Narrative_Review_Integrating_Concepts_Measurement_and_Nursing-Relevant_Approaches</w:t>
        </w:r>
      </w:hyperlink>
      <w:r>
        <w:t xml:space="preserve"> </w:t>
      </w:r>
    </w:p>
    <w:p w14:paraId="729BF1CD" w14:textId="5B3E5DD2" w:rsidR="00A5415D" w:rsidRDefault="00A5415D" w:rsidP="00A5415D">
      <w:pPr>
        <w:spacing w:line="360" w:lineRule="auto"/>
      </w:pPr>
      <w:r>
        <w:t xml:space="preserve">Minchin, M., Christiansen, C., </w:t>
      </w:r>
      <w:proofErr w:type="spellStart"/>
      <w:r>
        <w:t>Maconick</w:t>
      </w:r>
      <w:proofErr w:type="spellEnd"/>
      <w:r>
        <w:t xml:space="preserve">, L., and Johnson, S. (2025) ‘Area-level factors associated with variation in involuntary psychiatric hospitalisation across England: a cross-sectional, ecological study’. </w:t>
      </w:r>
      <w:r w:rsidRPr="00A5415D">
        <w:rPr>
          <w:i/>
          <w:iCs/>
        </w:rPr>
        <w:t>Social Psychiatry and Psychiatric Epidemiology</w:t>
      </w:r>
      <w:r>
        <w:t xml:space="preserve">, 60 pp. 2049–2059. Available at </w:t>
      </w:r>
      <w:hyperlink r:id="rId13" w:history="1">
        <w:r w:rsidRPr="009273CB">
          <w:rPr>
            <w:rStyle w:val="Hyperlink"/>
          </w:rPr>
          <w:t>https://oro.open.ac.uk/99497/8/99497final.pdf</w:t>
        </w:r>
      </w:hyperlink>
      <w:r>
        <w:t xml:space="preserve"> </w:t>
      </w:r>
    </w:p>
    <w:p w14:paraId="5E92C9DB" w14:textId="2740C2BB" w:rsidR="00D6141E" w:rsidRDefault="00D6141E" w:rsidP="00D6141E">
      <w:pPr>
        <w:spacing w:line="360" w:lineRule="auto"/>
      </w:pPr>
      <w:r>
        <w:lastRenderedPageBreak/>
        <w:t xml:space="preserve">National Collaborating Centre for Mental Health (2025) </w:t>
      </w:r>
      <w:r w:rsidRPr="00D6141E">
        <w:rPr>
          <w:i/>
          <w:iCs/>
        </w:rPr>
        <w:t>NICE guidelines and their relevance to inpatient mental health care from 2000–2023: Explanatory document</w:t>
      </w:r>
      <w:r>
        <w:t xml:space="preserve">. London: National Collaborating Centre for Mental Health. Available at </w:t>
      </w:r>
      <w:hyperlink r:id="rId14" w:history="1">
        <w:r w:rsidRPr="009273CB">
          <w:rPr>
            <w:rStyle w:val="Hyperlink"/>
          </w:rPr>
          <w:t>https://lampardinquiry.org.uk/wp-content/uploads/2025/04/Lampard-Lecture-Explanatory-Document-14.04.25-FINAL.pdf</w:t>
        </w:r>
      </w:hyperlink>
      <w:r>
        <w:t xml:space="preserve"> </w:t>
      </w:r>
    </w:p>
    <w:p w14:paraId="34FF19DA" w14:textId="3CF1A236" w:rsidR="00D6141E" w:rsidRDefault="00D6141E" w:rsidP="00A5415D">
      <w:pPr>
        <w:spacing w:line="360" w:lineRule="auto"/>
      </w:pPr>
      <w:r>
        <w:t xml:space="preserve">NHS England (n.d.) </w:t>
      </w:r>
      <w:r w:rsidRPr="00D6141E">
        <w:rPr>
          <w:i/>
          <w:iCs/>
        </w:rPr>
        <w:t>Adult and older adult mental health</w:t>
      </w:r>
      <w:r>
        <w:t xml:space="preserve">. Available at </w:t>
      </w:r>
      <w:hyperlink r:id="rId15" w:history="1">
        <w:r w:rsidRPr="009273CB">
          <w:rPr>
            <w:rStyle w:val="Hyperlink"/>
          </w:rPr>
          <w:t>https://www.england.nhs.uk/mental-health/adults/</w:t>
        </w:r>
      </w:hyperlink>
      <w:r>
        <w:t xml:space="preserve"> </w:t>
      </w:r>
    </w:p>
    <w:p w14:paraId="63983783" w14:textId="2E315ECD" w:rsidR="00A5415D" w:rsidRDefault="00A5415D" w:rsidP="00A5415D">
      <w:pPr>
        <w:spacing w:line="360" w:lineRule="auto"/>
      </w:pPr>
      <w:r>
        <w:t xml:space="preserve">NHS (2019) </w:t>
      </w:r>
      <w:r w:rsidRPr="00A5415D">
        <w:rPr>
          <w:i/>
          <w:iCs/>
        </w:rPr>
        <w:t>The Community Mental Health Framework for Adults and Older Adults</w:t>
      </w:r>
      <w:r>
        <w:t xml:space="preserve">. Available at </w:t>
      </w:r>
      <w:hyperlink r:id="rId16" w:history="1">
        <w:r w:rsidRPr="009273CB">
          <w:rPr>
            <w:rStyle w:val="Hyperlink"/>
          </w:rPr>
          <w:t>https://www.england.nhs.uk/wp-content/uploads/2019/09/community-mental-health-framework-for-adults-and-older-adults.pdf</w:t>
        </w:r>
      </w:hyperlink>
      <w:r>
        <w:t xml:space="preserve"> </w:t>
      </w:r>
    </w:p>
    <w:p w14:paraId="0E12D4C2" w14:textId="6149FE6A" w:rsidR="00BA27AA" w:rsidRDefault="00BA27AA" w:rsidP="00BA27AA">
      <w:pPr>
        <w:spacing w:line="360" w:lineRule="auto"/>
      </w:pPr>
      <w:r>
        <w:t xml:space="preserve">Raghavan, R. and Jones Nielsen, J. (n.d.) ‘Mental Health Briefing Paper’. </w:t>
      </w:r>
      <w:r w:rsidRPr="00BA27AA">
        <w:rPr>
          <w:i/>
          <w:iCs/>
        </w:rPr>
        <w:t>Race Equality Foundation</w:t>
      </w:r>
      <w:r>
        <w:t xml:space="preserve">. Available at </w:t>
      </w:r>
      <w:hyperlink r:id="rId17" w:history="1">
        <w:r w:rsidRPr="009273CB">
          <w:rPr>
            <w:rStyle w:val="Hyperlink"/>
          </w:rPr>
          <w:t>https://raceequalityfoundation.org.uk/wp-content/uploads/2022/10/collaborative-briefing-mental-health-briefing-digital-FINAL.pdf</w:t>
        </w:r>
      </w:hyperlink>
      <w:r>
        <w:t xml:space="preserve"> </w:t>
      </w:r>
    </w:p>
    <w:p w14:paraId="619687F6" w14:textId="5BA25D9A" w:rsidR="00A5415D" w:rsidRDefault="00A5415D" w:rsidP="00A5415D">
      <w:pPr>
        <w:spacing w:line="360" w:lineRule="auto"/>
      </w:pPr>
      <w:r>
        <w:t>Sambrook, L., McIntyre, J. C., Nathan, R., Tait, J., Ashley-</w:t>
      </w:r>
      <w:proofErr w:type="spellStart"/>
      <w:r>
        <w:t>Mudie</w:t>
      </w:r>
      <w:proofErr w:type="spellEnd"/>
      <w:r>
        <w:t xml:space="preserve">, P., Humphreys, M., Wilson, P., and Saini, P. (2025) ‘‘A community in crisis’: staff qualitative experiences of NHS and third sector mental healthcare in England’. </w:t>
      </w:r>
      <w:proofErr w:type="spellStart"/>
      <w:r w:rsidRPr="00A5415D">
        <w:rPr>
          <w:i/>
          <w:iCs/>
        </w:rPr>
        <w:t>BJPsych</w:t>
      </w:r>
      <w:proofErr w:type="spellEnd"/>
      <w:r w:rsidRPr="00A5415D">
        <w:rPr>
          <w:i/>
          <w:iCs/>
        </w:rPr>
        <w:t xml:space="preserve"> Open</w:t>
      </w:r>
      <w:r>
        <w:t>, 12;11(5</w:t>
      </w:r>
      <w:proofErr w:type="gramStart"/>
      <w:r>
        <w:t>):e</w:t>
      </w:r>
      <w:proofErr w:type="gramEnd"/>
      <w:r>
        <w:t xml:space="preserve">210. </w:t>
      </w:r>
      <w:proofErr w:type="spellStart"/>
      <w:r>
        <w:t>doi</w:t>
      </w:r>
      <w:proofErr w:type="spellEnd"/>
      <w:r>
        <w:t xml:space="preserve">: 10.1192/bjo.2025.10826. Available at </w:t>
      </w:r>
      <w:hyperlink r:id="rId18" w:history="1">
        <w:r w:rsidRPr="009273CB">
          <w:rPr>
            <w:rStyle w:val="Hyperlink"/>
          </w:rPr>
          <w:t>https://pmc.ncbi.nlm.nih.gov/articles/PMC12451547</w:t>
        </w:r>
      </w:hyperlink>
      <w:r>
        <w:t xml:space="preserve"> </w:t>
      </w:r>
    </w:p>
    <w:p w14:paraId="0F787FE8" w14:textId="0F0522AE" w:rsidR="00BA27AA" w:rsidRDefault="00BA27AA" w:rsidP="00A5415D">
      <w:pPr>
        <w:spacing w:line="360" w:lineRule="auto"/>
      </w:pPr>
      <w:r>
        <w:t>Stepanova, E., Thompson, A., Yu, G., and Fu, Y. (2024) ‘</w:t>
      </w:r>
      <w:r w:rsidRPr="00BA27AA">
        <w:t>Changes in mental health services in response to the COVID-19 pandemic in high-income countries: a rapid review</w:t>
      </w:r>
      <w:r>
        <w:t xml:space="preserve">’. </w:t>
      </w:r>
      <w:r w:rsidRPr="00BA27AA">
        <w:rPr>
          <w:i/>
          <w:iCs/>
        </w:rPr>
        <w:t>BMC Psychiatry</w:t>
      </w:r>
      <w:r>
        <w:t xml:space="preserve">, </w:t>
      </w:r>
      <w:r w:rsidRPr="00BA27AA">
        <w:t xml:space="preserve">24:103. </w:t>
      </w:r>
      <w:proofErr w:type="spellStart"/>
      <w:r w:rsidRPr="00BA27AA">
        <w:t>doi</w:t>
      </w:r>
      <w:proofErr w:type="spellEnd"/>
      <w:r w:rsidRPr="00BA27AA">
        <w:t>: 10.1186/s12888-024-05497-</w:t>
      </w:r>
      <w:r>
        <w:t xml:space="preserve">6. Available at </w:t>
      </w:r>
      <w:hyperlink r:id="rId19" w:history="1">
        <w:r w:rsidRPr="009273CB">
          <w:rPr>
            <w:rStyle w:val="Hyperlink"/>
          </w:rPr>
          <w:t>https://pmc.ncbi.nlm.nih.gov/articles/PMC10845680/</w:t>
        </w:r>
      </w:hyperlink>
      <w:r>
        <w:t xml:space="preserve"> </w:t>
      </w:r>
    </w:p>
    <w:p w14:paraId="048196FD" w14:textId="24D296C9" w:rsidR="00A5415D" w:rsidRDefault="00A5415D" w:rsidP="00A5415D">
      <w:pPr>
        <w:spacing w:line="360" w:lineRule="auto"/>
      </w:pPr>
      <w:proofErr w:type="spellStart"/>
      <w:r>
        <w:t>Trevillion</w:t>
      </w:r>
      <w:proofErr w:type="spellEnd"/>
      <w:r>
        <w:t xml:space="preserve">, K., Stuart, R., </w:t>
      </w:r>
      <w:proofErr w:type="spellStart"/>
      <w:r>
        <w:t>Ocloo</w:t>
      </w:r>
      <w:proofErr w:type="spellEnd"/>
      <w:r>
        <w:t xml:space="preserve">, J., </w:t>
      </w:r>
      <w:proofErr w:type="spellStart"/>
      <w:r>
        <w:t>Broeckelmann</w:t>
      </w:r>
      <w:proofErr w:type="spellEnd"/>
      <w:r>
        <w:t xml:space="preserve">, E., Jeffreys, S., </w:t>
      </w:r>
      <w:proofErr w:type="spellStart"/>
      <w:r>
        <w:t>Jeynes</w:t>
      </w:r>
      <w:proofErr w:type="spellEnd"/>
      <w:r>
        <w:t xml:space="preserve">, T., Allen, D., Russell, J., Billings, J., Crawford, M. J., Dale, O., Haigh, R., Moran, P., McNicholas, S., Nicholls, V., Foye, U., Simpson, A., Lloyd-Evans, B., Johnson, S., and Oram, S. (2022) ‘Service user perspectives of community mental health services for people with complex emotional needs: a co-produced qualitative interview study’. </w:t>
      </w:r>
      <w:r w:rsidRPr="00A5415D">
        <w:rPr>
          <w:i/>
          <w:iCs/>
        </w:rPr>
        <w:t>BMC Psychiatry</w:t>
      </w:r>
      <w:r>
        <w:t xml:space="preserve">, </w:t>
      </w:r>
      <w:r>
        <w:lastRenderedPageBreak/>
        <w:t xml:space="preserve">Volume 22, article number 55. Available at </w:t>
      </w:r>
      <w:hyperlink r:id="rId20" w:history="1">
        <w:r w:rsidRPr="009273CB">
          <w:rPr>
            <w:rStyle w:val="Hyperlink"/>
          </w:rPr>
          <w:t>https://link.springer.com/article/10.1186/s12888-021-03605-4</w:t>
        </w:r>
      </w:hyperlink>
      <w:r>
        <w:t xml:space="preserve"> </w:t>
      </w:r>
    </w:p>
    <w:p w14:paraId="54DA5C9E" w14:textId="1EF4740E" w:rsidR="00A5415D" w:rsidRDefault="00A5415D" w:rsidP="00A5415D">
      <w:pPr>
        <w:spacing w:line="360" w:lineRule="auto"/>
      </w:pPr>
      <w:r>
        <w:t xml:space="preserve">World Health Organization (2025) </w:t>
      </w:r>
      <w:r w:rsidRPr="00A5415D">
        <w:rPr>
          <w:i/>
          <w:iCs/>
        </w:rPr>
        <w:t>Mental Health</w:t>
      </w:r>
      <w:r>
        <w:t xml:space="preserve">. Available at </w:t>
      </w:r>
      <w:hyperlink r:id="rId21" w:history="1">
        <w:r w:rsidRPr="009273CB">
          <w:rPr>
            <w:rStyle w:val="Hyperlink"/>
          </w:rPr>
          <w:t>https://www.who.int/news-room/fact-sheets/detail/mental-health-strengthening-our-response</w:t>
        </w:r>
      </w:hyperlink>
      <w:r>
        <w:t xml:space="preserve"> </w:t>
      </w:r>
    </w:p>
    <w:sectPr w:rsidR="00A541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15D"/>
    <w:rsid w:val="00054513"/>
    <w:rsid w:val="001679FA"/>
    <w:rsid w:val="003A7360"/>
    <w:rsid w:val="004F3920"/>
    <w:rsid w:val="007A453D"/>
    <w:rsid w:val="00800B98"/>
    <w:rsid w:val="00972EA4"/>
    <w:rsid w:val="00A5415D"/>
    <w:rsid w:val="00B023BA"/>
    <w:rsid w:val="00BA27AA"/>
    <w:rsid w:val="00CC0FB9"/>
    <w:rsid w:val="00CD4846"/>
    <w:rsid w:val="00D6141E"/>
    <w:rsid w:val="00DC0183"/>
    <w:rsid w:val="00DD29FD"/>
    <w:rsid w:val="00E327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EF06A9"/>
  <w15:chartTrackingRefBased/>
  <w15:docId w15:val="{42B322CF-79BE-B643-892F-DDF3A172D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41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541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41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41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41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41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41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41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41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1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541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41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41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41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41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41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41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415D"/>
    <w:rPr>
      <w:rFonts w:eastAsiaTheme="majorEastAsia" w:cstheme="majorBidi"/>
      <w:color w:val="272727" w:themeColor="text1" w:themeTint="D8"/>
    </w:rPr>
  </w:style>
  <w:style w:type="paragraph" w:styleId="Title">
    <w:name w:val="Title"/>
    <w:basedOn w:val="Normal"/>
    <w:next w:val="Normal"/>
    <w:link w:val="TitleChar"/>
    <w:uiPriority w:val="10"/>
    <w:qFormat/>
    <w:rsid w:val="00A541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41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41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41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415D"/>
    <w:pPr>
      <w:spacing w:before="160"/>
      <w:jc w:val="center"/>
    </w:pPr>
    <w:rPr>
      <w:i/>
      <w:iCs/>
      <w:color w:val="404040" w:themeColor="text1" w:themeTint="BF"/>
    </w:rPr>
  </w:style>
  <w:style w:type="character" w:customStyle="1" w:styleId="QuoteChar">
    <w:name w:val="Quote Char"/>
    <w:basedOn w:val="DefaultParagraphFont"/>
    <w:link w:val="Quote"/>
    <w:uiPriority w:val="29"/>
    <w:rsid w:val="00A5415D"/>
    <w:rPr>
      <w:i/>
      <w:iCs/>
      <w:color w:val="404040" w:themeColor="text1" w:themeTint="BF"/>
    </w:rPr>
  </w:style>
  <w:style w:type="paragraph" w:styleId="ListParagraph">
    <w:name w:val="List Paragraph"/>
    <w:basedOn w:val="Normal"/>
    <w:uiPriority w:val="34"/>
    <w:qFormat/>
    <w:rsid w:val="00A5415D"/>
    <w:pPr>
      <w:ind w:left="720"/>
      <w:contextualSpacing/>
    </w:pPr>
  </w:style>
  <w:style w:type="character" w:styleId="IntenseEmphasis">
    <w:name w:val="Intense Emphasis"/>
    <w:basedOn w:val="DefaultParagraphFont"/>
    <w:uiPriority w:val="21"/>
    <w:qFormat/>
    <w:rsid w:val="00A5415D"/>
    <w:rPr>
      <w:i/>
      <w:iCs/>
      <w:color w:val="0F4761" w:themeColor="accent1" w:themeShade="BF"/>
    </w:rPr>
  </w:style>
  <w:style w:type="paragraph" w:styleId="IntenseQuote">
    <w:name w:val="Intense Quote"/>
    <w:basedOn w:val="Normal"/>
    <w:next w:val="Normal"/>
    <w:link w:val="IntenseQuoteChar"/>
    <w:uiPriority w:val="30"/>
    <w:qFormat/>
    <w:rsid w:val="00A541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415D"/>
    <w:rPr>
      <w:i/>
      <w:iCs/>
      <w:color w:val="0F4761" w:themeColor="accent1" w:themeShade="BF"/>
    </w:rPr>
  </w:style>
  <w:style w:type="character" w:styleId="IntenseReference">
    <w:name w:val="Intense Reference"/>
    <w:basedOn w:val="DefaultParagraphFont"/>
    <w:uiPriority w:val="32"/>
    <w:qFormat/>
    <w:rsid w:val="00A5415D"/>
    <w:rPr>
      <w:b/>
      <w:bCs/>
      <w:smallCaps/>
      <w:color w:val="0F4761" w:themeColor="accent1" w:themeShade="BF"/>
      <w:spacing w:val="5"/>
    </w:rPr>
  </w:style>
  <w:style w:type="character" w:styleId="Hyperlink">
    <w:name w:val="Hyperlink"/>
    <w:basedOn w:val="DefaultParagraphFont"/>
    <w:uiPriority w:val="99"/>
    <w:unhideWhenUsed/>
    <w:rsid w:val="00A5415D"/>
    <w:rPr>
      <w:color w:val="467886" w:themeColor="hyperlink"/>
      <w:u w:val="single"/>
    </w:rPr>
  </w:style>
  <w:style w:type="character" w:styleId="UnresolvedMention">
    <w:name w:val="Unresolved Mention"/>
    <w:basedOn w:val="DefaultParagraphFont"/>
    <w:uiPriority w:val="99"/>
    <w:semiHidden/>
    <w:unhideWhenUsed/>
    <w:rsid w:val="00A5415D"/>
    <w:rPr>
      <w:color w:val="605E5C"/>
      <w:shd w:val="clear" w:color="auto" w:fill="E1DFDD"/>
    </w:rPr>
  </w:style>
  <w:style w:type="table" w:styleId="TableGrid">
    <w:name w:val="Table Grid"/>
    <w:basedOn w:val="TableNormal"/>
    <w:uiPriority w:val="39"/>
    <w:rsid w:val="004F39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72EA4"/>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72EA4"/>
    <w:pPr>
      <w:spacing w:before="120" w:after="0"/>
    </w:pPr>
    <w:rPr>
      <w:b/>
      <w:bCs/>
      <w:i/>
      <w:iCs/>
    </w:rPr>
  </w:style>
  <w:style w:type="paragraph" w:styleId="TOC2">
    <w:name w:val="toc 2"/>
    <w:basedOn w:val="Normal"/>
    <w:next w:val="Normal"/>
    <w:autoRedefine/>
    <w:uiPriority w:val="39"/>
    <w:unhideWhenUsed/>
    <w:rsid w:val="00972EA4"/>
    <w:pPr>
      <w:spacing w:before="120" w:after="0"/>
      <w:ind w:left="240"/>
    </w:pPr>
    <w:rPr>
      <w:b/>
      <w:bCs/>
      <w:sz w:val="22"/>
      <w:szCs w:val="22"/>
    </w:rPr>
  </w:style>
  <w:style w:type="paragraph" w:styleId="TOC3">
    <w:name w:val="toc 3"/>
    <w:basedOn w:val="Normal"/>
    <w:next w:val="Normal"/>
    <w:autoRedefine/>
    <w:uiPriority w:val="39"/>
    <w:semiHidden/>
    <w:unhideWhenUsed/>
    <w:rsid w:val="00972EA4"/>
    <w:pPr>
      <w:spacing w:after="0"/>
      <w:ind w:left="480"/>
    </w:pPr>
    <w:rPr>
      <w:sz w:val="20"/>
      <w:szCs w:val="20"/>
    </w:rPr>
  </w:style>
  <w:style w:type="paragraph" w:styleId="TOC4">
    <w:name w:val="toc 4"/>
    <w:basedOn w:val="Normal"/>
    <w:next w:val="Normal"/>
    <w:autoRedefine/>
    <w:uiPriority w:val="39"/>
    <w:semiHidden/>
    <w:unhideWhenUsed/>
    <w:rsid w:val="00972EA4"/>
    <w:pPr>
      <w:spacing w:after="0"/>
      <w:ind w:left="720"/>
    </w:pPr>
    <w:rPr>
      <w:sz w:val="20"/>
      <w:szCs w:val="20"/>
    </w:rPr>
  </w:style>
  <w:style w:type="paragraph" w:styleId="TOC5">
    <w:name w:val="toc 5"/>
    <w:basedOn w:val="Normal"/>
    <w:next w:val="Normal"/>
    <w:autoRedefine/>
    <w:uiPriority w:val="39"/>
    <w:semiHidden/>
    <w:unhideWhenUsed/>
    <w:rsid w:val="00972EA4"/>
    <w:pPr>
      <w:spacing w:after="0"/>
      <w:ind w:left="960"/>
    </w:pPr>
    <w:rPr>
      <w:sz w:val="20"/>
      <w:szCs w:val="20"/>
    </w:rPr>
  </w:style>
  <w:style w:type="paragraph" w:styleId="TOC6">
    <w:name w:val="toc 6"/>
    <w:basedOn w:val="Normal"/>
    <w:next w:val="Normal"/>
    <w:autoRedefine/>
    <w:uiPriority w:val="39"/>
    <w:semiHidden/>
    <w:unhideWhenUsed/>
    <w:rsid w:val="00972EA4"/>
    <w:pPr>
      <w:spacing w:after="0"/>
      <w:ind w:left="1200"/>
    </w:pPr>
    <w:rPr>
      <w:sz w:val="20"/>
      <w:szCs w:val="20"/>
    </w:rPr>
  </w:style>
  <w:style w:type="paragraph" w:styleId="TOC7">
    <w:name w:val="toc 7"/>
    <w:basedOn w:val="Normal"/>
    <w:next w:val="Normal"/>
    <w:autoRedefine/>
    <w:uiPriority w:val="39"/>
    <w:semiHidden/>
    <w:unhideWhenUsed/>
    <w:rsid w:val="00972EA4"/>
    <w:pPr>
      <w:spacing w:after="0"/>
      <w:ind w:left="1440"/>
    </w:pPr>
    <w:rPr>
      <w:sz w:val="20"/>
      <w:szCs w:val="20"/>
    </w:rPr>
  </w:style>
  <w:style w:type="paragraph" w:styleId="TOC8">
    <w:name w:val="toc 8"/>
    <w:basedOn w:val="Normal"/>
    <w:next w:val="Normal"/>
    <w:autoRedefine/>
    <w:uiPriority w:val="39"/>
    <w:semiHidden/>
    <w:unhideWhenUsed/>
    <w:rsid w:val="00972EA4"/>
    <w:pPr>
      <w:spacing w:after="0"/>
      <w:ind w:left="1680"/>
    </w:pPr>
    <w:rPr>
      <w:sz w:val="20"/>
      <w:szCs w:val="20"/>
    </w:rPr>
  </w:style>
  <w:style w:type="paragraph" w:styleId="TOC9">
    <w:name w:val="toc 9"/>
    <w:basedOn w:val="Normal"/>
    <w:next w:val="Normal"/>
    <w:autoRedefine/>
    <w:uiPriority w:val="39"/>
    <w:semiHidden/>
    <w:unhideWhenUsed/>
    <w:rsid w:val="00972EA4"/>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513795">
      <w:bodyDiv w:val="1"/>
      <w:marLeft w:val="0"/>
      <w:marRight w:val="0"/>
      <w:marTop w:val="0"/>
      <w:marBottom w:val="0"/>
      <w:divBdr>
        <w:top w:val="none" w:sz="0" w:space="0" w:color="auto"/>
        <w:left w:val="none" w:sz="0" w:space="0" w:color="auto"/>
        <w:bottom w:val="none" w:sz="0" w:space="0" w:color="auto"/>
        <w:right w:val="none" w:sz="0" w:space="0" w:color="auto"/>
      </w:divBdr>
      <w:divsChild>
        <w:div w:id="524637830">
          <w:marLeft w:val="0"/>
          <w:marRight w:val="0"/>
          <w:marTop w:val="120"/>
          <w:marBottom w:val="120"/>
          <w:divBdr>
            <w:top w:val="none" w:sz="0" w:space="0" w:color="auto"/>
            <w:left w:val="none" w:sz="0" w:space="0" w:color="auto"/>
            <w:bottom w:val="none" w:sz="0" w:space="0" w:color="auto"/>
            <w:right w:val="none" w:sz="0" w:space="0" w:color="auto"/>
          </w:divBdr>
        </w:div>
      </w:divsChild>
    </w:div>
    <w:div w:id="165679499">
      <w:bodyDiv w:val="1"/>
      <w:marLeft w:val="0"/>
      <w:marRight w:val="0"/>
      <w:marTop w:val="0"/>
      <w:marBottom w:val="0"/>
      <w:divBdr>
        <w:top w:val="none" w:sz="0" w:space="0" w:color="auto"/>
        <w:left w:val="none" w:sz="0" w:space="0" w:color="auto"/>
        <w:bottom w:val="none" w:sz="0" w:space="0" w:color="auto"/>
        <w:right w:val="none" w:sz="0" w:space="0" w:color="auto"/>
      </w:divBdr>
    </w:div>
    <w:div w:id="328751440">
      <w:bodyDiv w:val="1"/>
      <w:marLeft w:val="0"/>
      <w:marRight w:val="0"/>
      <w:marTop w:val="0"/>
      <w:marBottom w:val="0"/>
      <w:divBdr>
        <w:top w:val="none" w:sz="0" w:space="0" w:color="auto"/>
        <w:left w:val="none" w:sz="0" w:space="0" w:color="auto"/>
        <w:bottom w:val="none" w:sz="0" w:space="0" w:color="auto"/>
        <w:right w:val="none" w:sz="0" w:space="0" w:color="auto"/>
      </w:divBdr>
    </w:div>
    <w:div w:id="399063778">
      <w:bodyDiv w:val="1"/>
      <w:marLeft w:val="0"/>
      <w:marRight w:val="0"/>
      <w:marTop w:val="0"/>
      <w:marBottom w:val="0"/>
      <w:divBdr>
        <w:top w:val="none" w:sz="0" w:space="0" w:color="auto"/>
        <w:left w:val="none" w:sz="0" w:space="0" w:color="auto"/>
        <w:bottom w:val="none" w:sz="0" w:space="0" w:color="auto"/>
        <w:right w:val="none" w:sz="0" w:space="0" w:color="auto"/>
      </w:divBdr>
    </w:div>
    <w:div w:id="500660552">
      <w:bodyDiv w:val="1"/>
      <w:marLeft w:val="0"/>
      <w:marRight w:val="0"/>
      <w:marTop w:val="0"/>
      <w:marBottom w:val="0"/>
      <w:divBdr>
        <w:top w:val="none" w:sz="0" w:space="0" w:color="auto"/>
        <w:left w:val="none" w:sz="0" w:space="0" w:color="auto"/>
        <w:bottom w:val="none" w:sz="0" w:space="0" w:color="auto"/>
        <w:right w:val="none" w:sz="0" w:space="0" w:color="auto"/>
      </w:divBdr>
      <w:divsChild>
        <w:div w:id="1165246744">
          <w:marLeft w:val="0"/>
          <w:marRight w:val="0"/>
          <w:marTop w:val="120"/>
          <w:marBottom w:val="120"/>
          <w:divBdr>
            <w:top w:val="none" w:sz="0" w:space="0" w:color="auto"/>
            <w:left w:val="none" w:sz="0" w:space="0" w:color="auto"/>
            <w:bottom w:val="none" w:sz="0" w:space="0" w:color="auto"/>
            <w:right w:val="none" w:sz="0" w:space="0" w:color="auto"/>
          </w:divBdr>
        </w:div>
        <w:div w:id="1149981252">
          <w:marLeft w:val="0"/>
          <w:marRight w:val="0"/>
          <w:marTop w:val="120"/>
          <w:marBottom w:val="120"/>
          <w:divBdr>
            <w:top w:val="none" w:sz="0" w:space="0" w:color="auto"/>
            <w:left w:val="none" w:sz="0" w:space="0" w:color="auto"/>
            <w:bottom w:val="none" w:sz="0" w:space="0" w:color="auto"/>
            <w:right w:val="none" w:sz="0" w:space="0" w:color="auto"/>
          </w:divBdr>
        </w:div>
        <w:div w:id="365762873">
          <w:marLeft w:val="0"/>
          <w:marRight w:val="0"/>
          <w:marTop w:val="120"/>
          <w:marBottom w:val="120"/>
          <w:divBdr>
            <w:top w:val="none" w:sz="0" w:space="0" w:color="auto"/>
            <w:left w:val="none" w:sz="0" w:space="0" w:color="auto"/>
            <w:bottom w:val="none" w:sz="0" w:space="0" w:color="auto"/>
            <w:right w:val="none" w:sz="0" w:space="0" w:color="auto"/>
          </w:divBdr>
        </w:div>
        <w:div w:id="1066101838">
          <w:marLeft w:val="0"/>
          <w:marRight w:val="0"/>
          <w:marTop w:val="120"/>
          <w:marBottom w:val="120"/>
          <w:divBdr>
            <w:top w:val="none" w:sz="0" w:space="0" w:color="auto"/>
            <w:left w:val="none" w:sz="0" w:space="0" w:color="auto"/>
            <w:bottom w:val="none" w:sz="0" w:space="0" w:color="auto"/>
            <w:right w:val="none" w:sz="0" w:space="0" w:color="auto"/>
          </w:divBdr>
        </w:div>
        <w:div w:id="596717198">
          <w:marLeft w:val="0"/>
          <w:marRight w:val="0"/>
          <w:marTop w:val="120"/>
          <w:marBottom w:val="120"/>
          <w:divBdr>
            <w:top w:val="none" w:sz="0" w:space="0" w:color="auto"/>
            <w:left w:val="none" w:sz="0" w:space="0" w:color="auto"/>
            <w:bottom w:val="none" w:sz="0" w:space="0" w:color="auto"/>
            <w:right w:val="none" w:sz="0" w:space="0" w:color="auto"/>
          </w:divBdr>
        </w:div>
      </w:divsChild>
    </w:div>
    <w:div w:id="532304677">
      <w:bodyDiv w:val="1"/>
      <w:marLeft w:val="0"/>
      <w:marRight w:val="0"/>
      <w:marTop w:val="0"/>
      <w:marBottom w:val="0"/>
      <w:divBdr>
        <w:top w:val="none" w:sz="0" w:space="0" w:color="auto"/>
        <w:left w:val="none" w:sz="0" w:space="0" w:color="auto"/>
        <w:bottom w:val="none" w:sz="0" w:space="0" w:color="auto"/>
        <w:right w:val="none" w:sz="0" w:space="0" w:color="auto"/>
      </w:divBdr>
      <w:divsChild>
        <w:div w:id="1895965647">
          <w:marLeft w:val="0"/>
          <w:marRight w:val="0"/>
          <w:marTop w:val="120"/>
          <w:marBottom w:val="120"/>
          <w:divBdr>
            <w:top w:val="none" w:sz="0" w:space="0" w:color="auto"/>
            <w:left w:val="none" w:sz="0" w:space="0" w:color="auto"/>
            <w:bottom w:val="none" w:sz="0" w:space="0" w:color="auto"/>
            <w:right w:val="none" w:sz="0" w:space="0" w:color="auto"/>
          </w:divBdr>
        </w:div>
        <w:div w:id="1401707379">
          <w:marLeft w:val="0"/>
          <w:marRight w:val="0"/>
          <w:marTop w:val="120"/>
          <w:marBottom w:val="120"/>
          <w:divBdr>
            <w:top w:val="none" w:sz="0" w:space="0" w:color="auto"/>
            <w:left w:val="none" w:sz="0" w:space="0" w:color="auto"/>
            <w:bottom w:val="none" w:sz="0" w:space="0" w:color="auto"/>
            <w:right w:val="none" w:sz="0" w:space="0" w:color="auto"/>
          </w:divBdr>
        </w:div>
        <w:div w:id="1697073192">
          <w:marLeft w:val="0"/>
          <w:marRight w:val="0"/>
          <w:marTop w:val="120"/>
          <w:marBottom w:val="120"/>
          <w:divBdr>
            <w:top w:val="none" w:sz="0" w:space="0" w:color="auto"/>
            <w:left w:val="none" w:sz="0" w:space="0" w:color="auto"/>
            <w:bottom w:val="none" w:sz="0" w:space="0" w:color="auto"/>
            <w:right w:val="none" w:sz="0" w:space="0" w:color="auto"/>
          </w:divBdr>
        </w:div>
        <w:div w:id="999381965">
          <w:marLeft w:val="0"/>
          <w:marRight w:val="0"/>
          <w:marTop w:val="120"/>
          <w:marBottom w:val="120"/>
          <w:divBdr>
            <w:top w:val="none" w:sz="0" w:space="0" w:color="auto"/>
            <w:left w:val="none" w:sz="0" w:space="0" w:color="auto"/>
            <w:bottom w:val="none" w:sz="0" w:space="0" w:color="auto"/>
            <w:right w:val="none" w:sz="0" w:space="0" w:color="auto"/>
          </w:divBdr>
        </w:div>
        <w:div w:id="2043824871">
          <w:marLeft w:val="0"/>
          <w:marRight w:val="0"/>
          <w:marTop w:val="120"/>
          <w:marBottom w:val="120"/>
          <w:divBdr>
            <w:top w:val="none" w:sz="0" w:space="0" w:color="auto"/>
            <w:left w:val="none" w:sz="0" w:space="0" w:color="auto"/>
            <w:bottom w:val="none" w:sz="0" w:space="0" w:color="auto"/>
            <w:right w:val="none" w:sz="0" w:space="0" w:color="auto"/>
          </w:divBdr>
        </w:div>
        <w:div w:id="794835837">
          <w:marLeft w:val="0"/>
          <w:marRight w:val="0"/>
          <w:marTop w:val="120"/>
          <w:marBottom w:val="120"/>
          <w:divBdr>
            <w:top w:val="none" w:sz="0" w:space="0" w:color="auto"/>
            <w:left w:val="none" w:sz="0" w:space="0" w:color="auto"/>
            <w:bottom w:val="none" w:sz="0" w:space="0" w:color="auto"/>
            <w:right w:val="none" w:sz="0" w:space="0" w:color="auto"/>
          </w:divBdr>
        </w:div>
        <w:div w:id="906917877">
          <w:marLeft w:val="0"/>
          <w:marRight w:val="0"/>
          <w:marTop w:val="120"/>
          <w:marBottom w:val="120"/>
          <w:divBdr>
            <w:top w:val="none" w:sz="0" w:space="0" w:color="auto"/>
            <w:left w:val="none" w:sz="0" w:space="0" w:color="auto"/>
            <w:bottom w:val="none" w:sz="0" w:space="0" w:color="auto"/>
            <w:right w:val="none" w:sz="0" w:space="0" w:color="auto"/>
          </w:divBdr>
        </w:div>
      </w:divsChild>
    </w:div>
    <w:div w:id="579874376">
      <w:bodyDiv w:val="1"/>
      <w:marLeft w:val="0"/>
      <w:marRight w:val="0"/>
      <w:marTop w:val="0"/>
      <w:marBottom w:val="0"/>
      <w:divBdr>
        <w:top w:val="none" w:sz="0" w:space="0" w:color="auto"/>
        <w:left w:val="none" w:sz="0" w:space="0" w:color="auto"/>
        <w:bottom w:val="none" w:sz="0" w:space="0" w:color="auto"/>
        <w:right w:val="none" w:sz="0" w:space="0" w:color="auto"/>
      </w:divBdr>
    </w:div>
    <w:div w:id="596016317">
      <w:bodyDiv w:val="1"/>
      <w:marLeft w:val="0"/>
      <w:marRight w:val="0"/>
      <w:marTop w:val="0"/>
      <w:marBottom w:val="0"/>
      <w:divBdr>
        <w:top w:val="none" w:sz="0" w:space="0" w:color="auto"/>
        <w:left w:val="none" w:sz="0" w:space="0" w:color="auto"/>
        <w:bottom w:val="none" w:sz="0" w:space="0" w:color="auto"/>
        <w:right w:val="none" w:sz="0" w:space="0" w:color="auto"/>
      </w:divBdr>
      <w:divsChild>
        <w:div w:id="1990161594">
          <w:marLeft w:val="0"/>
          <w:marRight w:val="0"/>
          <w:marTop w:val="120"/>
          <w:marBottom w:val="120"/>
          <w:divBdr>
            <w:top w:val="none" w:sz="0" w:space="0" w:color="auto"/>
            <w:left w:val="none" w:sz="0" w:space="0" w:color="auto"/>
            <w:bottom w:val="none" w:sz="0" w:space="0" w:color="auto"/>
            <w:right w:val="none" w:sz="0" w:space="0" w:color="auto"/>
          </w:divBdr>
        </w:div>
        <w:div w:id="924803899">
          <w:marLeft w:val="0"/>
          <w:marRight w:val="0"/>
          <w:marTop w:val="120"/>
          <w:marBottom w:val="120"/>
          <w:divBdr>
            <w:top w:val="none" w:sz="0" w:space="0" w:color="auto"/>
            <w:left w:val="none" w:sz="0" w:space="0" w:color="auto"/>
            <w:bottom w:val="none" w:sz="0" w:space="0" w:color="auto"/>
            <w:right w:val="none" w:sz="0" w:space="0" w:color="auto"/>
          </w:divBdr>
        </w:div>
        <w:div w:id="24212505">
          <w:marLeft w:val="0"/>
          <w:marRight w:val="0"/>
          <w:marTop w:val="120"/>
          <w:marBottom w:val="120"/>
          <w:divBdr>
            <w:top w:val="none" w:sz="0" w:space="0" w:color="auto"/>
            <w:left w:val="none" w:sz="0" w:space="0" w:color="auto"/>
            <w:bottom w:val="none" w:sz="0" w:space="0" w:color="auto"/>
            <w:right w:val="none" w:sz="0" w:space="0" w:color="auto"/>
          </w:divBdr>
        </w:div>
        <w:div w:id="531000600">
          <w:marLeft w:val="0"/>
          <w:marRight w:val="0"/>
          <w:marTop w:val="120"/>
          <w:marBottom w:val="120"/>
          <w:divBdr>
            <w:top w:val="none" w:sz="0" w:space="0" w:color="auto"/>
            <w:left w:val="none" w:sz="0" w:space="0" w:color="auto"/>
            <w:bottom w:val="none" w:sz="0" w:space="0" w:color="auto"/>
            <w:right w:val="none" w:sz="0" w:space="0" w:color="auto"/>
          </w:divBdr>
        </w:div>
        <w:div w:id="1700005870">
          <w:marLeft w:val="0"/>
          <w:marRight w:val="0"/>
          <w:marTop w:val="120"/>
          <w:marBottom w:val="120"/>
          <w:divBdr>
            <w:top w:val="none" w:sz="0" w:space="0" w:color="auto"/>
            <w:left w:val="none" w:sz="0" w:space="0" w:color="auto"/>
            <w:bottom w:val="none" w:sz="0" w:space="0" w:color="auto"/>
            <w:right w:val="none" w:sz="0" w:space="0" w:color="auto"/>
          </w:divBdr>
        </w:div>
        <w:div w:id="851602654">
          <w:marLeft w:val="0"/>
          <w:marRight w:val="0"/>
          <w:marTop w:val="120"/>
          <w:marBottom w:val="120"/>
          <w:divBdr>
            <w:top w:val="none" w:sz="0" w:space="0" w:color="auto"/>
            <w:left w:val="none" w:sz="0" w:space="0" w:color="auto"/>
            <w:bottom w:val="none" w:sz="0" w:space="0" w:color="auto"/>
            <w:right w:val="none" w:sz="0" w:space="0" w:color="auto"/>
          </w:divBdr>
        </w:div>
        <w:div w:id="422268010">
          <w:marLeft w:val="0"/>
          <w:marRight w:val="0"/>
          <w:marTop w:val="120"/>
          <w:marBottom w:val="120"/>
          <w:divBdr>
            <w:top w:val="none" w:sz="0" w:space="0" w:color="auto"/>
            <w:left w:val="none" w:sz="0" w:space="0" w:color="auto"/>
            <w:bottom w:val="none" w:sz="0" w:space="0" w:color="auto"/>
            <w:right w:val="none" w:sz="0" w:space="0" w:color="auto"/>
          </w:divBdr>
        </w:div>
      </w:divsChild>
    </w:div>
    <w:div w:id="731273461">
      <w:bodyDiv w:val="1"/>
      <w:marLeft w:val="0"/>
      <w:marRight w:val="0"/>
      <w:marTop w:val="0"/>
      <w:marBottom w:val="0"/>
      <w:divBdr>
        <w:top w:val="none" w:sz="0" w:space="0" w:color="auto"/>
        <w:left w:val="none" w:sz="0" w:space="0" w:color="auto"/>
        <w:bottom w:val="none" w:sz="0" w:space="0" w:color="auto"/>
        <w:right w:val="none" w:sz="0" w:space="0" w:color="auto"/>
      </w:divBdr>
    </w:div>
    <w:div w:id="791292348">
      <w:bodyDiv w:val="1"/>
      <w:marLeft w:val="0"/>
      <w:marRight w:val="0"/>
      <w:marTop w:val="0"/>
      <w:marBottom w:val="0"/>
      <w:divBdr>
        <w:top w:val="none" w:sz="0" w:space="0" w:color="auto"/>
        <w:left w:val="none" w:sz="0" w:space="0" w:color="auto"/>
        <w:bottom w:val="none" w:sz="0" w:space="0" w:color="auto"/>
        <w:right w:val="none" w:sz="0" w:space="0" w:color="auto"/>
      </w:divBdr>
    </w:div>
    <w:div w:id="964120584">
      <w:bodyDiv w:val="1"/>
      <w:marLeft w:val="0"/>
      <w:marRight w:val="0"/>
      <w:marTop w:val="0"/>
      <w:marBottom w:val="0"/>
      <w:divBdr>
        <w:top w:val="none" w:sz="0" w:space="0" w:color="auto"/>
        <w:left w:val="none" w:sz="0" w:space="0" w:color="auto"/>
        <w:bottom w:val="none" w:sz="0" w:space="0" w:color="auto"/>
        <w:right w:val="none" w:sz="0" w:space="0" w:color="auto"/>
      </w:divBdr>
    </w:div>
    <w:div w:id="1172257219">
      <w:bodyDiv w:val="1"/>
      <w:marLeft w:val="0"/>
      <w:marRight w:val="0"/>
      <w:marTop w:val="0"/>
      <w:marBottom w:val="0"/>
      <w:divBdr>
        <w:top w:val="none" w:sz="0" w:space="0" w:color="auto"/>
        <w:left w:val="none" w:sz="0" w:space="0" w:color="auto"/>
        <w:bottom w:val="none" w:sz="0" w:space="0" w:color="auto"/>
        <w:right w:val="none" w:sz="0" w:space="0" w:color="auto"/>
      </w:divBdr>
    </w:div>
    <w:div w:id="1268461954">
      <w:bodyDiv w:val="1"/>
      <w:marLeft w:val="0"/>
      <w:marRight w:val="0"/>
      <w:marTop w:val="0"/>
      <w:marBottom w:val="0"/>
      <w:divBdr>
        <w:top w:val="none" w:sz="0" w:space="0" w:color="auto"/>
        <w:left w:val="none" w:sz="0" w:space="0" w:color="auto"/>
        <w:bottom w:val="none" w:sz="0" w:space="0" w:color="auto"/>
        <w:right w:val="none" w:sz="0" w:space="0" w:color="auto"/>
      </w:divBdr>
      <w:divsChild>
        <w:div w:id="742945803">
          <w:marLeft w:val="0"/>
          <w:marRight w:val="0"/>
          <w:marTop w:val="0"/>
          <w:marBottom w:val="75"/>
          <w:divBdr>
            <w:top w:val="none" w:sz="0" w:space="0" w:color="auto"/>
            <w:left w:val="none" w:sz="0" w:space="0" w:color="auto"/>
            <w:bottom w:val="none" w:sz="0" w:space="0" w:color="auto"/>
            <w:right w:val="none" w:sz="0" w:space="0" w:color="auto"/>
          </w:divBdr>
        </w:div>
        <w:div w:id="1667636183">
          <w:marLeft w:val="0"/>
          <w:marRight w:val="0"/>
          <w:marTop w:val="0"/>
          <w:marBottom w:val="75"/>
          <w:divBdr>
            <w:top w:val="none" w:sz="0" w:space="0" w:color="auto"/>
            <w:left w:val="none" w:sz="0" w:space="0" w:color="auto"/>
            <w:bottom w:val="none" w:sz="0" w:space="0" w:color="auto"/>
            <w:right w:val="none" w:sz="0" w:space="0" w:color="auto"/>
          </w:divBdr>
        </w:div>
        <w:div w:id="216168125">
          <w:marLeft w:val="0"/>
          <w:marRight w:val="0"/>
          <w:marTop w:val="0"/>
          <w:marBottom w:val="75"/>
          <w:divBdr>
            <w:top w:val="none" w:sz="0" w:space="0" w:color="auto"/>
            <w:left w:val="none" w:sz="0" w:space="0" w:color="auto"/>
            <w:bottom w:val="none" w:sz="0" w:space="0" w:color="auto"/>
            <w:right w:val="none" w:sz="0" w:space="0" w:color="auto"/>
          </w:divBdr>
        </w:div>
      </w:divsChild>
    </w:div>
    <w:div w:id="1418986292">
      <w:bodyDiv w:val="1"/>
      <w:marLeft w:val="0"/>
      <w:marRight w:val="0"/>
      <w:marTop w:val="0"/>
      <w:marBottom w:val="0"/>
      <w:divBdr>
        <w:top w:val="none" w:sz="0" w:space="0" w:color="auto"/>
        <w:left w:val="none" w:sz="0" w:space="0" w:color="auto"/>
        <w:bottom w:val="none" w:sz="0" w:space="0" w:color="auto"/>
        <w:right w:val="none" w:sz="0" w:space="0" w:color="auto"/>
      </w:divBdr>
      <w:divsChild>
        <w:div w:id="1575313108">
          <w:marLeft w:val="0"/>
          <w:marRight w:val="0"/>
          <w:marTop w:val="0"/>
          <w:marBottom w:val="75"/>
          <w:divBdr>
            <w:top w:val="none" w:sz="0" w:space="0" w:color="auto"/>
            <w:left w:val="none" w:sz="0" w:space="0" w:color="auto"/>
            <w:bottom w:val="none" w:sz="0" w:space="0" w:color="auto"/>
            <w:right w:val="none" w:sz="0" w:space="0" w:color="auto"/>
          </w:divBdr>
        </w:div>
        <w:div w:id="2113623845">
          <w:marLeft w:val="0"/>
          <w:marRight w:val="0"/>
          <w:marTop w:val="0"/>
          <w:marBottom w:val="75"/>
          <w:divBdr>
            <w:top w:val="none" w:sz="0" w:space="0" w:color="auto"/>
            <w:left w:val="none" w:sz="0" w:space="0" w:color="auto"/>
            <w:bottom w:val="none" w:sz="0" w:space="0" w:color="auto"/>
            <w:right w:val="none" w:sz="0" w:space="0" w:color="auto"/>
          </w:divBdr>
        </w:div>
      </w:divsChild>
    </w:div>
    <w:div w:id="1464032544">
      <w:bodyDiv w:val="1"/>
      <w:marLeft w:val="0"/>
      <w:marRight w:val="0"/>
      <w:marTop w:val="0"/>
      <w:marBottom w:val="0"/>
      <w:divBdr>
        <w:top w:val="none" w:sz="0" w:space="0" w:color="auto"/>
        <w:left w:val="none" w:sz="0" w:space="0" w:color="auto"/>
        <w:bottom w:val="none" w:sz="0" w:space="0" w:color="auto"/>
        <w:right w:val="none" w:sz="0" w:space="0" w:color="auto"/>
      </w:divBdr>
    </w:div>
    <w:div w:id="1482306288">
      <w:bodyDiv w:val="1"/>
      <w:marLeft w:val="0"/>
      <w:marRight w:val="0"/>
      <w:marTop w:val="0"/>
      <w:marBottom w:val="0"/>
      <w:divBdr>
        <w:top w:val="none" w:sz="0" w:space="0" w:color="auto"/>
        <w:left w:val="none" w:sz="0" w:space="0" w:color="auto"/>
        <w:bottom w:val="none" w:sz="0" w:space="0" w:color="auto"/>
        <w:right w:val="none" w:sz="0" w:space="0" w:color="auto"/>
      </w:divBdr>
    </w:div>
    <w:div w:id="1529444262">
      <w:bodyDiv w:val="1"/>
      <w:marLeft w:val="0"/>
      <w:marRight w:val="0"/>
      <w:marTop w:val="0"/>
      <w:marBottom w:val="0"/>
      <w:divBdr>
        <w:top w:val="none" w:sz="0" w:space="0" w:color="auto"/>
        <w:left w:val="none" w:sz="0" w:space="0" w:color="auto"/>
        <w:bottom w:val="none" w:sz="0" w:space="0" w:color="auto"/>
        <w:right w:val="none" w:sz="0" w:space="0" w:color="auto"/>
      </w:divBdr>
      <w:divsChild>
        <w:div w:id="631981738">
          <w:marLeft w:val="0"/>
          <w:marRight w:val="0"/>
          <w:marTop w:val="120"/>
          <w:marBottom w:val="120"/>
          <w:divBdr>
            <w:top w:val="none" w:sz="0" w:space="0" w:color="auto"/>
            <w:left w:val="none" w:sz="0" w:space="0" w:color="auto"/>
            <w:bottom w:val="none" w:sz="0" w:space="0" w:color="auto"/>
            <w:right w:val="none" w:sz="0" w:space="0" w:color="auto"/>
          </w:divBdr>
        </w:div>
        <w:div w:id="2141416376">
          <w:marLeft w:val="0"/>
          <w:marRight w:val="0"/>
          <w:marTop w:val="120"/>
          <w:marBottom w:val="120"/>
          <w:divBdr>
            <w:top w:val="none" w:sz="0" w:space="0" w:color="auto"/>
            <w:left w:val="none" w:sz="0" w:space="0" w:color="auto"/>
            <w:bottom w:val="none" w:sz="0" w:space="0" w:color="auto"/>
            <w:right w:val="none" w:sz="0" w:space="0" w:color="auto"/>
          </w:divBdr>
        </w:div>
        <w:div w:id="197855795">
          <w:marLeft w:val="0"/>
          <w:marRight w:val="0"/>
          <w:marTop w:val="120"/>
          <w:marBottom w:val="120"/>
          <w:divBdr>
            <w:top w:val="none" w:sz="0" w:space="0" w:color="auto"/>
            <w:left w:val="none" w:sz="0" w:space="0" w:color="auto"/>
            <w:bottom w:val="none" w:sz="0" w:space="0" w:color="auto"/>
            <w:right w:val="none" w:sz="0" w:space="0" w:color="auto"/>
          </w:divBdr>
        </w:div>
        <w:div w:id="1409110880">
          <w:marLeft w:val="0"/>
          <w:marRight w:val="0"/>
          <w:marTop w:val="120"/>
          <w:marBottom w:val="120"/>
          <w:divBdr>
            <w:top w:val="none" w:sz="0" w:space="0" w:color="auto"/>
            <w:left w:val="none" w:sz="0" w:space="0" w:color="auto"/>
            <w:bottom w:val="none" w:sz="0" w:space="0" w:color="auto"/>
            <w:right w:val="none" w:sz="0" w:space="0" w:color="auto"/>
          </w:divBdr>
        </w:div>
        <w:div w:id="749694025">
          <w:marLeft w:val="0"/>
          <w:marRight w:val="0"/>
          <w:marTop w:val="120"/>
          <w:marBottom w:val="120"/>
          <w:divBdr>
            <w:top w:val="none" w:sz="0" w:space="0" w:color="auto"/>
            <w:left w:val="none" w:sz="0" w:space="0" w:color="auto"/>
            <w:bottom w:val="none" w:sz="0" w:space="0" w:color="auto"/>
            <w:right w:val="none" w:sz="0" w:space="0" w:color="auto"/>
          </w:divBdr>
        </w:div>
        <w:div w:id="1147094140">
          <w:marLeft w:val="0"/>
          <w:marRight w:val="0"/>
          <w:marTop w:val="120"/>
          <w:marBottom w:val="120"/>
          <w:divBdr>
            <w:top w:val="none" w:sz="0" w:space="0" w:color="auto"/>
            <w:left w:val="none" w:sz="0" w:space="0" w:color="auto"/>
            <w:bottom w:val="none" w:sz="0" w:space="0" w:color="auto"/>
            <w:right w:val="none" w:sz="0" w:space="0" w:color="auto"/>
          </w:divBdr>
        </w:div>
      </w:divsChild>
    </w:div>
    <w:div w:id="1638224578">
      <w:bodyDiv w:val="1"/>
      <w:marLeft w:val="0"/>
      <w:marRight w:val="0"/>
      <w:marTop w:val="0"/>
      <w:marBottom w:val="0"/>
      <w:divBdr>
        <w:top w:val="none" w:sz="0" w:space="0" w:color="auto"/>
        <w:left w:val="none" w:sz="0" w:space="0" w:color="auto"/>
        <w:bottom w:val="none" w:sz="0" w:space="0" w:color="auto"/>
        <w:right w:val="none" w:sz="0" w:space="0" w:color="auto"/>
      </w:divBdr>
      <w:divsChild>
        <w:div w:id="2040929418">
          <w:marLeft w:val="-75"/>
          <w:marRight w:val="0"/>
          <w:marTop w:val="0"/>
          <w:marBottom w:val="0"/>
          <w:divBdr>
            <w:top w:val="none" w:sz="0" w:space="0" w:color="auto"/>
            <w:left w:val="none" w:sz="0" w:space="0" w:color="auto"/>
            <w:bottom w:val="none" w:sz="0" w:space="0" w:color="auto"/>
            <w:right w:val="none" w:sz="0" w:space="0" w:color="auto"/>
          </w:divBdr>
          <w:divsChild>
            <w:div w:id="1960992935">
              <w:marLeft w:val="0"/>
              <w:marRight w:val="0"/>
              <w:marTop w:val="0"/>
              <w:marBottom w:val="0"/>
              <w:divBdr>
                <w:top w:val="none" w:sz="0" w:space="0" w:color="auto"/>
                <w:left w:val="none" w:sz="0" w:space="0" w:color="auto"/>
                <w:bottom w:val="none" w:sz="0" w:space="0" w:color="auto"/>
                <w:right w:val="none" w:sz="0" w:space="0" w:color="auto"/>
              </w:divBdr>
              <w:divsChild>
                <w:div w:id="62226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694267">
          <w:marLeft w:val="0"/>
          <w:marRight w:val="0"/>
          <w:marTop w:val="0"/>
          <w:marBottom w:val="75"/>
          <w:divBdr>
            <w:top w:val="none" w:sz="0" w:space="0" w:color="auto"/>
            <w:left w:val="none" w:sz="0" w:space="0" w:color="auto"/>
            <w:bottom w:val="none" w:sz="0" w:space="0" w:color="auto"/>
            <w:right w:val="none" w:sz="0" w:space="0" w:color="auto"/>
          </w:divBdr>
        </w:div>
      </w:divsChild>
    </w:div>
    <w:div w:id="1709068876">
      <w:bodyDiv w:val="1"/>
      <w:marLeft w:val="0"/>
      <w:marRight w:val="0"/>
      <w:marTop w:val="0"/>
      <w:marBottom w:val="0"/>
      <w:divBdr>
        <w:top w:val="none" w:sz="0" w:space="0" w:color="auto"/>
        <w:left w:val="none" w:sz="0" w:space="0" w:color="auto"/>
        <w:bottom w:val="none" w:sz="0" w:space="0" w:color="auto"/>
        <w:right w:val="none" w:sz="0" w:space="0" w:color="auto"/>
      </w:divBdr>
      <w:divsChild>
        <w:div w:id="443379899">
          <w:marLeft w:val="0"/>
          <w:marRight w:val="0"/>
          <w:marTop w:val="120"/>
          <w:marBottom w:val="120"/>
          <w:divBdr>
            <w:top w:val="none" w:sz="0" w:space="0" w:color="auto"/>
            <w:left w:val="none" w:sz="0" w:space="0" w:color="auto"/>
            <w:bottom w:val="none" w:sz="0" w:space="0" w:color="auto"/>
            <w:right w:val="none" w:sz="0" w:space="0" w:color="auto"/>
          </w:divBdr>
        </w:div>
      </w:divsChild>
    </w:div>
    <w:div w:id="1767572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publications/major-report/state-care/2024-2025/access/mh" TargetMode="External"/><Relationship Id="rId13" Type="http://schemas.openxmlformats.org/officeDocument/2006/relationships/hyperlink" Target="https://oro.open.ac.uk/99497/8/99497final.pdf" TargetMode="External"/><Relationship Id="rId18" Type="http://schemas.openxmlformats.org/officeDocument/2006/relationships/hyperlink" Target="https://pmc.ncbi.nlm.nih.gov/articles/PMC12451547" TargetMode="External"/><Relationship Id="rId3" Type="http://schemas.openxmlformats.org/officeDocument/2006/relationships/settings" Target="settings.xml"/><Relationship Id="rId21" Type="http://schemas.openxmlformats.org/officeDocument/2006/relationships/hyperlink" Target="https://www.who.int/news-room/fact-sheets/detail/mental-health-strengthening-our-response" TargetMode="External"/><Relationship Id="rId7" Type="http://schemas.openxmlformats.org/officeDocument/2006/relationships/hyperlink" Target="https://www.researchgate.net/publication/237739321_Scoping_Studies_Towards_a_Methodological_Framework" TargetMode="External"/><Relationship Id="rId12" Type="http://schemas.openxmlformats.org/officeDocument/2006/relationships/hyperlink" Target="https://www.researchgate.net/publication/401619081_Continuity_of_Care_Across_Hospital-to-Community_Transitions_A_Narrative_Review_Integrating_Concepts_Measurement_and_Nursing-Relevant_Approaches" TargetMode="External"/><Relationship Id="rId17" Type="http://schemas.openxmlformats.org/officeDocument/2006/relationships/hyperlink" Target="https://raceequalityfoundation.org.uk/wp-content/uploads/2022/10/collaborative-briefing-mental-health-briefing-digital-FINAL.pdf" TargetMode="External"/><Relationship Id="rId2" Type="http://schemas.openxmlformats.org/officeDocument/2006/relationships/styles" Target="styles.xml"/><Relationship Id="rId16" Type="http://schemas.openxmlformats.org/officeDocument/2006/relationships/hyperlink" Target="https://www.england.nhs.uk/wp-content/uploads/2019/09/community-mental-health-framework-for-adults-and-older-adults.pdf" TargetMode="External"/><Relationship Id="rId20" Type="http://schemas.openxmlformats.org/officeDocument/2006/relationships/hyperlink" Target="https://link.springer.com/article/10.1186/s12888-021-03605-4" TargetMode="External"/><Relationship Id="rId1" Type="http://schemas.openxmlformats.org/officeDocument/2006/relationships/customXml" Target="../customXml/item1.xml"/><Relationship Id="rId6" Type="http://schemas.openxmlformats.org/officeDocument/2006/relationships/image" Target="cid:image001.png@01D0EA4A.2BD679A0" TargetMode="External"/><Relationship Id="rId11" Type="http://schemas.openxmlformats.org/officeDocument/2006/relationships/hyperlink" Target="https://pmc.ncbi.nlm.nih.gov/articles/PMC9580325/" TargetMode="External"/><Relationship Id="rId5" Type="http://schemas.openxmlformats.org/officeDocument/2006/relationships/image" Target="media/image1.png"/><Relationship Id="rId15" Type="http://schemas.openxmlformats.org/officeDocument/2006/relationships/hyperlink" Target="https://www.england.nhs.uk/mental-health/adults/" TargetMode="External"/><Relationship Id="rId23" Type="http://schemas.openxmlformats.org/officeDocument/2006/relationships/theme" Target="theme/theme1.xml"/><Relationship Id="rId10" Type="http://schemas.openxmlformats.org/officeDocument/2006/relationships/hyperlink" Target="https://www.legislation.gov.uk/ukpga/2007/12/contents" TargetMode="External"/><Relationship Id="rId19" Type="http://schemas.openxmlformats.org/officeDocument/2006/relationships/hyperlink" Target="https://pmc.ncbi.nlm.nih.gov/articles/PMC10845680/" TargetMode="External"/><Relationship Id="rId4" Type="http://schemas.openxmlformats.org/officeDocument/2006/relationships/webSettings" Target="webSettings.xml"/><Relationship Id="rId9" Type="http://schemas.openxmlformats.org/officeDocument/2006/relationships/hyperlink" Target="https://www.legislation.gov.uk/ukpga/2005/9/contents" TargetMode="External"/><Relationship Id="rId14" Type="http://schemas.openxmlformats.org/officeDocument/2006/relationships/hyperlink" Target="https://lampardinquiry.org.uk/wp-content/uploads/2025/04/Lampard-Lecture-Explanatory-Document-14.04.25-FINAL.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49D7C7-8490-2C47-A1AB-E896647A7E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TotalTime>
  <Pages>18</Pages>
  <Words>4929</Words>
  <Characters>28100</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PG-Cristea, Lorena</dc:creator>
  <cp:keywords/>
  <dc:description/>
  <cp:lastModifiedBy>marcelamusteata88@yahoo.com</cp:lastModifiedBy>
  <cp:revision>4</cp:revision>
  <dcterms:created xsi:type="dcterms:W3CDTF">2026-08-04T17:10:00Z</dcterms:created>
  <dcterms:modified xsi:type="dcterms:W3CDTF">2026-08-14T10:43:00Z</dcterms:modified>
</cp:coreProperties>
</file>