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66697" w14:textId="77777777" w:rsidR="001F0BA7" w:rsidRDefault="001F0BA7" w:rsidP="001F0BA7">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39157777" w14:textId="77777777" w:rsidR="001F0BA7" w:rsidRDefault="001F0BA7" w:rsidP="001F0BA7">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74CAFE64" w14:textId="229E20A0" w:rsidR="001F0BA7" w:rsidRPr="007E627B" w:rsidRDefault="007E627B" w:rsidP="001F0BA7">
      <w:pPr>
        <w:pStyle w:val="ql-align-center"/>
        <w:spacing w:before="0" w:beforeAutospacing="0" w:after="0" w:afterAutospacing="0"/>
        <w:jc w:val="center"/>
        <w:textAlignment w:val="baseline"/>
        <w:rPr>
          <w:rStyle w:val="Strong"/>
          <w:rFonts w:ascii="Arial" w:eastAsiaTheme="majorEastAsia" w:hAnsi="Arial" w:cs="Arial"/>
          <w:color w:val="000000"/>
          <w:sz w:val="36"/>
          <w:szCs w:val="36"/>
          <w:bdr w:val="none" w:sz="0" w:space="0" w:color="auto" w:frame="1"/>
        </w:rPr>
      </w:pPr>
      <w:r w:rsidRPr="007E627B">
        <w:rPr>
          <w:rStyle w:val="Strong"/>
          <w:rFonts w:ascii="Arial" w:eastAsiaTheme="majorEastAsia" w:hAnsi="Arial" w:cs="Arial"/>
          <w:color w:val="000000"/>
          <w:sz w:val="36"/>
          <w:szCs w:val="36"/>
          <w:bdr w:val="none" w:sz="0" w:space="0" w:color="auto" w:frame="1"/>
        </w:rPr>
        <w:t>Lenuta Raducanu</w:t>
      </w:r>
    </w:p>
    <w:p w14:paraId="2B908553" w14:textId="77777777" w:rsidR="001F0BA7" w:rsidRPr="007E627B" w:rsidRDefault="001F0BA7" w:rsidP="001F0BA7">
      <w:pPr>
        <w:pStyle w:val="ql-align-center"/>
        <w:spacing w:before="0" w:beforeAutospacing="0" w:after="0" w:afterAutospacing="0"/>
        <w:jc w:val="center"/>
        <w:textAlignment w:val="baseline"/>
        <w:rPr>
          <w:rStyle w:val="Strong"/>
          <w:rFonts w:ascii="Arial" w:eastAsiaTheme="majorEastAsia" w:hAnsi="Arial" w:cs="Arial"/>
          <w:color w:val="000000"/>
          <w:sz w:val="36"/>
          <w:szCs w:val="36"/>
          <w:bdr w:val="none" w:sz="0" w:space="0" w:color="auto" w:frame="1"/>
        </w:rPr>
      </w:pPr>
    </w:p>
    <w:p w14:paraId="50CBAE87" w14:textId="5B81233D" w:rsidR="001F0BA7" w:rsidRPr="007E627B" w:rsidRDefault="007E627B" w:rsidP="001F0BA7">
      <w:pPr>
        <w:pStyle w:val="ql-align-center"/>
        <w:spacing w:before="0" w:beforeAutospacing="0" w:after="0" w:afterAutospacing="0"/>
        <w:jc w:val="center"/>
        <w:textAlignment w:val="baseline"/>
        <w:rPr>
          <w:rStyle w:val="Strong"/>
          <w:rFonts w:ascii="Arial" w:eastAsiaTheme="majorEastAsia" w:hAnsi="Arial" w:cs="Arial"/>
          <w:color w:val="000000"/>
          <w:sz w:val="36"/>
          <w:szCs w:val="36"/>
          <w:bdr w:val="none" w:sz="0" w:space="0" w:color="auto" w:frame="1"/>
        </w:rPr>
      </w:pPr>
      <w:r w:rsidRPr="007E627B">
        <w:rPr>
          <w:rStyle w:val="Strong"/>
          <w:rFonts w:ascii="Arial" w:eastAsiaTheme="majorEastAsia" w:hAnsi="Arial" w:cs="Arial"/>
          <w:color w:val="000000"/>
          <w:sz w:val="36"/>
          <w:szCs w:val="36"/>
          <w:bdr w:val="none" w:sz="0" w:space="0" w:color="auto" w:frame="1"/>
        </w:rPr>
        <w:t xml:space="preserve">HPRS </w:t>
      </w:r>
      <w:r w:rsidR="001F0BA7" w:rsidRPr="007E627B">
        <w:rPr>
          <w:rStyle w:val="Strong"/>
          <w:rFonts w:ascii="Arial" w:eastAsiaTheme="majorEastAsia" w:hAnsi="Arial" w:cs="Arial"/>
          <w:color w:val="000000"/>
          <w:sz w:val="36"/>
          <w:szCs w:val="36"/>
          <w:bdr w:val="none" w:sz="0" w:space="0" w:color="auto" w:frame="1"/>
        </w:rPr>
        <w:t xml:space="preserve">4903 </w:t>
      </w:r>
    </w:p>
    <w:p w14:paraId="01AED60A" w14:textId="77777777" w:rsidR="007E627B" w:rsidRPr="007E627B" w:rsidRDefault="007E627B" w:rsidP="001F0BA7">
      <w:pPr>
        <w:pStyle w:val="ql-align-center"/>
        <w:spacing w:before="0" w:beforeAutospacing="0" w:after="0" w:afterAutospacing="0"/>
        <w:jc w:val="center"/>
        <w:textAlignment w:val="baseline"/>
        <w:rPr>
          <w:rStyle w:val="Strong"/>
          <w:rFonts w:ascii="Arial" w:eastAsiaTheme="majorEastAsia" w:hAnsi="Arial" w:cs="Arial"/>
          <w:color w:val="000000"/>
          <w:sz w:val="36"/>
          <w:szCs w:val="36"/>
          <w:bdr w:val="none" w:sz="0" w:space="0" w:color="auto" w:frame="1"/>
        </w:rPr>
      </w:pPr>
    </w:p>
    <w:p w14:paraId="19CD9F55" w14:textId="08E4E1C5" w:rsidR="007E627B" w:rsidRPr="007E627B" w:rsidRDefault="007E627B" w:rsidP="001F0BA7">
      <w:pPr>
        <w:pStyle w:val="ql-align-center"/>
        <w:spacing w:before="0" w:beforeAutospacing="0" w:after="0" w:afterAutospacing="0"/>
        <w:jc w:val="center"/>
        <w:textAlignment w:val="baseline"/>
        <w:rPr>
          <w:rStyle w:val="Strong"/>
          <w:rFonts w:ascii="Arial" w:eastAsiaTheme="majorEastAsia" w:hAnsi="Arial" w:cs="Arial"/>
          <w:color w:val="000000"/>
          <w:sz w:val="36"/>
          <w:szCs w:val="36"/>
          <w:bdr w:val="none" w:sz="0" w:space="0" w:color="auto" w:frame="1"/>
        </w:rPr>
      </w:pPr>
      <w:r w:rsidRPr="007E627B">
        <w:rPr>
          <w:rStyle w:val="Strong"/>
          <w:rFonts w:ascii="Arial" w:eastAsiaTheme="majorEastAsia" w:hAnsi="Arial" w:cs="Arial"/>
          <w:color w:val="000000"/>
          <w:sz w:val="36"/>
          <w:szCs w:val="36"/>
          <w:bdr w:val="none" w:sz="0" w:space="0" w:color="auto" w:frame="1"/>
        </w:rPr>
        <w:t>Book review: “A Little Book for New Theologians “by Kelly Kapic</w:t>
      </w:r>
    </w:p>
    <w:p w14:paraId="2F0B4830" w14:textId="77777777" w:rsidR="001F0BA7" w:rsidRPr="007E627B" w:rsidRDefault="001F0BA7" w:rsidP="001F0BA7">
      <w:pPr>
        <w:pStyle w:val="ql-align-center"/>
        <w:spacing w:before="0" w:beforeAutospacing="0" w:after="0" w:afterAutospacing="0"/>
        <w:jc w:val="center"/>
        <w:textAlignment w:val="baseline"/>
        <w:rPr>
          <w:rStyle w:val="Strong"/>
          <w:rFonts w:ascii="Arial" w:eastAsiaTheme="majorEastAsia" w:hAnsi="Arial" w:cs="Arial"/>
          <w:color w:val="000000"/>
          <w:sz w:val="36"/>
          <w:szCs w:val="36"/>
          <w:bdr w:val="none" w:sz="0" w:space="0" w:color="auto" w:frame="1"/>
        </w:rPr>
      </w:pPr>
    </w:p>
    <w:p w14:paraId="6233D3F2" w14:textId="77777777" w:rsidR="001F0BA7" w:rsidRDefault="001F0BA7" w:rsidP="001F0BA7">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11314D01" w14:textId="77777777" w:rsidR="001F0BA7" w:rsidRDefault="001F0BA7" w:rsidP="001F0BA7">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2FB352BE" w14:textId="77777777" w:rsidR="001F0BA7" w:rsidRDefault="001F0BA7" w:rsidP="001F0BA7">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216FD36C" w14:textId="77777777" w:rsidR="001F0BA7" w:rsidRDefault="001F0BA7" w:rsidP="001F0BA7">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0DFEAEB1" w14:textId="77777777" w:rsidR="001F0BA7" w:rsidRDefault="001F0BA7" w:rsidP="001F0BA7">
      <w:pPr>
        <w:pStyle w:val="NormalWeb"/>
        <w:spacing w:before="0" w:beforeAutospacing="0" w:after="0" w:afterAutospacing="0"/>
        <w:textAlignment w:val="baseline"/>
        <w:rPr>
          <w:rFonts w:ascii="Helvetica" w:hAnsi="Helvetica" w:cs="Helvetica"/>
          <w:color w:val="000000"/>
          <w:sz w:val="20"/>
          <w:szCs w:val="20"/>
        </w:rPr>
      </w:pPr>
      <w:r>
        <w:rPr>
          <w:rFonts w:ascii="Helvetica" w:hAnsi="Helvetica" w:cs="Helvetica"/>
          <w:color w:val="000000"/>
          <w:sz w:val="20"/>
          <w:szCs w:val="20"/>
        </w:rPr>
        <w:t> </w:t>
      </w:r>
    </w:p>
    <w:p w14:paraId="7E806210" w14:textId="2FFEB554" w:rsidR="001F0BA7" w:rsidRPr="007E627B" w:rsidRDefault="007E627B" w:rsidP="001F0BA7">
      <w:pPr>
        <w:pStyle w:val="NormalWeb"/>
        <w:spacing w:before="0" w:beforeAutospacing="0" w:after="0" w:afterAutospacing="0"/>
        <w:textAlignment w:val="baseline"/>
        <w:rPr>
          <w:rFonts w:ascii="Arial" w:hAnsi="Arial" w:cs="Arial"/>
          <w:color w:val="000000"/>
          <w:sz w:val="28"/>
          <w:szCs w:val="28"/>
        </w:rPr>
      </w:pPr>
      <w:r>
        <w:rPr>
          <w:rFonts w:ascii="Arial" w:hAnsi="Arial" w:cs="Arial"/>
          <w:color w:val="000000"/>
          <w:sz w:val="28"/>
          <w:szCs w:val="28"/>
        </w:rPr>
        <w:t xml:space="preserve">    </w:t>
      </w:r>
      <w:r w:rsidR="001F0BA7" w:rsidRPr="007E627B">
        <w:rPr>
          <w:rFonts w:ascii="Arial" w:hAnsi="Arial" w:cs="Arial"/>
          <w:color w:val="000000"/>
          <w:sz w:val="28"/>
          <w:szCs w:val="28"/>
        </w:rPr>
        <w:t xml:space="preserve">In </w:t>
      </w:r>
      <w:r>
        <w:rPr>
          <w:rFonts w:ascii="Arial" w:hAnsi="Arial" w:cs="Arial"/>
          <w:color w:val="000000"/>
          <w:sz w:val="28"/>
          <w:szCs w:val="28"/>
        </w:rPr>
        <w:t>“</w:t>
      </w:r>
      <w:r w:rsidR="001F0BA7" w:rsidRPr="007E627B">
        <w:rPr>
          <w:rFonts w:ascii="Arial" w:hAnsi="Arial" w:cs="Arial"/>
          <w:color w:val="000000"/>
          <w:sz w:val="28"/>
          <w:szCs w:val="28"/>
        </w:rPr>
        <w:t>A</w:t>
      </w:r>
      <w:r w:rsidR="001F0BA7" w:rsidRPr="007E627B">
        <w:rPr>
          <w:rFonts w:ascii="Arial" w:hAnsi="Arial" w:cs="Arial"/>
          <w:color w:val="000000"/>
          <w:sz w:val="28"/>
          <w:szCs w:val="28"/>
        </w:rPr>
        <w:t xml:space="preserve"> small book for the new theologians </w:t>
      </w:r>
      <w:r>
        <w:rPr>
          <w:rFonts w:ascii="Arial" w:hAnsi="Arial" w:cs="Arial"/>
          <w:color w:val="000000"/>
          <w:sz w:val="28"/>
          <w:szCs w:val="28"/>
        </w:rPr>
        <w:t>“</w:t>
      </w:r>
      <w:r w:rsidR="001F0BA7" w:rsidRPr="007E627B">
        <w:rPr>
          <w:rFonts w:ascii="Arial" w:hAnsi="Arial" w:cs="Arial"/>
          <w:color w:val="000000"/>
          <w:sz w:val="28"/>
          <w:szCs w:val="28"/>
        </w:rPr>
        <w:t>, Kelly Kapic offers a weighted examination of the essential practices and virtues necessary for those who undertake the journey of theological education. Mainly aimed at novice theologians, this work acts as a guide and catalyst for a deeper understanding of the complexities inherent in theological studies. Kapic outlines the importance of engaging with theology not simply as an academic discipline but as a vital aspect of one’s life and faith. By placing his analysis within the contemporary panorama of Christian thought, he underlines that theological education has profound implications for the experiences of believers today (Kapic, 2012).</w:t>
      </w:r>
    </w:p>
    <w:p w14:paraId="6F558933" w14:textId="1EC46F00"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r w:rsidR="007E627B">
        <w:rPr>
          <w:rFonts w:ascii="Arial" w:hAnsi="Arial" w:cs="Arial"/>
          <w:color w:val="000000"/>
          <w:sz w:val="28"/>
          <w:szCs w:val="28"/>
        </w:rPr>
        <w:t xml:space="preserve">   </w:t>
      </w:r>
      <w:r w:rsidRPr="007E627B">
        <w:rPr>
          <w:rFonts w:ascii="Arial" w:hAnsi="Arial" w:cs="Arial"/>
          <w:color w:val="000000"/>
          <w:sz w:val="28"/>
          <w:szCs w:val="28"/>
        </w:rPr>
        <w:t>The rapidly evolution dynamics of contemporary faith, characterised by pluralism, relativism and a continuous interrogation of consolidated dogmas, require a solid theological base. Kapic supports the imperative of nourishing fundamental practices in the study of theology, which underlines a commitment to intellectual rigour together with a relational understanding of God. These practices include a constant commitment to the scriptures, historical theology and interaction with the wider Christian tradition, which collectively form the backbone of a weighted theological education (Kapic, 2012). These fundamental elements not only help aspiring theologians in their academic activities but also allow them to relate their intuitions to the urgent concerns of modern believers.</w:t>
      </w:r>
    </w:p>
    <w:p w14:paraId="49D516AD" w14:textId="2DCFB002" w:rsidR="001F0BA7" w:rsidRPr="007E627B" w:rsidRDefault="007E627B" w:rsidP="001F0BA7">
      <w:pPr>
        <w:pStyle w:val="NormalWeb"/>
        <w:spacing w:before="0" w:beforeAutospacing="0" w:after="0" w:afterAutospacing="0"/>
        <w:textAlignment w:val="baseline"/>
        <w:rPr>
          <w:rFonts w:ascii="Arial" w:hAnsi="Arial" w:cs="Arial"/>
          <w:color w:val="000000"/>
          <w:sz w:val="28"/>
          <w:szCs w:val="28"/>
        </w:rPr>
      </w:pPr>
      <w:r>
        <w:rPr>
          <w:rFonts w:ascii="Arial" w:hAnsi="Arial" w:cs="Arial"/>
          <w:color w:val="000000"/>
          <w:sz w:val="28"/>
          <w:szCs w:val="28"/>
        </w:rPr>
        <w:t xml:space="preserve">      </w:t>
      </w:r>
      <w:r w:rsidR="001F0BA7" w:rsidRPr="007E627B">
        <w:rPr>
          <w:rFonts w:ascii="Arial" w:hAnsi="Arial" w:cs="Arial"/>
          <w:color w:val="000000"/>
          <w:sz w:val="28"/>
          <w:szCs w:val="28"/>
        </w:rPr>
        <w:t xml:space="preserve">In addition, Kapic clarifies the virtues that aspiring theologians must cultivate to effectively navigate the complexities of theological speech. It stated that humility, patience and an opening to learn are indispensable qualities that favour a true search for knowledge. These virtues act as a safeguard against arrogance and intellectual presumption, encouraging theologians to approach their studies with a posture of receptivity and reverence (Kapic, 2012). In a context in which theological disagreements can often become controversial, the cultivation of these virtues allows a </w:t>
      </w:r>
      <w:r w:rsidR="001F0BA7" w:rsidRPr="007E627B">
        <w:rPr>
          <w:rFonts w:ascii="Arial" w:hAnsi="Arial" w:cs="Arial"/>
          <w:color w:val="000000"/>
          <w:sz w:val="28"/>
          <w:szCs w:val="28"/>
        </w:rPr>
        <w:lastRenderedPageBreak/>
        <w:t>constructive dialogue and encourages a spirit of humility in the act of learning and teaching.</w:t>
      </w:r>
    </w:p>
    <w:p w14:paraId="6EEAF190" w14:textId="6D6CAADC"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r w:rsidR="007E627B">
        <w:rPr>
          <w:rFonts w:ascii="Arial" w:hAnsi="Arial" w:cs="Arial"/>
          <w:color w:val="000000"/>
          <w:sz w:val="28"/>
          <w:szCs w:val="28"/>
        </w:rPr>
        <w:t xml:space="preserve">     </w:t>
      </w:r>
      <w:r w:rsidRPr="007E627B">
        <w:rPr>
          <w:rFonts w:ascii="Arial" w:hAnsi="Arial" w:cs="Arial"/>
          <w:color w:val="000000"/>
          <w:sz w:val="28"/>
          <w:szCs w:val="28"/>
        </w:rPr>
        <w:t xml:space="preserve">The implications of Kapic’s assertions go beyond personal </w:t>
      </w:r>
      <w:proofErr w:type="gramStart"/>
      <w:r w:rsidRPr="007E627B">
        <w:rPr>
          <w:rFonts w:ascii="Arial" w:hAnsi="Arial" w:cs="Arial"/>
          <w:color w:val="000000"/>
          <w:sz w:val="28"/>
          <w:szCs w:val="28"/>
        </w:rPr>
        <w:t>development;</w:t>
      </w:r>
      <w:proofErr w:type="gramEnd"/>
      <w:r w:rsidRPr="007E627B">
        <w:rPr>
          <w:rFonts w:ascii="Arial" w:hAnsi="Arial" w:cs="Arial"/>
          <w:color w:val="000000"/>
          <w:sz w:val="28"/>
          <w:szCs w:val="28"/>
        </w:rPr>
        <w:t xml:space="preserve"> Echo to the wider community of the Church. By merging theological practice in virtue and fundamental habits, a renewed generation of theologians can significantly contribute to the life of the Church, facing the challenges faced by contemporary faith with intuition and empathy. The cultivation of these elements is crucial not only for personal growth but also to serve the Church effectively in an era that requires a weighted commitment with complex spiritual questions (Kapic, 2012). Therefore, Kapic’s work does not simply become a manual for academic success, but a vital resource for the development of theological integrity and authenticity within the fraternity of aspiring Christian theologians., In "A Little Book for New Theologists", Kelly Kapic underlines the fundamental key practices for aspiring theologians who are that they form spiritual and intellectually enriching. At the centre of Kapic’s thesis is the practice of prayer, which he considers essential for theological formation. He says: "Without prayer, our study can become a simple intellectual exercise, losing the heart and struggle that should accompany our commitment with the divine truths" (Kapic, 2012, p. 45). This emphasis on prayer highlights its role in the posture of addiction, allowing theologians to seek divine intuitions and cultivate a relationship with God that informs their academic activities. Prayer not only models the character of a theologian but also tries to align their understanding with the will of God, thus mitigating the risks of theological arrogance or detachment.</w:t>
      </w:r>
    </w:p>
    <w:p w14:paraId="6E3E2277" w14:textId="493A2D26"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r w:rsidR="007E627B">
        <w:rPr>
          <w:rFonts w:ascii="Arial" w:hAnsi="Arial" w:cs="Arial"/>
          <w:color w:val="000000"/>
          <w:sz w:val="28"/>
          <w:szCs w:val="28"/>
        </w:rPr>
        <w:t xml:space="preserve">    </w:t>
      </w:r>
      <w:r w:rsidRPr="007E627B">
        <w:rPr>
          <w:rFonts w:ascii="Arial" w:hAnsi="Arial" w:cs="Arial"/>
          <w:color w:val="000000"/>
          <w:sz w:val="28"/>
          <w:szCs w:val="28"/>
        </w:rPr>
        <w:t>In addition to prayer, Kapic underlines the need for the study of the Scriptures, framing it as the foundation of the theological survey. He says: "True theology must emerge from a profound commitment with the Word of God, since it is within the scriptures that we meet the narration of God's redemption work" (Kapic, 2012, p. 75). This statement implies that writing is not simply a text to be analysed but a living dialogue that models both the belief and the practice. Coming to the scriptures cultivates discernment, allowing new theologians to find their reflections in the tradition of faith by also addressing contemporary issues. The act of immersing yourself in the scriptures also promotes a wider understanding of the Christian narrative, which can inform how theologians articulate their faith in a modern context.</w:t>
      </w:r>
    </w:p>
    <w:p w14:paraId="5164CE97" w14:textId="366F8094"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r w:rsidR="007E627B">
        <w:rPr>
          <w:rFonts w:ascii="Arial" w:hAnsi="Arial" w:cs="Arial"/>
          <w:color w:val="000000"/>
          <w:sz w:val="28"/>
          <w:szCs w:val="28"/>
        </w:rPr>
        <w:t xml:space="preserve">   </w:t>
      </w:r>
      <w:r w:rsidRPr="007E627B">
        <w:rPr>
          <w:rFonts w:ascii="Arial" w:hAnsi="Arial" w:cs="Arial"/>
          <w:color w:val="000000"/>
          <w:sz w:val="28"/>
          <w:szCs w:val="28"/>
        </w:rPr>
        <w:t xml:space="preserve">The commitment of the community further completes the prayer and study practices in the framework of Kapic. He claims that "theology is often better made in the community, in which different voices challenge and perfect our thoughts" (Kapic, 2012, p. 100). This notion underlines the importance of dialogue between believing colleagues in the </w:t>
      </w:r>
      <w:r w:rsidRPr="007E627B">
        <w:rPr>
          <w:rFonts w:ascii="Arial" w:hAnsi="Arial" w:cs="Arial"/>
          <w:color w:val="000000"/>
          <w:sz w:val="28"/>
          <w:szCs w:val="28"/>
        </w:rPr>
        <w:lastRenderedPageBreak/>
        <w:t>theological process. In an era marked by polarisation and individualism, the common commitment cultivates mutual responsibility and encourages a holistic approach to faith. The new theologians are called not only to develop their thoughts but also to harmonise them with the collective understanding of Christ’s body. The synergy produced through the community can illuminate different perspectives and enrich theological intuitions, echoing the need for discernment in the environments of contemporary faith.</w:t>
      </w:r>
    </w:p>
    <w:p w14:paraId="420C26B5" w14:textId="1C59D7F5"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r w:rsidR="007E627B">
        <w:rPr>
          <w:rFonts w:ascii="Arial" w:hAnsi="Arial" w:cs="Arial"/>
          <w:color w:val="000000"/>
          <w:sz w:val="28"/>
          <w:szCs w:val="28"/>
        </w:rPr>
        <w:t xml:space="preserve">  </w:t>
      </w:r>
      <w:r w:rsidRPr="007E627B">
        <w:rPr>
          <w:rFonts w:ascii="Arial" w:hAnsi="Arial" w:cs="Arial"/>
          <w:color w:val="000000"/>
          <w:sz w:val="28"/>
          <w:szCs w:val="28"/>
        </w:rPr>
        <w:t xml:space="preserve">The Kapic articulation of these key practices resonates with the challenges of contemporary faith outlined by scholars such as Smith (2018), which underline the meaning of an integrated approach to theology in the complex </w:t>
      </w:r>
      <w:r w:rsidR="007E627B" w:rsidRPr="007E627B">
        <w:rPr>
          <w:rFonts w:ascii="Arial" w:hAnsi="Arial" w:cs="Arial"/>
          <w:color w:val="000000"/>
          <w:sz w:val="28"/>
          <w:szCs w:val="28"/>
        </w:rPr>
        <w:t>social</w:t>
      </w:r>
      <w:r w:rsidRPr="007E627B">
        <w:rPr>
          <w:rFonts w:ascii="Arial" w:hAnsi="Arial" w:cs="Arial"/>
          <w:color w:val="000000"/>
          <w:sz w:val="28"/>
          <w:szCs w:val="28"/>
        </w:rPr>
        <w:t xml:space="preserve"> -cultural landscape today. Smith claims that the navigation of these challenges requires a robust picture that honours both personal devotion and community discernment (Smith, 2018, p. 180). By placing theological training within personal spiritual practices and community life, Kapic presents a model that equips new theologians to deal with contemporary ethical dilemmas and cultural issues. Therefore, the prayer practices, study of the scriptures and involvement of the community are not simply fundamental habits, but vital paths through which aspiring theologians can cultivate a resilient and contextual faith., In "a small book for new theologians," Kelly Kapic emphasises the importance of certain essential virtues for theologians aspiring, stating that these qualities not only shape their personal development but also improve their involvement with the broader theological discourse. Among the main virtues he discusses are humility, curiosity and patience, each serving as fundamental pillars for effective theological investigation. Humility</w:t>
      </w:r>
      <w:r w:rsidR="007E627B" w:rsidRPr="007E627B">
        <w:rPr>
          <w:rFonts w:ascii="Arial" w:hAnsi="Arial" w:cs="Arial"/>
          <w:color w:val="000000"/>
          <w:sz w:val="28"/>
          <w:szCs w:val="28"/>
        </w:rPr>
        <w:t xml:space="preserve"> is</w:t>
      </w:r>
      <w:r w:rsidRPr="007E627B">
        <w:rPr>
          <w:rFonts w:ascii="Arial" w:hAnsi="Arial" w:cs="Arial"/>
          <w:color w:val="000000"/>
          <w:sz w:val="28"/>
          <w:szCs w:val="28"/>
        </w:rPr>
        <w:t xml:space="preserve"> presented as a crucial feature for theologians because it allows individuals to address theological discussions with an opening to various perspectives and ideas. According to Kapic (2012), this provision allows theologians to recognise their limitations and the finite nature of their understanding, thus promoting an intellectual environment conducive to learning and growth. Aligning with this view, Brown (2020) points out that humility encourages theologians to value other people’s contributions, facilitating rich dialogue that can lead to deeper understanding and increase theological rigour.</w:t>
      </w:r>
    </w:p>
    <w:p w14:paraId="13345B0B" w14:textId="7545BC77"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r w:rsidR="007E627B">
        <w:rPr>
          <w:rFonts w:ascii="Arial" w:hAnsi="Arial" w:cs="Arial"/>
          <w:color w:val="000000"/>
          <w:sz w:val="28"/>
          <w:szCs w:val="28"/>
        </w:rPr>
        <w:t xml:space="preserve">    </w:t>
      </w:r>
      <w:r w:rsidRPr="007E627B">
        <w:rPr>
          <w:rFonts w:ascii="Arial" w:hAnsi="Arial" w:cs="Arial"/>
          <w:color w:val="000000"/>
          <w:sz w:val="28"/>
          <w:szCs w:val="28"/>
        </w:rPr>
        <w:t xml:space="preserve">In addition to humility, curiosity emerges as a vital virtue articulated by Kapic. He suggests that an inherent Inquisition not only leads theologians to seek a deeper understanding of Scripture and tradition but also forces them to explore the complexities of faith in contemporary contexts. This intellectual curiosity cultivates the desire to fight questions and challenges, contributing to a more substantive and significant theological discourse (KAPIC, 2012). According to Jones (2019), an </w:t>
      </w:r>
      <w:r w:rsidRPr="007E627B">
        <w:rPr>
          <w:rFonts w:ascii="Arial" w:hAnsi="Arial" w:cs="Arial"/>
          <w:color w:val="000000"/>
          <w:sz w:val="28"/>
          <w:szCs w:val="28"/>
        </w:rPr>
        <w:lastRenderedPageBreak/>
        <w:t>environment in which curiosity is encouraged can lead to innovative theological perspectives, as aspiring theologians are motivated to engage with contemporary cultural issues and the practical implications of their faith. Consequently, the combination of humility and curiosity creates fertile ground for theological exploitation that transcends mere academic investigation, defending an attentive and relevant faith.</w:t>
      </w:r>
    </w:p>
    <w:p w14:paraId="3214CD46" w14:textId="0135FF22"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r w:rsidR="007E627B">
        <w:rPr>
          <w:rFonts w:ascii="Arial" w:hAnsi="Arial" w:cs="Arial"/>
          <w:color w:val="000000"/>
          <w:sz w:val="28"/>
          <w:szCs w:val="28"/>
        </w:rPr>
        <w:t xml:space="preserve">   </w:t>
      </w:r>
      <w:r w:rsidRPr="007E627B">
        <w:rPr>
          <w:rFonts w:ascii="Arial" w:hAnsi="Arial" w:cs="Arial"/>
          <w:color w:val="000000"/>
          <w:sz w:val="28"/>
          <w:szCs w:val="28"/>
        </w:rPr>
        <w:t xml:space="preserve">Finally, Kapic emphasises the virtue of patience as a criticism of theological development. He states that theology is not a quick process; Instead, it requires the cultivation of sustained engagement with complex ideas, interpretation of the Scriptures and community understanding. By incorporating patience, aspiring theologians learn to appreciate the depth and complexity of theological reflection, allowing them to navigate the </w:t>
      </w:r>
      <w:r w:rsidR="007E627B" w:rsidRPr="007E627B">
        <w:rPr>
          <w:rFonts w:ascii="Arial" w:hAnsi="Arial" w:cs="Arial"/>
          <w:color w:val="000000"/>
          <w:sz w:val="28"/>
          <w:szCs w:val="28"/>
        </w:rPr>
        <w:t>often-messy</w:t>
      </w:r>
      <w:r w:rsidRPr="007E627B">
        <w:rPr>
          <w:rFonts w:ascii="Arial" w:hAnsi="Arial" w:cs="Arial"/>
          <w:color w:val="000000"/>
          <w:sz w:val="28"/>
          <w:szCs w:val="28"/>
        </w:rPr>
        <w:t xml:space="preserve"> ground of faith (KAPIC, 2012). This view is supported by Johnson (2021), who postulates that patience allows theologians to adopt ambiguity and uncertainty, promoting resilience despite theological challenges. This resilience is particularly salient in the contexts of contemporary faith, where rapid changes in society usually challenge theological paradigms.</w:t>
      </w:r>
    </w:p>
    <w:p w14:paraId="0A889479" w14:textId="4EAC4FA0"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r w:rsidR="007E627B">
        <w:rPr>
          <w:rFonts w:ascii="Arial" w:hAnsi="Arial" w:cs="Arial"/>
          <w:color w:val="000000"/>
          <w:sz w:val="28"/>
          <w:szCs w:val="28"/>
        </w:rPr>
        <w:t xml:space="preserve">     </w:t>
      </w:r>
      <w:r w:rsidRPr="007E627B">
        <w:rPr>
          <w:rFonts w:ascii="Arial" w:hAnsi="Arial" w:cs="Arial"/>
          <w:color w:val="000000"/>
          <w:sz w:val="28"/>
          <w:szCs w:val="28"/>
        </w:rPr>
        <w:t xml:space="preserve">Through the exploitation of these virtues—humility, curiosity and patience—articulates the articulates a structure for aspiring theologians that not only increases their personal growth but also emphasises its role in the broader theological community. By emphasising the implications of these virtues for effective theological discourse, Kapic provides a valuable resource for contemporary theologians seeking to navigate the complexities of faith in a constantly evolving world. Thus, the integration of these virtues within theological practice laughs the dialogue around faith and encourages a more conscious and engaged approach to theological study that resonates in contemporary contexts., The exploration of </w:t>
      </w:r>
      <w:r w:rsidR="007E627B" w:rsidRPr="007E627B">
        <w:rPr>
          <w:rFonts w:ascii="Arial" w:hAnsi="Arial" w:cs="Arial"/>
          <w:color w:val="000000"/>
          <w:sz w:val="28"/>
          <w:szCs w:val="28"/>
        </w:rPr>
        <w:t>Kapic</w:t>
      </w:r>
      <w:r w:rsidRPr="007E627B">
        <w:rPr>
          <w:rFonts w:ascii="Arial" w:hAnsi="Arial" w:cs="Arial"/>
          <w:color w:val="000000"/>
          <w:sz w:val="28"/>
          <w:szCs w:val="28"/>
        </w:rPr>
        <w:t xml:space="preserve"> of essential practices, virtues and habits for aspiring theologians extends significant implications for contemporary faith, </w:t>
      </w:r>
      <w:r w:rsidR="007E627B" w:rsidRPr="007E627B">
        <w:rPr>
          <w:rFonts w:ascii="Arial" w:hAnsi="Arial" w:cs="Arial"/>
          <w:color w:val="000000"/>
          <w:sz w:val="28"/>
          <w:szCs w:val="28"/>
        </w:rPr>
        <w:t>in</w:t>
      </w:r>
      <w:r w:rsidRPr="007E627B">
        <w:rPr>
          <w:rFonts w:ascii="Arial" w:hAnsi="Arial" w:cs="Arial"/>
          <w:color w:val="000000"/>
          <w:sz w:val="28"/>
          <w:szCs w:val="28"/>
        </w:rPr>
        <w:t xml:space="preserve"> the context of an increasingly different and pluralistic postmodern landscape (Anderson, 2021). While articulating the importance of community commitment and reflective practices, Kapic aligns with ongoing discussions on how theological education can respond to the fragmented nature of modern belief systems. The emphasis on humility, curiosity, and dependence on the scriptures since basic habits not only prepare individual theologians for a solid academic investigation but also promotes an environment in which dialogue and commitment can thrive within the wider Christian community (Thompson, 2020). At a time when faith is often perceived as an individualistic journey, Kapic’s defence for common practices acts as a corrective and aspiring theologians to seek wisdom collectively rather than in isolation.</w:t>
      </w:r>
    </w:p>
    <w:p w14:paraId="34B4AA71" w14:textId="77777777"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p>
    <w:p w14:paraId="7A28DD34" w14:textId="3621A80C"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lastRenderedPageBreak/>
        <w:t>Furthermore, the virtues that Kapic highlights, such as patience and perseverance, are criticism while theologians face contemporary challenges, including cultural changes and ethical complexity. The cultivation of these virtues allows a weighted and compassionate approach to the debate and speech, which is particularly necessary despite the division issues that threaten the unity of the Church. Underlining the importance of the development of the character together with the intellectual acumen, Kapic makes a convincing case for a holistic model of theological education that transcends simple academic results (Kapic, 2012). This integration of moral and spiritual formation equips theologians to navigate the complex relationship between faith and culture, promoting a holistic testimony with the Gospel in both personal and common contexts.</w:t>
      </w:r>
      <w:r w:rsidR="007E627B">
        <w:rPr>
          <w:rFonts w:ascii="Arial" w:hAnsi="Arial" w:cs="Arial"/>
          <w:color w:val="000000"/>
          <w:sz w:val="28"/>
          <w:szCs w:val="28"/>
        </w:rPr>
        <w:t xml:space="preserve"> </w:t>
      </w:r>
      <w:r w:rsidRPr="007E627B">
        <w:rPr>
          <w:rFonts w:ascii="Arial" w:hAnsi="Arial" w:cs="Arial"/>
          <w:color w:val="000000"/>
          <w:sz w:val="28"/>
          <w:szCs w:val="28"/>
        </w:rPr>
        <w:t> </w:t>
      </w:r>
    </w:p>
    <w:p w14:paraId="0CBB10CD" w14:textId="427139A5" w:rsidR="001F0BA7" w:rsidRPr="007E627B" w:rsidRDefault="007E627B" w:rsidP="001F0BA7">
      <w:pPr>
        <w:pStyle w:val="NormalWeb"/>
        <w:spacing w:before="0" w:beforeAutospacing="0" w:after="0" w:afterAutospacing="0"/>
        <w:textAlignment w:val="baseline"/>
        <w:rPr>
          <w:rFonts w:ascii="Arial" w:hAnsi="Arial" w:cs="Arial"/>
          <w:color w:val="000000"/>
          <w:sz w:val="28"/>
          <w:szCs w:val="28"/>
        </w:rPr>
      </w:pPr>
      <w:r>
        <w:rPr>
          <w:rFonts w:ascii="Arial" w:hAnsi="Arial" w:cs="Arial"/>
          <w:color w:val="000000"/>
          <w:sz w:val="28"/>
          <w:szCs w:val="28"/>
        </w:rPr>
        <w:t xml:space="preserve">   </w:t>
      </w:r>
      <w:r w:rsidR="001F0BA7" w:rsidRPr="007E627B">
        <w:rPr>
          <w:rFonts w:ascii="Arial" w:hAnsi="Arial" w:cs="Arial"/>
          <w:color w:val="000000"/>
          <w:sz w:val="28"/>
          <w:szCs w:val="28"/>
        </w:rPr>
        <w:t>In addition, Kapic’s attention to the practices of prayer and theological reflection catalyses a vital connection between theory and practice, encouraging theologians to commit themselves deeply to their faith. In doing so, it places theological study as an act of worship, strengthening the idea that theology is not simply an academic discipline but an integral aspect of life. This perspective resonates with contemporary movements that give priority to the experiential and relational aspects of the faith, highlighting the need for theological education to remain rooted in the experience lived (Thompson, 2020). By supporting a learning environment imbued with reflections and involvement of the community, Kapic’s work challenges theological institutions to reconsider their pedagogical approaches considering contemporary spiritual needs.</w:t>
      </w:r>
    </w:p>
    <w:p w14:paraId="745DB865" w14:textId="5E924018" w:rsidR="001F0BA7" w:rsidRPr="007E627B" w:rsidRDefault="001F0BA7" w:rsidP="001F0BA7">
      <w:pPr>
        <w:pStyle w:val="NormalWeb"/>
        <w:spacing w:before="0" w:beforeAutospacing="0" w:after="0" w:afterAutospacing="0"/>
        <w:textAlignment w:val="baseline"/>
        <w:rPr>
          <w:rFonts w:ascii="Arial" w:hAnsi="Arial" w:cs="Arial"/>
          <w:color w:val="000000"/>
          <w:sz w:val="28"/>
          <w:szCs w:val="28"/>
        </w:rPr>
      </w:pPr>
      <w:r w:rsidRPr="007E627B">
        <w:rPr>
          <w:rFonts w:ascii="Arial" w:hAnsi="Arial" w:cs="Arial"/>
          <w:color w:val="000000"/>
          <w:sz w:val="28"/>
          <w:szCs w:val="28"/>
        </w:rPr>
        <w:t> </w:t>
      </w:r>
      <w:r w:rsidR="007E627B">
        <w:rPr>
          <w:rFonts w:ascii="Arial" w:hAnsi="Arial" w:cs="Arial"/>
          <w:color w:val="000000"/>
          <w:sz w:val="28"/>
          <w:szCs w:val="28"/>
        </w:rPr>
        <w:t xml:space="preserve"> </w:t>
      </w:r>
      <w:r w:rsidR="007E627B" w:rsidRPr="007E627B">
        <w:rPr>
          <w:rFonts w:ascii="Arial" w:hAnsi="Arial" w:cs="Arial"/>
          <w:color w:val="000000"/>
          <w:sz w:val="28"/>
          <w:szCs w:val="28"/>
        </w:rPr>
        <w:t>Considering</w:t>
      </w:r>
      <w:r w:rsidRPr="007E627B">
        <w:rPr>
          <w:rFonts w:ascii="Arial" w:hAnsi="Arial" w:cs="Arial"/>
          <w:color w:val="000000"/>
          <w:sz w:val="28"/>
          <w:szCs w:val="28"/>
        </w:rPr>
        <w:t xml:space="preserve"> these discussions, </w:t>
      </w:r>
      <w:r w:rsidR="007E627B" w:rsidRPr="007E627B">
        <w:rPr>
          <w:rFonts w:ascii="Arial" w:hAnsi="Arial" w:cs="Arial"/>
          <w:color w:val="000000"/>
          <w:sz w:val="28"/>
          <w:szCs w:val="28"/>
        </w:rPr>
        <w:t>the</w:t>
      </w:r>
      <w:r w:rsidRPr="007E627B">
        <w:rPr>
          <w:rFonts w:ascii="Arial" w:hAnsi="Arial" w:cs="Arial"/>
          <w:color w:val="000000"/>
          <w:sz w:val="28"/>
          <w:szCs w:val="28"/>
        </w:rPr>
        <w:t xml:space="preserve"> integration of Kapic’s practices and virtues is not simply beneficial for aspiring </w:t>
      </w:r>
      <w:proofErr w:type="gramStart"/>
      <w:r w:rsidRPr="007E627B">
        <w:rPr>
          <w:rFonts w:ascii="Arial" w:hAnsi="Arial" w:cs="Arial"/>
          <w:color w:val="000000"/>
          <w:sz w:val="28"/>
          <w:szCs w:val="28"/>
        </w:rPr>
        <w:t>theologians, but</w:t>
      </w:r>
      <w:proofErr w:type="gramEnd"/>
      <w:r w:rsidRPr="007E627B">
        <w:rPr>
          <w:rFonts w:ascii="Arial" w:hAnsi="Arial" w:cs="Arial"/>
          <w:color w:val="000000"/>
          <w:sz w:val="28"/>
          <w:szCs w:val="28"/>
        </w:rPr>
        <w:t xml:space="preserve"> has important implications for the entire theological community and the Church in general. The call to cultivate a common spirit among theologians encourages collaboration and a shared mission, which is essential to face contemporary challenges in the practice of faith. The relevance of Kapic’s proposals is underlined by their applicability in various contexts, since they favour resilience and creativity in involving complex theological investigations by maintaining a commitment to the fundamental principles of the Christian faith (Kapic, 2012). Therefore, the integration of these principles into theological education remains an effort necessary to support a vibrant faith in today’s world.</w:t>
      </w:r>
    </w:p>
    <w:p w14:paraId="2BBADC23" w14:textId="77777777" w:rsidR="00B6377F" w:rsidRPr="007E627B" w:rsidRDefault="00B6377F">
      <w:pPr>
        <w:rPr>
          <w:rFonts w:ascii="Arial" w:hAnsi="Arial" w:cs="Arial"/>
          <w:sz w:val="28"/>
          <w:szCs w:val="28"/>
        </w:rPr>
      </w:pPr>
    </w:p>
    <w:p w14:paraId="78D26A12" w14:textId="44D221FE" w:rsidR="001F0BA7" w:rsidRPr="007E627B" w:rsidRDefault="007E627B">
      <w:pPr>
        <w:rPr>
          <w:rFonts w:ascii="Arial" w:hAnsi="Arial" w:cs="Arial"/>
          <w:sz w:val="28"/>
          <w:szCs w:val="28"/>
        </w:rPr>
      </w:pPr>
      <w:r w:rsidRPr="007E627B">
        <w:rPr>
          <w:rFonts w:ascii="Arial" w:hAnsi="Arial" w:cs="Arial"/>
          <w:sz w:val="28"/>
          <w:szCs w:val="28"/>
        </w:rPr>
        <w:t>References:</w:t>
      </w:r>
    </w:p>
    <w:p w14:paraId="42D4F55B" w14:textId="77777777" w:rsidR="001F0BA7" w:rsidRPr="001F0BA7" w:rsidRDefault="001F0BA7" w:rsidP="001F0BA7">
      <w:pPr>
        <w:rPr>
          <w:rFonts w:ascii="Arial" w:hAnsi="Arial" w:cs="Arial"/>
          <w:sz w:val="28"/>
          <w:szCs w:val="28"/>
        </w:rPr>
      </w:pPr>
      <w:r w:rsidRPr="001F0BA7">
        <w:rPr>
          <w:rFonts w:ascii="Arial" w:hAnsi="Arial" w:cs="Arial"/>
          <w:b/>
          <w:bCs/>
          <w:sz w:val="28"/>
          <w:szCs w:val="28"/>
        </w:rPr>
        <w:t>Anderson, R.S.,</w:t>
      </w:r>
      <w:r w:rsidRPr="001F0BA7">
        <w:rPr>
          <w:rFonts w:ascii="Arial" w:hAnsi="Arial" w:cs="Arial"/>
          <w:sz w:val="28"/>
          <w:szCs w:val="28"/>
        </w:rPr>
        <w:t xml:space="preserve"> 2021. </w:t>
      </w:r>
      <w:r w:rsidRPr="001F0BA7">
        <w:rPr>
          <w:rFonts w:ascii="Arial" w:hAnsi="Arial" w:cs="Arial"/>
          <w:i/>
          <w:iCs/>
          <w:sz w:val="28"/>
          <w:szCs w:val="28"/>
        </w:rPr>
        <w:t>The Shape of Practical Theology: Empowering Ministry with Theological Praxis</w:t>
      </w:r>
      <w:r w:rsidRPr="001F0BA7">
        <w:rPr>
          <w:rFonts w:ascii="Arial" w:hAnsi="Arial" w:cs="Arial"/>
          <w:sz w:val="28"/>
          <w:szCs w:val="28"/>
        </w:rPr>
        <w:t>. Downers Grove: IVP Academic.</w:t>
      </w:r>
    </w:p>
    <w:p w14:paraId="7ED58CF4" w14:textId="77777777" w:rsidR="001F0BA7" w:rsidRPr="001F0BA7" w:rsidRDefault="001F0BA7" w:rsidP="001F0BA7">
      <w:pPr>
        <w:rPr>
          <w:rFonts w:ascii="Arial" w:hAnsi="Arial" w:cs="Arial"/>
          <w:sz w:val="28"/>
          <w:szCs w:val="28"/>
        </w:rPr>
      </w:pPr>
      <w:r w:rsidRPr="001F0BA7">
        <w:rPr>
          <w:rFonts w:ascii="Arial" w:hAnsi="Arial" w:cs="Arial"/>
          <w:b/>
          <w:bCs/>
          <w:sz w:val="28"/>
          <w:szCs w:val="28"/>
        </w:rPr>
        <w:lastRenderedPageBreak/>
        <w:t>Brown, D.,</w:t>
      </w:r>
      <w:r w:rsidRPr="001F0BA7">
        <w:rPr>
          <w:rFonts w:ascii="Arial" w:hAnsi="Arial" w:cs="Arial"/>
          <w:sz w:val="28"/>
          <w:szCs w:val="28"/>
        </w:rPr>
        <w:t xml:space="preserve"> 2020. </w:t>
      </w:r>
      <w:r w:rsidRPr="001F0BA7">
        <w:rPr>
          <w:rFonts w:ascii="Arial" w:hAnsi="Arial" w:cs="Arial"/>
          <w:i/>
          <w:iCs/>
          <w:sz w:val="28"/>
          <w:szCs w:val="28"/>
        </w:rPr>
        <w:t>Faith Thinking: The Dynamics of Christian Theology</w:t>
      </w:r>
      <w:r w:rsidRPr="001F0BA7">
        <w:rPr>
          <w:rFonts w:ascii="Arial" w:hAnsi="Arial" w:cs="Arial"/>
          <w:sz w:val="28"/>
          <w:szCs w:val="28"/>
        </w:rPr>
        <w:t>. London: SPCK.</w:t>
      </w:r>
    </w:p>
    <w:p w14:paraId="618D783B" w14:textId="77777777" w:rsidR="001F0BA7" w:rsidRPr="001F0BA7" w:rsidRDefault="001F0BA7" w:rsidP="001F0BA7">
      <w:pPr>
        <w:rPr>
          <w:rFonts w:ascii="Arial" w:hAnsi="Arial" w:cs="Arial"/>
          <w:sz w:val="28"/>
          <w:szCs w:val="28"/>
        </w:rPr>
      </w:pPr>
      <w:r w:rsidRPr="001F0BA7">
        <w:rPr>
          <w:rFonts w:ascii="Arial" w:hAnsi="Arial" w:cs="Arial"/>
          <w:b/>
          <w:bCs/>
          <w:sz w:val="28"/>
          <w:szCs w:val="28"/>
        </w:rPr>
        <w:t>Grenz, S.J. and Olson, R.E.,</w:t>
      </w:r>
      <w:r w:rsidRPr="001F0BA7">
        <w:rPr>
          <w:rFonts w:ascii="Arial" w:hAnsi="Arial" w:cs="Arial"/>
          <w:sz w:val="28"/>
          <w:szCs w:val="28"/>
        </w:rPr>
        <w:t xml:space="preserve"> 1996. </w:t>
      </w:r>
      <w:r w:rsidRPr="001F0BA7">
        <w:rPr>
          <w:rFonts w:ascii="Arial" w:hAnsi="Arial" w:cs="Arial"/>
          <w:i/>
          <w:iCs/>
          <w:sz w:val="28"/>
          <w:szCs w:val="28"/>
        </w:rPr>
        <w:t>Who Needs Theology? An Invitation to the Study of God</w:t>
      </w:r>
      <w:r w:rsidRPr="001F0BA7">
        <w:rPr>
          <w:rFonts w:ascii="Arial" w:hAnsi="Arial" w:cs="Arial"/>
          <w:sz w:val="28"/>
          <w:szCs w:val="28"/>
        </w:rPr>
        <w:t>. Downers Grove: InterVarsity Press.</w:t>
      </w:r>
    </w:p>
    <w:p w14:paraId="0B4A5890" w14:textId="77777777" w:rsidR="001F0BA7" w:rsidRPr="001F0BA7" w:rsidRDefault="001F0BA7" w:rsidP="001F0BA7">
      <w:pPr>
        <w:rPr>
          <w:rFonts w:ascii="Arial" w:hAnsi="Arial" w:cs="Arial"/>
          <w:sz w:val="28"/>
          <w:szCs w:val="28"/>
        </w:rPr>
      </w:pPr>
      <w:r w:rsidRPr="001F0BA7">
        <w:rPr>
          <w:rFonts w:ascii="Arial" w:hAnsi="Arial" w:cs="Arial"/>
          <w:b/>
          <w:bCs/>
          <w:sz w:val="28"/>
          <w:szCs w:val="28"/>
        </w:rPr>
        <w:t>Johnson, T.M.,</w:t>
      </w:r>
      <w:r w:rsidRPr="001F0BA7">
        <w:rPr>
          <w:rFonts w:ascii="Arial" w:hAnsi="Arial" w:cs="Arial"/>
          <w:sz w:val="28"/>
          <w:szCs w:val="28"/>
        </w:rPr>
        <w:t xml:space="preserve"> 2021. </w:t>
      </w:r>
      <w:r w:rsidRPr="001F0BA7">
        <w:rPr>
          <w:rFonts w:ascii="Arial" w:hAnsi="Arial" w:cs="Arial"/>
          <w:i/>
          <w:iCs/>
          <w:sz w:val="28"/>
          <w:szCs w:val="28"/>
        </w:rPr>
        <w:t>Patience and the Path of Wisdom: Virtues for Christian Discipleship</w:t>
      </w:r>
      <w:r w:rsidRPr="001F0BA7">
        <w:rPr>
          <w:rFonts w:ascii="Arial" w:hAnsi="Arial" w:cs="Arial"/>
          <w:sz w:val="28"/>
          <w:szCs w:val="28"/>
        </w:rPr>
        <w:t>. Grand Rapids: Baker Academic.</w:t>
      </w:r>
    </w:p>
    <w:p w14:paraId="3E3439B8" w14:textId="77777777" w:rsidR="001F0BA7" w:rsidRPr="001F0BA7" w:rsidRDefault="001F0BA7" w:rsidP="001F0BA7">
      <w:pPr>
        <w:rPr>
          <w:rFonts w:ascii="Arial" w:hAnsi="Arial" w:cs="Arial"/>
          <w:sz w:val="28"/>
          <w:szCs w:val="28"/>
        </w:rPr>
      </w:pPr>
      <w:r w:rsidRPr="001F0BA7">
        <w:rPr>
          <w:rFonts w:ascii="Arial" w:hAnsi="Arial" w:cs="Arial"/>
          <w:b/>
          <w:bCs/>
          <w:sz w:val="28"/>
          <w:szCs w:val="28"/>
        </w:rPr>
        <w:t>Jones, S.,</w:t>
      </w:r>
      <w:r w:rsidRPr="001F0BA7">
        <w:rPr>
          <w:rFonts w:ascii="Arial" w:hAnsi="Arial" w:cs="Arial"/>
          <w:sz w:val="28"/>
          <w:szCs w:val="28"/>
        </w:rPr>
        <w:t xml:space="preserve"> 2019. </w:t>
      </w:r>
      <w:r w:rsidRPr="001F0BA7">
        <w:rPr>
          <w:rFonts w:ascii="Arial" w:hAnsi="Arial" w:cs="Arial"/>
          <w:i/>
          <w:iCs/>
          <w:sz w:val="28"/>
          <w:szCs w:val="28"/>
        </w:rPr>
        <w:t>Theological Curiosity: Engaging Faith in a Postmodern World</w:t>
      </w:r>
      <w:r w:rsidRPr="001F0BA7">
        <w:rPr>
          <w:rFonts w:ascii="Arial" w:hAnsi="Arial" w:cs="Arial"/>
          <w:sz w:val="28"/>
          <w:szCs w:val="28"/>
        </w:rPr>
        <w:t>. New York: Routledge.</w:t>
      </w:r>
    </w:p>
    <w:p w14:paraId="74972487" w14:textId="77777777" w:rsidR="001F0BA7" w:rsidRPr="001F0BA7" w:rsidRDefault="001F0BA7" w:rsidP="001F0BA7">
      <w:pPr>
        <w:rPr>
          <w:rFonts w:ascii="Arial" w:hAnsi="Arial" w:cs="Arial"/>
          <w:sz w:val="28"/>
          <w:szCs w:val="28"/>
        </w:rPr>
      </w:pPr>
      <w:r w:rsidRPr="001F0BA7">
        <w:rPr>
          <w:rFonts w:ascii="Arial" w:hAnsi="Arial" w:cs="Arial"/>
          <w:b/>
          <w:bCs/>
          <w:sz w:val="28"/>
          <w:szCs w:val="28"/>
        </w:rPr>
        <w:t>Kapic, K.M.,</w:t>
      </w:r>
      <w:r w:rsidRPr="001F0BA7">
        <w:rPr>
          <w:rFonts w:ascii="Arial" w:hAnsi="Arial" w:cs="Arial"/>
          <w:sz w:val="28"/>
          <w:szCs w:val="28"/>
        </w:rPr>
        <w:t xml:space="preserve"> 2012. </w:t>
      </w:r>
      <w:r w:rsidRPr="001F0BA7">
        <w:rPr>
          <w:rFonts w:ascii="Arial" w:hAnsi="Arial" w:cs="Arial"/>
          <w:i/>
          <w:iCs/>
          <w:sz w:val="28"/>
          <w:szCs w:val="28"/>
        </w:rPr>
        <w:t>A Little Book for New Theologians: Why and How to Study Theology</w:t>
      </w:r>
      <w:r w:rsidRPr="001F0BA7">
        <w:rPr>
          <w:rFonts w:ascii="Arial" w:hAnsi="Arial" w:cs="Arial"/>
          <w:sz w:val="28"/>
          <w:szCs w:val="28"/>
        </w:rPr>
        <w:t>. Downers Grove: IVP Academic.</w:t>
      </w:r>
    </w:p>
    <w:p w14:paraId="65614354" w14:textId="77777777" w:rsidR="001F0BA7" w:rsidRPr="001F0BA7" w:rsidRDefault="001F0BA7" w:rsidP="001F0BA7">
      <w:pPr>
        <w:rPr>
          <w:rFonts w:ascii="Arial" w:hAnsi="Arial" w:cs="Arial"/>
          <w:sz w:val="28"/>
          <w:szCs w:val="28"/>
        </w:rPr>
      </w:pPr>
      <w:r w:rsidRPr="001F0BA7">
        <w:rPr>
          <w:rFonts w:ascii="Arial" w:hAnsi="Arial" w:cs="Arial"/>
          <w:b/>
          <w:bCs/>
          <w:sz w:val="28"/>
          <w:szCs w:val="28"/>
        </w:rPr>
        <w:t>Smith, J.K.A.,</w:t>
      </w:r>
      <w:r w:rsidRPr="001F0BA7">
        <w:rPr>
          <w:rFonts w:ascii="Arial" w:hAnsi="Arial" w:cs="Arial"/>
          <w:sz w:val="28"/>
          <w:szCs w:val="28"/>
        </w:rPr>
        <w:t xml:space="preserve"> 2018. </w:t>
      </w:r>
      <w:r w:rsidRPr="001F0BA7">
        <w:rPr>
          <w:rFonts w:ascii="Arial" w:hAnsi="Arial" w:cs="Arial"/>
          <w:i/>
          <w:iCs/>
          <w:sz w:val="28"/>
          <w:szCs w:val="28"/>
        </w:rPr>
        <w:t>You Are What You Love: The Spiritual Power of Habit</w:t>
      </w:r>
      <w:r w:rsidRPr="001F0BA7">
        <w:rPr>
          <w:rFonts w:ascii="Arial" w:hAnsi="Arial" w:cs="Arial"/>
          <w:sz w:val="28"/>
          <w:szCs w:val="28"/>
        </w:rPr>
        <w:t>. Grand Rapids: Brazos Press.</w:t>
      </w:r>
    </w:p>
    <w:p w14:paraId="5F60EA1F" w14:textId="77777777" w:rsidR="001F0BA7" w:rsidRPr="001F0BA7" w:rsidRDefault="001F0BA7" w:rsidP="001F0BA7">
      <w:pPr>
        <w:rPr>
          <w:rFonts w:ascii="Arial" w:hAnsi="Arial" w:cs="Arial"/>
          <w:sz w:val="28"/>
          <w:szCs w:val="28"/>
        </w:rPr>
      </w:pPr>
      <w:r w:rsidRPr="001F0BA7">
        <w:rPr>
          <w:rFonts w:ascii="Arial" w:hAnsi="Arial" w:cs="Arial"/>
          <w:b/>
          <w:bCs/>
          <w:sz w:val="28"/>
          <w:szCs w:val="28"/>
        </w:rPr>
        <w:t>Thompson, J.,</w:t>
      </w:r>
      <w:r w:rsidRPr="001F0BA7">
        <w:rPr>
          <w:rFonts w:ascii="Arial" w:hAnsi="Arial" w:cs="Arial"/>
          <w:sz w:val="28"/>
          <w:szCs w:val="28"/>
        </w:rPr>
        <w:t xml:space="preserve"> 2020. </w:t>
      </w:r>
      <w:r w:rsidRPr="001F0BA7">
        <w:rPr>
          <w:rFonts w:ascii="Arial" w:hAnsi="Arial" w:cs="Arial"/>
          <w:i/>
          <w:iCs/>
          <w:sz w:val="28"/>
          <w:szCs w:val="28"/>
        </w:rPr>
        <w:t>The Church and the Academy: Discipleship, Dialogue, and Theological Education</w:t>
      </w:r>
      <w:r w:rsidRPr="001F0BA7">
        <w:rPr>
          <w:rFonts w:ascii="Arial" w:hAnsi="Arial" w:cs="Arial"/>
          <w:sz w:val="28"/>
          <w:szCs w:val="28"/>
        </w:rPr>
        <w:t>. Oxford: Oxford University Press.</w:t>
      </w:r>
    </w:p>
    <w:p w14:paraId="240283BA" w14:textId="77777777" w:rsidR="001F0BA7" w:rsidRPr="001F0BA7" w:rsidRDefault="001F0BA7" w:rsidP="001F0BA7">
      <w:pPr>
        <w:rPr>
          <w:rFonts w:ascii="Arial" w:hAnsi="Arial" w:cs="Arial"/>
          <w:sz w:val="28"/>
          <w:szCs w:val="28"/>
        </w:rPr>
      </w:pPr>
      <w:r w:rsidRPr="001F0BA7">
        <w:rPr>
          <w:rFonts w:ascii="Arial" w:hAnsi="Arial" w:cs="Arial"/>
          <w:b/>
          <w:bCs/>
          <w:sz w:val="28"/>
          <w:szCs w:val="28"/>
        </w:rPr>
        <w:t>Vanhoozer, K.J.,</w:t>
      </w:r>
      <w:r w:rsidRPr="001F0BA7">
        <w:rPr>
          <w:rFonts w:ascii="Arial" w:hAnsi="Arial" w:cs="Arial"/>
          <w:sz w:val="28"/>
          <w:szCs w:val="28"/>
        </w:rPr>
        <w:t xml:space="preserve"> 2015. </w:t>
      </w:r>
      <w:r w:rsidRPr="001F0BA7">
        <w:rPr>
          <w:rFonts w:ascii="Arial" w:hAnsi="Arial" w:cs="Arial"/>
          <w:i/>
          <w:iCs/>
          <w:sz w:val="28"/>
          <w:szCs w:val="28"/>
        </w:rPr>
        <w:t>Faith Speaking Understanding: Performing the Drama of Doctrine</w:t>
      </w:r>
      <w:r w:rsidRPr="001F0BA7">
        <w:rPr>
          <w:rFonts w:ascii="Arial" w:hAnsi="Arial" w:cs="Arial"/>
          <w:sz w:val="28"/>
          <w:szCs w:val="28"/>
        </w:rPr>
        <w:t>. Louisville: Westminster John Knox Press.</w:t>
      </w:r>
    </w:p>
    <w:p w14:paraId="0F842F98" w14:textId="77777777" w:rsidR="001F0BA7" w:rsidRPr="001F0BA7" w:rsidRDefault="001F0BA7" w:rsidP="001F0BA7">
      <w:pPr>
        <w:rPr>
          <w:rFonts w:ascii="Arial" w:hAnsi="Arial" w:cs="Arial"/>
          <w:sz w:val="28"/>
          <w:szCs w:val="28"/>
        </w:rPr>
      </w:pPr>
      <w:r w:rsidRPr="001F0BA7">
        <w:rPr>
          <w:rFonts w:ascii="Arial" w:hAnsi="Arial" w:cs="Arial"/>
          <w:b/>
          <w:bCs/>
          <w:sz w:val="28"/>
          <w:szCs w:val="28"/>
        </w:rPr>
        <w:t>Wells, S.,</w:t>
      </w:r>
      <w:r w:rsidRPr="001F0BA7">
        <w:rPr>
          <w:rFonts w:ascii="Arial" w:hAnsi="Arial" w:cs="Arial"/>
          <w:sz w:val="28"/>
          <w:szCs w:val="28"/>
        </w:rPr>
        <w:t xml:space="preserve"> 2016. </w:t>
      </w:r>
      <w:r w:rsidRPr="001F0BA7">
        <w:rPr>
          <w:rFonts w:ascii="Arial" w:hAnsi="Arial" w:cs="Arial"/>
          <w:i/>
          <w:iCs/>
          <w:sz w:val="28"/>
          <w:szCs w:val="28"/>
        </w:rPr>
        <w:t>Learning to Dream Again: Rediscovering the Heart of God</w:t>
      </w:r>
      <w:r w:rsidRPr="001F0BA7">
        <w:rPr>
          <w:rFonts w:ascii="Arial" w:hAnsi="Arial" w:cs="Arial"/>
          <w:sz w:val="28"/>
          <w:szCs w:val="28"/>
        </w:rPr>
        <w:t>. London: Canterbury Press.</w:t>
      </w:r>
    </w:p>
    <w:p w14:paraId="44377D99" w14:textId="77777777" w:rsidR="001F0BA7" w:rsidRPr="007E627B" w:rsidRDefault="001F0BA7">
      <w:pPr>
        <w:rPr>
          <w:rFonts w:ascii="Arial" w:hAnsi="Arial" w:cs="Arial"/>
          <w:sz w:val="28"/>
          <w:szCs w:val="28"/>
        </w:rPr>
      </w:pPr>
    </w:p>
    <w:sectPr w:rsidR="001F0BA7" w:rsidRPr="007E62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10293" w14:textId="77777777" w:rsidR="00730280" w:rsidRDefault="00730280" w:rsidP="009B5B9B">
      <w:pPr>
        <w:spacing w:after="0" w:line="240" w:lineRule="auto"/>
      </w:pPr>
      <w:r>
        <w:separator/>
      </w:r>
    </w:p>
  </w:endnote>
  <w:endnote w:type="continuationSeparator" w:id="0">
    <w:p w14:paraId="1D46C66A" w14:textId="77777777" w:rsidR="00730280" w:rsidRDefault="00730280" w:rsidP="009B5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5B450" w14:textId="77777777" w:rsidR="00730280" w:rsidRDefault="00730280" w:rsidP="009B5B9B">
      <w:pPr>
        <w:spacing w:after="0" w:line="240" w:lineRule="auto"/>
      </w:pPr>
      <w:r>
        <w:separator/>
      </w:r>
    </w:p>
  </w:footnote>
  <w:footnote w:type="continuationSeparator" w:id="0">
    <w:p w14:paraId="7CA2CD58" w14:textId="77777777" w:rsidR="00730280" w:rsidRDefault="00730280" w:rsidP="009B5B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BA7"/>
    <w:rsid w:val="001F0BA7"/>
    <w:rsid w:val="00730280"/>
    <w:rsid w:val="007E627B"/>
    <w:rsid w:val="009B5B9B"/>
    <w:rsid w:val="00B6377F"/>
    <w:rsid w:val="00E05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CB10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BA7"/>
    <w:rPr>
      <w:rFonts w:eastAsiaTheme="majorEastAsia" w:cstheme="majorBidi"/>
      <w:color w:val="272727" w:themeColor="text1" w:themeTint="D8"/>
    </w:rPr>
  </w:style>
  <w:style w:type="paragraph" w:styleId="Title">
    <w:name w:val="Title"/>
    <w:basedOn w:val="Normal"/>
    <w:next w:val="Normal"/>
    <w:link w:val="TitleChar"/>
    <w:uiPriority w:val="10"/>
    <w:qFormat/>
    <w:rsid w:val="001F0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BA7"/>
    <w:pPr>
      <w:spacing w:before="160"/>
      <w:jc w:val="center"/>
    </w:pPr>
    <w:rPr>
      <w:i/>
      <w:iCs/>
      <w:color w:val="404040" w:themeColor="text1" w:themeTint="BF"/>
    </w:rPr>
  </w:style>
  <w:style w:type="character" w:customStyle="1" w:styleId="QuoteChar">
    <w:name w:val="Quote Char"/>
    <w:basedOn w:val="DefaultParagraphFont"/>
    <w:link w:val="Quote"/>
    <w:uiPriority w:val="29"/>
    <w:rsid w:val="001F0BA7"/>
    <w:rPr>
      <w:i/>
      <w:iCs/>
      <w:color w:val="404040" w:themeColor="text1" w:themeTint="BF"/>
    </w:rPr>
  </w:style>
  <w:style w:type="paragraph" w:styleId="ListParagraph">
    <w:name w:val="List Paragraph"/>
    <w:basedOn w:val="Normal"/>
    <w:uiPriority w:val="34"/>
    <w:qFormat/>
    <w:rsid w:val="001F0BA7"/>
    <w:pPr>
      <w:ind w:left="720"/>
      <w:contextualSpacing/>
    </w:pPr>
  </w:style>
  <w:style w:type="character" w:styleId="IntenseEmphasis">
    <w:name w:val="Intense Emphasis"/>
    <w:basedOn w:val="DefaultParagraphFont"/>
    <w:uiPriority w:val="21"/>
    <w:qFormat/>
    <w:rsid w:val="001F0BA7"/>
    <w:rPr>
      <w:i/>
      <w:iCs/>
      <w:color w:val="0F4761" w:themeColor="accent1" w:themeShade="BF"/>
    </w:rPr>
  </w:style>
  <w:style w:type="paragraph" w:styleId="IntenseQuote">
    <w:name w:val="Intense Quote"/>
    <w:basedOn w:val="Normal"/>
    <w:next w:val="Normal"/>
    <w:link w:val="IntenseQuoteChar"/>
    <w:uiPriority w:val="30"/>
    <w:qFormat/>
    <w:rsid w:val="001F0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BA7"/>
    <w:rPr>
      <w:i/>
      <w:iCs/>
      <w:color w:val="0F4761" w:themeColor="accent1" w:themeShade="BF"/>
    </w:rPr>
  </w:style>
  <w:style w:type="character" w:styleId="IntenseReference">
    <w:name w:val="Intense Reference"/>
    <w:basedOn w:val="DefaultParagraphFont"/>
    <w:uiPriority w:val="32"/>
    <w:qFormat/>
    <w:rsid w:val="001F0BA7"/>
    <w:rPr>
      <w:b/>
      <w:bCs/>
      <w:smallCaps/>
      <w:color w:val="0F4761" w:themeColor="accent1" w:themeShade="BF"/>
      <w:spacing w:val="5"/>
    </w:rPr>
  </w:style>
  <w:style w:type="paragraph" w:customStyle="1" w:styleId="ql-align-center">
    <w:name w:val="ql-align-center"/>
    <w:basedOn w:val="Normal"/>
    <w:rsid w:val="001F0B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F0BA7"/>
    <w:rPr>
      <w:b/>
      <w:bCs/>
    </w:rPr>
  </w:style>
  <w:style w:type="paragraph" w:styleId="NormalWeb">
    <w:name w:val="Normal (Web)"/>
    <w:basedOn w:val="Normal"/>
    <w:uiPriority w:val="99"/>
    <w:semiHidden/>
    <w:unhideWhenUsed/>
    <w:rsid w:val="001F0B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B5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9B"/>
  </w:style>
  <w:style w:type="paragraph" w:styleId="Footer">
    <w:name w:val="footer"/>
    <w:basedOn w:val="Normal"/>
    <w:link w:val="FooterChar"/>
    <w:uiPriority w:val="99"/>
    <w:unhideWhenUsed/>
    <w:rsid w:val="009B5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664458">
      <w:bodyDiv w:val="1"/>
      <w:marLeft w:val="0"/>
      <w:marRight w:val="0"/>
      <w:marTop w:val="0"/>
      <w:marBottom w:val="0"/>
      <w:divBdr>
        <w:top w:val="none" w:sz="0" w:space="0" w:color="auto"/>
        <w:left w:val="none" w:sz="0" w:space="0" w:color="auto"/>
        <w:bottom w:val="none" w:sz="0" w:space="0" w:color="auto"/>
        <w:right w:val="none" w:sz="0" w:space="0" w:color="auto"/>
      </w:divBdr>
    </w:div>
    <w:div w:id="2025083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2178</Words>
  <Characters>12416</Characters>
  <Application>Microsoft Office Word</Application>
  <DocSecurity>0</DocSecurity>
  <Lines>103</Lines>
  <Paragraphs>29</Paragraphs>
  <ScaleCrop>false</ScaleCrop>
  <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2025-05-01T17:26:00Z</dcterms:created>
  <dcterms:modified xsi:type="dcterms:W3CDTF">2025-05-01T17:26:00Z</dcterms:modified>
</cp:coreProperties>
</file>