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81F4E" w14:textId="5E05E46B" w:rsidR="006F2D7F" w:rsidRDefault="006F2D7F">
      <w:pPr>
        <w:rPr>
          <w:rFonts w:ascii="Arial" w:hAnsi="Arial" w:cs="Arial"/>
          <w:color w:val="000000" w:themeColor="text1"/>
        </w:rPr>
      </w:pPr>
      <w:r>
        <w:rPr>
          <w:rFonts w:ascii="Arial" w:hAnsi="Arial" w:cs="Arial"/>
          <w:color w:val="000000" w:themeColor="text1"/>
        </w:rPr>
        <w:t xml:space="preserve">Siraj-Blatchford and Clarke (2000) state that it is not uncommon to be bilingual and it is just as natural to speak two languages as it is to speak one language. </w:t>
      </w:r>
      <w:r w:rsidR="00AE4909">
        <w:rPr>
          <w:rFonts w:ascii="Arial" w:hAnsi="Arial" w:cs="Arial"/>
          <w:color w:val="000000" w:themeColor="text1"/>
        </w:rPr>
        <w:t>Alladina (1995) agrees stating that many children all over the world grow up speaking more than one language and it is not unusual to see two parents who can speak different languages from one another.</w:t>
      </w:r>
      <w:r w:rsidR="00BF246B">
        <w:rPr>
          <w:rFonts w:ascii="Arial" w:hAnsi="Arial" w:cs="Arial"/>
          <w:color w:val="000000" w:themeColor="text1"/>
        </w:rPr>
        <w:t xml:space="preserve"> Bak and Mehmedbegovic (2017) note how speaking more than one language is common and increasing within the United Kingdom. </w:t>
      </w:r>
      <w:r w:rsidR="00AE4909">
        <w:rPr>
          <w:rFonts w:ascii="Arial" w:hAnsi="Arial" w:cs="Arial"/>
          <w:color w:val="000000" w:themeColor="text1"/>
        </w:rPr>
        <w:t xml:space="preserve"> </w:t>
      </w:r>
    </w:p>
    <w:p w14:paraId="67FEC647" w14:textId="0EAFDE19" w:rsidR="000C1CDD" w:rsidRDefault="00B306DB">
      <w:pPr>
        <w:rPr>
          <w:rFonts w:ascii="Arial" w:hAnsi="Arial" w:cs="Arial"/>
          <w:color w:val="000000" w:themeColor="text1"/>
        </w:rPr>
      </w:pPr>
      <w:r>
        <w:rPr>
          <w:rFonts w:ascii="Arial" w:hAnsi="Arial" w:cs="Arial"/>
          <w:color w:val="000000" w:themeColor="text1"/>
        </w:rPr>
        <w:t>Siraj-Blatchford and Clarke</w:t>
      </w:r>
      <w:r w:rsidR="00692952">
        <w:rPr>
          <w:rFonts w:ascii="Arial" w:hAnsi="Arial" w:cs="Arial"/>
          <w:color w:val="000000" w:themeColor="text1"/>
        </w:rPr>
        <w:t xml:space="preserve"> (2000) describes bi</w:t>
      </w:r>
      <w:r w:rsidR="00E345D2">
        <w:rPr>
          <w:rFonts w:ascii="Arial" w:hAnsi="Arial" w:cs="Arial"/>
          <w:color w:val="000000" w:themeColor="text1"/>
        </w:rPr>
        <w:t>lingualism as the ability to speak two or more languag</w:t>
      </w:r>
      <w:r w:rsidR="00C264C7">
        <w:rPr>
          <w:rFonts w:ascii="Arial" w:hAnsi="Arial" w:cs="Arial"/>
          <w:color w:val="000000" w:themeColor="text1"/>
        </w:rPr>
        <w:t xml:space="preserve">es and be understood by others. A study carried out by </w:t>
      </w:r>
      <w:r w:rsidR="00212794">
        <w:rPr>
          <w:rFonts w:ascii="Arial" w:hAnsi="Arial" w:cs="Arial"/>
          <w:color w:val="000000" w:themeColor="text1"/>
        </w:rPr>
        <w:t>Bialystok, Luk and Craik (2008)</w:t>
      </w:r>
      <w:r w:rsidR="005F0AA6">
        <w:rPr>
          <w:rFonts w:ascii="Arial" w:hAnsi="Arial" w:cs="Arial"/>
          <w:color w:val="000000" w:themeColor="text1"/>
        </w:rPr>
        <w:t xml:space="preserve"> shows that bilingualism has cognitive </w:t>
      </w:r>
      <w:r w:rsidR="00E63EE0">
        <w:rPr>
          <w:rFonts w:ascii="Arial" w:hAnsi="Arial" w:cs="Arial"/>
          <w:color w:val="000000" w:themeColor="text1"/>
        </w:rPr>
        <w:t xml:space="preserve">control </w:t>
      </w:r>
      <w:r w:rsidR="00094438">
        <w:rPr>
          <w:rFonts w:ascii="Arial" w:hAnsi="Arial" w:cs="Arial"/>
          <w:color w:val="000000" w:themeColor="text1"/>
        </w:rPr>
        <w:t xml:space="preserve">benefits, </w:t>
      </w:r>
      <w:r w:rsidR="00A7716A">
        <w:rPr>
          <w:rFonts w:ascii="Arial" w:hAnsi="Arial" w:cs="Arial"/>
          <w:color w:val="000000" w:themeColor="text1"/>
        </w:rPr>
        <w:t xml:space="preserve">bilingual children outperformed monolingual children in tasks where </w:t>
      </w:r>
      <w:r w:rsidR="00493D65">
        <w:rPr>
          <w:rFonts w:ascii="Arial" w:hAnsi="Arial" w:cs="Arial"/>
          <w:color w:val="000000" w:themeColor="text1"/>
        </w:rPr>
        <w:t xml:space="preserve">controlled attention was obligatory. </w:t>
      </w:r>
      <w:r w:rsidR="001706D6">
        <w:rPr>
          <w:rFonts w:ascii="Arial" w:hAnsi="Arial" w:cs="Arial"/>
          <w:color w:val="000000" w:themeColor="text1"/>
        </w:rPr>
        <w:t>Marian and Shook (2012) agree, stating that “bilingual people often perform better on tasks that require conflict management” (Marian and Shook, 2012)</w:t>
      </w:r>
      <w:r w:rsidR="00CE770E">
        <w:rPr>
          <w:rFonts w:ascii="Arial" w:hAnsi="Arial" w:cs="Arial"/>
          <w:color w:val="000000" w:themeColor="text1"/>
        </w:rPr>
        <w:t xml:space="preserve">. Siraj-Blatchford and Clarke (2000) note that being bilingual contributes to an individual’s cognitive flexibility, allowing them to view things and organise things differently to an individual who is monolingual. </w:t>
      </w:r>
      <w:r w:rsidR="0081190D">
        <w:rPr>
          <w:rFonts w:ascii="Arial" w:hAnsi="Arial" w:cs="Arial"/>
          <w:color w:val="000000" w:themeColor="text1"/>
        </w:rPr>
        <w:t xml:space="preserve">A study carried out by </w:t>
      </w:r>
      <w:r w:rsidR="005B473B">
        <w:rPr>
          <w:rFonts w:ascii="Arial" w:hAnsi="Arial" w:cs="Arial"/>
          <w:color w:val="000000" w:themeColor="text1"/>
        </w:rPr>
        <w:t>Fraser, Marinella and Roberta (2013) supports the concept that bilingualism has cognitive benefits, the results showed that bilingualists have a clear cognitive advantages than those who are monolingual.</w:t>
      </w:r>
    </w:p>
    <w:p w14:paraId="5FAAFD47" w14:textId="20405AC3" w:rsidR="003569E2" w:rsidRDefault="00FD387D">
      <w:pPr>
        <w:rPr>
          <w:rFonts w:ascii="Arial" w:hAnsi="Arial" w:cs="Arial"/>
          <w:color w:val="000000" w:themeColor="text1"/>
        </w:rPr>
      </w:pPr>
      <w:r>
        <w:rPr>
          <w:rFonts w:ascii="Arial" w:hAnsi="Arial" w:cs="Arial"/>
          <w:color w:val="000000" w:themeColor="text1"/>
        </w:rPr>
        <w:t xml:space="preserve">Marian and Shook (2012) note that as well as cognitive, there are also social benefits to being bilingual. </w:t>
      </w:r>
      <w:r w:rsidR="00383055">
        <w:rPr>
          <w:rFonts w:ascii="Arial" w:hAnsi="Arial" w:cs="Arial"/>
          <w:color w:val="000000" w:themeColor="text1"/>
        </w:rPr>
        <w:t xml:space="preserve">Being bilingual allows the opportunity of communication between two people, one who may be fluent in their native tongue and may not get the opportunity to communicate often. </w:t>
      </w:r>
      <w:r w:rsidR="00EF28CD">
        <w:rPr>
          <w:rFonts w:ascii="Arial" w:hAnsi="Arial" w:cs="Arial"/>
          <w:color w:val="000000" w:themeColor="text1"/>
        </w:rPr>
        <w:t>A study carried out by Fan et al (2015)</w:t>
      </w:r>
      <w:r w:rsidR="00D4648C">
        <w:rPr>
          <w:rFonts w:ascii="Arial" w:hAnsi="Arial" w:cs="Arial"/>
          <w:color w:val="000000" w:themeColor="text1"/>
        </w:rPr>
        <w:t xml:space="preserve"> concluded that bilingual children have </w:t>
      </w:r>
      <w:r w:rsidR="00B67D77">
        <w:rPr>
          <w:rFonts w:ascii="Arial" w:hAnsi="Arial" w:cs="Arial"/>
          <w:color w:val="000000" w:themeColor="text1"/>
        </w:rPr>
        <w:t xml:space="preserve">better communication skills </w:t>
      </w:r>
      <w:r w:rsidR="003553C0">
        <w:rPr>
          <w:rFonts w:ascii="Arial" w:hAnsi="Arial" w:cs="Arial"/>
          <w:color w:val="000000" w:themeColor="text1"/>
        </w:rPr>
        <w:t xml:space="preserve">than those who are monolingual. </w:t>
      </w:r>
    </w:p>
    <w:p w14:paraId="31E2CE1F" w14:textId="086F1CEB" w:rsidR="00492B1A" w:rsidRDefault="00492B1A">
      <w:pPr>
        <w:rPr>
          <w:rFonts w:ascii="Arial" w:hAnsi="Arial" w:cs="Arial"/>
          <w:color w:val="000000" w:themeColor="text1"/>
        </w:rPr>
      </w:pPr>
      <w:r>
        <w:rPr>
          <w:rFonts w:ascii="Arial" w:hAnsi="Arial" w:cs="Arial"/>
          <w:color w:val="000000" w:themeColor="text1"/>
        </w:rPr>
        <w:t>As well as social benefits, bilingualism also has health benefits</w:t>
      </w:r>
      <w:r w:rsidR="004A67FE">
        <w:rPr>
          <w:rFonts w:ascii="Arial" w:hAnsi="Arial" w:cs="Arial"/>
          <w:color w:val="000000" w:themeColor="text1"/>
        </w:rPr>
        <w:t>, Spitzer (2016) notes that due to the brain training that occurs when an individual learns two languages, the extra training p</w:t>
      </w:r>
      <w:r w:rsidR="00200467">
        <w:rPr>
          <w:rFonts w:ascii="Arial" w:hAnsi="Arial" w:cs="Arial"/>
          <w:color w:val="000000" w:themeColor="text1"/>
        </w:rPr>
        <w:t>resents its benefits in old age, where if the individual is bilingual, the brain training will allow them to have higher cognitive functions at an older age.</w:t>
      </w:r>
      <w:r w:rsidR="00A0157F">
        <w:rPr>
          <w:rFonts w:ascii="Arial" w:hAnsi="Arial" w:cs="Arial"/>
          <w:color w:val="000000" w:themeColor="text1"/>
        </w:rPr>
        <w:t xml:space="preserve"> </w:t>
      </w:r>
      <w:r w:rsidR="006723A2">
        <w:rPr>
          <w:rFonts w:ascii="Arial" w:hAnsi="Arial" w:cs="Arial"/>
          <w:color w:val="000000" w:themeColor="text1"/>
        </w:rPr>
        <w:t xml:space="preserve">Kamenetz (2016) agrees, stating that the ability to speak languages has a positive effect on dementia. </w:t>
      </w:r>
    </w:p>
    <w:p w14:paraId="00E2CA2B" w14:textId="559CE685" w:rsidR="003347AF" w:rsidRDefault="003347AF">
      <w:pPr>
        <w:rPr>
          <w:rFonts w:ascii="Arial" w:hAnsi="Arial" w:cs="Arial"/>
          <w:color w:val="000000" w:themeColor="text1"/>
        </w:rPr>
      </w:pPr>
      <w:r>
        <w:rPr>
          <w:rFonts w:ascii="Arial" w:hAnsi="Arial" w:cs="Arial"/>
          <w:color w:val="000000" w:themeColor="text1"/>
        </w:rPr>
        <w:t>Savoie (</w:t>
      </w:r>
      <w:r w:rsidR="00194BE1">
        <w:rPr>
          <w:rFonts w:ascii="Arial" w:hAnsi="Arial" w:cs="Arial"/>
          <w:color w:val="000000" w:themeColor="text1"/>
        </w:rPr>
        <w:t>1995, p.79</w:t>
      </w:r>
      <w:r>
        <w:rPr>
          <w:rFonts w:ascii="Arial" w:hAnsi="Arial" w:cs="Arial"/>
          <w:color w:val="000000" w:themeColor="text1"/>
        </w:rPr>
        <w:t>) notes that being bilingual also has its advantages on the job market. Those who are bilingual are more favourable than those who are monolingual.</w:t>
      </w:r>
    </w:p>
    <w:p w14:paraId="2BBC791F" w14:textId="71D18C81" w:rsidR="00FA33BD" w:rsidRDefault="005E0C52">
      <w:pPr>
        <w:rPr>
          <w:rFonts w:ascii="Arial" w:hAnsi="Arial" w:cs="Arial"/>
          <w:color w:val="000000" w:themeColor="text1"/>
        </w:rPr>
      </w:pPr>
      <w:r>
        <w:rPr>
          <w:rFonts w:ascii="Arial" w:hAnsi="Arial" w:cs="Arial"/>
          <w:color w:val="000000" w:themeColor="text1"/>
        </w:rPr>
        <w:t>Psycho</w:t>
      </w:r>
      <w:r w:rsidR="00992D5B">
        <w:rPr>
          <w:rFonts w:ascii="Arial" w:hAnsi="Arial" w:cs="Arial"/>
          <w:color w:val="000000" w:themeColor="text1"/>
        </w:rPr>
        <w:t>logy Today (2013) describes divergent thinking as the ability</w:t>
      </w:r>
      <w:r w:rsidR="00321EE1">
        <w:rPr>
          <w:rFonts w:ascii="Arial" w:hAnsi="Arial" w:cs="Arial"/>
          <w:color w:val="000000" w:themeColor="text1"/>
        </w:rPr>
        <w:t xml:space="preserve"> to think in different ways. </w:t>
      </w:r>
      <w:r w:rsidR="00310659">
        <w:rPr>
          <w:rFonts w:ascii="Arial" w:hAnsi="Arial" w:cs="Arial"/>
          <w:color w:val="000000" w:themeColor="text1"/>
        </w:rPr>
        <w:t xml:space="preserve">Colin Baker (1949) states that bilingual individuals are able </w:t>
      </w:r>
      <w:r w:rsidR="00763DC5">
        <w:rPr>
          <w:rFonts w:ascii="Arial" w:hAnsi="Arial" w:cs="Arial"/>
          <w:color w:val="000000" w:themeColor="text1"/>
        </w:rPr>
        <w:t>to think divergently and in turn it increases their “fluency, flexibility, originality and elaboration in thinking” (Colin Baker, 1949, p.119</w:t>
      </w:r>
      <w:r w:rsidR="00C73592">
        <w:rPr>
          <w:rFonts w:ascii="Arial" w:hAnsi="Arial" w:cs="Arial"/>
          <w:color w:val="000000" w:themeColor="text1"/>
        </w:rPr>
        <w:t>)</w:t>
      </w:r>
    </w:p>
    <w:p w14:paraId="51D559CC" w14:textId="77777777" w:rsidR="003347AF" w:rsidRDefault="003347AF">
      <w:pPr>
        <w:rPr>
          <w:rFonts w:ascii="Arial" w:hAnsi="Arial" w:cs="Arial"/>
          <w:color w:val="000000" w:themeColor="text1"/>
        </w:rPr>
      </w:pPr>
    </w:p>
    <w:p w14:paraId="2A0B0690" w14:textId="77777777" w:rsidR="002007AB" w:rsidRDefault="002007AB">
      <w:pPr>
        <w:rPr>
          <w:rFonts w:ascii="Arial" w:hAnsi="Arial" w:cs="Arial"/>
          <w:color w:val="000000" w:themeColor="text1"/>
        </w:rPr>
      </w:pPr>
    </w:p>
    <w:p w14:paraId="04078C32" w14:textId="5F204FF9" w:rsidR="002007AB" w:rsidRPr="002007AB" w:rsidRDefault="00792317">
      <w:pPr>
        <w:rPr>
          <w:b/>
          <w:color w:val="FF0000"/>
        </w:rPr>
      </w:pPr>
      <w:r>
        <w:rPr>
          <w:rFonts w:ascii="Arial" w:hAnsi="Arial" w:cs="Arial"/>
          <w:color w:val="000000" w:themeColor="text1"/>
        </w:rPr>
        <w:t xml:space="preserve">According to BBC (2015) </w:t>
      </w:r>
      <w:r w:rsidR="002007AB">
        <w:rPr>
          <w:rFonts w:ascii="Arial" w:hAnsi="Arial" w:cs="Arial"/>
          <w:color w:val="000000" w:themeColor="text1"/>
        </w:rPr>
        <w:t xml:space="preserve">Noam Chomsky believed that children are born with some language ability and they are equipped with the learning tools for language at birth </w:t>
      </w:r>
      <w:r w:rsidR="00E558CC">
        <w:rPr>
          <w:rFonts w:ascii="Arial" w:hAnsi="Arial" w:cs="Arial"/>
          <w:color w:val="000000" w:themeColor="text1"/>
        </w:rPr>
        <w:t xml:space="preserve">known as a ‘language acquisition device’ </w:t>
      </w:r>
      <w:r w:rsidR="002007AB">
        <w:rPr>
          <w:rFonts w:ascii="Arial" w:hAnsi="Arial" w:cs="Arial"/>
          <w:color w:val="000000" w:themeColor="text1"/>
        </w:rPr>
        <w:t>and</w:t>
      </w:r>
      <w:r w:rsidR="00E558CC">
        <w:rPr>
          <w:rFonts w:ascii="Arial" w:hAnsi="Arial" w:cs="Arial"/>
          <w:color w:val="000000" w:themeColor="text1"/>
        </w:rPr>
        <w:t xml:space="preserve"> he believed that</w:t>
      </w:r>
      <w:r w:rsidR="002007AB">
        <w:rPr>
          <w:rFonts w:ascii="Arial" w:hAnsi="Arial" w:cs="Arial"/>
          <w:color w:val="000000" w:themeColor="text1"/>
        </w:rPr>
        <w:t xml:space="preserve"> this is the start of the building blocks for their language development.</w:t>
      </w:r>
    </w:p>
    <w:p w14:paraId="4089469D" w14:textId="566D1E82" w:rsidR="00A62BBA" w:rsidRDefault="00290D97">
      <w:pPr>
        <w:rPr>
          <w:rFonts w:ascii="Arial" w:hAnsi="Arial" w:cs="Arial"/>
          <w:color w:val="000000" w:themeColor="text1"/>
        </w:rPr>
      </w:pPr>
      <w:r>
        <w:rPr>
          <w:rFonts w:ascii="Arial" w:hAnsi="Arial" w:cs="Arial"/>
          <w:color w:val="000000" w:themeColor="text1"/>
        </w:rPr>
        <w:t xml:space="preserve">Children are able to learn a second language best when they are at a young age. Baker supports this by stating </w:t>
      </w:r>
      <w:r w:rsidR="00CC5597">
        <w:rPr>
          <w:rFonts w:ascii="Arial" w:hAnsi="Arial" w:cs="Arial"/>
          <w:color w:val="000000" w:themeColor="text1"/>
        </w:rPr>
        <w:t xml:space="preserve">“The younger the age a second language is </w:t>
      </w:r>
      <w:r>
        <w:rPr>
          <w:rFonts w:ascii="Arial" w:hAnsi="Arial" w:cs="Arial"/>
          <w:color w:val="000000" w:themeColor="text1"/>
        </w:rPr>
        <w:t xml:space="preserve">learnt, the greater long term proficiency will be gained in that language” (Colin Baker, 1949, p.74). </w:t>
      </w:r>
      <w:r w:rsidR="00CF6FFC">
        <w:rPr>
          <w:rFonts w:ascii="Arial" w:hAnsi="Arial" w:cs="Arial"/>
          <w:color w:val="000000" w:themeColor="text1"/>
        </w:rPr>
        <w:t xml:space="preserve">Alladina (1995) agrees with this stating that </w:t>
      </w:r>
      <w:r w:rsidR="00800199">
        <w:rPr>
          <w:rFonts w:ascii="Arial" w:hAnsi="Arial" w:cs="Arial"/>
          <w:color w:val="000000" w:themeColor="text1"/>
        </w:rPr>
        <w:t xml:space="preserve">children can learn languages without much effort. </w:t>
      </w:r>
      <w:r w:rsidR="002E3D51">
        <w:rPr>
          <w:rFonts w:ascii="Arial" w:hAnsi="Arial" w:cs="Arial"/>
          <w:color w:val="000000" w:themeColor="text1"/>
        </w:rPr>
        <w:t>A study conducted b</w:t>
      </w:r>
      <w:r w:rsidR="009D0FEE">
        <w:rPr>
          <w:rFonts w:ascii="Arial" w:hAnsi="Arial" w:cs="Arial"/>
          <w:color w:val="000000" w:themeColor="text1"/>
        </w:rPr>
        <w:t>y Luk, De Sa and Bialystok (2011</w:t>
      </w:r>
      <w:r w:rsidR="002E3D51">
        <w:rPr>
          <w:rFonts w:ascii="Arial" w:hAnsi="Arial" w:cs="Arial"/>
          <w:color w:val="000000" w:themeColor="text1"/>
        </w:rPr>
        <w:t>) di</w:t>
      </w:r>
      <w:r w:rsidR="00A62BBA">
        <w:rPr>
          <w:rFonts w:ascii="Arial" w:hAnsi="Arial" w:cs="Arial"/>
          <w:color w:val="000000" w:themeColor="text1"/>
        </w:rPr>
        <w:t>scussed how the individuals</w:t>
      </w:r>
      <w:r w:rsidR="002E3D51">
        <w:rPr>
          <w:rFonts w:ascii="Arial" w:hAnsi="Arial" w:cs="Arial"/>
          <w:color w:val="000000" w:themeColor="text1"/>
        </w:rPr>
        <w:t xml:space="preserve"> who were late bilinguals scored lower on their </w:t>
      </w:r>
      <w:r w:rsidR="00A62BBA">
        <w:rPr>
          <w:rFonts w:ascii="Arial" w:hAnsi="Arial" w:cs="Arial"/>
          <w:color w:val="000000" w:themeColor="text1"/>
        </w:rPr>
        <w:t xml:space="preserve">tests than the individuals who were early bilinguals. The study concluded that the earlier children are taught to be bilingual the better their performance in receptive vocabulary. </w:t>
      </w:r>
    </w:p>
    <w:p w14:paraId="787F77B2" w14:textId="6D66CDD3" w:rsidR="00FA33BD" w:rsidRDefault="00412378">
      <w:pPr>
        <w:rPr>
          <w:rFonts w:ascii="Arial" w:hAnsi="Arial" w:cs="Arial"/>
          <w:color w:val="000000" w:themeColor="text1"/>
        </w:rPr>
      </w:pPr>
      <w:r>
        <w:rPr>
          <w:rFonts w:ascii="Arial" w:hAnsi="Arial" w:cs="Arial"/>
          <w:color w:val="000000" w:themeColor="text1"/>
        </w:rPr>
        <w:t xml:space="preserve">One way for a child to learn two different languages at the same time is through </w:t>
      </w:r>
      <w:r w:rsidR="002A1724">
        <w:rPr>
          <w:rFonts w:ascii="Arial" w:hAnsi="Arial" w:cs="Arial"/>
          <w:color w:val="000000" w:themeColor="text1"/>
        </w:rPr>
        <w:t>simultaneous</w:t>
      </w:r>
      <w:r w:rsidR="00CA0F78">
        <w:rPr>
          <w:rFonts w:ascii="Arial" w:hAnsi="Arial" w:cs="Arial"/>
          <w:color w:val="000000" w:themeColor="text1"/>
        </w:rPr>
        <w:t xml:space="preserve"> bilingualism</w:t>
      </w:r>
      <w:r w:rsidR="002A1724">
        <w:rPr>
          <w:rFonts w:ascii="Arial" w:hAnsi="Arial" w:cs="Arial"/>
          <w:color w:val="000000" w:themeColor="text1"/>
        </w:rPr>
        <w:t>, Baker (1949) notes that this can be done at home when a child’s parents</w:t>
      </w:r>
      <w:r w:rsidR="00CA0F78">
        <w:rPr>
          <w:rFonts w:ascii="Arial" w:hAnsi="Arial" w:cs="Arial"/>
          <w:color w:val="000000" w:themeColor="text1"/>
        </w:rPr>
        <w:t xml:space="preserve"> speak two different languages, the child will learn both languages at the same time. Another way for a child to learn another language is through sequential bilingualism, Baker defines this as when a child first learns a language at home and then attends school and learns a second language.</w:t>
      </w:r>
      <w:r w:rsidR="00E959FA">
        <w:rPr>
          <w:rFonts w:ascii="Arial" w:hAnsi="Arial" w:cs="Arial"/>
          <w:color w:val="000000" w:themeColor="text1"/>
        </w:rPr>
        <w:t xml:space="preserve"> </w:t>
      </w:r>
    </w:p>
    <w:p w14:paraId="35505B4D" w14:textId="77777777" w:rsidR="002942A0" w:rsidRDefault="002942A0">
      <w:pPr>
        <w:rPr>
          <w:rFonts w:ascii="Arial" w:hAnsi="Arial" w:cs="Arial"/>
          <w:color w:val="000000" w:themeColor="text1"/>
        </w:rPr>
      </w:pPr>
    </w:p>
    <w:p w14:paraId="4D1FD4E9" w14:textId="77777777" w:rsidR="00FA33BD" w:rsidRDefault="00FA33BD">
      <w:pPr>
        <w:rPr>
          <w:b/>
          <w:color w:val="FF0000"/>
        </w:rPr>
      </w:pPr>
    </w:p>
    <w:p w14:paraId="2E0D021E" w14:textId="77777777" w:rsidR="00576AE6" w:rsidRPr="006858E3" w:rsidRDefault="007F1961">
      <w:pPr>
        <w:rPr>
          <w:rFonts w:ascii="Arial" w:hAnsi="Arial" w:cs="Arial"/>
          <w:color w:val="000000" w:themeColor="text1"/>
        </w:rPr>
      </w:pPr>
      <w:r w:rsidRPr="006858E3">
        <w:rPr>
          <w:rFonts w:ascii="Arial" w:hAnsi="Arial" w:cs="Arial"/>
          <w:color w:val="000000" w:themeColor="text1"/>
        </w:rPr>
        <w:lastRenderedPageBreak/>
        <w:t>According to The Welsh Government (</w:t>
      </w:r>
      <w:r w:rsidR="00A11F0E" w:rsidRPr="006858E3">
        <w:rPr>
          <w:rFonts w:ascii="Arial" w:hAnsi="Arial" w:cs="Arial"/>
          <w:color w:val="000000" w:themeColor="text1"/>
        </w:rPr>
        <w:t>2017) have set a target of achieving a million W</w:t>
      </w:r>
      <w:r w:rsidR="009E0C30" w:rsidRPr="006858E3">
        <w:rPr>
          <w:rFonts w:ascii="Arial" w:hAnsi="Arial" w:cs="Arial"/>
          <w:color w:val="000000" w:themeColor="text1"/>
        </w:rPr>
        <w:t>elsh speakers by 2050. They plan to improve Welsh speakers i</w:t>
      </w:r>
      <w:r w:rsidR="00521FA9" w:rsidRPr="006858E3">
        <w:rPr>
          <w:rFonts w:ascii="Arial" w:hAnsi="Arial" w:cs="Arial"/>
          <w:color w:val="000000" w:themeColor="text1"/>
        </w:rPr>
        <w:t xml:space="preserve">n the Early Years, in families and in the work place. </w:t>
      </w:r>
    </w:p>
    <w:p w14:paraId="61708983" w14:textId="3B400166" w:rsidR="000957D7" w:rsidRPr="008979E3" w:rsidRDefault="00521FA9" w:rsidP="000957D7">
      <w:pPr>
        <w:rPr>
          <w:rFonts w:ascii="Arial" w:hAnsi="Arial" w:cs="Arial"/>
          <w:color w:val="000000" w:themeColor="text1"/>
        </w:rPr>
      </w:pPr>
      <w:r w:rsidRPr="006858E3">
        <w:rPr>
          <w:rFonts w:ascii="Arial" w:hAnsi="Arial" w:cs="Arial"/>
          <w:color w:val="000000" w:themeColor="text1"/>
        </w:rPr>
        <w:t xml:space="preserve">To </w:t>
      </w:r>
      <w:r w:rsidR="00576AE6" w:rsidRPr="006858E3">
        <w:rPr>
          <w:rFonts w:ascii="Arial" w:hAnsi="Arial" w:cs="Arial"/>
          <w:color w:val="000000" w:themeColor="text1"/>
        </w:rPr>
        <w:t xml:space="preserve">achieve their </w:t>
      </w:r>
      <w:r w:rsidR="008A3950" w:rsidRPr="006858E3">
        <w:rPr>
          <w:rFonts w:ascii="Arial" w:hAnsi="Arial" w:cs="Arial"/>
          <w:color w:val="000000" w:themeColor="text1"/>
        </w:rPr>
        <w:t>aim,</w:t>
      </w:r>
      <w:r w:rsidR="00576AE6" w:rsidRPr="006858E3">
        <w:rPr>
          <w:rFonts w:ascii="Arial" w:hAnsi="Arial" w:cs="Arial"/>
          <w:color w:val="000000" w:themeColor="text1"/>
        </w:rPr>
        <w:t xml:space="preserve"> they plan t</w:t>
      </w:r>
      <w:r w:rsidR="008A3950" w:rsidRPr="006858E3">
        <w:rPr>
          <w:rFonts w:ascii="Arial" w:hAnsi="Arial" w:cs="Arial"/>
          <w:color w:val="000000" w:themeColor="text1"/>
        </w:rPr>
        <w:t>o expand support for families so they are able to use Welsh language at home.</w:t>
      </w:r>
      <w:r w:rsidR="00EC5A67">
        <w:rPr>
          <w:rFonts w:ascii="Arial" w:hAnsi="Arial" w:cs="Arial"/>
          <w:color w:val="000000" w:themeColor="text1"/>
        </w:rPr>
        <w:t xml:space="preserve"> </w:t>
      </w:r>
      <w:r w:rsidR="00F04D9D" w:rsidRPr="006858E3">
        <w:rPr>
          <w:rFonts w:ascii="Arial" w:hAnsi="Arial" w:cs="Arial"/>
          <w:color w:val="000000" w:themeColor="text1"/>
        </w:rPr>
        <w:t>T</w:t>
      </w:r>
      <w:r w:rsidR="00576AE6" w:rsidRPr="006858E3">
        <w:rPr>
          <w:rFonts w:ascii="Arial" w:hAnsi="Arial" w:cs="Arial"/>
          <w:color w:val="000000" w:themeColor="text1"/>
        </w:rPr>
        <w:t>o</w:t>
      </w:r>
      <w:r w:rsidR="006858E3">
        <w:rPr>
          <w:rFonts w:ascii="Arial" w:hAnsi="Arial" w:cs="Arial"/>
          <w:color w:val="000000" w:themeColor="text1"/>
        </w:rPr>
        <w:t xml:space="preserve"> achieve their aim within education, they plan to</w:t>
      </w:r>
      <w:r w:rsidR="00576AE6" w:rsidRPr="006858E3">
        <w:rPr>
          <w:rFonts w:ascii="Arial" w:hAnsi="Arial" w:cs="Arial"/>
          <w:color w:val="000000" w:themeColor="text1"/>
        </w:rPr>
        <w:t xml:space="preserve"> </w:t>
      </w:r>
      <w:r w:rsidR="00527585" w:rsidRPr="006858E3">
        <w:rPr>
          <w:rFonts w:ascii="Arial" w:hAnsi="Arial" w:cs="Arial"/>
          <w:color w:val="000000" w:themeColor="text1"/>
        </w:rPr>
        <w:t xml:space="preserve">expand the Welsh language in early years Welsh medium education by 2021 and increase the amount of teachers who are able to teach Welsh </w:t>
      </w:r>
      <w:r w:rsidR="00576AE6" w:rsidRPr="006858E3">
        <w:rPr>
          <w:rFonts w:ascii="Arial" w:hAnsi="Arial" w:cs="Arial"/>
          <w:color w:val="000000" w:themeColor="text1"/>
        </w:rPr>
        <w:t>from primary school teachers to secondary school teachers.</w:t>
      </w:r>
      <w:r w:rsidR="00656FFE">
        <w:rPr>
          <w:rFonts w:ascii="Arial" w:hAnsi="Arial" w:cs="Arial"/>
          <w:color w:val="000000" w:themeColor="text1"/>
        </w:rPr>
        <w:t xml:space="preserve"> </w:t>
      </w:r>
      <w:r w:rsidR="00122B87">
        <w:rPr>
          <w:rFonts w:ascii="Arial" w:hAnsi="Arial" w:cs="Arial"/>
          <w:color w:val="000000" w:themeColor="text1"/>
        </w:rPr>
        <w:t>One way children are able to learn Welsh language within their very early years is by attending a</w:t>
      </w:r>
      <w:r w:rsidR="00F83C6C">
        <w:rPr>
          <w:rFonts w:ascii="Arial" w:hAnsi="Arial" w:cs="Arial"/>
          <w:color w:val="000000" w:themeColor="text1"/>
        </w:rPr>
        <w:t xml:space="preserve"> Welsh-medium education setting. </w:t>
      </w:r>
      <w:r w:rsidR="003B0FF2" w:rsidRPr="003B0FF2">
        <w:rPr>
          <w:rFonts w:ascii="Arial" w:hAnsi="Arial" w:cs="Arial"/>
          <w:color w:val="000000" w:themeColor="text1"/>
        </w:rPr>
        <w:t>Mudiad Meithrin</w:t>
      </w:r>
      <w:r w:rsidR="003B0FF2">
        <w:rPr>
          <w:rFonts w:ascii="Arial" w:hAnsi="Arial" w:cs="Arial"/>
          <w:color w:val="000000" w:themeColor="text1"/>
        </w:rPr>
        <w:t xml:space="preserve"> is </w:t>
      </w:r>
      <w:r w:rsidR="00B33154">
        <w:rPr>
          <w:rFonts w:ascii="Arial" w:hAnsi="Arial" w:cs="Arial"/>
          <w:color w:val="000000" w:themeColor="text1"/>
        </w:rPr>
        <w:t xml:space="preserve">a voluntary organisation </w:t>
      </w:r>
      <w:r w:rsidR="008F4DC4">
        <w:rPr>
          <w:rFonts w:ascii="Arial" w:hAnsi="Arial" w:cs="Arial"/>
          <w:color w:val="000000" w:themeColor="text1"/>
        </w:rPr>
        <w:t xml:space="preserve">that </w:t>
      </w:r>
      <w:r w:rsidR="007B2633">
        <w:rPr>
          <w:rFonts w:ascii="Arial" w:hAnsi="Arial" w:cs="Arial"/>
          <w:color w:val="000000" w:themeColor="text1"/>
        </w:rPr>
        <w:t xml:space="preserve">is the “main provider for Welsh-medium early years care and education”. Alongside </w:t>
      </w:r>
      <w:r w:rsidR="00DF717E">
        <w:rPr>
          <w:rFonts w:ascii="Arial" w:hAnsi="Arial" w:cs="Arial"/>
          <w:color w:val="000000" w:themeColor="text1"/>
        </w:rPr>
        <w:t>Mudiad Meithr</w:t>
      </w:r>
      <w:r w:rsidR="000957D7">
        <w:rPr>
          <w:rFonts w:ascii="Arial" w:hAnsi="Arial" w:cs="Arial"/>
          <w:color w:val="000000" w:themeColor="text1"/>
        </w:rPr>
        <w:t>in is ‘Cylchoedd M</w:t>
      </w:r>
      <w:r w:rsidR="000957D7" w:rsidRPr="000957D7">
        <w:rPr>
          <w:rFonts w:ascii="Arial" w:hAnsi="Arial" w:cs="Arial"/>
          <w:color w:val="000000" w:themeColor="text1"/>
        </w:rPr>
        <w:t>eithrin</w:t>
      </w:r>
      <w:r w:rsidR="000957D7">
        <w:rPr>
          <w:rFonts w:ascii="Arial" w:hAnsi="Arial" w:cs="Arial"/>
          <w:color w:val="000000" w:themeColor="text1"/>
        </w:rPr>
        <w:t>’ which is a Welsh-medium playgroup. According to the Mudiad Meithrin (</w:t>
      </w:r>
      <w:r w:rsidR="003F6078">
        <w:rPr>
          <w:rFonts w:ascii="Arial" w:hAnsi="Arial" w:cs="Arial"/>
          <w:color w:val="000000" w:themeColor="text1"/>
        </w:rPr>
        <w:t xml:space="preserve">2017) play is necessary to all aspects of a child’s development and everything is learnt through play at a Mudiad Meithrin setting. </w:t>
      </w:r>
    </w:p>
    <w:p w14:paraId="75B8281D" w14:textId="4D0EAD82" w:rsidR="00656FFE" w:rsidRDefault="00656FFE">
      <w:pPr>
        <w:rPr>
          <w:rFonts w:ascii="Arial" w:hAnsi="Arial" w:cs="Arial"/>
          <w:color w:val="000000" w:themeColor="text1"/>
        </w:rPr>
      </w:pPr>
    </w:p>
    <w:p w14:paraId="7698D9B6" w14:textId="4E037EC7" w:rsidR="00BB02A1" w:rsidRDefault="00C954ED">
      <w:pPr>
        <w:rPr>
          <w:rFonts w:ascii="Arial" w:hAnsi="Arial" w:cs="Arial"/>
          <w:color w:val="000000" w:themeColor="text1"/>
        </w:rPr>
      </w:pPr>
      <w:r>
        <w:rPr>
          <w:rFonts w:ascii="Arial" w:hAnsi="Arial" w:cs="Arial"/>
          <w:color w:val="000000" w:themeColor="text1"/>
        </w:rPr>
        <w:t xml:space="preserve">Bak and Mehmedbegovic (2017) believe that children should have a ‘Healthy Linguistic Diet’ and this should be implemented through education by schools providing opportunities for children to use and engage with different languages. </w:t>
      </w:r>
      <w:r w:rsidR="00346950">
        <w:rPr>
          <w:rFonts w:ascii="Arial" w:hAnsi="Arial" w:cs="Arial"/>
          <w:color w:val="000000" w:themeColor="text1"/>
        </w:rPr>
        <w:t>According to the Welsh Government (2013) Wales have a specific curriculum known as ‘</w:t>
      </w:r>
      <w:r w:rsidR="00346950" w:rsidRPr="00346950">
        <w:rPr>
          <w:rFonts w:ascii="Arial" w:hAnsi="Arial" w:cs="Arial"/>
          <w:color w:val="000000" w:themeColor="text1"/>
        </w:rPr>
        <w:t>The Cwricwlwm Cymreig</w:t>
      </w:r>
      <w:r w:rsidR="00346950">
        <w:rPr>
          <w:rFonts w:ascii="Arial" w:hAnsi="Arial" w:cs="Arial"/>
          <w:color w:val="000000" w:themeColor="text1"/>
        </w:rPr>
        <w:t>’. The curriculum was created to ensure that children are learning about the “culture, environment, economy and history of Wales” (Welsh Government, 2013)</w:t>
      </w:r>
      <w:r w:rsidR="00160EF0">
        <w:rPr>
          <w:rFonts w:ascii="Arial" w:hAnsi="Arial" w:cs="Arial"/>
          <w:color w:val="000000" w:themeColor="text1"/>
        </w:rPr>
        <w:t>. The Welsh Government (2003) state that the curriculum sets out to make children feel a sense of belonging to their country and helps them understand what living in Wale</w:t>
      </w:r>
      <w:r w:rsidR="000A7D5F">
        <w:rPr>
          <w:rFonts w:ascii="Arial" w:hAnsi="Arial" w:cs="Arial"/>
          <w:color w:val="000000" w:themeColor="text1"/>
        </w:rPr>
        <w:t xml:space="preserve">s and being Welsh is all about. The UNCRC </w:t>
      </w:r>
      <w:r w:rsidR="00C67DAE">
        <w:rPr>
          <w:rFonts w:ascii="Arial" w:hAnsi="Arial" w:cs="Arial"/>
          <w:color w:val="000000" w:themeColor="text1"/>
        </w:rPr>
        <w:t xml:space="preserve">(2015) agrees stating in Article 7 that all children have a right to a name and nationality and Article 8 stating they have a right to an identity. </w:t>
      </w:r>
    </w:p>
    <w:p w14:paraId="5937C230" w14:textId="3A7ADB21" w:rsidR="00FA33BD" w:rsidRDefault="0037547C">
      <w:pPr>
        <w:rPr>
          <w:rFonts w:ascii="Arial" w:hAnsi="Arial" w:cs="Arial"/>
          <w:color w:val="000000" w:themeColor="text1"/>
        </w:rPr>
      </w:pPr>
      <w:r w:rsidRPr="00C954ED">
        <w:rPr>
          <w:rFonts w:ascii="Arial" w:hAnsi="Arial" w:cs="Arial"/>
          <w:color w:val="000000" w:themeColor="text1"/>
        </w:rPr>
        <w:t xml:space="preserve">The Welsh Government (2015) have emphasised this within The Foundation Phase Framework document, stating that </w:t>
      </w:r>
      <w:r w:rsidR="008B2C9C" w:rsidRPr="00C954ED">
        <w:rPr>
          <w:rFonts w:ascii="Arial" w:hAnsi="Arial" w:cs="Arial"/>
          <w:color w:val="000000" w:themeColor="text1"/>
        </w:rPr>
        <w:t>“children should appreciate the different languages, images, objects, sounds and tastes</w:t>
      </w:r>
      <w:r w:rsidR="0005762D" w:rsidRPr="00C954ED">
        <w:rPr>
          <w:rFonts w:ascii="Arial" w:hAnsi="Arial" w:cs="Arial"/>
          <w:color w:val="000000" w:themeColor="text1"/>
        </w:rPr>
        <w:t xml:space="preserve"> that are integral to Wales</w:t>
      </w:r>
      <w:r w:rsidR="00291A13" w:rsidRPr="00C954ED">
        <w:rPr>
          <w:rFonts w:ascii="Arial" w:hAnsi="Arial" w:cs="Arial"/>
          <w:color w:val="000000" w:themeColor="text1"/>
        </w:rPr>
        <w:t xml:space="preserve"> and gain a sense of belonging to Wales and understand Welsh heritage, literature and arts as well as the language</w:t>
      </w:r>
      <w:r w:rsidR="0005762D" w:rsidRPr="00C954ED">
        <w:rPr>
          <w:rFonts w:ascii="Arial" w:hAnsi="Arial" w:cs="Arial"/>
          <w:color w:val="000000" w:themeColor="text1"/>
        </w:rPr>
        <w:t>” (Welsh Government, 2015).</w:t>
      </w:r>
      <w:r w:rsidR="00D7258D" w:rsidRPr="00C954ED">
        <w:rPr>
          <w:rFonts w:ascii="Arial" w:hAnsi="Arial" w:cs="Arial"/>
          <w:color w:val="000000" w:themeColor="text1"/>
        </w:rPr>
        <w:t xml:space="preserve"> </w:t>
      </w:r>
    </w:p>
    <w:p w14:paraId="268F2BDA" w14:textId="2E58A680" w:rsidR="00404AEE" w:rsidRDefault="00404AEE">
      <w:pPr>
        <w:rPr>
          <w:rFonts w:ascii="Arial" w:hAnsi="Arial" w:cs="Arial"/>
          <w:color w:val="000000" w:themeColor="text1"/>
        </w:rPr>
      </w:pPr>
      <w:r>
        <w:rPr>
          <w:rFonts w:ascii="Arial" w:hAnsi="Arial" w:cs="Arial"/>
          <w:color w:val="000000" w:themeColor="text1"/>
        </w:rPr>
        <w:t xml:space="preserve">The Foundation Phase document states that </w:t>
      </w:r>
      <w:r w:rsidR="00581FE9">
        <w:rPr>
          <w:rFonts w:ascii="Arial" w:hAnsi="Arial" w:cs="Arial"/>
          <w:color w:val="000000" w:themeColor="text1"/>
        </w:rPr>
        <w:t>children should use the Welsh language as best they can and should listen to Welsh being spoken throughout the setting.</w:t>
      </w:r>
      <w:r w:rsidR="00C20AEE">
        <w:rPr>
          <w:rFonts w:ascii="Arial" w:hAnsi="Arial" w:cs="Arial"/>
          <w:color w:val="000000" w:themeColor="text1"/>
        </w:rPr>
        <w:t xml:space="preserve"> </w:t>
      </w:r>
      <w:r w:rsidR="00EF1712">
        <w:rPr>
          <w:rFonts w:ascii="Arial" w:hAnsi="Arial" w:cs="Arial"/>
          <w:color w:val="000000" w:themeColor="text1"/>
        </w:rPr>
        <w:t>By children listening to staff speaking Welsh throughout the setting, children are able to learn from those who have more knowledge on the subject. This supports Vygotsky’s theory of the More Knowledgeable Other, McLeod (2014) describes the More Knowledgable Other as someone who has a higher ability than the person who is learning.</w:t>
      </w:r>
    </w:p>
    <w:p w14:paraId="26CD41BA" w14:textId="2B5F452D" w:rsidR="008979E3" w:rsidRDefault="00CF3780">
      <w:pPr>
        <w:rPr>
          <w:rFonts w:ascii="Arial" w:hAnsi="Arial" w:cs="Arial"/>
          <w:color w:val="000000" w:themeColor="text1"/>
        </w:rPr>
      </w:pPr>
      <w:r>
        <w:rPr>
          <w:rFonts w:ascii="Arial" w:hAnsi="Arial" w:cs="Arial"/>
          <w:color w:val="000000" w:themeColor="text1"/>
        </w:rPr>
        <w:t xml:space="preserve">When children are learning Welsh language within their settings, it is important that staff members support them as much as possible. Siraj-Blatchford and Clarke (2000) state that staff need to model good language for the children, this includes not correcting children’s mistakes but model </w:t>
      </w:r>
      <w:r w:rsidR="00AD35A8">
        <w:rPr>
          <w:rFonts w:ascii="Arial" w:hAnsi="Arial" w:cs="Arial"/>
          <w:color w:val="000000" w:themeColor="text1"/>
        </w:rPr>
        <w:t xml:space="preserve">the correct way of speaking, </w:t>
      </w:r>
      <w:r>
        <w:rPr>
          <w:rFonts w:ascii="Arial" w:hAnsi="Arial" w:cs="Arial"/>
          <w:color w:val="000000" w:themeColor="text1"/>
        </w:rPr>
        <w:t>using a variety of reso</w:t>
      </w:r>
      <w:r w:rsidR="00AD35A8">
        <w:rPr>
          <w:rFonts w:ascii="Arial" w:hAnsi="Arial" w:cs="Arial"/>
          <w:color w:val="000000" w:themeColor="text1"/>
        </w:rPr>
        <w:t xml:space="preserve">urces to extend their learning and using one language when conversing with the children. </w:t>
      </w:r>
      <w:r w:rsidR="009F340E">
        <w:rPr>
          <w:rFonts w:ascii="Arial" w:hAnsi="Arial" w:cs="Arial"/>
          <w:color w:val="000000" w:themeColor="text1"/>
        </w:rPr>
        <w:t>Alladina (1995) says that stories, songs, books and videos are all good resources th</w:t>
      </w:r>
      <w:r w:rsidR="00C954ED">
        <w:rPr>
          <w:rFonts w:ascii="Arial" w:hAnsi="Arial" w:cs="Arial"/>
          <w:color w:val="000000" w:themeColor="text1"/>
        </w:rPr>
        <w:t>at can help bilingual children.</w:t>
      </w:r>
    </w:p>
    <w:p w14:paraId="00EDA991" w14:textId="77777777" w:rsidR="008979E3" w:rsidRDefault="008979E3">
      <w:pPr>
        <w:rPr>
          <w:rFonts w:ascii="Arial" w:hAnsi="Arial" w:cs="Arial"/>
          <w:color w:val="000000" w:themeColor="text1"/>
        </w:rPr>
      </w:pPr>
    </w:p>
    <w:p w14:paraId="388EC777" w14:textId="7C524EB3" w:rsidR="008979E3" w:rsidRDefault="008979E3">
      <w:pPr>
        <w:rPr>
          <w:rFonts w:ascii="Arial" w:hAnsi="Arial" w:cs="Arial"/>
          <w:color w:val="000000" w:themeColor="text1"/>
        </w:rPr>
      </w:pPr>
      <w:r>
        <w:rPr>
          <w:rFonts w:ascii="Arial" w:hAnsi="Arial" w:cs="Arial"/>
          <w:color w:val="000000" w:themeColor="text1"/>
        </w:rPr>
        <w:t>According to King and Fogle (2008) a common concern amongst parents is that encouraging their child to be bilingual and attending a bilingual school will result in language delay. This concern is addressed by McLeod et al (2015) in a study conducted where four groups were created, English and Multi-lingual with typical speech and language and English and multi-lingual with speech and language concerns. The groups were compared using two different techniques. The study concluded with the results of speaking another language did not affect the children’s ability academically nor did the ability to speak two languages result in language delay.</w:t>
      </w:r>
    </w:p>
    <w:p w14:paraId="375D835D" w14:textId="77777777" w:rsidR="00EF1712" w:rsidRDefault="00EF1712">
      <w:pPr>
        <w:rPr>
          <w:rFonts w:ascii="Arial" w:hAnsi="Arial" w:cs="Arial"/>
          <w:color w:val="000000" w:themeColor="text1"/>
        </w:rPr>
      </w:pPr>
      <w:bookmarkStart w:id="0" w:name="_GoBack"/>
      <w:bookmarkEnd w:id="0"/>
    </w:p>
    <w:p w14:paraId="4B219995" w14:textId="6165BCD1" w:rsidR="00FA33BD" w:rsidRDefault="00A53935">
      <w:pPr>
        <w:rPr>
          <w:rFonts w:ascii="Arial" w:hAnsi="Arial" w:cs="Arial"/>
          <w:color w:val="000000" w:themeColor="text1"/>
        </w:rPr>
      </w:pPr>
      <w:r>
        <w:rPr>
          <w:rFonts w:ascii="Arial" w:hAnsi="Arial" w:cs="Arial"/>
          <w:color w:val="000000" w:themeColor="text1"/>
        </w:rPr>
        <w:t>Within my activity I presented bilingual signs (Days of the week, months of the year) to the children. Semingson, Pole and Tommerdahl (2015) state that</w:t>
      </w:r>
      <w:r w:rsidR="00F13675">
        <w:rPr>
          <w:rFonts w:ascii="Arial" w:hAnsi="Arial" w:cs="Arial"/>
          <w:color w:val="000000" w:themeColor="text1"/>
        </w:rPr>
        <w:t xml:space="preserve"> providing children with visual bilingual aids it improves </w:t>
      </w:r>
      <w:r w:rsidR="00F13675" w:rsidRPr="00F13675">
        <w:rPr>
          <w:rFonts w:ascii="Arial" w:hAnsi="Arial" w:cs="Arial"/>
          <w:color w:val="000000" w:themeColor="text1"/>
        </w:rPr>
        <w:t>linguistic and metalinguistic skills</w:t>
      </w:r>
      <w:r w:rsidR="00F13675">
        <w:rPr>
          <w:rFonts w:ascii="Arial" w:hAnsi="Arial" w:cs="Arial"/>
          <w:color w:val="000000" w:themeColor="text1"/>
        </w:rPr>
        <w:t xml:space="preserve">. Throughout the activity I read a sentence in Welsh and then repeated it in English, Semingson, Pole and Tommerdahl (2015) note that reading aloud bilingually improves biliteracy as a social practice. </w:t>
      </w:r>
    </w:p>
    <w:p w14:paraId="5BD92E86" w14:textId="35DAB574" w:rsidR="003A1759" w:rsidRDefault="00ED54F3">
      <w:pPr>
        <w:rPr>
          <w:rFonts w:ascii="Arial" w:hAnsi="Arial" w:cs="Arial"/>
          <w:color w:val="000000" w:themeColor="text1"/>
        </w:rPr>
      </w:pPr>
      <w:r>
        <w:rPr>
          <w:rFonts w:ascii="Arial" w:hAnsi="Arial" w:cs="Arial"/>
          <w:color w:val="000000" w:themeColor="text1"/>
        </w:rPr>
        <w:t>Colin Baker (</w:t>
      </w:r>
      <w:r w:rsidR="00D52A28">
        <w:rPr>
          <w:rFonts w:ascii="Arial" w:hAnsi="Arial" w:cs="Arial"/>
          <w:color w:val="000000" w:themeColor="text1"/>
        </w:rPr>
        <w:t>2001) notes that a bilingual education has a lot of favourable attributes towards children’s development.</w:t>
      </w:r>
    </w:p>
    <w:p w14:paraId="72F7862E" w14:textId="77777777" w:rsidR="007D4407" w:rsidRPr="00F13675" w:rsidRDefault="007D4407">
      <w:pPr>
        <w:rPr>
          <w:rFonts w:ascii="Arial" w:hAnsi="Arial" w:cs="Arial"/>
          <w:color w:val="000000" w:themeColor="text1"/>
        </w:rPr>
      </w:pPr>
    </w:p>
    <w:p w14:paraId="30AB1E5D" w14:textId="77777777" w:rsidR="00F42201" w:rsidRDefault="00F42201">
      <w:pPr>
        <w:rPr>
          <w:b/>
          <w:color w:val="FF0000"/>
        </w:rPr>
      </w:pPr>
    </w:p>
    <w:p w14:paraId="630DC36A" w14:textId="77777777" w:rsidR="00FA33BD" w:rsidRDefault="00FA33BD">
      <w:pPr>
        <w:rPr>
          <w:b/>
          <w:color w:val="FF0000"/>
        </w:rPr>
      </w:pPr>
    </w:p>
    <w:p w14:paraId="53EBF343" w14:textId="77777777" w:rsidR="00FA33BD" w:rsidRDefault="00FA33BD">
      <w:pPr>
        <w:rPr>
          <w:b/>
          <w:color w:val="FF0000"/>
        </w:rPr>
      </w:pPr>
    </w:p>
    <w:p w14:paraId="1DE02B2E" w14:textId="77777777" w:rsidR="00FA33BD" w:rsidRDefault="00FA33BD">
      <w:pPr>
        <w:rPr>
          <w:b/>
          <w:color w:val="FF0000"/>
        </w:rPr>
      </w:pPr>
    </w:p>
    <w:p w14:paraId="3BE55562" w14:textId="77777777" w:rsidR="00FA33BD" w:rsidRDefault="00FA33BD">
      <w:pPr>
        <w:rPr>
          <w:b/>
          <w:color w:val="FF0000"/>
        </w:rPr>
      </w:pPr>
    </w:p>
    <w:p w14:paraId="2CDDB698" w14:textId="77777777" w:rsidR="00FA33BD" w:rsidRDefault="00FA33BD">
      <w:pPr>
        <w:rPr>
          <w:b/>
          <w:color w:val="FF0000"/>
        </w:rPr>
      </w:pPr>
    </w:p>
    <w:p w14:paraId="50B29FBD" w14:textId="77777777" w:rsidR="00FA33BD" w:rsidRDefault="00FA33BD">
      <w:pPr>
        <w:rPr>
          <w:b/>
          <w:color w:val="FF0000"/>
        </w:rPr>
      </w:pPr>
    </w:p>
    <w:p w14:paraId="6FA7012E" w14:textId="77777777" w:rsidR="00FA33BD" w:rsidRDefault="00FA33BD">
      <w:pPr>
        <w:rPr>
          <w:b/>
          <w:color w:val="FF0000"/>
        </w:rPr>
      </w:pPr>
    </w:p>
    <w:p w14:paraId="74E534A6" w14:textId="77777777" w:rsidR="00FA33BD" w:rsidRDefault="00FA33BD">
      <w:pPr>
        <w:rPr>
          <w:b/>
          <w:color w:val="FF0000"/>
        </w:rPr>
      </w:pPr>
    </w:p>
    <w:p w14:paraId="1821B6B9" w14:textId="4BB70F35" w:rsidR="00FA33BD" w:rsidRDefault="00FA33BD">
      <w:pPr>
        <w:rPr>
          <w:b/>
          <w:color w:val="FF0000"/>
        </w:rPr>
      </w:pPr>
    </w:p>
    <w:p w14:paraId="7949FC79" w14:textId="77777777" w:rsidR="009D0FEE" w:rsidRDefault="009D0FEE">
      <w:pPr>
        <w:rPr>
          <w:b/>
          <w:color w:val="FF0000"/>
        </w:rPr>
      </w:pPr>
    </w:p>
    <w:p w14:paraId="2667962F" w14:textId="77777777" w:rsidR="009D0FEE" w:rsidRDefault="009D0FEE">
      <w:pPr>
        <w:rPr>
          <w:b/>
          <w:color w:val="FF0000"/>
        </w:rPr>
      </w:pPr>
    </w:p>
    <w:p w14:paraId="6EF95606" w14:textId="77777777" w:rsidR="009D0FEE" w:rsidRDefault="009D0FEE">
      <w:pPr>
        <w:rPr>
          <w:b/>
          <w:color w:val="FF0000"/>
        </w:rPr>
      </w:pPr>
    </w:p>
    <w:p w14:paraId="6E6612EC" w14:textId="77777777" w:rsidR="009D0FEE" w:rsidRDefault="009D0FEE">
      <w:pPr>
        <w:rPr>
          <w:b/>
          <w:color w:val="FF0000"/>
        </w:rPr>
      </w:pPr>
    </w:p>
    <w:p w14:paraId="5CF0D38E" w14:textId="77777777" w:rsidR="009D0FEE" w:rsidRDefault="009D0FEE">
      <w:pPr>
        <w:rPr>
          <w:b/>
          <w:color w:val="FF0000"/>
        </w:rPr>
      </w:pPr>
    </w:p>
    <w:p w14:paraId="1DF0D71D" w14:textId="77777777" w:rsidR="009D0FEE" w:rsidRDefault="009D0FEE">
      <w:pPr>
        <w:rPr>
          <w:b/>
          <w:color w:val="FF0000"/>
        </w:rPr>
      </w:pPr>
    </w:p>
    <w:p w14:paraId="3B7935EC" w14:textId="77777777" w:rsidR="009D0FEE" w:rsidRDefault="009D0FEE">
      <w:pPr>
        <w:rPr>
          <w:b/>
          <w:color w:val="FF0000"/>
        </w:rPr>
      </w:pPr>
    </w:p>
    <w:p w14:paraId="34167607" w14:textId="77777777" w:rsidR="009D0FEE" w:rsidRDefault="009D0FEE">
      <w:pPr>
        <w:rPr>
          <w:b/>
          <w:color w:val="FF0000"/>
        </w:rPr>
      </w:pPr>
    </w:p>
    <w:p w14:paraId="5CBAB578" w14:textId="77777777" w:rsidR="009D0FEE" w:rsidRDefault="009D0FEE">
      <w:pPr>
        <w:rPr>
          <w:b/>
          <w:color w:val="FF0000"/>
        </w:rPr>
      </w:pPr>
    </w:p>
    <w:p w14:paraId="01D0AF03" w14:textId="77777777" w:rsidR="009D0FEE" w:rsidRDefault="009D0FEE">
      <w:pPr>
        <w:rPr>
          <w:b/>
          <w:color w:val="FF0000"/>
        </w:rPr>
      </w:pPr>
    </w:p>
    <w:p w14:paraId="3DD6C794" w14:textId="77777777" w:rsidR="009D0FEE" w:rsidRDefault="009D0FEE">
      <w:pPr>
        <w:rPr>
          <w:b/>
          <w:color w:val="FF0000"/>
        </w:rPr>
      </w:pPr>
    </w:p>
    <w:p w14:paraId="73B3492A" w14:textId="77777777" w:rsidR="009D0FEE" w:rsidRDefault="009D0FEE">
      <w:pPr>
        <w:rPr>
          <w:b/>
          <w:color w:val="FF0000"/>
        </w:rPr>
      </w:pPr>
    </w:p>
    <w:p w14:paraId="400ABD47" w14:textId="77777777" w:rsidR="009D0FEE" w:rsidRDefault="009D0FEE">
      <w:pPr>
        <w:rPr>
          <w:b/>
          <w:color w:val="FF0000"/>
        </w:rPr>
      </w:pPr>
    </w:p>
    <w:p w14:paraId="770C31B8" w14:textId="77777777" w:rsidR="009D0FEE" w:rsidRDefault="009D0FEE">
      <w:pPr>
        <w:rPr>
          <w:b/>
          <w:color w:val="FF0000"/>
        </w:rPr>
      </w:pPr>
    </w:p>
    <w:p w14:paraId="29DC5363" w14:textId="77777777" w:rsidR="009D0FEE" w:rsidRDefault="009D0FEE">
      <w:pPr>
        <w:rPr>
          <w:b/>
          <w:color w:val="FF0000"/>
        </w:rPr>
      </w:pPr>
    </w:p>
    <w:p w14:paraId="0477B40B" w14:textId="77777777" w:rsidR="009D0FEE" w:rsidRDefault="009D0FEE">
      <w:pPr>
        <w:rPr>
          <w:b/>
          <w:color w:val="FF0000"/>
        </w:rPr>
      </w:pPr>
    </w:p>
    <w:p w14:paraId="7F42AA83" w14:textId="77777777" w:rsidR="009D0FEE" w:rsidRDefault="009D0FEE">
      <w:pPr>
        <w:rPr>
          <w:b/>
          <w:color w:val="FF0000"/>
        </w:rPr>
      </w:pPr>
    </w:p>
    <w:p w14:paraId="3B945D59" w14:textId="77777777" w:rsidR="009D0FEE" w:rsidRDefault="009D0FEE">
      <w:pPr>
        <w:rPr>
          <w:b/>
          <w:color w:val="FF0000"/>
        </w:rPr>
      </w:pPr>
    </w:p>
    <w:p w14:paraId="45CDFF9D" w14:textId="77777777" w:rsidR="009D0FEE" w:rsidRDefault="009D0FEE">
      <w:pPr>
        <w:rPr>
          <w:b/>
          <w:color w:val="FF0000"/>
        </w:rPr>
      </w:pPr>
    </w:p>
    <w:p w14:paraId="0AD4138A" w14:textId="77777777" w:rsidR="009D0FEE" w:rsidRDefault="009D0FEE">
      <w:pPr>
        <w:rPr>
          <w:b/>
          <w:color w:val="FF0000"/>
        </w:rPr>
      </w:pPr>
    </w:p>
    <w:p w14:paraId="04FE3F06" w14:textId="77777777" w:rsidR="009D0FEE" w:rsidRDefault="009D0FEE">
      <w:pPr>
        <w:rPr>
          <w:b/>
          <w:color w:val="FF0000"/>
        </w:rPr>
      </w:pPr>
    </w:p>
    <w:p w14:paraId="28C46AE6" w14:textId="77777777" w:rsidR="009D0FEE" w:rsidRDefault="009D0FEE">
      <w:pPr>
        <w:rPr>
          <w:b/>
          <w:color w:val="FF0000"/>
        </w:rPr>
      </w:pPr>
    </w:p>
    <w:p w14:paraId="1245C95B" w14:textId="77777777" w:rsidR="009D0FEE" w:rsidRDefault="009D0FEE">
      <w:pPr>
        <w:rPr>
          <w:b/>
          <w:color w:val="FF0000"/>
        </w:rPr>
      </w:pPr>
    </w:p>
    <w:p w14:paraId="1A4A6CB2" w14:textId="77777777" w:rsidR="009D0FEE" w:rsidRDefault="009D0FEE">
      <w:pPr>
        <w:rPr>
          <w:b/>
          <w:color w:val="FF0000"/>
        </w:rPr>
      </w:pPr>
    </w:p>
    <w:p w14:paraId="3438AAD4" w14:textId="77777777" w:rsidR="009D0FEE" w:rsidRDefault="009D0FEE">
      <w:pPr>
        <w:rPr>
          <w:b/>
          <w:color w:val="FF0000"/>
        </w:rPr>
      </w:pPr>
    </w:p>
    <w:p w14:paraId="7CFE4966" w14:textId="77777777" w:rsidR="009D0FEE" w:rsidRDefault="009D0FEE">
      <w:pPr>
        <w:rPr>
          <w:b/>
          <w:color w:val="FF0000"/>
        </w:rPr>
      </w:pPr>
    </w:p>
    <w:p w14:paraId="4252CBB6" w14:textId="77777777" w:rsidR="009D0FEE" w:rsidRDefault="009D0FEE">
      <w:pPr>
        <w:rPr>
          <w:b/>
          <w:color w:val="FF0000"/>
        </w:rPr>
      </w:pPr>
    </w:p>
    <w:p w14:paraId="7D5DD01E" w14:textId="77777777" w:rsidR="009D0FEE" w:rsidRDefault="009D0FEE">
      <w:pPr>
        <w:rPr>
          <w:b/>
          <w:color w:val="FF0000"/>
        </w:rPr>
      </w:pPr>
    </w:p>
    <w:p w14:paraId="13060849" w14:textId="77777777" w:rsidR="009D0FEE" w:rsidRDefault="009D0FEE">
      <w:pPr>
        <w:rPr>
          <w:b/>
          <w:color w:val="FF0000"/>
        </w:rPr>
      </w:pPr>
    </w:p>
    <w:p w14:paraId="697895E2" w14:textId="77777777" w:rsidR="009D0FEE" w:rsidRDefault="009D0FEE">
      <w:pPr>
        <w:rPr>
          <w:b/>
          <w:color w:val="FF0000"/>
        </w:rPr>
      </w:pPr>
    </w:p>
    <w:p w14:paraId="521AF63D" w14:textId="77777777" w:rsidR="009D0FEE" w:rsidRDefault="009D0FEE">
      <w:pPr>
        <w:rPr>
          <w:b/>
          <w:color w:val="FF0000"/>
        </w:rPr>
      </w:pPr>
    </w:p>
    <w:p w14:paraId="6F6554A7" w14:textId="77777777" w:rsidR="009D0FEE" w:rsidRDefault="009D0FEE">
      <w:pPr>
        <w:rPr>
          <w:b/>
          <w:color w:val="FF0000"/>
        </w:rPr>
      </w:pPr>
    </w:p>
    <w:p w14:paraId="1D6D8A59" w14:textId="77777777" w:rsidR="009D0FEE" w:rsidRDefault="009D0FEE">
      <w:pPr>
        <w:rPr>
          <w:b/>
          <w:color w:val="FF0000"/>
        </w:rPr>
      </w:pPr>
    </w:p>
    <w:p w14:paraId="0E613F98" w14:textId="77777777" w:rsidR="009D0FEE" w:rsidRDefault="009D0FEE">
      <w:pPr>
        <w:rPr>
          <w:b/>
          <w:color w:val="FF0000"/>
        </w:rPr>
      </w:pPr>
    </w:p>
    <w:p w14:paraId="43D153BB" w14:textId="77777777" w:rsidR="009D0FEE" w:rsidRDefault="009D0FEE">
      <w:pPr>
        <w:rPr>
          <w:b/>
          <w:color w:val="FF0000"/>
        </w:rPr>
      </w:pPr>
    </w:p>
    <w:p w14:paraId="5085F889" w14:textId="77777777" w:rsidR="009D0FEE" w:rsidRDefault="009D0FEE">
      <w:pPr>
        <w:rPr>
          <w:b/>
          <w:color w:val="FF0000"/>
        </w:rPr>
      </w:pPr>
    </w:p>
    <w:p w14:paraId="3E9C842D" w14:textId="77777777" w:rsidR="009D0FEE" w:rsidRDefault="009D0FEE">
      <w:pPr>
        <w:rPr>
          <w:b/>
          <w:color w:val="FF0000"/>
        </w:rPr>
      </w:pPr>
    </w:p>
    <w:p w14:paraId="1587751D" w14:textId="77777777" w:rsidR="009D0FEE" w:rsidRDefault="009D0FEE">
      <w:pPr>
        <w:rPr>
          <w:b/>
          <w:color w:val="FF0000"/>
        </w:rPr>
      </w:pPr>
    </w:p>
    <w:p w14:paraId="2296A6E0" w14:textId="77777777" w:rsidR="009D0FEE" w:rsidRDefault="009D0FEE" w:rsidP="009D0FEE">
      <w:pPr>
        <w:rPr>
          <w:rFonts w:ascii="Arial" w:hAnsi="Arial" w:cs="Arial"/>
          <w:b/>
          <w:u w:val="single"/>
        </w:rPr>
      </w:pPr>
      <w:r w:rsidRPr="002A2D83">
        <w:rPr>
          <w:rFonts w:ascii="Arial" w:hAnsi="Arial" w:cs="Arial"/>
          <w:b/>
          <w:u w:val="single"/>
        </w:rPr>
        <w:t>References</w:t>
      </w:r>
    </w:p>
    <w:p w14:paraId="088CB40C" w14:textId="77777777" w:rsidR="009D0FEE" w:rsidRDefault="009D0FEE" w:rsidP="009D0FEE">
      <w:pPr>
        <w:rPr>
          <w:rFonts w:ascii="Arial" w:hAnsi="Arial" w:cs="Arial"/>
          <w:b/>
          <w:u w:val="single"/>
        </w:rPr>
      </w:pPr>
    </w:p>
    <w:p w14:paraId="18E3ED94" w14:textId="77777777" w:rsidR="009D0FEE" w:rsidRDefault="009D0FEE" w:rsidP="009D0FEE">
      <w:pPr>
        <w:rPr>
          <w:rFonts w:ascii="Arial" w:hAnsi="Arial" w:cs="Arial"/>
        </w:rPr>
      </w:pPr>
      <w:r>
        <w:rPr>
          <w:rFonts w:ascii="Arial" w:hAnsi="Arial" w:cs="Arial"/>
        </w:rPr>
        <w:t xml:space="preserve">Alladina, S (1995) </w:t>
      </w:r>
      <w:r>
        <w:rPr>
          <w:rFonts w:ascii="Arial" w:hAnsi="Arial" w:cs="Arial"/>
          <w:i/>
        </w:rPr>
        <w:t xml:space="preserve">Being Bilingual. </w:t>
      </w:r>
      <w:r>
        <w:rPr>
          <w:rFonts w:ascii="Arial" w:hAnsi="Arial" w:cs="Arial"/>
        </w:rPr>
        <w:t>England: Trentham Books Limited.</w:t>
      </w:r>
    </w:p>
    <w:p w14:paraId="7B1E0999" w14:textId="77777777" w:rsidR="009D0FEE" w:rsidRDefault="009D0FEE" w:rsidP="009D0FEE">
      <w:pPr>
        <w:rPr>
          <w:rFonts w:ascii="Arial" w:hAnsi="Arial" w:cs="Arial"/>
        </w:rPr>
      </w:pPr>
    </w:p>
    <w:p w14:paraId="4A6333AF" w14:textId="77777777" w:rsidR="009D0FEE" w:rsidRPr="00FC4B54" w:rsidRDefault="009D0FEE" w:rsidP="009D0FEE">
      <w:pPr>
        <w:rPr>
          <w:rFonts w:ascii="Times New Roman" w:eastAsia="Times New Roman" w:hAnsi="Times New Roman" w:cs="Times New Roman"/>
          <w:sz w:val="24"/>
          <w:szCs w:val="24"/>
          <w:lang w:eastAsia="en-GB"/>
        </w:rPr>
      </w:pPr>
      <w:r>
        <w:rPr>
          <w:rFonts w:ascii="Arial" w:hAnsi="Arial" w:cs="Arial"/>
        </w:rPr>
        <w:t xml:space="preserve">Baker, C (1949) </w:t>
      </w:r>
      <w:r>
        <w:rPr>
          <w:rFonts w:ascii="Arial" w:hAnsi="Arial" w:cs="Arial"/>
          <w:i/>
        </w:rPr>
        <w:t>Foundations of Bilingual Education and Bilingualism.</w:t>
      </w:r>
      <w:r w:rsidRPr="00FC4B54">
        <w:rPr>
          <w:rFonts w:ascii="Helvetica Neue" w:eastAsia="Times New Roman" w:hAnsi="Helvetica Neue"/>
          <w:color w:val="3A3A3A"/>
          <w:sz w:val="23"/>
          <w:szCs w:val="23"/>
          <w:shd w:val="clear" w:color="auto" w:fill="FFFFFF"/>
        </w:rPr>
        <w:t xml:space="preserve"> </w:t>
      </w:r>
      <w:r w:rsidRPr="00FC4B54">
        <w:rPr>
          <w:rFonts w:ascii="Helvetica Neue" w:eastAsia="Times New Roman" w:hAnsi="Helvetica Neue" w:cs="Times New Roman"/>
          <w:color w:val="3A3A3A"/>
          <w:sz w:val="23"/>
          <w:szCs w:val="23"/>
          <w:shd w:val="clear" w:color="auto" w:fill="FFFFFF"/>
          <w:lang w:eastAsia="en-GB"/>
        </w:rPr>
        <w:t>Philadelphia: Multilingual Matters</w:t>
      </w:r>
      <w:r>
        <w:rPr>
          <w:rFonts w:ascii="Helvetica Neue" w:eastAsia="Times New Roman" w:hAnsi="Helvetica Neue" w:cs="Times New Roman"/>
          <w:color w:val="3A3A3A"/>
          <w:sz w:val="23"/>
          <w:szCs w:val="23"/>
          <w:shd w:val="clear" w:color="auto" w:fill="FFFFFF"/>
          <w:lang w:eastAsia="en-GB"/>
        </w:rPr>
        <w:t>.</w:t>
      </w:r>
    </w:p>
    <w:p w14:paraId="5AC29937" w14:textId="77777777" w:rsidR="009D0FEE" w:rsidRDefault="009D0FEE" w:rsidP="009D0FEE">
      <w:pPr>
        <w:rPr>
          <w:rFonts w:ascii="Arial" w:hAnsi="Arial" w:cs="Arial"/>
        </w:rPr>
      </w:pPr>
    </w:p>
    <w:p w14:paraId="767CA83F" w14:textId="77777777" w:rsidR="009D0FEE" w:rsidRPr="00B41C45" w:rsidRDefault="009D0FEE" w:rsidP="009D0FEE">
      <w:pPr>
        <w:rPr>
          <w:rFonts w:ascii="Arial" w:hAnsi="Arial" w:cs="Arial"/>
        </w:rPr>
      </w:pPr>
      <w:r>
        <w:rPr>
          <w:rFonts w:ascii="Arial" w:hAnsi="Arial" w:cs="Arial"/>
        </w:rPr>
        <w:t>Bak, T and Mehmedbegovic, D (2017) Healthy Linguistic Diet: The Value of Linguistic Diversity and Language Learning Across The Lifespan. (Accessed: 4</w:t>
      </w:r>
      <w:r w:rsidRPr="008C77BC">
        <w:rPr>
          <w:rFonts w:ascii="Arial" w:hAnsi="Arial" w:cs="Arial"/>
          <w:vertAlign w:val="superscript"/>
        </w:rPr>
        <w:t>th</w:t>
      </w:r>
      <w:r>
        <w:rPr>
          <w:rFonts w:ascii="Arial" w:hAnsi="Arial" w:cs="Arial"/>
        </w:rPr>
        <w:t xml:space="preserve"> April 2019) Available at: </w:t>
      </w:r>
      <w:hyperlink r:id="rId6" w:history="1">
        <w:r w:rsidRPr="00072B35">
          <w:rPr>
            <w:rStyle w:val="Hyperlink"/>
            <w:rFonts w:ascii="Arial" w:hAnsi="Arial" w:cs="Arial"/>
          </w:rPr>
          <w:t>http://www.meits.org/policy-papers/paper/healthy-linguistic-diet</w:t>
        </w:r>
      </w:hyperlink>
      <w:r>
        <w:rPr>
          <w:rFonts w:ascii="Arial" w:hAnsi="Arial" w:cs="Arial"/>
        </w:rPr>
        <w:t xml:space="preserve"> </w:t>
      </w:r>
    </w:p>
    <w:p w14:paraId="274F6DDA" w14:textId="77777777" w:rsidR="009D0FEE" w:rsidRDefault="009D0FEE" w:rsidP="009D0FEE">
      <w:pPr>
        <w:rPr>
          <w:rFonts w:ascii="Arial" w:hAnsi="Arial" w:cs="Arial"/>
        </w:rPr>
      </w:pPr>
    </w:p>
    <w:p w14:paraId="2D360C81" w14:textId="77777777" w:rsidR="009D0FEE" w:rsidRPr="008F7718" w:rsidRDefault="009D0FEE" w:rsidP="009D0FEE">
      <w:pPr>
        <w:rPr>
          <w:rFonts w:ascii="Arial" w:hAnsi="Arial" w:cs="Arial"/>
        </w:rPr>
      </w:pPr>
      <w:r>
        <w:rPr>
          <w:rFonts w:ascii="Arial" w:hAnsi="Arial" w:cs="Arial"/>
        </w:rPr>
        <w:t xml:space="preserve">BBC (2015) </w:t>
      </w:r>
      <w:r>
        <w:rPr>
          <w:rFonts w:ascii="Arial" w:hAnsi="Arial" w:cs="Arial"/>
          <w:i/>
        </w:rPr>
        <w:t xml:space="preserve">Noam Chomsky on Language Acquisition </w:t>
      </w:r>
      <w:r>
        <w:rPr>
          <w:rFonts w:ascii="Arial" w:hAnsi="Arial" w:cs="Arial"/>
        </w:rPr>
        <w:t xml:space="preserve">[video]. Available at: </w:t>
      </w:r>
      <w:hyperlink r:id="rId7" w:history="1">
        <w:r w:rsidRPr="00072B35">
          <w:rPr>
            <w:rStyle w:val="Hyperlink"/>
          </w:rPr>
          <w:t>https://www.youtube.com/watch?v=7Cgpfw4z8cw</w:t>
        </w:r>
      </w:hyperlink>
      <w:r>
        <w:t xml:space="preserve"> (Accessed: 5</w:t>
      </w:r>
      <w:r w:rsidRPr="008F7718">
        <w:rPr>
          <w:vertAlign w:val="superscript"/>
        </w:rPr>
        <w:t>th</w:t>
      </w:r>
      <w:r>
        <w:t xml:space="preserve"> April 2019).</w:t>
      </w:r>
    </w:p>
    <w:p w14:paraId="0D8A6F35" w14:textId="77777777" w:rsidR="009D0FEE" w:rsidRDefault="009D0FEE" w:rsidP="009D0FEE">
      <w:pPr>
        <w:rPr>
          <w:rFonts w:ascii="Arial" w:hAnsi="Arial" w:cs="Arial"/>
        </w:rPr>
      </w:pPr>
    </w:p>
    <w:p w14:paraId="12D8FC87" w14:textId="77777777" w:rsidR="009D0FEE" w:rsidRPr="008F7718" w:rsidRDefault="009D0FEE" w:rsidP="009D0FEE">
      <w:pPr>
        <w:rPr>
          <w:rFonts w:ascii="Arial" w:hAnsi="Arial" w:cs="Arial"/>
          <w:i/>
        </w:rPr>
      </w:pPr>
      <w:r>
        <w:rPr>
          <w:rFonts w:ascii="Arial" w:hAnsi="Arial" w:cs="Arial"/>
        </w:rPr>
        <w:t xml:space="preserve">Bernhard, T (2013) </w:t>
      </w:r>
      <w:r>
        <w:rPr>
          <w:rFonts w:ascii="Arial" w:hAnsi="Arial" w:cs="Arial"/>
          <w:i/>
        </w:rPr>
        <w:t xml:space="preserve">What Type of Thinker Are You. </w:t>
      </w:r>
      <w:r w:rsidRPr="008F7718">
        <w:rPr>
          <w:rFonts w:ascii="Arial" w:hAnsi="Arial" w:cs="Arial"/>
        </w:rPr>
        <w:t>Available at:</w:t>
      </w:r>
      <w:r>
        <w:rPr>
          <w:rFonts w:ascii="Arial" w:hAnsi="Arial" w:cs="Arial"/>
        </w:rPr>
        <w:t xml:space="preserve"> </w:t>
      </w:r>
      <w:hyperlink r:id="rId8" w:history="1">
        <w:r w:rsidRPr="00072B35">
          <w:rPr>
            <w:rStyle w:val="Hyperlink"/>
            <w:rFonts w:ascii="Arial" w:hAnsi="Arial" w:cs="Arial"/>
          </w:rPr>
          <w:t>https://www.psychologytoday.com/us/blog/turning-straw-gold/201302/what-type-thinker-are-you</w:t>
        </w:r>
      </w:hyperlink>
      <w:r>
        <w:rPr>
          <w:rFonts w:ascii="Arial" w:hAnsi="Arial" w:cs="Arial"/>
        </w:rPr>
        <w:t xml:space="preserve"> (Accessed: 3rd April 2019).</w:t>
      </w:r>
    </w:p>
    <w:p w14:paraId="295C8A55" w14:textId="77777777" w:rsidR="009D0FEE" w:rsidRDefault="009D0FEE" w:rsidP="009D0FEE">
      <w:pPr>
        <w:rPr>
          <w:rFonts w:ascii="Arial" w:hAnsi="Arial" w:cs="Arial"/>
        </w:rPr>
      </w:pPr>
    </w:p>
    <w:p w14:paraId="5E3396B3" w14:textId="77777777" w:rsidR="009D0FEE" w:rsidRDefault="009D0FEE" w:rsidP="009D0FEE">
      <w:pPr>
        <w:rPr>
          <w:rFonts w:ascii="Arial" w:hAnsi="Arial" w:cs="Arial"/>
        </w:rPr>
      </w:pPr>
      <w:r w:rsidRPr="008A149F">
        <w:rPr>
          <w:rFonts w:ascii="Arial" w:hAnsi="Arial" w:cs="Arial"/>
        </w:rPr>
        <w:t>BIALYSTOK, E. (2011) Reshaping the Mind: The Benefits of Bilingualism. Canadian Journal of Experimental Psychology, 65(4), pp. 229-35</w:t>
      </w:r>
      <w:r>
        <w:rPr>
          <w:rFonts w:ascii="Arial" w:hAnsi="Arial" w:cs="Arial"/>
        </w:rPr>
        <w:t>.</w:t>
      </w:r>
    </w:p>
    <w:p w14:paraId="7C29373A" w14:textId="77777777" w:rsidR="009D0FEE" w:rsidRDefault="009D0FEE" w:rsidP="009D0FEE">
      <w:pPr>
        <w:rPr>
          <w:rFonts w:ascii="Arial" w:hAnsi="Arial" w:cs="Arial"/>
        </w:rPr>
      </w:pPr>
    </w:p>
    <w:p w14:paraId="5438A2FB" w14:textId="77777777" w:rsidR="009D0FEE" w:rsidRDefault="009D0FEE" w:rsidP="009D0FEE">
      <w:pPr>
        <w:rPr>
          <w:rFonts w:ascii="Arial" w:hAnsi="Arial" w:cs="Arial"/>
        </w:rPr>
      </w:pPr>
      <w:r>
        <w:rPr>
          <w:rFonts w:ascii="Arial" w:hAnsi="Arial" w:cs="Arial"/>
        </w:rPr>
        <w:t>Fan, S et al. (2015) ‘</w:t>
      </w:r>
      <w:r w:rsidRPr="006A2103">
        <w:rPr>
          <w:rFonts w:ascii="Arial" w:hAnsi="Arial" w:cs="Arial"/>
        </w:rPr>
        <w:t>The Exposure Advantage: Early Exposure to a Multilingual Environment Promotes Effective Communication</w:t>
      </w:r>
      <w:r>
        <w:rPr>
          <w:rFonts w:ascii="Arial" w:hAnsi="Arial" w:cs="Arial"/>
        </w:rPr>
        <w:t xml:space="preserve">’ </w:t>
      </w:r>
      <w:r>
        <w:rPr>
          <w:rFonts w:ascii="Arial" w:hAnsi="Arial" w:cs="Arial"/>
          <w:i/>
        </w:rPr>
        <w:t xml:space="preserve">Psychological Science, </w:t>
      </w:r>
      <w:r>
        <w:rPr>
          <w:rFonts w:ascii="Arial" w:hAnsi="Arial" w:cs="Arial"/>
        </w:rPr>
        <w:t xml:space="preserve">26(7), pp. 1090-1097. DOI: </w:t>
      </w:r>
      <w:r w:rsidRPr="006A2103">
        <w:rPr>
          <w:rFonts w:ascii="Arial" w:hAnsi="Arial" w:cs="Arial"/>
        </w:rPr>
        <w:t>10.1177/0956797615574699</w:t>
      </w:r>
      <w:r>
        <w:rPr>
          <w:rFonts w:ascii="Arial" w:hAnsi="Arial" w:cs="Arial"/>
        </w:rPr>
        <w:t>.</w:t>
      </w:r>
    </w:p>
    <w:p w14:paraId="1BD15B37" w14:textId="77777777" w:rsidR="009D0FEE" w:rsidRDefault="009D0FEE" w:rsidP="009D0FEE">
      <w:pPr>
        <w:rPr>
          <w:rFonts w:ascii="Arial" w:hAnsi="Arial" w:cs="Arial"/>
        </w:rPr>
      </w:pPr>
    </w:p>
    <w:p w14:paraId="49A51343" w14:textId="77777777" w:rsidR="009D0FEE" w:rsidRDefault="009D0FEE" w:rsidP="009D0FEE">
      <w:pPr>
        <w:rPr>
          <w:rFonts w:ascii="Arial" w:hAnsi="Arial" w:cs="Arial"/>
        </w:rPr>
      </w:pPr>
      <w:r w:rsidRPr="002A2D83">
        <w:rPr>
          <w:rFonts w:ascii="Arial" w:hAnsi="Arial" w:cs="Arial"/>
        </w:rPr>
        <w:t>Fraser, L</w:t>
      </w:r>
      <w:r>
        <w:rPr>
          <w:rFonts w:ascii="Arial" w:hAnsi="Arial" w:cs="Arial"/>
        </w:rPr>
        <w:t>.</w:t>
      </w:r>
      <w:r w:rsidRPr="002A2D83">
        <w:rPr>
          <w:rFonts w:ascii="Arial" w:hAnsi="Arial" w:cs="Arial"/>
        </w:rPr>
        <w:t>, Marinella, P</w:t>
      </w:r>
      <w:r>
        <w:rPr>
          <w:rFonts w:ascii="Arial" w:hAnsi="Arial" w:cs="Arial"/>
        </w:rPr>
        <w:t>.</w:t>
      </w:r>
      <w:r w:rsidRPr="002A2D83">
        <w:rPr>
          <w:rFonts w:ascii="Arial" w:hAnsi="Arial" w:cs="Arial"/>
        </w:rPr>
        <w:t xml:space="preserve"> and Roberta, F. (2013) </w:t>
      </w:r>
      <w:r>
        <w:rPr>
          <w:rFonts w:ascii="Arial" w:hAnsi="Arial" w:cs="Arial"/>
        </w:rPr>
        <w:t>‘</w:t>
      </w:r>
      <w:r w:rsidRPr="002A2D83">
        <w:rPr>
          <w:rFonts w:ascii="Arial" w:hAnsi="Arial" w:cs="Arial"/>
        </w:rPr>
        <w:t>Bilingualism in Sardinia and Scotland: Exploring the cognitive benefits of speaking a ‘minority’ language</w:t>
      </w:r>
      <w:r>
        <w:rPr>
          <w:rFonts w:ascii="Arial" w:hAnsi="Arial" w:cs="Arial"/>
        </w:rPr>
        <w:t>’.</w:t>
      </w:r>
      <w:r w:rsidRPr="002A2D83">
        <w:rPr>
          <w:rFonts w:ascii="Arial" w:hAnsi="Arial" w:cs="Arial"/>
        </w:rPr>
        <w:t xml:space="preserve"> </w:t>
      </w:r>
      <w:r w:rsidRPr="002A2D83">
        <w:rPr>
          <w:rFonts w:ascii="Arial" w:hAnsi="Arial" w:cs="Arial"/>
          <w:i/>
        </w:rPr>
        <w:t>International Journal of Bilingualism</w:t>
      </w:r>
      <w:r w:rsidRPr="002A2D83">
        <w:rPr>
          <w:rFonts w:ascii="Arial" w:hAnsi="Arial" w:cs="Arial"/>
        </w:rPr>
        <w:t>, 17(1), pp.43–57.</w:t>
      </w:r>
      <w:r>
        <w:rPr>
          <w:rFonts w:ascii="Arial" w:hAnsi="Arial" w:cs="Arial"/>
        </w:rPr>
        <w:t xml:space="preserve"> Accessed: 4</w:t>
      </w:r>
      <w:r w:rsidRPr="002A2D83">
        <w:rPr>
          <w:rFonts w:ascii="Arial" w:hAnsi="Arial" w:cs="Arial"/>
          <w:vertAlign w:val="superscript"/>
        </w:rPr>
        <w:t>th</w:t>
      </w:r>
      <w:r>
        <w:rPr>
          <w:rFonts w:ascii="Arial" w:hAnsi="Arial" w:cs="Arial"/>
        </w:rPr>
        <w:t xml:space="preserve"> April 2019, Available at: </w:t>
      </w:r>
      <w:hyperlink r:id="rId9" w:history="1">
        <w:r w:rsidRPr="00072B35">
          <w:rPr>
            <w:rStyle w:val="Hyperlink"/>
            <w:rFonts w:ascii="Arial" w:hAnsi="Arial" w:cs="Arial"/>
          </w:rPr>
          <w:t>https://journals.sagepub.com/doi/10.1177/1367006911429622</w:t>
        </w:r>
      </w:hyperlink>
    </w:p>
    <w:p w14:paraId="5CE0D9B7" w14:textId="77777777" w:rsidR="009D0FEE" w:rsidRDefault="009D0FEE" w:rsidP="009D0FEE">
      <w:pPr>
        <w:rPr>
          <w:rFonts w:ascii="Arial" w:hAnsi="Arial" w:cs="Arial"/>
        </w:rPr>
      </w:pPr>
    </w:p>
    <w:p w14:paraId="390D1C4B" w14:textId="77777777" w:rsidR="009D0FEE" w:rsidRPr="00FC4B54" w:rsidRDefault="009D0FEE" w:rsidP="009D0FEE">
      <w:pPr>
        <w:rPr>
          <w:rFonts w:ascii="Arial" w:hAnsi="Arial" w:cs="Arial"/>
        </w:rPr>
      </w:pPr>
      <w:r>
        <w:rPr>
          <w:rFonts w:ascii="Arial" w:hAnsi="Arial" w:cs="Arial"/>
        </w:rPr>
        <w:t xml:space="preserve">Kamenetz, A (2016) </w:t>
      </w:r>
      <w:r>
        <w:rPr>
          <w:rFonts w:ascii="Arial" w:hAnsi="Arial" w:cs="Arial"/>
          <w:i/>
        </w:rPr>
        <w:t xml:space="preserve">6 Potential Brain Benefits of Bilingual Education. </w:t>
      </w:r>
      <w:r>
        <w:rPr>
          <w:rFonts w:ascii="Arial" w:hAnsi="Arial" w:cs="Arial"/>
        </w:rPr>
        <w:t>(Accessed: 4</w:t>
      </w:r>
      <w:r w:rsidRPr="00FC4B54">
        <w:rPr>
          <w:rFonts w:ascii="Arial" w:hAnsi="Arial" w:cs="Arial"/>
          <w:vertAlign w:val="superscript"/>
        </w:rPr>
        <w:t>th</w:t>
      </w:r>
      <w:r>
        <w:rPr>
          <w:rFonts w:ascii="Arial" w:hAnsi="Arial" w:cs="Arial"/>
        </w:rPr>
        <w:t xml:space="preserve"> April 2019) Available at: </w:t>
      </w:r>
      <w:hyperlink r:id="rId10" w:history="1">
        <w:r w:rsidRPr="00072B35">
          <w:rPr>
            <w:rStyle w:val="Hyperlink"/>
            <w:rFonts w:ascii="Arial" w:hAnsi="Arial" w:cs="Arial"/>
          </w:rPr>
          <w:t>http://www.npr.org/sections/ed/2016/11/29/497943749/6-potential-brain-benefits-of-bilingual-education</w:t>
        </w:r>
      </w:hyperlink>
      <w:r>
        <w:rPr>
          <w:rFonts w:ascii="Arial" w:hAnsi="Arial" w:cs="Arial"/>
        </w:rPr>
        <w:t xml:space="preserve"> </w:t>
      </w:r>
    </w:p>
    <w:p w14:paraId="470348C8" w14:textId="77777777" w:rsidR="009D0FEE" w:rsidRDefault="009D0FEE" w:rsidP="009D0FEE">
      <w:pPr>
        <w:rPr>
          <w:rFonts w:ascii="Arial" w:hAnsi="Arial" w:cs="Arial"/>
        </w:rPr>
      </w:pPr>
    </w:p>
    <w:p w14:paraId="640BEAD5" w14:textId="77777777" w:rsidR="009D0FEE" w:rsidRPr="00FC4B54" w:rsidRDefault="009D0FEE" w:rsidP="009D0FEE">
      <w:pPr>
        <w:rPr>
          <w:rFonts w:ascii="Arial" w:hAnsi="Arial" w:cs="Arial"/>
        </w:rPr>
      </w:pPr>
      <w:r>
        <w:rPr>
          <w:rFonts w:ascii="Arial" w:hAnsi="Arial" w:cs="Arial"/>
        </w:rPr>
        <w:t xml:space="preserve">Luk, G., De Sa, E. and Bialystok, E (2011) ‘Is There a Relation Between Onset Age of Bilingualism and Enhancement of Cognitive Control.’ </w:t>
      </w:r>
      <w:r>
        <w:rPr>
          <w:rFonts w:ascii="Arial" w:hAnsi="Arial" w:cs="Arial"/>
          <w:i/>
        </w:rPr>
        <w:t xml:space="preserve">Bilingualism: Language and Cognition. </w:t>
      </w:r>
      <w:r>
        <w:rPr>
          <w:rFonts w:ascii="Arial" w:hAnsi="Arial" w:cs="Arial"/>
        </w:rPr>
        <w:t>14(04) Accessed: 4</w:t>
      </w:r>
      <w:r w:rsidRPr="00FC4B54">
        <w:rPr>
          <w:rFonts w:ascii="Arial" w:hAnsi="Arial" w:cs="Arial"/>
          <w:vertAlign w:val="superscript"/>
        </w:rPr>
        <w:t>th</w:t>
      </w:r>
      <w:r>
        <w:rPr>
          <w:rFonts w:ascii="Arial" w:hAnsi="Arial" w:cs="Arial"/>
        </w:rPr>
        <w:t xml:space="preserve"> April 2019. DOI: 10.1017/S1366728911000010.</w:t>
      </w:r>
    </w:p>
    <w:p w14:paraId="383CE6D7" w14:textId="77777777" w:rsidR="009D0FEE" w:rsidRDefault="009D0FEE" w:rsidP="009D0FEE">
      <w:pPr>
        <w:pStyle w:val="NormalWeb"/>
        <w:shd w:val="clear" w:color="auto" w:fill="FFFFFF"/>
        <w:rPr>
          <w:rFonts w:ascii="ArialMT" w:hAnsi="ArialMT" w:cs="ArialMT"/>
          <w:color w:val="070000"/>
          <w:sz w:val="22"/>
          <w:szCs w:val="22"/>
        </w:rPr>
      </w:pPr>
      <w:r>
        <w:rPr>
          <w:rFonts w:ascii="ArialMT" w:hAnsi="ArialMT" w:cs="ArialMT"/>
          <w:color w:val="070000"/>
          <w:sz w:val="22"/>
          <w:szCs w:val="22"/>
        </w:rPr>
        <w:t xml:space="preserve">McLeod, S. A. (2014). </w:t>
      </w:r>
      <w:r w:rsidRPr="002A2D83">
        <w:rPr>
          <w:rFonts w:ascii="ArialMT" w:hAnsi="ArialMT" w:cs="ArialMT"/>
          <w:i/>
          <w:color w:val="070000"/>
          <w:sz w:val="22"/>
          <w:szCs w:val="22"/>
        </w:rPr>
        <w:t>Lev Vygotsky.</w:t>
      </w:r>
      <w:r>
        <w:rPr>
          <w:rFonts w:ascii="ArialMT" w:hAnsi="ArialMT" w:cs="ArialMT"/>
          <w:color w:val="070000"/>
          <w:sz w:val="22"/>
          <w:szCs w:val="22"/>
        </w:rPr>
        <w:t xml:space="preserve"> Accessed: 4</w:t>
      </w:r>
      <w:r w:rsidRPr="002A2D83">
        <w:rPr>
          <w:rFonts w:ascii="ArialMT" w:hAnsi="ArialMT" w:cs="ArialMT"/>
          <w:color w:val="070000"/>
          <w:sz w:val="22"/>
          <w:szCs w:val="22"/>
          <w:vertAlign w:val="superscript"/>
        </w:rPr>
        <w:t>th</w:t>
      </w:r>
      <w:r>
        <w:rPr>
          <w:rFonts w:ascii="ArialMT" w:hAnsi="ArialMT" w:cs="ArialMT"/>
          <w:color w:val="070000"/>
          <w:sz w:val="22"/>
          <w:szCs w:val="22"/>
        </w:rPr>
        <w:t xml:space="preserve"> April 2019, Available at: </w:t>
      </w:r>
      <w:hyperlink r:id="rId11" w:history="1">
        <w:r w:rsidRPr="00072B35">
          <w:rPr>
            <w:rStyle w:val="Hyperlink"/>
            <w:rFonts w:ascii="ArialMT" w:hAnsi="ArialMT" w:cs="ArialMT"/>
            <w:sz w:val="22"/>
            <w:szCs w:val="22"/>
          </w:rPr>
          <w:t>http://www.mrmikkola.com/uploads/1/0/5/7/10576731/simplypsychology.org-vygotsky.pdf</w:t>
        </w:r>
      </w:hyperlink>
      <w:r>
        <w:rPr>
          <w:rFonts w:ascii="ArialMT" w:hAnsi="ArialMT" w:cs="ArialMT"/>
          <w:color w:val="070000"/>
          <w:sz w:val="22"/>
          <w:szCs w:val="22"/>
        </w:rPr>
        <w:t xml:space="preserve"> </w:t>
      </w:r>
    </w:p>
    <w:p w14:paraId="13708A71" w14:textId="77777777" w:rsidR="009D0FEE" w:rsidRPr="00B41C45" w:rsidRDefault="009D0FEE" w:rsidP="009D0FEE">
      <w:pPr>
        <w:pStyle w:val="NormalWeb"/>
        <w:shd w:val="clear" w:color="auto" w:fill="FFFFFF"/>
      </w:pPr>
      <w:r>
        <w:rPr>
          <w:rFonts w:ascii="ArialMT" w:hAnsi="ArialMT" w:cs="ArialMT"/>
          <w:color w:val="070000"/>
          <w:sz w:val="22"/>
          <w:szCs w:val="22"/>
        </w:rPr>
        <w:t xml:space="preserve">McLeod, S et al. (2015) </w:t>
      </w:r>
      <w:r>
        <w:rPr>
          <w:rFonts w:ascii="ArialMT" w:hAnsi="ArialMT" w:cs="ArialMT"/>
          <w:i/>
          <w:color w:val="070000"/>
          <w:sz w:val="22"/>
          <w:szCs w:val="22"/>
        </w:rPr>
        <w:t xml:space="preserve">Multilingalism and Speech-Language Competence in Early Childhood: Impact on Academic and Social-Emotional Outcomes at a School. </w:t>
      </w:r>
      <w:r>
        <w:rPr>
          <w:rFonts w:ascii="ArialMT" w:hAnsi="ArialMT" w:cs="ArialMT"/>
          <w:color w:val="070000"/>
          <w:sz w:val="22"/>
          <w:szCs w:val="22"/>
        </w:rPr>
        <w:t xml:space="preserve"> </w:t>
      </w:r>
    </w:p>
    <w:p w14:paraId="5F7BDDB3" w14:textId="77777777" w:rsidR="009D0FEE" w:rsidRDefault="009D0FEE" w:rsidP="009D0FEE">
      <w:pPr>
        <w:rPr>
          <w:rFonts w:ascii="Arial" w:hAnsi="Arial" w:cs="Arial"/>
        </w:rPr>
      </w:pPr>
      <w:r w:rsidRPr="009F6C83">
        <w:rPr>
          <w:rFonts w:ascii="Arial" w:hAnsi="Arial" w:cs="Arial"/>
        </w:rPr>
        <w:t>Marian, V</w:t>
      </w:r>
      <w:r>
        <w:rPr>
          <w:rFonts w:ascii="Arial" w:hAnsi="Arial" w:cs="Arial"/>
        </w:rPr>
        <w:t xml:space="preserve"> and </w:t>
      </w:r>
      <w:r w:rsidRPr="009F6C83">
        <w:rPr>
          <w:rFonts w:ascii="Arial" w:hAnsi="Arial" w:cs="Arial"/>
        </w:rPr>
        <w:t xml:space="preserve">Shook, A. (2012). </w:t>
      </w:r>
      <w:r>
        <w:rPr>
          <w:rFonts w:ascii="Arial" w:hAnsi="Arial" w:cs="Arial"/>
        </w:rPr>
        <w:t>‘The Cognitive Benefits of Being B</w:t>
      </w:r>
      <w:r w:rsidRPr="009F6C83">
        <w:rPr>
          <w:rFonts w:ascii="Arial" w:hAnsi="Arial" w:cs="Arial"/>
        </w:rPr>
        <w:t>ilingual</w:t>
      </w:r>
      <w:r>
        <w:rPr>
          <w:rFonts w:ascii="Arial" w:hAnsi="Arial" w:cs="Arial"/>
        </w:rPr>
        <w:t>’</w:t>
      </w:r>
      <w:r w:rsidRPr="009F6C83">
        <w:rPr>
          <w:rFonts w:ascii="Arial" w:hAnsi="Arial" w:cs="Arial"/>
        </w:rPr>
        <w:t xml:space="preserve">. </w:t>
      </w:r>
      <w:r>
        <w:rPr>
          <w:rFonts w:ascii="Arial" w:hAnsi="Arial" w:cs="Arial"/>
          <w:i/>
        </w:rPr>
        <w:t>Cerebrum : the Dana Forum On B</w:t>
      </w:r>
      <w:r w:rsidRPr="009F6C83">
        <w:rPr>
          <w:rFonts w:ascii="Arial" w:hAnsi="Arial" w:cs="Arial"/>
          <w:i/>
        </w:rPr>
        <w:t>ra</w:t>
      </w:r>
      <w:r>
        <w:rPr>
          <w:rFonts w:ascii="Arial" w:hAnsi="Arial" w:cs="Arial"/>
          <w:i/>
        </w:rPr>
        <w:t>in S</w:t>
      </w:r>
      <w:r w:rsidRPr="009F6C83">
        <w:rPr>
          <w:rFonts w:ascii="Arial" w:hAnsi="Arial" w:cs="Arial"/>
          <w:i/>
        </w:rPr>
        <w:t>cience</w:t>
      </w:r>
      <w:r>
        <w:rPr>
          <w:rFonts w:ascii="Arial" w:hAnsi="Arial" w:cs="Arial"/>
        </w:rPr>
        <w:t xml:space="preserve"> 13. Accessed: 4</w:t>
      </w:r>
      <w:r w:rsidRPr="009F6C83">
        <w:rPr>
          <w:rFonts w:ascii="Arial" w:hAnsi="Arial" w:cs="Arial"/>
          <w:vertAlign w:val="superscript"/>
        </w:rPr>
        <w:t>th</w:t>
      </w:r>
      <w:r>
        <w:rPr>
          <w:rFonts w:ascii="Arial" w:hAnsi="Arial" w:cs="Arial"/>
        </w:rPr>
        <w:t xml:space="preserve"> April 2019, Available at: </w:t>
      </w:r>
      <w:hyperlink r:id="rId12" w:history="1">
        <w:r w:rsidRPr="00072B35">
          <w:rPr>
            <w:rStyle w:val="Hyperlink"/>
            <w:rFonts w:ascii="Arial" w:hAnsi="Arial" w:cs="Arial"/>
          </w:rPr>
          <w:t>https://www.ncbi.nlm.nih.gov/pmc/articles/PMC3583091/</w:t>
        </w:r>
      </w:hyperlink>
    </w:p>
    <w:p w14:paraId="2DF51543" w14:textId="77777777" w:rsidR="009D0FEE" w:rsidRDefault="009D0FEE" w:rsidP="009D0FEE">
      <w:pPr>
        <w:rPr>
          <w:rFonts w:ascii="Arial" w:hAnsi="Arial" w:cs="Arial"/>
        </w:rPr>
      </w:pPr>
    </w:p>
    <w:p w14:paraId="2E3D8122" w14:textId="77777777" w:rsidR="009D0FEE" w:rsidRDefault="009D0FEE" w:rsidP="009D0FEE">
      <w:pPr>
        <w:rPr>
          <w:rFonts w:ascii="Arial" w:hAnsi="Arial" w:cs="Arial"/>
        </w:rPr>
      </w:pPr>
      <w:r>
        <w:rPr>
          <w:rFonts w:ascii="Arial" w:hAnsi="Arial" w:cs="Arial"/>
        </w:rPr>
        <w:t xml:space="preserve">Mudiad Meithrin (2014) </w:t>
      </w:r>
      <w:r>
        <w:rPr>
          <w:rFonts w:ascii="Arial" w:hAnsi="Arial" w:cs="Arial"/>
          <w:i/>
        </w:rPr>
        <w:t xml:space="preserve">About Us. </w:t>
      </w:r>
      <w:r>
        <w:rPr>
          <w:rFonts w:ascii="Arial" w:hAnsi="Arial" w:cs="Arial"/>
        </w:rPr>
        <w:t xml:space="preserve">Available at: </w:t>
      </w:r>
      <w:hyperlink r:id="rId13" w:history="1">
        <w:r w:rsidRPr="00072B35">
          <w:rPr>
            <w:rStyle w:val="Hyperlink"/>
            <w:rFonts w:ascii="Arial" w:hAnsi="Arial" w:cs="Arial"/>
          </w:rPr>
          <w:t>https://www.meithrin.cymru/about-us/</w:t>
        </w:r>
      </w:hyperlink>
      <w:r>
        <w:rPr>
          <w:rFonts w:ascii="Arial" w:hAnsi="Arial" w:cs="Arial"/>
        </w:rPr>
        <w:t xml:space="preserve"> (Accessed: 3</w:t>
      </w:r>
      <w:r w:rsidRPr="008B1378">
        <w:rPr>
          <w:rFonts w:ascii="Arial" w:hAnsi="Arial" w:cs="Arial"/>
          <w:vertAlign w:val="superscript"/>
        </w:rPr>
        <w:t>rd</w:t>
      </w:r>
      <w:r>
        <w:rPr>
          <w:rFonts w:ascii="Arial" w:hAnsi="Arial" w:cs="Arial"/>
        </w:rPr>
        <w:t xml:space="preserve"> April 2019).</w:t>
      </w:r>
    </w:p>
    <w:p w14:paraId="088FCE5F" w14:textId="77777777" w:rsidR="009D0FEE" w:rsidRDefault="009D0FEE" w:rsidP="009D0FEE">
      <w:pPr>
        <w:rPr>
          <w:rFonts w:ascii="Arial" w:hAnsi="Arial" w:cs="Arial"/>
        </w:rPr>
      </w:pPr>
    </w:p>
    <w:p w14:paraId="0FECBDE6" w14:textId="77777777" w:rsidR="009D0FEE" w:rsidRDefault="009D0FEE" w:rsidP="009D0FEE">
      <w:pPr>
        <w:rPr>
          <w:rFonts w:ascii="Arial" w:hAnsi="Arial" w:cs="Arial"/>
        </w:rPr>
      </w:pPr>
      <w:r>
        <w:rPr>
          <w:rFonts w:ascii="Arial" w:hAnsi="Arial" w:cs="Arial"/>
        </w:rPr>
        <w:t xml:space="preserve">Savoie, G (1995) </w:t>
      </w:r>
      <w:r w:rsidRPr="002A2D83">
        <w:rPr>
          <w:rFonts w:ascii="Arial" w:hAnsi="Arial" w:cs="Arial"/>
        </w:rPr>
        <w:t>The</w:t>
      </w:r>
      <w:r>
        <w:rPr>
          <w:rFonts w:ascii="Arial" w:hAnsi="Arial" w:cs="Arial"/>
        </w:rPr>
        <w:t xml:space="preserve"> </w:t>
      </w:r>
      <w:r w:rsidRPr="002A2D83">
        <w:rPr>
          <w:rFonts w:ascii="Arial" w:hAnsi="Arial" w:cs="Arial"/>
        </w:rPr>
        <w:t>Comparative</w:t>
      </w:r>
      <w:r>
        <w:rPr>
          <w:rFonts w:ascii="Arial" w:hAnsi="Arial" w:cs="Arial"/>
        </w:rPr>
        <w:t xml:space="preserve"> </w:t>
      </w:r>
      <w:r w:rsidRPr="002A2D83">
        <w:rPr>
          <w:rFonts w:ascii="Arial" w:hAnsi="Arial" w:cs="Arial"/>
        </w:rPr>
        <w:t>Advantages</w:t>
      </w:r>
      <w:r>
        <w:rPr>
          <w:rFonts w:ascii="Arial" w:hAnsi="Arial" w:cs="Arial"/>
        </w:rPr>
        <w:t xml:space="preserve"> </w:t>
      </w:r>
      <w:r w:rsidRPr="002A2D83">
        <w:rPr>
          <w:rFonts w:ascii="Arial" w:hAnsi="Arial" w:cs="Arial"/>
        </w:rPr>
        <w:t>of</w:t>
      </w:r>
      <w:r>
        <w:rPr>
          <w:rFonts w:ascii="Arial" w:hAnsi="Arial" w:cs="Arial"/>
        </w:rPr>
        <w:t xml:space="preserve"> </w:t>
      </w:r>
      <w:r w:rsidRPr="002A2D83">
        <w:rPr>
          <w:rFonts w:ascii="Arial" w:hAnsi="Arial" w:cs="Arial"/>
        </w:rPr>
        <w:t>Bilingualism</w:t>
      </w:r>
      <w:r>
        <w:rPr>
          <w:rFonts w:ascii="Arial" w:hAnsi="Arial" w:cs="Arial"/>
        </w:rPr>
        <w:t xml:space="preserve"> </w:t>
      </w:r>
      <w:r w:rsidRPr="002A2D83">
        <w:rPr>
          <w:rFonts w:ascii="Arial" w:hAnsi="Arial" w:cs="Arial"/>
        </w:rPr>
        <w:t>on</w:t>
      </w:r>
      <w:r>
        <w:rPr>
          <w:rFonts w:ascii="Arial" w:hAnsi="Arial" w:cs="Arial"/>
        </w:rPr>
        <w:t xml:space="preserve"> </w:t>
      </w:r>
      <w:r w:rsidRPr="002A2D83">
        <w:rPr>
          <w:rFonts w:ascii="Arial" w:hAnsi="Arial" w:cs="Arial"/>
        </w:rPr>
        <w:t>the</w:t>
      </w:r>
      <w:r>
        <w:rPr>
          <w:rFonts w:ascii="Arial" w:hAnsi="Arial" w:cs="Arial"/>
        </w:rPr>
        <w:t xml:space="preserve"> </w:t>
      </w:r>
      <w:r w:rsidRPr="002A2D83">
        <w:rPr>
          <w:rFonts w:ascii="Arial" w:hAnsi="Arial" w:cs="Arial"/>
        </w:rPr>
        <w:t>Job Market:</w:t>
      </w:r>
      <w:r>
        <w:rPr>
          <w:rFonts w:ascii="Arial" w:hAnsi="Arial" w:cs="Arial"/>
        </w:rPr>
        <w:t xml:space="preserve"> </w:t>
      </w:r>
      <w:r w:rsidRPr="002A2D83">
        <w:rPr>
          <w:rFonts w:ascii="Arial" w:hAnsi="Arial" w:cs="Arial"/>
        </w:rPr>
        <w:t>Survey</w:t>
      </w:r>
      <w:r>
        <w:rPr>
          <w:rFonts w:ascii="Arial" w:hAnsi="Arial" w:cs="Arial"/>
        </w:rPr>
        <w:t xml:space="preserve"> </w:t>
      </w:r>
      <w:r w:rsidRPr="002A2D83">
        <w:rPr>
          <w:rFonts w:ascii="Arial" w:hAnsi="Arial" w:cs="Arial"/>
        </w:rPr>
        <w:t>of</w:t>
      </w:r>
      <w:r>
        <w:rPr>
          <w:rFonts w:ascii="Arial" w:hAnsi="Arial" w:cs="Arial"/>
        </w:rPr>
        <w:t xml:space="preserve"> </w:t>
      </w:r>
      <w:r w:rsidRPr="002A2D83">
        <w:rPr>
          <w:rFonts w:ascii="Arial" w:hAnsi="Arial" w:cs="Arial"/>
        </w:rPr>
        <w:t>Studies</w:t>
      </w:r>
      <w:r>
        <w:rPr>
          <w:rFonts w:ascii="Arial" w:hAnsi="Arial" w:cs="Arial"/>
        </w:rPr>
        <w:t>. (Accessed: 3</w:t>
      </w:r>
      <w:r w:rsidRPr="002A2D83">
        <w:rPr>
          <w:rFonts w:ascii="Arial" w:hAnsi="Arial" w:cs="Arial"/>
          <w:vertAlign w:val="superscript"/>
        </w:rPr>
        <w:t>rd</w:t>
      </w:r>
      <w:r>
        <w:rPr>
          <w:rFonts w:ascii="Arial" w:hAnsi="Arial" w:cs="Arial"/>
        </w:rPr>
        <w:t xml:space="preserve"> April 2019) Available at: </w:t>
      </w:r>
      <w:hyperlink r:id="rId14" w:history="1">
        <w:r w:rsidRPr="00072B35">
          <w:rPr>
            <w:rStyle w:val="Hyperlink"/>
            <w:rFonts w:ascii="Arial" w:hAnsi="Arial" w:cs="Arial"/>
          </w:rPr>
          <w:t>https://files.eric.ed.gov/fulltext/ED429447.pdf#page=66</w:t>
        </w:r>
      </w:hyperlink>
      <w:r>
        <w:rPr>
          <w:rFonts w:ascii="Arial" w:hAnsi="Arial" w:cs="Arial"/>
        </w:rPr>
        <w:t xml:space="preserve"> </w:t>
      </w:r>
    </w:p>
    <w:p w14:paraId="083DDA8E" w14:textId="77777777" w:rsidR="009D0FEE" w:rsidRDefault="009D0FEE" w:rsidP="009D0FEE">
      <w:pPr>
        <w:rPr>
          <w:rFonts w:ascii="Arial" w:hAnsi="Arial" w:cs="Arial"/>
        </w:rPr>
      </w:pPr>
    </w:p>
    <w:p w14:paraId="47F61D54" w14:textId="77777777" w:rsidR="009D0FEE" w:rsidRPr="008B1378" w:rsidRDefault="009D0FEE" w:rsidP="009D0FEE">
      <w:pPr>
        <w:rPr>
          <w:rFonts w:ascii="Arial" w:hAnsi="Arial" w:cs="Arial"/>
        </w:rPr>
      </w:pPr>
      <w:r>
        <w:rPr>
          <w:rFonts w:ascii="Arial" w:hAnsi="Arial" w:cs="Arial"/>
        </w:rPr>
        <w:t xml:space="preserve">Semingson, P., Pole, K. and Tommerdahl, J. (2015) </w:t>
      </w:r>
      <w:r>
        <w:rPr>
          <w:rFonts w:ascii="Arial" w:hAnsi="Arial" w:cs="Arial"/>
          <w:i/>
        </w:rPr>
        <w:t>‘</w:t>
      </w:r>
      <w:r w:rsidRPr="008B1378">
        <w:rPr>
          <w:rFonts w:ascii="Arial" w:hAnsi="Arial" w:cs="Arial"/>
        </w:rPr>
        <w:t>Using Bilingual Books To Enhance Literacy Around The World’</w:t>
      </w:r>
      <w:r>
        <w:rPr>
          <w:rFonts w:ascii="Arial" w:hAnsi="Arial" w:cs="Arial"/>
        </w:rPr>
        <w:t xml:space="preserve"> 3, pp. 132-139. Accessed: 2</w:t>
      </w:r>
      <w:r w:rsidRPr="008B1378">
        <w:rPr>
          <w:rFonts w:ascii="Arial" w:hAnsi="Arial" w:cs="Arial"/>
          <w:vertAlign w:val="superscript"/>
        </w:rPr>
        <w:t>nd</w:t>
      </w:r>
      <w:r>
        <w:rPr>
          <w:rFonts w:ascii="Arial" w:hAnsi="Arial" w:cs="Arial"/>
        </w:rPr>
        <w:t xml:space="preserve"> April 2019, </w:t>
      </w:r>
      <w:hyperlink r:id="rId15" w:history="1">
        <w:r w:rsidRPr="00072B35">
          <w:rPr>
            <w:rStyle w:val="Hyperlink"/>
            <w:rFonts w:ascii="Arial" w:hAnsi="Arial" w:cs="Arial"/>
          </w:rPr>
          <w:t>http://eujournal.org/index.php/esj/article/viewFile/5216/5014</w:t>
        </w:r>
      </w:hyperlink>
      <w:r>
        <w:rPr>
          <w:rFonts w:ascii="Arial" w:hAnsi="Arial" w:cs="Arial"/>
        </w:rPr>
        <w:t xml:space="preserve"> </w:t>
      </w:r>
    </w:p>
    <w:p w14:paraId="47CFEBA5" w14:textId="77777777" w:rsidR="009D0FEE" w:rsidRDefault="009D0FEE" w:rsidP="009D0FEE">
      <w:pPr>
        <w:rPr>
          <w:rFonts w:ascii="Arial" w:hAnsi="Arial" w:cs="Arial"/>
        </w:rPr>
      </w:pPr>
    </w:p>
    <w:p w14:paraId="0E8FE167" w14:textId="77777777" w:rsidR="009D0FEE" w:rsidRPr="009A5E25" w:rsidRDefault="009D0FEE" w:rsidP="009D0FEE">
      <w:pPr>
        <w:rPr>
          <w:rFonts w:ascii="Arial" w:hAnsi="Arial" w:cs="Arial"/>
        </w:rPr>
      </w:pPr>
      <w:r>
        <w:rPr>
          <w:rFonts w:ascii="Arial" w:hAnsi="Arial" w:cs="Arial"/>
        </w:rPr>
        <w:t xml:space="preserve">Siraj-Blatchford, I and Clarke, P (2000) </w:t>
      </w:r>
      <w:r>
        <w:rPr>
          <w:rFonts w:ascii="Arial" w:hAnsi="Arial" w:cs="Arial"/>
          <w:i/>
        </w:rPr>
        <w:t xml:space="preserve">Supporting Identity, Diversity and Language in the Early Years. </w:t>
      </w:r>
      <w:r>
        <w:rPr>
          <w:rFonts w:ascii="Arial" w:hAnsi="Arial" w:cs="Arial"/>
        </w:rPr>
        <w:t>Buckingham: Open University Press.</w:t>
      </w:r>
    </w:p>
    <w:p w14:paraId="40C6D255" w14:textId="77777777" w:rsidR="009D0FEE" w:rsidRDefault="009D0FEE" w:rsidP="009D0FEE">
      <w:pPr>
        <w:rPr>
          <w:rFonts w:ascii="Arial" w:hAnsi="Arial" w:cs="Arial"/>
        </w:rPr>
      </w:pPr>
    </w:p>
    <w:p w14:paraId="267FDD46" w14:textId="77777777" w:rsidR="009D0FEE" w:rsidRDefault="009D0FEE" w:rsidP="009D0FEE">
      <w:pPr>
        <w:rPr>
          <w:rFonts w:ascii="Arial" w:hAnsi="Arial" w:cs="Arial"/>
        </w:rPr>
      </w:pPr>
      <w:r>
        <w:rPr>
          <w:rFonts w:ascii="Arial" w:hAnsi="Arial" w:cs="Arial"/>
        </w:rPr>
        <w:t>Spitzer, M (2016) ‘Bilingual Benefits in Education and H</w:t>
      </w:r>
      <w:r w:rsidRPr="006A2103">
        <w:rPr>
          <w:rFonts w:ascii="Arial" w:hAnsi="Arial" w:cs="Arial"/>
        </w:rPr>
        <w:t>ealth</w:t>
      </w:r>
      <w:r>
        <w:rPr>
          <w:rFonts w:ascii="Arial" w:hAnsi="Arial" w:cs="Arial"/>
        </w:rPr>
        <w:t xml:space="preserve">’ </w:t>
      </w:r>
      <w:r>
        <w:rPr>
          <w:rFonts w:ascii="Arial" w:hAnsi="Arial" w:cs="Arial"/>
          <w:i/>
        </w:rPr>
        <w:t xml:space="preserve">Trends in Neuroscience and Education, </w:t>
      </w:r>
      <w:r>
        <w:rPr>
          <w:rFonts w:ascii="Arial" w:hAnsi="Arial" w:cs="Arial"/>
        </w:rPr>
        <w:t>5(2), pp.67-76. Accessed: 4</w:t>
      </w:r>
      <w:r w:rsidRPr="00B1117C">
        <w:rPr>
          <w:rFonts w:ascii="Arial" w:hAnsi="Arial" w:cs="Arial"/>
          <w:vertAlign w:val="superscript"/>
        </w:rPr>
        <w:t>th</w:t>
      </w:r>
      <w:r>
        <w:rPr>
          <w:rFonts w:ascii="Arial" w:hAnsi="Arial" w:cs="Arial"/>
        </w:rPr>
        <w:t xml:space="preserve"> April 2019, Available at: </w:t>
      </w:r>
      <w:hyperlink r:id="rId16" w:history="1">
        <w:r w:rsidRPr="00072B35">
          <w:rPr>
            <w:rStyle w:val="Hyperlink"/>
            <w:rFonts w:ascii="Arial" w:hAnsi="Arial" w:cs="Arial"/>
          </w:rPr>
          <w:t>https://www.sciencedirect.com/science/article/pii/S2211949316300163</w:t>
        </w:r>
      </w:hyperlink>
      <w:r>
        <w:rPr>
          <w:rFonts w:ascii="Arial" w:hAnsi="Arial" w:cs="Arial"/>
        </w:rPr>
        <w:t xml:space="preserve"> </w:t>
      </w:r>
    </w:p>
    <w:p w14:paraId="12588A78" w14:textId="77777777" w:rsidR="009D0FEE" w:rsidRDefault="009D0FEE" w:rsidP="009D0FEE">
      <w:pPr>
        <w:rPr>
          <w:rFonts w:ascii="Arial" w:hAnsi="Arial" w:cs="Arial"/>
        </w:rPr>
      </w:pPr>
    </w:p>
    <w:p w14:paraId="69C4CE5F" w14:textId="77777777" w:rsidR="009D0FEE" w:rsidRPr="002A2D83" w:rsidRDefault="009D0FEE" w:rsidP="009D0FEE">
      <w:pPr>
        <w:rPr>
          <w:rFonts w:ascii="Arial" w:hAnsi="Arial" w:cs="Arial"/>
        </w:rPr>
      </w:pPr>
      <w:r>
        <w:rPr>
          <w:rFonts w:ascii="Arial" w:hAnsi="Arial" w:cs="Arial"/>
        </w:rPr>
        <w:t xml:space="preserve">Welsh Government (2003) </w:t>
      </w:r>
      <w:r>
        <w:rPr>
          <w:rFonts w:ascii="Arial" w:hAnsi="Arial" w:cs="Arial"/>
          <w:i/>
        </w:rPr>
        <w:t xml:space="preserve">Developing the Curriculum Cymreig. </w:t>
      </w:r>
      <w:r>
        <w:rPr>
          <w:rFonts w:ascii="Arial" w:hAnsi="Arial" w:cs="Arial"/>
        </w:rPr>
        <w:t>(Accessed: 4</w:t>
      </w:r>
      <w:r w:rsidRPr="002A2D83">
        <w:rPr>
          <w:rFonts w:ascii="Arial" w:hAnsi="Arial" w:cs="Arial"/>
          <w:vertAlign w:val="superscript"/>
        </w:rPr>
        <w:t>th</w:t>
      </w:r>
      <w:r>
        <w:rPr>
          <w:rFonts w:ascii="Arial" w:hAnsi="Arial" w:cs="Arial"/>
        </w:rPr>
        <w:t xml:space="preserve"> April 2019) Available at: </w:t>
      </w:r>
      <w:hyperlink r:id="rId17" w:history="1">
        <w:r w:rsidRPr="00072B35">
          <w:rPr>
            <w:rStyle w:val="Hyperlink"/>
            <w:rFonts w:ascii="Arial" w:hAnsi="Arial" w:cs="Arial"/>
          </w:rPr>
          <w:t>https://learning.gov.wales/docs/learningwales/publications/130424-developing-the-curriculum-cymreig-en.pdf</w:t>
        </w:r>
      </w:hyperlink>
      <w:r>
        <w:rPr>
          <w:rFonts w:ascii="Arial" w:hAnsi="Arial" w:cs="Arial"/>
        </w:rPr>
        <w:t xml:space="preserve"> </w:t>
      </w:r>
    </w:p>
    <w:p w14:paraId="3E2DF5DE" w14:textId="77777777" w:rsidR="009D0FEE" w:rsidRDefault="009D0FEE" w:rsidP="009D0FEE">
      <w:pPr>
        <w:rPr>
          <w:rFonts w:ascii="Arial" w:hAnsi="Arial" w:cs="Arial"/>
        </w:rPr>
      </w:pPr>
    </w:p>
    <w:p w14:paraId="043E19F2" w14:textId="77777777" w:rsidR="009D0FEE" w:rsidRDefault="009D0FEE" w:rsidP="009D0FEE">
      <w:pPr>
        <w:rPr>
          <w:rFonts w:ascii="Arial" w:hAnsi="Arial" w:cs="Arial"/>
        </w:rPr>
      </w:pPr>
      <w:r>
        <w:rPr>
          <w:rFonts w:ascii="Arial" w:hAnsi="Arial" w:cs="Arial"/>
        </w:rPr>
        <w:t xml:space="preserve">Welsh Government (2013) </w:t>
      </w:r>
      <w:r w:rsidRPr="008B1378">
        <w:rPr>
          <w:rFonts w:ascii="Arial" w:hAnsi="Arial" w:cs="Arial"/>
          <w:i/>
        </w:rPr>
        <w:t>The Cwri</w:t>
      </w:r>
      <w:r>
        <w:rPr>
          <w:rFonts w:ascii="Arial" w:hAnsi="Arial" w:cs="Arial"/>
          <w:i/>
        </w:rPr>
        <w:t>cwlwm Cymreig, History and the S</w:t>
      </w:r>
      <w:r w:rsidRPr="008B1378">
        <w:rPr>
          <w:rFonts w:ascii="Arial" w:hAnsi="Arial" w:cs="Arial"/>
          <w:i/>
        </w:rPr>
        <w:t>tory of Wales</w:t>
      </w:r>
      <w:r>
        <w:rPr>
          <w:rFonts w:ascii="Arial" w:hAnsi="Arial" w:cs="Arial"/>
          <w:i/>
        </w:rPr>
        <w:t xml:space="preserve">. </w:t>
      </w:r>
      <w:r>
        <w:rPr>
          <w:rFonts w:ascii="Arial" w:hAnsi="Arial" w:cs="Arial"/>
        </w:rPr>
        <w:t xml:space="preserve">Crown Copyright. Available at: </w:t>
      </w:r>
      <w:hyperlink r:id="rId18" w:history="1">
        <w:r w:rsidRPr="00072B35">
          <w:rPr>
            <w:rStyle w:val="Hyperlink"/>
            <w:rFonts w:ascii="Arial" w:hAnsi="Arial" w:cs="Arial"/>
          </w:rPr>
          <w:t>https://learning.gov.wales/docs/learningwales/news/130424-cwricwlwm-cymreig-report-en.pdf</w:t>
        </w:r>
      </w:hyperlink>
      <w:r>
        <w:rPr>
          <w:rFonts w:ascii="Arial" w:hAnsi="Arial" w:cs="Arial"/>
        </w:rPr>
        <w:t xml:space="preserve"> </w:t>
      </w:r>
    </w:p>
    <w:p w14:paraId="5D7619A7" w14:textId="77777777" w:rsidR="009D0FEE" w:rsidRDefault="009D0FEE" w:rsidP="009D0FEE">
      <w:pPr>
        <w:rPr>
          <w:rFonts w:ascii="Arial" w:hAnsi="Arial" w:cs="Arial"/>
        </w:rPr>
      </w:pPr>
    </w:p>
    <w:p w14:paraId="16C2F31D" w14:textId="77777777" w:rsidR="009D0FEE" w:rsidRPr="008B1378" w:rsidRDefault="009D0FEE" w:rsidP="009D0FEE">
      <w:pPr>
        <w:rPr>
          <w:rFonts w:ascii="Arial" w:hAnsi="Arial" w:cs="Arial"/>
        </w:rPr>
      </w:pPr>
      <w:r>
        <w:rPr>
          <w:rFonts w:ascii="Arial" w:hAnsi="Arial" w:cs="Arial"/>
        </w:rPr>
        <w:t xml:space="preserve">Welsh Government (2015) </w:t>
      </w:r>
      <w:r>
        <w:rPr>
          <w:rFonts w:ascii="Arial" w:hAnsi="Arial" w:cs="Arial"/>
          <w:i/>
        </w:rPr>
        <w:t xml:space="preserve">Foundation Phase Framework. </w:t>
      </w:r>
      <w:r>
        <w:rPr>
          <w:rFonts w:ascii="Arial" w:hAnsi="Arial" w:cs="Arial"/>
        </w:rPr>
        <w:t xml:space="preserve">Cardiff: Crown. Available at: </w:t>
      </w:r>
      <w:hyperlink r:id="rId19" w:history="1">
        <w:r w:rsidRPr="00072B35">
          <w:rPr>
            <w:rStyle w:val="Hyperlink"/>
            <w:rFonts w:ascii="Arial" w:hAnsi="Arial" w:cs="Arial"/>
          </w:rPr>
          <w:t>https://gov.wales/sites/default/files/publications/2018-02/foundation-phase-framework-revised-2015.pdf</w:t>
        </w:r>
      </w:hyperlink>
      <w:r>
        <w:rPr>
          <w:rFonts w:ascii="Arial" w:hAnsi="Arial" w:cs="Arial"/>
        </w:rPr>
        <w:t xml:space="preserve"> </w:t>
      </w:r>
    </w:p>
    <w:p w14:paraId="4FF55209" w14:textId="77777777" w:rsidR="009D0FEE" w:rsidRDefault="009D0FEE" w:rsidP="009D0FEE">
      <w:pPr>
        <w:rPr>
          <w:rFonts w:ascii="Arial" w:hAnsi="Arial" w:cs="Arial"/>
        </w:rPr>
      </w:pPr>
    </w:p>
    <w:p w14:paraId="11590D72" w14:textId="77777777" w:rsidR="009D0FEE" w:rsidRDefault="009D0FEE" w:rsidP="009D0FEE">
      <w:pPr>
        <w:rPr>
          <w:rFonts w:ascii="Arial" w:hAnsi="Arial" w:cs="Arial"/>
        </w:rPr>
      </w:pPr>
      <w:r>
        <w:rPr>
          <w:rFonts w:ascii="Arial" w:hAnsi="Arial" w:cs="Arial"/>
        </w:rPr>
        <w:t>Welsh Government (2017) Cymraeg 2050: A Million Welsh S</w:t>
      </w:r>
      <w:r w:rsidRPr="002A2D83">
        <w:rPr>
          <w:rFonts w:ascii="Arial" w:hAnsi="Arial" w:cs="Arial"/>
        </w:rPr>
        <w:t>peakers</w:t>
      </w:r>
      <w:r>
        <w:rPr>
          <w:rFonts w:ascii="Arial" w:hAnsi="Arial" w:cs="Arial"/>
        </w:rPr>
        <w:t>. (Accessed: 4</w:t>
      </w:r>
      <w:r w:rsidRPr="002A2D83">
        <w:rPr>
          <w:rFonts w:ascii="Arial" w:hAnsi="Arial" w:cs="Arial"/>
          <w:vertAlign w:val="superscript"/>
        </w:rPr>
        <w:t>th</w:t>
      </w:r>
      <w:r>
        <w:rPr>
          <w:rFonts w:ascii="Arial" w:hAnsi="Arial" w:cs="Arial"/>
        </w:rPr>
        <w:t xml:space="preserve"> April 2019) Available at: </w:t>
      </w:r>
      <w:hyperlink r:id="rId20" w:history="1">
        <w:r w:rsidRPr="00072B35">
          <w:rPr>
            <w:rStyle w:val="Hyperlink"/>
            <w:rFonts w:ascii="Arial" w:hAnsi="Arial" w:cs="Arial"/>
          </w:rPr>
          <w:t>https://gov.wales/sites/default/files/publications/2018-12/cymraeg-2050-our-plan-for-2017-to-2021_0.pdf</w:t>
        </w:r>
      </w:hyperlink>
      <w:r>
        <w:rPr>
          <w:rFonts w:ascii="Arial" w:hAnsi="Arial" w:cs="Arial"/>
        </w:rPr>
        <w:t xml:space="preserve"> </w:t>
      </w:r>
    </w:p>
    <w:p w14:paraId="34637E56" w14:textId="77777777" w:rsidR="009D0FEE" w:rsidRPr="00FA33BD" w:rsidRDefault="009D0FEE">
      <w:pPr>
        <w:rPr>
          <w:b/>
          <w:color w:val="FF0000"/>
        </w:rPr>
      </w:pPr>
    </w:p>
    <w:sectPr w:rsidR="009D0FEE" w:rsidRPr="00FA33BD" w:rsidSect="005A6D93">
      <w:head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89590" w14:textId="77777777" w:rsidR="00C126F1" w:rsidRDefault="00C126F1" w:rsidP="00E719AC">
      <w:r>
        <w:separator/>
      </w:r>
    </w:p>
  </w:endnote>
  <w:endnote w:type="continuationSeparator" w:id="0">
    <w:p w14:paraId="0799F918" w14:textId="77777777" w:rsidR="00C126F1" w:rsidRDefault="00C126F1" w:rsidP="00E71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MT">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0E03D" w14:textId="77777777" w:rsidR="00C126F1" w:rsidRDefault="00C126F1" w:rsidP="00E719AC">
      <w:r>
        <w:separator/>
      </w:r>
    </w:p>
  </w:footnote>
  <w:footnote w:type="continuationSeparator" w:id="0">
    <w:p w14:paraId="0EA8082C" w14:textId="77777777" w:rsidR="00C126F1" w:rsidRDefault="00C126F1" w:rsidP="00E719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D0EE4" w14:textId="4B58A3F4" w:rsidR="00E719AC" w:rsidRPr="00E719AC" w:rsidRDefault="00E719AC">
    <w:pPr>
      <w:pStyle w:val="Header"/>
    </w:pPr>
    <w:r w:rsidRPr="00E719AC">
      <w:rPr>
        <w:rFonts w:ascii="Arial" w:eastAsia="Calibri" w:hAnsi="Arial" w:cs="Arial"/>
        <w:bCs/>
      </w:rPr>
      <w:t>EAEE4006C</w:t>
    </w:r>
    <w:r>
      <w:rPr>
        <w:rFonts w:ascii="Arial" w:eastAsia="Calibri" w:hAnsi="Arial" w:cs="Arial"/>
        <w:bCs/>
      </w:rPr>
      <w:t xml:space="preserve"> – 1805243 - </w:t>
    </w:r>
    <w:r w:rsidR="009D0FEE">
      <w:rPr>
        <w:rFonts w:ascii="Arial" w:eastAsia="Calibri" w:hAnsi="Arial" w:cs="Arial"/>
        <w:bCs/>
      </w:rPr>
      <w:t xml:space="preserve"> 1380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9AC"/>
    <w:rsid w:val="0005762D"/>
    <w:rsid w:val="000936F0"/>
    <w:rsid w:val="00094438"/>
    <w:rsid w:val="000957D7"/>
    <w:rsid w:val="000A7D5F"/>
    <w:rsid w:val="000C1CDD"/>
    <w:rsid w:val="000C3875"/>
    <w:rsid w:val="000F118D"/>
    <w:rsid w:val="00115800"/>
    <w:rsid w:val="00122B87"/>
    <w:rsid w:val="00160EF0"/>
    <w:rsid w:val="001706D6"/>
    <w:rsid w:val="00194BE1"/>
    <w:rsid w:val="001E559A"/>
    <w:rsid w:val="00200467"/>
    <w:rsid w:val="002007AB"/>
    <w:rsid w:val="00212794"/>
    <w:rsid w:val="00290D97"/>
    <w:rsid w:val="00291A13"/>
    <w:rsid w:val="002942A0"/>
    <w:rsid w:val="002A1724"/>
    <w:rsid w:val="002B4D4F"/>
    <w:rsid w:val="002D781B"/>
    <w:rsid w:val="002E3D51"/>
    <w:rsid w:val="00310659"/>
    <w:rsid w:val="00321EE1"/>
    <w:rsid w:val="003347AF"/>
    <w:rsid w:val="00334B3A"/>
    <w:rsid w:val="00346950"/>
    <w:rsid w:val="003553C0"/>
    <w:rsid w:val="003569E2"/>
    <w:rsid w:val="0037547C"/>
    <w:rsid w:val="00383055"/>
    <w:rsid w:val="003A1759"/>
    <w:rsid w:val="003B0FF2"/>
    <w:rsid w:val="003B210E"/>
    <w:rsid w:val="003D7918"/>
    <w:rsid w:val="003E03C1"/>
    <w:rsid w:val="003F6078"/>
    <w:rsid w:val="00404AEE"/>
    <w:rsid w:val="00412378"/>
    <w:rsid w:val="0046337F"/>
    <w:rsid w:val="00492B1A"/>
    <w:rsid w:val="00493D65"/>
    <w:rsid w:val="004A67FE"/>
    <w:rsid w:val="004D2548"/>
    <w:rsid w:val="00521FA9"/>
    <w:rsid w:val="00527585"/>
    <w:rsid w:val="00576AE6"/>
    <w:rsid w:val="00581FE9"/>
    <w:rsid w:val="00592FD3"/>
    <w:rsid w:val="005A6D93"/>
    <w:rsid w:val="005B473B"/>
    <w:rsid w:val="005E0C52"/>
    <w:rsid w:val="005F0AA6"/>
    <w:rsid w:val="00656FFE"/>
    <w:rsid w:val="006723A2"/>
    <w:rsid w:val="006858E3"/>
    <w:rsid w:val="00692952"/>
    <w:rsid w:val="006C3E87"/>
    <w:rsid w:val="006F2D7F"/>
    <w:rsid w:val="00763DC5"/>
    <w:rsid w:val="00777027"/>
    <w:rsid w:val="00792317"/>
    <w:rsid w:val="007B2633"/>
    <w:rsid w:val="007D4407"/>
    <w:rsid w:val="007F1961"/>
    <w:rsid w:val="00800199"/>
    <w:rsid w:val="00806D53"/>
    <w:rsid w:val="00811376"/>
    <w:rsid w:val="0081190D"/>
    <w:rsid w:val="008979E3"/>
    <w:rsid w:val="008A3950"/>
    <w:rsid w:val="008B2C9C"/>
    <w:rsid w:val="008B7DA6"/>
    <w:rsid w:val="008F4DC4"/>
    <w:rsid w:val="009045B3"/>
    <w:rsid w:val="00973A60"/>
    <w:rsid w:val="00992D5B"/>
    <w:rsid w:val="009D0FEE"/>
    <w:rsid w:val="009E0C30"/>
    <w:rsid w:val="009F340E"/>
    <w:rsid w:val="00A0157F"/>
    <w:rsid w:val="00A06884"/>
    <w:rsid w:val="00A11F0E"/>
    <w:rsid w:val="00A25025"/>
    <w:rsid w:val="00A53935"/>
    <w:rsid w:val="00A62BBA"/>
    <w:rsid w:val="00A7716A"/>
    <w:rsid w:val="00AD35A8"/>
    <w:rsid w:val="00AD35BD"/>
    <w:rsid w:val="00AD5307"/>
    <w:rsid w:val="00AE4909"/>
    <w:rsid w:val="00B306DB"/>
    <w:rsid w:val="00B33154"/>
    <w:rsid w:val="00B56CDC"/>
    <w:rsid w:val="00B64FFE"/>
    <w:rsid w:val="00B67D77"/>
    <w:rsid w:val="00B82F58"/>
    <w:rsid w:val="00BB02A1"/>
    <w:rsid w:val="00BB1FF6"/>
    <w:rsid w:val="00BB203B"/>
    <w:rsid w:val="00BC1A4A"/>
    <w:rsid w:val="00BF246B"/>
    <w:rsid w:val="00C126F1"/>
    <w:rsid w:val="00C20AEE"/>
    <w:rsid w:val="00C264C7"/>
    <w:rsid w:val="00C67DAE"/>
    <w:rsid w:val="00C73592"/>
    <w:rsid w:val="00C7673E"/>
    <w:rsid w:val="00C954ED"/>
    <w:rsid w:val="00CA0F78"/>
    <w:rsid w:val="00CC5597"/>
    <w:rsid w:val="00CD5861"/>
    <w:rsid w:val="00CE1DE3"/>
    <w:rsid w:val="00CE770E"/>
    <w:rsid w:val="00CF3780"/>
    <w:rsid w:val="00CF6FFC"/>
    <w:rsid w:val="00D03B0E"/>
    <w:rsid w:val="00D4648C"/>
    <w:rsid w:val="00D52A28"/>
    <w:rsid w:val="00D7258D"/>
    <w:rsid w:val="00D76237"/>
    <w:rsid w:val="00DE71C1"/>
    <w:rsid w:val="00DF717E"/>
    <w:rsid w:val="00DF71BB"/>
    <w:rsid w:val="00E345D2"/>
    <w:rsid w:val="00E34784"/>
    <w:rsid w:val="00E378E8"/>
    <w:rsid w:val="00E558CC"/>
    <w:rsid w:val="00E56AB0"/>
    <w:rsid w:val="00E63EE0"/>
    <w:rsid w:val="00E719AC"/>
    <w:rsid w:val="00E959FA"/>
    <w:rsid w:val="00EC5A67"/>
    <w:rsid w:val="00ED54F3"/>
    <w:rsid w:val="00ED55B7"/>
    <w:rsid w:val="00EF1712"/>
    <w:rsid w:val="00EF28CD"/>
    <w:rsid w:val="00F04D9D"/>
    <w:rsid w:val="00F13675"/>
    <w:rsid w:val="00F42201"/>
    <w:rsid w:val="00F777ED"/>
    <w:rsid w:val="00F83C6C"/>
    <w:rsid w:val="00FA33BD"/>
    <w:rsid w:val="00FD2B07"/>
    <w:rsid w:val="00FD3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9D08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D55B7"/>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9AC"/>
    <w:pPr>
      <w:tabs>
        <w:tab w:val="center" w:pos="4513"/>
        <w:tab w:val="right" w:pos="9026"/>
      </w:tabs>
    </w:pPr>
  </w:style>
  <w:style w:type="character" w:customStyle="1" w:styleId="HeaderChar">
    <w:name w:val="Header Char"/>
    <w:basedOn w:val="DefaultParagraphFont"/>
    <w:link w:val="Header"/>
    <w:uiPriority w:val="99"/>
    <w:rsid w:val="00E719AC"/>
    <w:rPr>
      <w:sz w:val="22"/>
      <w:szCs w:val="22"/>
    </w:rPr>
  </w:style>
  <w:style w:type="paragraph" w:styleId="Footer">
    <w:name w:val="footer"/>
    <w:basedOn w:val="Normal"/>
    <w:link w:val="FooterChar"/>
    <w:uiPriority w:val="99"/>
    <w:unhideWhenUsed/>
    <w:rsid w:val="00E719AC"/>
    <w:pPr>
      <w:tabs>
        <w:tab w:val="center" w:pos="4513"/>
        <w:tab w:val="right" w:pos="9026"/>
      </w:tabs>
    </w:pPr>
  </w:style>
  <w:style w:type="character" w:customStyle="1" w:styleId="FooterChar">
    <w:name w:val="Footer Char"/>
    <w:basedOn w:val="DefaultParagraphFont"/>
    <w:link w:val="Footer"/>
    <w:uiPriority w:val="99"/>
    <w:rsid w:val="00E719AC"/>
    <w:rPr>
      <w:sz w:val="22"/>
      <w:szCs w:val="22"/>
    </w:rPr>
  </w:style>
  <w:style w:type="character" w:styleId="Emphasis">
    <w:name w:val="Emphasis"/>
    <w:basedOn w:val="DefaultParagraphFont"/>
    <w:uiPriority w:val="20"/>
    <w:qFormat/>
    <w:rsid w:val="000957D7"/>
    <w:rPr>
      <w:i/>
      <w:iCs/>
    </w:rPr>
  </w:style>
  <w:style w:type="character" w:customStyle="1" w:styleId="apple-converted-space">
    <w:name w:val="apple-converted-space"/>
    <w:basedOn w:val="DefaultParagraphFont"/>
    <w:rsid w:val="000957D7"/>
  </w:style>
  <w:style w:type="character" w:styleId="Hyperlink">
    <w:name w:val="Hyperlink"/>
    <w:basedOn w:val="DefaultParagraphFont"/>
    <w:uiPriority w:val="99"/>
    <w:unhideWhenUsed/>
    <w:rsid w:val="009D0FEE"/>
    <w:rPr>
      <w:color w:val="0563C1" w:themeColor="hyperlink"/>
      <w:u w:val="single"/>
    </w:rPr>
  </w:style>
  <w:style w:type="paragraph" w:styleId="NormalWeb">
    <w:name w:val="Normal (Web)"/>
    <w:basedOn w:val="Normal"/>
    <w:uiPriority w:val="99"/>
    <w:unhideWhenUsed/>
    <w:rsid w:val="009D0FEE"/>
    <w:pPr>
      <w:spacing w:before="100" w:beforeAutospacing="1" w:after="100" w:afterAutospacing="1"/>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D0F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558532">
      <w:bodyDiv w:val="1"/>
      <w:marLeft w:val="0"/>
      <w:marRight w:val="0"/>
      <w:marTop w:val="0"/>
      <w:marBottom w:val="0"/>
      <w:divBdr>
        <w:top w:val="none" w:sz="0" w:space="0" w:color="auto"/>
        <w:left w:val="none" w:sz="0" w:space="0" w:color="auto"/>
        <w:bottom w:val="none" w:sz="0" w:space="0" w:color="auto"/>
        <w:right w:val="none" w:sz="0" w:space="0" w:color="auto"/>
      </w:divBdr>
    </w:div>
    <w:div w:id="841941802">
      <w:bodyDiv w:val="1"/>
      <w:marLeft w:val="0"/>
      <w:marRight w:val="0"/>
      <w:marTop w:val="0"/>
      <w:marBottom w:val="0"/>
      <w:divBdr>
        <w:top w:val="none" w:sz="0" w:space="0" w:color="auto"/>
        <w:left w:val="none" w:sz="0" w:space="0" w:color="auto"/>
        <w:bottom w:val="none" w:sz="0" w:space="0" w:color="auto"/>
        <w:right w:val="none" w:sz="0" w:space="0" w:color="auto"/>
      </w:divBdr>
    </w:div>
    <w:div w:id="925453976">
      <w:bodyDiv w:val="1"/>
      <w:marLeft w:val="0"/>
      <w:marRight w:val="0"/>
      <w:marTop w:val="0"/>
      <w:marBottom w:val="0"/>
      <w:divBdr>
        <w:top w:val="none" w:sz="0" w:space="0" w:color="auto"/>
        <w:left w:val="none" w:sz="0" w:space="0" w:color="auto"/>
        <w:bottom w:val="none" w:sz="0" w:space="0" w:color="auto"/>
        <w:right w:val="none" w:sz="0" w:space="0" w:color="auto"/>
      </w:divBdr>
    </w:div>
    <w:div w:id="1201548799">
      <w:bodyDiv w:val="1"/>
      <w:marLeft w:val="0"/>
      <w:marRight w:val="0"/>
      <w:marTop w:val="0"/>
      <w:marBottom w:val="0"/>
      <w:divBdr>
        <w:top w:val="none" w:sz="0" w:space="0" w:color="auto"/>
        <w:left w:val="none" w:sz="0" w:space="0" w:color="auto"/>
        <w:bottom w:val="none" w:sz="0" w:space="0" w:color="auto"/>
        <w:right w:val="none" w:sz="0" w:space="0" w:color="auto"/>
      </w:divBdr>
      <w:divsChild>
        <w:div w:id="352806023">
          <w:marLeft w:val="0"/>
          <w:marRight w:val="0"/>
          <w:marTop w:val="0"/>
          <w:marBottom w:val="0"/>
          <w:divBdr>
            <w:top w:val="none" w:sz="0" w:space="0" w:color="auto"/>
            <w:left w:val="none" w:sz="0" w:space="0" w:color="auto"/>
            <w:bottom w:val="none" w:sz="0" w:space="0" w:color="auto"/>
            <w:right w:val="none" w:sz="0" w:space="0" w:color="auto"/>
          </w:divBdr>
          <w:divsChild>
            <w:div w:id="527525769">
              <w:marLeft w:val="0"/>
              <w:marRight w:val="0"/>
              <w:marTop w:val="0"/>
              <w:marBottom w:val="0"/>
              <w:divBdr>
                <w:top w:val="none" w:sz="0" w:space="0" w:color="auto"/>
                <w:left w:val="none" w:sz="0" w:space="0" w:color="auto"/>
                <w:bottom w:val="none" w:sz="0" w:space="0" w:color="auto"/>
                <w:right w:val="none" w:sz="0" w:space="0" w:color="auto"/>
              </w:divBdr>
              <w:divsChild>
                <w:div w:id="15026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231275">
      <w:bodyDiv w:val="1"/>
      <w:marLeft w:val="0"/>
      <w:marRight w:val="0"/>
      <w:marTop w:val="0"/>
      <w:marBottom w:val="0"/>
      <w:divBdr>
        <w:top w:val="none" w:sz="0" w:space="0" w:color="auto"/>
        <w:left w:val="none" w:sz="0" w:space="0" w:color="auto"/>
        <w:bottom w:val="none" w:sz="0" w:space="0" w:color="auto"/>
        <w:right w:val="none" w:sz="0" w:space="0" w:color="auto"/>
      </w:divBdr>
      <w:divsChild>
        <w:div w:id="1300957931">
          <w:marLeft w:val="0"/>
          <w:marRight w:val="0"/>
          <w:marTop w:val="0"/>
          <w:marBottom w:val="0"/>
          <w:divBdr>
            <w:top w:val="none" w:sz="0" w:space="0" w:color="auto"/>
            <w:left w:val="none" w:sz="0" w:space="0" w:color="auto"/>
            <w:bottom w:val="none" w:sz="0" w:space="0" w:color="auto"/>
            <w:right w:val="none" w:sz="0" w:space="0" w:color="auto"/>
          </w:divBdr>
          <w:divsChild>
            <w:div w:id="103500730">
              <w:marLeft w:val="0"/>
              <w:marRight w:val="0"/>
              <w:marTop w:val="0"/>
              <w:marBottom w:val="0"/>
              <w:divBdr>
                <w:top w:val="none" w:sz="0" w:space="0" w:color="auto"/>
                <w:left w:val="none" w:sz="0" w:space="0" w:color="auto"/>
                <w:bottom w:val="none" w:sz="0" w:space="0" w:color="auto"/>
                <w:right w:val="none" w:sz="0" w:space="0" w:color="auto"/>
              </w:divBdr>
              <w:divsChild>
                <w:div w:id="190737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197698">
      <w:bodyDiv w:val="1"/>
      <w:marLeft w:val="0"/>
      <w:marRight w:val="0"/>
      <w:marTop w:val="0"/>
      <w:marBottom w:val="0"/>
      <w:divBdr>
        <w:top w:val="none" w:sz="0" w:space="0" w:color="auto"/>
        <w:left w:val="none" w:sz="0" w:space="0" w:color="auto"/>
        <w:bottom w:val="none" w:sz="0" w:space="0" w:color="auto"/>
        <w:right w:val="none" w:sz="0" w:space="0" w:color="auto"/>
      </w:divBdr>
    </w:div>
    <w:div w:id="20240180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journals.sagepub.com/doi/10.1177/1367006911429622" TargetMode="External"/><Relationship Id="rId20" Type="http://schemas.openxmlformats.org/officeDocument/2006/relationships/hyperlink" Target="https://gov.wales/sites/default/files/publications/2018-12/cymraeg-2050-our-plan-for-2017-to-2021_0.pdf" TargetMode="External"/><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npr.org/sections/ed/2016/11/29/497943749/6-potential-brain-benefits-of-bilingual-education" TargetMode="External"/><Relationship Id="rId11" Type="http://schemas.openxmlformats.org/officeDocument/2006/relationships/hyperlink" Target="http://www.mrmikkola.com/uploads/1/0/5/7/10576731/simplypsychology.org-vygotsky.pdf" TargetMode="External"/><Relationship Id="rId12" Type="http://schemas.openxmlformats.org/officeDocument/2006/relationships/hyperlink" Target="https://www.ncbi.nlm.nih.gov/pmc/articles/PMC3583091/" TargetMode="External"/><Relationship Id="rId13" Type="http://schemas.openxmlformats.org/officeDocument/2006/relationships/hyperlink" Target="https://www.meithrin.cymru/about-us/" TargetMode="External"/><Relationship Id="rId14" Type="http://schemas.openxmlformats.org/officeDocument/2006/relationships/hyperlink" Target="https://files.eric.ed.gov/fulltext/ED429447.pdf#page=66" TargetMode="External"/><Relationship Id="rId15" Type="http://schemas.openxmlformats.org/officeDocument/2006/relationships/hyperlink" Target="http://eujournal.org/index.php/esj/article/viewFile/5216/5014" TargetMode="External"/><Relationship Id="rId16" Type="http://schemas.openxmlformats.org/officeDocument/2006/relationships/hyperlink" Target="https://www.sciencedirect.com/science/article/pii/S2211949316300163" TargetMode="External"/><Relationship Id="rId17" Type="http://schemas.openxmlformats.org/officeDocument/2006/relationships/hyperlink" Target="https://learning.gov.wales/docs/learningwales/publications/130424-developing-the-curriculum-cymreig-en.pdf" TargetMode="External"/><Relationship Id="rId18" Type="http://schemas.openxmlformats.org/officeDocument/2006/relationships/hyperlink" Target="https://learning.gov.wales/docs/learningwales/news/130424-cwricwlwm-cymreig-report-en.pdf" TargetMode="External"/><Relationship Id="rId19" Type="http://schemas.openxmlformats.org/officeDocument/2006/relationships/hyperlink" Target="https://gov.wales/sites/default/files/publications/2018-02/foundation-phase-framework-revised-2015.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meits.org/policy-papers/paper/healthy-linguistic-diet" TargetMode="External"/><Relationship Id="rId7" Type="http://schemas.openxmlformats.org/officeDocument/2006/relationships/hyperlink" Target="https://www.youtube.com/watch?v=7Cgpfw4z8cw" TargetMode="External"/><Relationship Id="rId8" Type="http://schemas.openxmlformats.org/officeDocument/2006/relationships/hyperlink" Target="https://www.psychologytoday.com/us/blog/turning-straw-gold/201302/what-type-thinker-are-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5</Pages>
  <Words>2132</Words>
  <Characters>12156</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2019-04-03T19:41:00Z</dcterms:created>
  <dcterms:modified xsi:type="dcterms:W3CDTF">2019-04-05T21:01:00Z</dcterms:modified>
</cp:coreProperties>
</file>