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908A438" w:rsidR="00D731C3" w:rsidRPr="00DD5969" w:rsidRDefault="00D731C3" w:rsidP="00D731C3">
      <w:pPr>
        <w:spacing w:before="3"/>
        <w:rPr>
          <w:rFonts w:ascii="Arial"/>
          <w:b/>
          <w:sz w:val="48"/>
          <w:szCs w:val="48"/>
        </w:rPr>
      </w:pPr>
      <w:r w:rsidRPr="00DD5969">
        <w:rPr>
          <w:rFonts w:ascii="Arial"/>
          <w:b/>
          <w:sz w:val="48"/>
          <w:szCs w:val="48"/>
        </w:rPr>
        <w:t>STUDENT NAME:</w:t>
      </w:r>
      <w:r w:rsidR="00396FEA">
        <w:rPr>
          <w:rFonts w:ascii="Arial"/>
          <w:b/>
          <w:sz w:val="48"/>
          <w:szCs w:val="48"/>
        </w:rPr>
        <w:t xml:space="preserve"> Cosmina Adamache</w:t>
      </w:r>
    </w:p>
    <w:p w14:paraId="0D47E8B5" w14:textId="77777777" w:rsidR="00D731C3" w:rsidRPr="00DD5969" w:rsidRDefault="00D731C3" w:rsidP="00D731C3">
      <w:pPr>
        <w:spacing w:before="3"/>
        <w:rPr>
          <w:rFonts w:ascii="Arial"/>
          <w:b/>
          <w:sz w:val="48"/>
          <w:szCs w:val="48"/>
        </w:rPr>
      </w:pPr>
    </w:p>
    <w:p w14:paraId="1AB71829" w14:textId="328D644F"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396FEA">
        <w:rPr>
          <w:rFonts w:ascii="Arial"/>
          <w:b/>
          <w:sz w:val="48"/>
          <w:szCs w:val="48"/>
        </w:rPr>
        <w:t>2528497</w:t>
      </w:r>
    </w:p>
    <w:p w14:paraId="0E17CBF1" w14:textId="77777777" w:rsidR="00D731C3" w:rsidRDefault="00D731C3" w:rsidP="00D731C3">
      <w:pPr>
        <w:rPr>
          <w:rFonts w:ascii="Arial"/>
          <w:b/>
          <w:sz w:val="47"/>
        </w:rPr>
      </w:pPr>
    </w:p>
    <w:p w14:paraId="7D269D68" w14:textId="6D135923" w:rsidR="00D731C3" w:rsidRDefault="00D731C3" w:rsidP="00D731C3">
      <w:pPr>
        <w:rPr>
          <w:rFonts w:ascii="Arial"/>
          <w:b/>
          <w:sz w:val="47"/>
        </w:rPr>
      </w:pPr>
      <w:r>
        <w:rPr>
          <w:rFonts w:ascii="Arial"/>
          <w:b/>
          <w:sz w:val="47"/>
        </w:rPr>
        <w:t>LECTURER:</w:t>
      </w:r>
      <w:r w:rsidR="00396FEA">
        <w:rPr>
          <w:rFonts w:ascii="Arial"/>
          <w:b/>
          <w:sz w:val="47"/>
        </w:rPr>
        <w:t xml:space="preserve"> Manjit Biant</w:t>
      </w:r>
    </w:p>
    <w:p w14:paraId="4D7187AE" w14:textId="77777777" w:rsidR="00D731C3" w:rsidRDefault="00D731C3" w:rsidP="00D731C3">
      <w:pPr>
        <w:ind w:left="100"/>
        <w:rPr>
          <w:rFonts w:ascii="Arial"/>
          <w:b/>
          <w:sz w:val="47"/>
        </w:rPr>
      </w:pPr>
    </w:p>
    <w:p w14:paraId="23FCFCB8" w14:textId="2EC25416" w:rsidR="00662098" w:rsidRPr="00662098" w:rsidRDefault="00D731C3" w:rsidP="00662098">
      <w:pPr>
        <w:ind w:left="100"/>
        <w:rPr>
          <w:rFonts w:ascii="Arial"/>
          <w:b/>
          <w:sz w:val="47"/>
        </w:rPr>
      </w:pPr>
      <w:r>
        <w:rPr>
          <w:rFonts w:ascii="Arial"/>
          <w:b/>
          <w:sz w:val="47"/>
        </w:rPr>
        <w:t>DATE:</w:t>
      </w:r>
      <w:r w:rsidR="00662098">
        <w:rPr>
          <w:rFonts w:ascii="Arial"/>
          <w:b/>
          <w:sz w:val="47"/>
        </w:rPr>
        <w:t xml:space="preserve"> </w:t>
      </w:r>
      <w:r w:rsidR="00396FEA">
        <w:rPr>
          <w:rFonts w:ascii="Arial"/>
          <w:b/>
          <w:sz w:val="47"/>
        </w:rPr>
        <w:t>12/03/2026</w:t>
      </w:r>
    </w:p>
    <w:p w14:paraId="52EF9C1C" w14:textId="3B77D5FE" w:rsidR="00D731C3" w:rsidRPr="00192D3C" w:rsidRDefault="00D731C3" w:rsidP="00D731C3">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293BFA5B" w14:textId="78614D95" w:rsidR="00FA0010" w:rsidRDefault="00AF0471">
      <w:r w:rsidRPr="00AF0471">
        <w:drawing>
          <wp:inline distT="0" distB="0" distL="0" distR="0" wp14:anchorId="47EA48D6" wp14:editId="38F199FA">
            <wp:extent cx="5731510" cy="3306445"/>
            <wp:effectExtent l="0" t="0" r="2540" b="8255"/>
            <wp:docPr id="907628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28951" name=""/>
                    <pic:cNvPicPr/>
                  </pic:nvPicPr>
                  <pic:blipFill>
                    <a:blip r:embed="rId8"/>
                    <a:stretch>
                      <a:fillRect/>
                    </a:stretch>
                  </pic:blipFill>
                  <pic:spPr>
                    <a:xfrm>
                      <a:off x="0" y="0"/>
                      <a:ext cx="5731510" cy="3306445"/>
                    </a:xfrm>
                    <a:prstGeom prst="rect">
                      <a:avLst/>
                    </a:prstGeom>
                  </pic:spPr>
                </pic:pic>
              </a:graphicData>
            </a:graphic>
          </wp:inline>
        </w:drawing>
      </w:r>
    </w:p>
    <w:p w14:paraId="3F985A6D" w14:textId="357F8157" w:rsidR="00062E54" w:rsidRDefault="00AF0471">
      <w:r>
        <w:t>Assessment of my digital skills</w:t>
      </w:r>
    </w:p>
    <w:p w14:paraId="2CB3510C" w14:textId="0190BB3E" w:rsidR="00AF0471" w:rsidRDefault="00AF0471">
      <w:r>
        <w:t xml:space="preserve">The Jisc digital skills report I have completed shows an overview of my digital abilities across several areas, including digital proficiency, information literacy, digital communication, collaboration, digital creation and digital wellbeing. By reviewing the results, it allowed me to reflect on my digital capabilities and identify areas where I can improve. Moreover, it is important to state that digital skills are increasingly important in the current era, and it is mandatory for both academic success and employability, as technology is now integrated into most aspects of education and professional work (Redecker and Punie, 2022). </w:t>
      </w:r>
    </w:p>
    <w:p w14:paraId="4E3C5883" w14:textId="32220A95" w:rsidR="00AF0471" w:rsidRDefault="00AF0471">
      <w:r>
        <w:t xml:space="preserve">Although I did not complete the digital badges suggested in the Jisc report, I have taken other steps to improve my digital skills. For example, I completed several courses on LinkedIn learning by focusing on digital tools such as PowerPoint, Canva, Outlook, Word and Excel. These courses helped me develop practical digital skills that are useful for both professional environments and academic tasks. During the courses, I used the note- taking feature available within LinkedIn learning to record and write key information and useful tips from the lessons. Taking notes allowed me to review </w:t>
      </w:r>
      <w:r>
        <w:lastRenderedPageBreak/>
        <w:t xml:space="preserve">important points later and apply them when completing coursework. Moreover, I created a draft presentation in class as part of the presentation to practice for my final assignment. At the stage, the presentation was created using my existing knowledge of presentation tools. However, after completing the LinkedIn course for PowerPoint, I gained a better understanding of presentation design, slide organisation and other tools to present information more effectively. I needed to strengthen my </w:t>
      </w:r>
      <w:proofErr w:type="spellStart"/>
      <w:r>
        <w:t>Powerpoint</w:t>
      </w:r>
      <w:proofErr w:type="spellEnd"/>
      <w:r>
        <w:t xml:space="preserve"> skills as source (OECD, 2023) shows developing practical skills is important as digital tools can strengthen </w:t>
      </w:r>
      <w:proofErr w:type="gramStart"/>
      <w:r>
        <w:t>students</w:t>
      </w:r>
      <w:proofErr w:type="gramEnd"/>
      <w:r>
        <w:t xml:space="preserve"> confidence and competence when learning. I will apply the techniques learned when creating the final assignment to make it more engaging and enjoyable. </w:t>
      </w:r>
    </w:p>
    <w:p w14:paraId="2C0C442C" w14:textId="5156FA2F" w:rsidR="009A43BF" w:rsidRDefault="009A43BF">
      <w:r>
        <w:t xml:space="preserve">In addition, by looking at my Jisc report, one of the areas where I performed relatively well is digital identity management and digital wellbeing. This suggests that I have good understanding of how to manage my online presence and use technology in a responsible way. An example of this could be proven by the fact that I present my digital identity in a professional and responsible way because employers review online profiles and digital activity </w:t>
      </w:r>
      <w:proofErr w:type="gramStart"/>
      <w:r>
        <w:t>and also</w:t>
      </w:r>
      <w:proofErr w:type="gramEnd"/>
      <w:r>
        <w:t xml:space="preserve"> by using the built-in note taking feature to record key points </w:t>
      </w:r>
      <w:proofErr w:type="gramStart"/>
      <w:r>
        <w:t>in order to</w:t>
      </w:r>
      <w:proofErr w:type="gramEnd"/>
      <w:r>
        <w:t xml:space="preserve"> help me stay focused. This is considered a strength as managing digital identity is an </w:t>
      </w:r>
      <w:r w:rsidR="00F07F9F">
        <w:t>essential skill</w:t>
      </w:r>
      <w:r>
        <w:t xml:space="preserve"> for students because online behaviour can affect academic opportunities and future employment prospects (Bond et al., 2023). Another area where my skills appear somehow developed is information literacy. Recent research highlights that strong information and data literacy skills is essential for students who critically evaluate digital information and avoid misinformation (Carretero et al., 2022). Information literacy involves the ability to search for information online and evaluate the reliability of sources by using effective methods and use that information effectively in academic work. At the beginning I struggled with organising data and using formulas to draw insights for assignments. However, during lessons I was introduced to the CRAAP method which </w:t>
      </w:r>
      <w:proofErr w:type="spellStart"/>
      <w:r>
        <w:t>allowd</w:t>
      </w:r>
      <w:proofErr w:type="spellEnd"/>
      <w:r>
        <w:t xml:space="preserve"> me to evaluate sources effectively and apply it for referencing. I have found that research shows that applying systematic evaluation methods like CRAAP, improved students’ ability to judge credibility of information </w:t>
      </w:r>
      <w:proofErr w:type="gramStart"/>
      <w:r>
        <w:t>( Head</w:t>
      </w:r>
      <w:proofErr w:type="gramEnd"/>
      <w:r>
        <w:t xml:space="preserve"> and Eisenberg, 2022). However, completing LinkedIn learning modules</w:t>
      </w:r>
      <w:r w:rsidR="00F07F9F">
        <w:t xml:space="preserve"> provided step by step guidance on spreadsheet management on functions and data organisation. By applying these skills, I will improve on larger datasets for my final assignment. Developing competence in spreadsheet tools such as Excel can help students organise, analyse and interpret digital information more effectively. For example, source states that developing digital skills, including the ability to work with digital tools and data, supports students’ academic performance and prepares them for modern learning and professional environments (Redecker, 2022).This is a skill I will need to improve as studying Employability skills; by practicing the skills required it will help me strengthen my confidence when working with digital data and support the development of my wider digital skills.  I believe improving digital literacy is important in higher education </w:t>
      </w:r>
      <w:r w:rsidR="00F07F9F">
        <w:lastRenderedPageBreak/>
        <w:t>because students are expected to work with digital data and present information using digital tools. Overall, the Jisc report helped me reflect on my digital capabilities and identify areas for improvement</w:t>
      </w:r>
      <w:r w:rsidR="009F3A57">
        <w:t>.</w:t>
      </w:r>
      <w:r w:rsidR="00F07F9F">
        <w:t xml:space="preserve"> Although I did not complete the digital badges, completing </w:t>
      </w:r>
      <w:r w:rsidR="009F3A57">
        <w:t xml:space="preserve">LinkedIn courses and applying skills learn in my coursework has already helped me develop several important digital skills. </w:t>
      </w:r>
    </w:p>
    <w:p w14:paraId="229EB6CA" w14:textId="0373B670" w:rsidR="00106110" w:rsidRDefault="00106110" w:rsidP="00106110">
      <w:pPr>
        <w:pStyle w:val="Heading2"/>
      </w:pPr>
      <w:bookmarkStart w:id="2" w:name="_Toc211605237"/>
      <w:r>
        <w:t>References</w:t>
      </w:r>
      <w:bookmarkEnd w:id="2"/>
      <w:r>
        <w:t xml:space="preserve"> </w:t>
      </w:r>
    </w:p>
    <w:p w14:paraId="771DAD9E" w14:textId="307F2A16" w:rsidR="004B2EB4" w:rsidRDefault="009F3A57" w:rsidP="004B2EB4">
      <w:r>
        <w:t>Bond, M., Bedenlier, S., Marin, V.I. and Handel, M., 202</w:t>
      </w:r>
      <w:r w:rsidR="000266F4">
        <w:t>1</w:t>
      </w:r>
      <w:r>
        <w:t xml:space="preserve">. Emergence remote teaching in higher education: Mapping the first global online semester. International Journal of Educational Technology in Higher Education, 20(1), pp1-24. </w:t>
      </w:r>
    </w:p>
    <w:p w14:paraId="67D730D8" w14:textId="44D59140" w:rsidR="009F3A57" w:rsidRDefault="000266F4" w:rsidP="004B2EB4">
      <w:proofErr w:type="spellStart"/>
      <w:r>
        <w:t>Kluzer</w:t>
      </w:r>
      <w:proofErr w:type="spellEnd"/>
      <w:r w:rsidR="009F3A57">
        <w:t xml:space="preserve">, S., </w:t>
      </w:r>
      <w:proofErr w:type="spellStart"/>
      <w:r w:rsidR="009F3A57">
        <w:t>Vourikari</w:t>
      </w:r>
      <w:proofErr w:type="spellEnd"/>
      <w:r w:rsidR="009F3A57">
        <w:t xml:space="preserve">, R. and Punie, Y., 2022. </w:t>
      </w:r>
      <w:proofErr w:type="spellStart"/>
      <w:r w:rsidR="009F3A57">
        <w:t>DigComp</w:t>
      </w:r>
      <w:proofErr w:type="spellEnd"/>
      <w:r w:rsidR="009F3A57">
        <w:t xml:space="preserve"> 2.2: The Digital Competence Framework for Citizens. Luxembourg: Publications Office of the European Union.</w:t>
      </w:r>
    </w:p>
    <w:p w14:paraId="7339298D" w14:textId="6B4AB909" w:rsidR="009F3A57" w:rsidRDefault="009F3A57" w:rsidP="004B2EB4">
      <w:r>
        <w:t>Head, A.J. and Eisenberg, M.B., 20</w:t>
      </w:r>
      <w:r w:rsidR="000266F4">
        <w:t>10</w:t>
      </w:r>
      <w:r>
        <w:t>. How college students evaluate and use information in the digital age. Journal of Information Literacy, 16(1), pp. 1-16.</w:t>
      </w:r>
    </w:p>
    <w:p w14:paraId="61C70C47" w14:textId="53FB5BD6" w:rsidR="009F3A57" w:rsidRDefault="009F3A57" w:rsidP="004B2EB4">
      <w:r>
        <w:t xml:space="preserve">OECD, 2023. OECD Digital Education Outlook 2023: Towards an Effective Digital Education Ecosystem. Paris: OECD Publishing. </w:t>
      </w:r>
    </w:p>
    <w:p w14:paraId="04BD9B3B" w14:textId="5ACE8682" w:rsidR="00D8531B" w:rsidRDefault="009F3A57" w:rsidP="004B2EB4">
      <w:r>
        <w:t>Redecker, C. and Punie, Y., 20</w:t>
      </w:r>
      <w:r w:rsidR="000266F4">
        <w:t>17</w:t>
      </w:r>
      <w:r>
        <w:t xml:space="preserve">. European framework for the digital competence of educators: </w:t>
      </w:r>
      <w:proofErr w:type="spellStart"/>
      <w:r>
        <w:t>DigCompEdu</w:t>
      </w:r>
      <w:proofErr w:type="spellEnd"/>
      <w:r>
        <w:t xml:space="preserve">. Luxembourg: Publications Office of the European Union. </w:t>
      </w:r>
    </w:p>
    <w:p w14:paraId="7A8C4CDB" w14:textId="6DFBFCC9" w:rsidR="009D3D7B" w:rsidRDefault="00D731C3" w:rsidP="00D731C3">
      <w:pPr>
        <w:pStyle w:val="Heading1"/>
      </w:pPr>
      <w:bookmarkStart w:id="3" w:name="_Toc211605238"/>
      <w:r>
        <w:lastRenderedPageBreak/>
        <w:t>Task 2</w:t>
      </w:r>
      <w:bookmarkEnd w:id="3"/>
      <w:r>
        <w:t xml:space="preserve"> </w:t>
      </w:r>
    </w:p>
    <w:p w14:paraId="499FE69C" w14:textId="5B8E8679" w:rsidR="00D731C3" w:rsidRDefault="00D731C3" w:rsidP="009F3A57">
      <w:pPr>
        <w:pStyle w:val="Heading1"/>
      </w:pPr>
      <w:bookmarkStart w:id="4" w:name="_Toc211605239"/>
      <w:r w:rsidRPr="00D731C3">
        <w:lastRenderedPageBreak/>
        <w:t>LinkedIn Learning Certificates for Office365</w:t>
      </w:r>
      <w:bookmarkEnd w:id="4"/>
      <w:r w:rsidR="009F3A57">
        <w:rPr>
          <w:noProof/>
        </w:rPr>
        <w:drawing>
          <wp:inline distT="0" distB="0" distL="0" distR="0" wp14:anchorId="4805565A" wp14:editId="4CDCC2DE">
            <wp:extent cx="5731510" cy="4428490"/>
            <wp:effectExtent l="0" t="0" r="2540" b="0"/>
            <wp:docPr id="92005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51879" name="Picture 920051879"/>
                    <pic:cNvPicPr/>
                  </pic:nvPicPr>
                  <pic:blipFill>
                    <a:blip r:embed="rId9">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r w:rsidR="009F3A57">
        <w:rPr>
          <w:noProof/>
        </w:rPr>
        <w:lastRenderedPageBreak/>
        <w:drawing>
          <wp:inline distT="0" distB="0" distL="0" distR="0" wp14:anchorId="3C32A540" wp14:editId="68CE2375">
            <wp:extent cx="5731510" cy="4428490"/>
            <wp:effectExtent l="0" t="0" r="2540" b="0"/>
            <wp:docPr id="1300450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50185" name="Picture 1300450185"/>
                    <pic:cNvPicPr/>
                  </pic:nvPicPr>
                  <pic:blipFill>
                    <a:blip r:embed="rId10">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r w:rsidR="009F3A57">
        <w:rPr>
          <w:noProof/>
        </w:rPr>
        <w:lastRenderedPageBreak/>
        <w:drawing>
          <wp:inline distT="0" distB="0" distL="0" distR="0" wp14:anchorId="6B1C5263" wp14:editId="0EB652C4">
            <wp:extent cx="5731510" cy="4428490"/>
            <wp:effectExtent l="0" t="0" r="2540" b="0"/>
            <wp:docPr id="1525455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55077" name="Picture 1525455077"/>
                    <pic:cNvPicPr/>
                  </pic:nvPicPr>
                  <pic:blipFill>
                    <a:blip r:embed="rId11">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r w:rsidR="009F3A57">
        <w:rPr>
          <w:noProof/>
        </w:rPr>
        <w:lastRenderedPageBreak/>
        <w:drawing>
          <wp:inline distT="0" distB="0" distL="0" distR="0" wp14:anchorId="193A7ADA" wp14:editId="0C72E068">
            <wp:extent cx="5731510" cy="4428490"/>
            <wp:effectExtent l="0" t="0" r="2540" b="0"/>
            <wp:docPr id="2064682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82495" name="Picture 2064682495"/>
                    <pic:cNvPicPr/>
                  </pic:nvPicPr>
                  <pic:blipFill>
                    <a:blip r:embed="rId12">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r w:rsidR="009F3A57">
        <w:rPr>
          <w:noProof/>
        </w:rPr>
        <w:lastRenderedPageBreak/>
        <w:drawing>
          <wp:inline distT="0" distB="0" distL="0" distR="0" wp14:anchorId="6B142653" wp14:editId="5C12E2AA">
            <wp:extent cx="5731510" cy="4428490"/>
            <wp:effectExtent l="0" t="0" r="2540" b="0"/>
            <wp:docPr id="18370278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027882" name="Picture 1837027882"/>
                    <pic:cNvPicPr/>
                  </pic:nvPicPr>
                  <pic:blipFill>
                    <a:blip r:embed="rId13">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p>
    <w:p w14:paraId="6B17A105" w14:textId="77777777" w:rsidR="004C243A" w:rsidRDefault="004C243A" w:rsidP="00D731C3"/>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1605240"/>
      <w:r>
        <w:t>Task 3</w:t>
      </w:r>
      <w:bookmarkEnd w:id="5"/>
      <w:r>
        <w:t xml:space="preserve"> </w:t>
      </w:r>
    </w:p>
    <w:p w14:paraId="4C4226A4" w14:textId="1426F3F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76C43CDD" w14:textId="1BC7B376" w:rsidR="00346D29" w:rsidRDefault="00F22768" w:rsidP="007C4A17">
      <w:r>
        <w:t xml:space="preserve">Microsoft Excel </w:t>
      </w:r>
      <w:proofErr w:type="gramStart"/>
      <w:r>
        <w:t>is considered to be</w:t>
      </w:r>
      <w:proofErr w:type="gramEnd"/>
      <w:r>
        <w:t xml:space="preserve"> a mandatory application as is one of the most used software which plays a crucial role in both professional and personal contexts. It provides the ability to organise data, generate analytical insights, apply formulas and present visual information such as pie charts, making it essential in modern digital environments for business operations. Household management and everyday organisation. While Excel is widely recognised for its application in corporate environments, it also plays a significant role in personal budgeting, financial planning and decision making. Moreover, beyond simple number tracking, it enhances digital literacy and data competence, which provides skills required in the digital era. </w:t>
      </w:r>
    </w:p>
    <w:p w14:paraId="46E3C123" w14:textId="7F7775C7" w:rsidR="00F22768" w:rsidRDefault="00F22768" w:rsidP="007C4A17">
      <w:r>
        <w:t xml:space="preserve">Excel provides professional efficiency by enabling users to organise and </w:t>
      </w:r>
      <w:r w:rsidR="00323433">
        <w:t>analyse</w:t>
      </w:r>
      <w:r>
        <w:t xml:space="preserve"> data effectively. Business of all sizes rely on spreadsheets to track financial performance and make informed decisions. For example, </w:t>
      </w:r>
      <w:r w:rsidR="00323433">
        <w:t>source states that accountants and financial analysists frequently use Excel to automate calculations such as cash flow projections, budget variations and financial summaries (</w:t>
      </w:r>
      <w:r w:rsidR="006E6534">
        <w:t>Raymond R,2014</w:t>
      </w:r>
      <w:r w:rsidR="00661B55">
        <w:t>)</w:t>
      </w:r>
      <w:r w:rsidR="00323433">
        <w:t>. Moreover, research also shows that using spreadsheet software reduces time spent on repetitive calculations and minimises errors compared to manual processes (</w:t>
      </w:r>
      <w:r w:rsidR="006E6534">
        <w:t>JETIR, 2025)</w:t>
      </w:r>
      <w:r w:rsidR="00323433">
        <w:t xml:space="preserve">. Professionals use formulas such as SUM, AVERAGE and IF statements to handle large datasets efficiently, allowing for faster reporting and analysis. This is important in high-pressure environments such as finance or business management as employees can focus on interpreting data rather than performing repetitive manual tasks, increasing overall productivity. Therefore, Excel’s ability to automate calculations and data directly links to enhanced professional competence and workplace efficiency. </w:t>
      </w:r>
    </w:p>
    <w:p w14:paraId="1ECCD661" w14:textId="6ACF99D0" w:rsidR="00323433" w:rsidRDefault="00323433" w:rsidP="007C4A17">
      <w:r>
        <w:t xml:space="preserve">In educational environments, Excel is also widely used to support teaching, learning and research. For example, students </w:t>
      </w:r>
      <w:proofErr w:type="gramStart"/>
      <w:r>
        <w:t>have the opportunity to</w:t>
      </w:r>
      <w:proofErr w:type="gramEnd"/>
      <w:r>
        <w:t xml:space="preserve"> use Excel to organise experimental data, calculate averages and visualise trends through graphs and charts. Source states </w:t>
      </w:r>
      <w:r w:rsidR="006E6534">
        <w:t xml:space="preserve">students can use Excel to analyse and graph experimental data which is </w:t>
      </w:r>
      <w:r w:rsidR="000266F4">
        <w:lastRenderedPageBreak/>
        <w:t>helpful (</w:t>
      </w:r>
      <w:r w:rsidR="00661B55">
        <w:t>Rubin and Abrams, 2015</w:t>
      </w:r>
      <w:r w:rsidR="0034065B">
        <w:t xml:space="preserve">). Such applications enhance students’ data literacy, analytical skills and understanding of statistical concepts, demonstrating that Excel is not only a professional tool but also an essential educational resource. </w:t>
      </w:r>
    </w:p>
    <w:p w14:paraId="4C52EBFA" w14:textId="5025E2A8" w:rsidR="00DE332A" w:rsidRDefault="0034065B" w:rsidP="007C4A17">
      <w:r>
        <w:t>Excel is also relevant for management especially in managing projects and resources in professional settings. It offers flexible structure which allows managers to plan tasks, allocate resources and monitor progress. Studies show that small and medium sized businesses frequently rely on Excel for project coordination as it allows real time tracking and easy customisation of workflows (</w:t>
      </w:r>
      <w:r w:rsidR="004B72B4">
        <w:t>Felienne Hermans and Emerson Murphy-Hill, 2022</w:t>
      </w:r>
      <w:r>
        <w:t xml:space="preserve">). Tools such as conditional formatting, pivot tables and charts enables teams to visualise project timelines and identify difficulties. By using Excel, managers benefit from reduced costs while coordinating tasks across departments, track milestones and ensure deadlines are meet without the need for specialised project management software. Therefore, Excel’s role in management demonstrates its practical utility and relevance beyond simple calculation and by </w:t>
      </w:r>
      <w:r w:rsidR="00DE332A">
        <w:t xml:space="preserve">supporting organisational planning and efficiency. </w:t>
      </w:r>
    </w:p>
    <w:p w14:paraId="0A9C18D9" w14:textId="20E0C612" w:rsidR="00DE332A" w:rsidRDefault="00DE332A" w:rsidP="007C4A17">
      <w:r>
        <w:t xml:space="preserve">Moreover, Excel provides a practical tool for personal budgeting and expense tracking, helping houses monitor income and expenditure. For example, studies show </w:t>
      </w:r>
      <w:r w:rsidR="002129D5">
        <w:t>that using</w:t>
      </w:r>
      <w:r>
        <w:t xml:space="preserve"> spreadsheets for personal finance improves budgeting skills, enhances financial </w:t>
      </w:r>
      <w:r w:rsidR="002129D5">
        <w:t>awareness</w:t>
      </w:r>
      <w:r>
        <w:t>, and encourages savings (</w:t>
      </w:r>
      <w:proofErr w:type="spellStart"/>
      <w:r w:rsidR="004B72B4">
        <w:t>Dheepiga</w:t>
      </w:r>
      <w:proofErr w:type="spellEnd"/>
      <w:r w:rsidR="004B72B4">
        <w:t xml:space="preserve"> and Sivakumar, 2025</w:t>
      </w:r>
      <w:r>
        <w:t>). With the help of spreadsheets, families can organise expenses into categories such as housing, utilities, groceries, insurance and leisure while calculating total automatically. However, spreadsheets require manual data entry, which can be time-consuming. Financial apps with automated transaction tracking can complement to improve Excel-based budgeting so understanding when to use Excel versus more automated platforms is a critical aspect of digital literacy. Therefore, Excel strengthens financial awareness, critical reflection on its limitations encourages users to combine it with other financial tools for more accurate tracking.</w:t>
      </w:r>
    </w:p>
    <w:p w14:paraId="62D41081" w14:textId="1733FE52" w:rsidR="00DE332A" w:rsidRDefault="00DE332A" w:rsidP="007C4A17">
      <w:r>
        <w:t xml:space="preserve">On the other hand, </w:t>
      </w:r>
      <w:r w:rsidR="002129D5">
        <w:t>beyond</w:t>
      </w:r>
      <w:r>
        <w:t xml:space="preserve"> finance and project management, Excel assists with daily organisation and planning tasks. Source states that users can manage schedules, track fitness or household goals, monitor inventories and plan events using spreadsheets (</w:t>
      </w:r>
      <w:r w:rsidR="004B72B4">
        <w:t>Microsoft, 2024</w:t>
      </w:r>
      <w:r>
        <w:t xml:space="preserve">). It ultimately allows </w:t>
      </w:r>
      <w:r w:rsidR="002129D5">
        <w:t>customisation</w:t>
      </w:r>
      <w:r>
        <w:t xml:space="preserve"> without </w:t>
      </w:r>
      <w:r w:rsidR="002129D5">
        <w:t>programming</w:t>
      </w:r>
      <w:r>
        <w:t xml:space="preserve"> knowledge due to its </w:t>
      </w:r>
      <w:r w:rsidR="002129D5">
        <w:t>flexibility. Individuals</w:t>
      </w:r>
      <w:r>
        <w:t xml:space="preserve"> can </w:t>
      </w:r>
      <w:proofErr w:type="gramStart"/>
      <w:r>
        <w:t>plan ahead</w:t>
      </w:r>
      <w:proofErr w:type="gramEnd"/>
      <w:r>
        <w:t xml:space="preserve">, visualise progress and maintain organisation across various aspects of life by structuring personal data. This practical application strengthens time </w:t>
      </w:r>
      <w:r w:rsidR="002129D5">
        <w:t>management</w:t>
      </w:r>
      <w:r>
        <w:t xml:space="preserve"> skills and personal accountability. Therefore, Excel’s utility extends far beyond professional tasks and highlights its relevance in everyday life by supporting digital literacy development. However, despite its advantages, Excel must be used carefull</w:t>
      </w:r>
      <w:r w:rsidR="002129D5">
        <w:t xml:space="preserve">y to avoid errors that can impact decisions. For example, errors in formulas, incorrect cell references or misaligned data can produce inaccurate outcomes with serious consequences in financial or professional </w:t>
      </w:r>
      <w:r w:rsidR="002129D5">
        <w:lastRenderedPageBreak/>
        <w:t>contexts (</w:t>
      </w:r>
      <w:r w:rsidR="000266F4">
        <w:t>Poon et al., 2024</w:t>
      </w:r>
      <w:r w:rsidR="002129D5">
        <w:t>). Practice, tracking and adopting the best practices for spreadsheets are essential to build confidence and ensure reliable results. By developing these skills, Excel can improve efficiency, reduce mistakes and maximise its benefits. Therefore, it could be argued that spreadsheet literacy is crucial for both personal and professional users to fully take advantage of Excel’ capabilities.</w:t>
      </w:r>
    </w:p>
    <w:p w14:paraId="24030E64" w14:textId="1D5D3BD0" w:rsidR="002129D5" w:rsidRDefault="002129D5" w:rsidP="007C4A17">
      <w:r>
        <w:t>Furthermore, Excel does not operate in isolation as it is often integrated with other software to enhance functionality. For example, sources states that integration with Power BI, accounting platforms or cloud-based collaboration platforms expands Excel’s utility and allows more reliable and sophisticated analysis (OECD, 2023). While Excel can serve as a standalone tool, linking it with other digital solutions ensure efficient workflow, better data visualisation and accurate reporting so understanding mastering Excel critically involves not only using its core functions but also understanding its role within a broader digital ecosystem.</w:t>
      </w:r>
    </w:p>
    <w:p w14:paraId="6672D4F0" w14:textId="7E0F2A90" w:rsidR="002129D5" w:rsidRDefault="002129D5" w:rsidP="007C4A17">
      <w:r>
        <w:t>To conclude, Excel is a versatile tool with significant relevance in professional and personal life. Its strengths include efficiency in calculations, project management, financial tracking and organisation. Its limitations such as collaboration challenged, human error and scalability required also critical evaluation. Practical experience demonstrates that Excel enhances productivity, decision making, financial literacy but users must critically assess its limitations and explore complementary tools when necessary. By combining practical application with reflective practice, Excel remains vital skills in modern life and workflow.</w:t>
      </w:r>
    </w:p>
    <w:p w14:paraId="1C896125" w14:textId="00267F26" w:rsidR="002129D5" w:rsidRDefault="002129D5" w:rsidP="007C4A17">
      <w:r>
        <w:t>References:</w:t>
      </w:r>
    </w:p>
    <w:p w14:paraId="5AA05AB1" w14:textId="77777777" w:rsidR="00BE1BDF" w:rsidRDefault="00BE1BDF" w:rsidP="007C4A17">
      <w:r>
        <w:t>OECD, 2023. Digital Education Outlook 2023: Towards an Effective Digital Education Ecosystem. Paris: OECD Publishing.</w:t>
      </w:r>
    </w:p>
    <w:p w14:paraId="5C77E873" w14:textId="00E3894C" w:rsidR="006E6534" w:rsidRDefault="006E6534" w:rsidP="007C4A17">
      <w:r w:rsidRPr="004B72B4">
        <w:t>Raymond R. Panko, R.R (2014) ‘Spreadsheet usage by management accountants: An exploratory study’, Journal of Accounting Education, 31(4), pp. 24-30.</w:t>
      </w:r>
    </w:p>
    <w:p w14:paraId="36F41DCC" w14:textId="2CFEF381" w:rsidR="004B72B4" w:rsidRPr="004B72B4" w:rsidRDefault="004B72B4" w:rsidP="007C4A17">
      <w:proofErr w:type="spellStart"/>
      <w:r>
        <w:t>Dheepiga</w:t>
      </w:r>
      <w:proofErr w:type="spellEnd"/>
      <w:r>
        <w:t>, S. and Sivakumar, N. (2025) ‘How financial literacy influences budgeting, investment and savings behaviours’, International Research Journal of Business Studies, 18(1), pp. 101-114.</w:t>
      </w:r>
    </w:p>
    <w:p w14:paraId="758A40C5" w14:textId="4E0E13F2" w:rsidR="006E6534" w:rsidRPr="004B72B4" w:rsidRDefault="006E6534" w:rsidP="007C4A17">
      <w:proofErr w:type="gramStart"/>
      <w:r w:rsidRPr="004B72B4">
        <w:t>JETIR(</w:t>
      </w:r>
      <w:proofErr w:type="gramEnd"/>
      <w:r w:rsidRPr="004B72B4">
        <w:t>2025)’Automation and error reduction in spreadsheet workflows’, Journal of Emerging Technologies and innovative research, 12(11).</w:t>
      </w:r>
    </w:p>
    <w:p w14:paraId="47E5A0DE" w14:textId="3B212D1D" w:rsidR="006E6534" w:rsidRPr="004B72B4" w:rsidRDefault="006E6534" w:rsidP="007C4A17">
      <w:r w:rsidRPr="004B72B4">
        <w:t xml:space="preserve">Rubin, SJ and Abrams, </w:t>
      </w:r>
      <w:proofErr w:type="gramStart"/>
      <w:r w:rsidRPr="004B72B4">
        <w:t>B.(</w:t>
      </w:r>
      <w:proofErr w:type="gramEnd"/>
      <w:r w:rsidRPr="004B72B4">
        <w:t>2015)’Teaching fundamental skills in Microsoft excel to first year students in quantitative analysis’, journal of chemical education, 92(11), pp 1980, 1845.</w:t>
      </w:r>
    </w:p>
    <w:p w14:paraId="7B816ED9" w14:textId="30A3A626" w:rsidR="004B72B4" w:rsidRDefault="004B72B4" w:rsidP="007C4A17">
      <w:pPr>
        <w:rPr>
          <w:rFonts w:cs="Arial"/>
          <w:color w:val="000000" w:themeColor="text1"/>
          <w:shd w:val="clear" w:color="auto" w:fill="FFFFFF"/>
        </w:rPr>
      </w:pPr>
      <w:r w:rsidRPr="004B72B4">
        <w:rPr>
          <w:rFonts w:cs="Arial"/>
          <w:color w:val="000000" w:themeColor="text1"/>
          <w:shd w:val="clear" w:color="auto" w:fill="FFFFFF"/>
        </w:rPr>
        <w:t>Hermans, F &amp; Murphy-Hill, E 2015, Enron's Spreadsheets and Related Emails: A Dataset and Analysis. in </w:t>
      </w:r>
      <w:r w:rsidRPr="004B72B4">
        <w:rPr>
          <w:rStyle w:val="Emphasis"/>
          <w:rFonts w:cs="Arial"/>
          <w:color w:val="000000" w:themeColor="text1"/>
          <w:shd w:val="clear" w:color="auto" w:fill="FFFFFF"/>
        </w:rPr>
        <w:t xml:space="preserve">Proceedings - 2015 IEEE/ACM 37th IEEE International Conference on </w:t>
      </w:r>
      <w:r w:rsidRPr="004B72B4">
        <w:rPr>
          <w:rStyle w:val="Emphasis"/>
          <w:rFonts w:cs="Arial"/>
          <w:color w:val="000000" w:themeColor="text1"/>
          <w:shd w:val="clear" w:color="auto" w:fill="FFFFFF"/>
        </w:rPr>
        <w:lastRenderedPageBreak/>
        <w:t>Software Engineering, ICSE 2015.</w:t>
      </w:r>
      <w:r w:rsidRPr="004B72B4">
        <w:rPr>
          <w:rFonts w:cs="Arial"/>
          <w:color w:val="000000" w:themeColor="text1"/>
          <w:shd w:val="clear" w:color="auto" w:fill="FFFFFF"/>
        </w:rPr>
        <w:t> vol. 2, 7202944, IEEE, pp. 7-16, ICSE 2015, Florence, Italy, </w:t>
      </w:r>
      <w:r w:rsidRPr="004B72B4">
        <w:rPr>
          <w:rStyle w:val="date"/>
          <w:rFonts w:cs="Arial"/>
          <w:color w:val="000000" w:themeColor="text1"/>
          <w:shd w:val="clear" w:color="auto" w:fill="FFFFFF"/>
        </w:rPr>
        <w:t>16/05/15</w:t>
      </w:r>
      <w:r w:rsidRPr="004B72B4">
        <w:rPr>
          <w:rFonts w:cs="Arial"/>
          <w:color w:val="000000" w:themeColor="text1"/>
          <w:shd w:val="clear" w:color="auto" w:fill="FFFFFF"/>
        </w:rPr>
        <w:t>. </w:t>
      </w:r>
      <w:hyperlink r:id="rId14" w:history="1">
        <w:r w:rsidRPr="00ED13AA">
          <w:rPr>
            <w:rStyle w:val="Hyperlink"/>
            <w:rFonts w:cs="Arial"/>
            <w:shd w:val="clear" w:color="auto" w:fill="FFFFFF"/>
          </w:rPr>
          <w:t>https://doi.org/10.1109/ICSE.2015.129</w:t>
        </w:r>
      </w:hyperlink>
    </w:p>
    <w:p w14:paraId="1533DE8E" w14:textId="1CCAA0FF" w:rsidR="004B72B4" w:rsidRDefault="004B72B4" w:rsidP="007C4A17">
      <w:r>
        <w:rPr>
          <w:rFonts w:cs="Arial"/>
          <w:color w:val="000000" w:themeColor="text1"/>
          <w:shd w:val="clear" w:color="auto" w:fill="FFFFFF"/>
        </w:rPr>
        <w:t xml:space="preserve">Microsoft (2024) Track your health and fitness goals in Excel. Available at : </w:t>
      </w:r>
      <w:hyperlink r:id="rId15" w:history="1">
        <w:r w:rsidRPr="004B72B4">
          <w:rPr>
            <w:color w:val="0000FF"/>
            <w:u w:val="single"/>
          </w:rPr>
          <w:t>Track your health and fitness goals in Excel - Microsoft Support</w:t>
        </w:r>
      </w:hyperlink>
      <w:r>
        <w:t>( Accessed: 10 March 2026).</w:t>
      </w:r>
    </w:p>
    <w:p w14:paraId="1ED168B8" w14:textId="08A2E805" w:rsidR="004B72B4" w:rsidRPr="004B72B4" w:rsidRDefault="000266F4" w:rsidP="007C4A17">
      <w:pPr>
        <w:rPr>
          <w:color w:val="000000" w:themeColor="text1"/>
        </w:rPr>
      </w:pPr>
      <w:r w:rsidRPr="000266F4">
        <w:rPr>
          <w:color w:val="000000" w:themeColor="text1"/>
        </w:rPr>
        <w:t xml:space="preserve">Poon, PL., Lau, M.F., Yu, Y.T. et al. Spreadsheet quality assurance: a literature review. Front. </w:t>
      </w:r>
      <w:proofErr w:type="spellStart"/>
      <w:r w:rsidRPr="000266F4">
        <w:rPr>
          <w:color w:val="000000" w:themeColor="text1"/>
        </w:rPr>
        <w:t>Comput</w:t>
      </w:r>
      <w:proofErr w:type="spellEnd"/>
      <w:r w:rsidRPr="000266F4">
        <w:rPr>
          <w:color w:val="000000" w:themeColor="text1"/>
        </w:rPr>
        <w:t>. Sci. 18, 182203 (2024). https://doi.org/10.1007/s11704-023-2384-6</w:t>
      </w:r>
    </w:p>
    <w:p w14:paraId="6593F7F6" w14:textId="77777777" w:rsidR="006E6534" w:rsidRDefault="006E6534" w:rsidP="007C4A17"/>
    <w:bookmarkStart w:id="7" w:name="_MON_1835105884"/>
    <w:bookmarkEnd w:id="7"/>
    <w:p w14:paraId="2B1F5969" w14:textId="380A6988" w:rsidR="00323433" w:rsidRDefault="00316842" w:rsidP="007C4A17">
      <w:r>
        <w:object w:dxaOrig="1508" w:dyaOrig="984" w14:anchorId="5B5137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75.65pt;height:49.4pt" o:ole="">
            <v:imagedata r:id="rId16" o:title=""/>
          </v:shape>
          <o:OLEObject Type="Embed" ProgID="Excel.Sheet.12" ShapeID="_x0000_i1046" DrawAspect="Icon" ObjectID="_1835123826" r:id="rId17"/>
        </w:object>
      </w:r>
    </w:p>
    <w:p w14:paraId="0F30064A" w14:textId="77777777" w:rsidR="004B2EB4" w:rsidRDefault="004B2EB4" w:rsidP="004B2EB4"/>
    <w:p w14:paraId="76A6EB16" w14:textId="11734BCF" w:rsidR="009D3D7B" w:rsidRDefault="00D731C3" w:rsidP="00D731C3">
      <w:pPr>
        <w:pStyle w:val="Heading1"/>
      </w:pPr>
      <w:bookmarkStart w:id="8" w:name="_Toc211605243"/>
      <w:r>
        <w:t>Task 4</w:t>
      </w:r>
      <w:bookmarkEnd w:id="8"/>
      <w:r>
        <w:t xml:space="preserve"> </w:t>
      </w:r>
    </w:p>
    <w:p w14:paraId="0992C3E8" w14:textId="5F590F25" w:rsidR="00D731C3" w:rsidRDefault="00D731C3" w:rsidP="00D731C3">
      <w:pPr>
        <w:pStyle w:val="Heading1"/>
      </w:pPr>
      <w:bookmarkStart w:id="9" w:name="_Toc211605244"/>
      <w:r w:rsidRPr="00D731C3">
        <w:t>7 Minute Reflective Presentation</w:t>
      </w:r>
      <w:bookmarkEnd w:id="9"/>
    </w:p>
    <w:p w14:paraId="117FE79F" w14:textId="0D296EB5" w:rsidR="00396FEA" w:rsidRDefault="00396FEA" w:rsidP="00396FEA">
      <w:r>
        <w:object w:dxaOrig="1508" w:dyaOrig="984" w14:anchorId="0988BDFE">
          <v:shape id="_x0000_i1042" type="#_x0000_t75" style="width:75.65pt;height:49.4pt" o:ole="">
            <v:imagedata r:id="rId18" o:title=""/>
          </v:shape>
          <o:OLEObject Type="Embed" ProgID="PowerPoint.Show.12" ShapeID="_x0000_i1042" DrawAspect="Icon" ObjectID="_1835123827" r:id="rId19"/>
        </w:object>
      </w:r>
    </w:p>
    <w:p w14:paraId="6764FF71" w14:textId="77777777" w:rsidR="00396FEA" w:rsidRPr="00396FEA" w:rsidRDefault="00396FEA" w:rsidP="00396FEA"/>
    <w:p w14:paraId="576A10A1" w14:textId="271B8656" w:rsidR="00106110" w:rsidRDefault="00106110" w:rsidP="00106110">
      <w:pPr>
        <w:pStyle w:val="Heading2"/>
      </w:pPr>
      <w:bookmarkStart w:id="10" w:name="_Toc211605245"/>
      <w:r w:rsidRPr="00106110">
        <w:t>References</w:t>
      </w:r>
      <w:bookmarkEnd w:id="10"/>
      <w:r w:rsidR="00396FEA">
        <w:t xml:space="preserve"> </w:t>
      </w:r>
    </w:p>
    <w:p w14:paraId="256EFF25" w14:textId="77777777" w:rsidR="00DA1781" w:rsidRDefault="00DA1781" w:rsidP="00DA1781">
      <w:r>
        <w:t xml:space="preserve">Bond, M., Bedenlier, S., Marin, V.I. and Handel, M., 2021. Emergence remote teaching in higher education: Mapping the first global online semester. International Journal of Educational Technology in Higher Education, 20(1), pp1-24. </w:t>
      </w:r>
    </w:p>
    <w:p w14:paraId="2E3EEA03" w14:textId="77777777" w:rsidR="00DA1781" w:rsidRDefault="00DA1781" w:rsidP="00DA1781">
      <w:proofErr w:type="spellStart"/>
      <w:r>
        <w:t>Kluzer</w:t>
      </w:r>
      <w:proofErr w:type="spellEnd"/>
      <w:r>
        <w:t xml:space="preserve">, S., </w:t>
      </w:r>
      <w:proofErr w:type="spellStart"/>
      <w:r>
        <w:t>Vourikari</w:t>
      </w:r>
      <w:proofErr w:type="spellEnd"/>
      <w:r>
        <w:t xml:space="preserve">, R. and Punie, Y., 2022. </w:t>
      </w:r>
      <w:proofErr w:type="spellStart"/>
      <w:r>
        <w:t>DigComp</w:t>
      </w:r>
      <w:proofErr w:type="spellEnd"/>
      <w:r>
        <w:t xml:space="preserve"> 2.2: The Digital Competence Framework for Citizens. Luxembourg: Publications Office of the European Union.</w:t>
      </w:r>
    </w:p>
    <w:p w14:paraId="3EA43813" w14:textId="77777777" w:rsidR="00DA1781" w:rsidRDefault="00DA1781" w:rsidP="00DA1781">
      <w:r>
        <w:t>Head, A.J. and Eisenberg, M.B., 2010. How college students evaluate and use information in the digital age. Journal of Information Literacy, 16(1), pp. 1-16.</w:t>
      </w:r>
    </w:p>
    <w:p w14:paraId="3D081994" w14:textId="77777777" w:rsidR="00DA1781" w:rsidRDefault="00DA1781" w:rsidP="00DA1781">
      <w:r>
        <w:t xml:space="preserve">OECD, 2023. OECD Digital Education Outlook 2023: Towards an Effective Digital Education Ecosystem. Paris: OECD Publishing. </w:t>
      </w:r>
    </w:p>
    <w:p w14:paraId="455DFDAC" w14:textId="7ACA1316" w:rsidR="00396FEA" w:rsidRPr="00396FEA" w:rsidRDefault="00DA1781" w:rsidP="00DA1781">
      <w:r>
        <w:t xml:space="preserve">Redecker, C. and Punie, Y., 2017. European framework for the digital competence of educators: </w:t>
      </w:r>
      <w:proofErr w:type="spellStart"/>
      <w:r>
        <w:t>DigCompEdu</w:t>
      </w:r>
      <w:proofErr w:type="spellEnd"/>
      <w:r>
        <w:t>. Luxembourg: Publications Office of the European Union.</w:t>
      </w:r>
    </w:p>
    <w:sectPr w:rsidR="00396FEA" w:rsidRPr="00396F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AA584" w14:textId="77777777" w:rsidR="00764B2A" w:rsidRDefault="00764B2A">
      <w:pPr>
        <w:spacing w:after="0" w:line="240" w:lineRule="auto"/>
      </w:pPr>
    </w:p>
  </w:endnote>
  <w:endnote w:type="continuationSeparator" w:id="0">
    <w:p w14:paraId="2A7BE40F" w14:textId="77777777" w:rsidR="00764B2A" w:rsidRDefault="00764B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890FB" w14:textId="77777777" w:rsidR="00764B2A" w:rsidRDefault="00764B2A">
      <w:pPr>
        <w:spacing w:after="0" w:line="240" w:lineRule="auto"/>
      </w:pPr>
    </w:p>
  </w:footnote>
  <w:footnote w:type="continuationSeparator" w:id="0">
    <w:p w14:paraId="4303E5D3" w14:textId="77777777" w:rsidR="00764B2A" w:rsidRDefault="00764B2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266F4"/>
    <w:rsid w:val="00062E54"/>
    <w:rsid w:val="00063DE0"/>
    <w:rsid w:val="0009460F"/>
    <w:rsid w:val="000A2F53"/>
    <w:rsid w:val="000D5600"/>
    <w:rsid w:val="000D7BE6"/>
    <w:rsid w:val="000E6648"/>
    <w:rsid w:val="00106110"/>
    <w:rsid w:val="00170E20"/>
    <w:rsid w:val="002069C8"/>
    <w:rsid w:val="002129D5"/>
    <w:rsid w:val="00230066"/>
    <w:rsid w:val="002B3E14"/>
    <w:rsid w:val="002C5822"/>
    <w:rsid w:val="00316842"/>
    <w:rsid w:val="00323433"/>
    <w:rsid w:val="0032757A"/>
    <w:rsid w:val="0034065B"/>
    <w:rsid w:val="00346D29"/>
    <w:rsid w:val="00365B7D"/>
    <w:rsid w:val="0037767A"/>
    <w:rsid w:val="00396FEA"/>
    <w:rsid w:val="003B1CCA"/>
    <w:rsid w:val="003F743F"/>
    <w:rsid w:val="004148B2"/>
    <w:rsid w:val="004172D9"/>
    <w:rsid w:val="00495745"/>
    <w:rsid w:val="004B2EB4"/>
    <w:rsid w:val="004B5094"/>
    <w:rsid w:val="004B72B4"/>
    <w:rsid w:val="004C243A"/>
    <w:rsid w:val="00521B81"/>
    <w:rsid w:val="0052249A"/>
    <w:rsid w:val="005762AF"/>
    <w:rsid w:val="00592EF0"/>
    <w:rsid w:val="005A2F3A"/>
    <w:rsid w:val="005D2291"/>
    <w:rsid w:val="00615DF9"/>
    <w:rsid w:val="0065112E"/>
    <w:rsid w:val="0065275D"/>
    <w:rsid w:val="00661B55"/>
    <w:rsid w:val="00662098"/>
    <w:rsid w:val="00687315"/>
    <w:rsid w:val="00692160"/>
    <w:rsid w:val="006E3D2A"/>
    <w:rsid w:val="006E6534"/>
    <w:rsid w:val="007067BA"/>
    <w:rsid w:val="0071484F"/>
    <w:rsid w:val="00746DC1"/>
    <w:rsid w:val="00764B2A"/>
    <w:rsid w:val="007C4A17"/>
    <w:rsid w:val="0088423F"/>
    <w:rsid w:val="008A750E"/>
    <w:rsid w:val="008C58DD"/>
    <w:rsid w:val="008E1873"/>
    <w:rsid w:val="009258AD"/>
    <w:rsid w:val="00933E14"/>
    <w:rsid w:val="0096562C"/>
    <w:rsid w:val="009A43BF"/>
    <w:rsid w:val="009B2C40"/>
    <w:rsid w:val="009D3D7B"/>
    <w:rsid w:val="009D77F0"/>
    <w:rsid w:val="009F3A57"/>
    <w:rsid w:val="00A211A4"/>
    <w:rsid w:val="00A27472"/>
    <w:rsid w:val="00A33BC2"/>
    <w:rsid w:val="00AA3464"/>
    <w:rsid w:val="00AB0A7F"/>
    <w:rsid w:val="00AD11A2"/>
    <w:rsid w:val="00AE21AF"/>
    <w:rsid w:val="00AF0471"/>
    <w:rsid w:val="00BC16DA"/>
    <w:rsid w:val="00BE1BDF"/>
    <w:rsid w:val="00BE6EA5"/>
    <w:rsid w:val="00C20BD9"/>
    <w:rsid w:val="00C26DBD"/>
    <w:rsid w:val="00CD0191"/>
    <w:rsid w:val="00D62844"/>
    <w:rsid w:val="00D731C3"/>
    <w:rsid w:val="00D8531B"/>
    <w:rsid w:val="00D940FB"/>
    <w:rsid w:val="00DA1781"/>
    <w:rsid w:val="00DD389E"/>
    <w:rsid w:val="00DE332A"/>
    <w:rsid w:val="00DE7D43"/>
    <w:rsid w:val="00DF071C"/>
    <w:rsid w:val="00E71DB8"/>
    <w:rsid w:val="00EA54DD"/>
    <w:rsid w:val="00EA67B6"/>
    <w:rsid w:val="00F07F9F"/>
    <w:rsid w:val="00F2018B"/>
    <w:rsid w:val="00F22768"/>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662098"/>
    <w:rPr>
      <w:rFonts w:ascii="Times New Roman" w:hAnsi="Times New Roman" w:cs="Times New Roman"/>
    </w:rPr>
  </w:style>
  <w:style w:type="character" w:styleId="Emphasis">
    <w:name w:val="Emphasis"/>
    <w:basedOn w:val="DefaultParagraphFont"/>
    <w:uiPriority w:val="20"/>
    <w:qFormat/>
    <w:rsid w:val="004B72B4"/>
    <w:rPr>
      <w:i/>
      <w:iCs/>
    </w:rPr>
  </w:style>
  <w:style w:type="character" w:customStyle="1" w:styleId="date">
    <w:name w:val="date"/>
    <w:basedOn w:val="DefaultParagraphFont"/>
    <w:rsid w:val="004B72B4"/>
  </w:style>
  <w:style w:type="character" w:styleId="UnresolvedMention">
    <w:name w:val="Unresolved Mention"/>
    <w:basedOn w:val="DefaultParagraphFont"/>
    <w:uiPriority w:val="99"/>
    <w:semiHidden/>
    <w:unhideWhenUsed/>
    <w:rsid w:val="004B72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1767628">
      <w:bodyDiv w:val="1"/>
      <w:marLeft w:val="0"/>
      <w:marRight w:val="0"/>
      <w:marTop w:val="0"/>
      <w:marBottom w:val="0"/>
      <w:divBdr>
        <w:top w:val="none" w:sz="0" w:space="0" w:color="auto"/>
        <w:left w:val="none" w:sz="0" w:space="0" w:color="auto"/>
        <w:bottom w:val="none" w:sz="0" w:space="0" w:color="auto"/>
        <w:right w:val="none" w:sz="0" w:space="0" w:color="auto"/>
      </w:divBdr>
      <w:divsChild>
        <w:div w:id="1111704301">
          <w:marLeft w:val="0"/>
          <w:marRight w:val="0"/>
          <w:marTop w:val="0"/>
          <w:marBottom w:val="0"/>
          <w:divBdr>
            <w:top w:val="none" w:sz="0" w:space="0" w:color="auto"/>
            <w:left w:val="none" w:sz="0" w:space="0" w:color="auto"/>
            <w:bottom w:val="none" w:sz="0" w:space="0" w:color="auto"/>
            <w:right w:val="none" w:sz="0" w:space="0" w:color="auto"/>
          </w:divBdr>
          <w:divsChild>
            <w:div w:id="945389212">
              <w:marLeft w:val="0"/>
              <w:marRight w:val="0"/>
              <w:marTop w:val="0"/>
              <w:marBottom w:val="0"/>
              <w:divBdr>
                <w:top w:val="none" w:sz="0" w:space="0" w:color="auto"/>
                <w:left w:val="none" w:sz="0" w:space="0" w:color="auto"/>
                <w:bottom w:val="none" w:sz="0" w:space="0" w:color="auto"/>
                <w:right w:val="none" w:sz="0" w:space="0" w:color="auto"/>
              </w:divBdr>
              <w:divsChild>
                <w:div w:id="369651000">
                  <w:marLeft w:val="0"/>
                  <w:marRight w:val="0"/>
                  <w:marTop w:val="0"/>
                  <w:marBottom w:val="0"/>
                  <w:divBdr>
                    <w:top w:val="none" w:sz="0" w:space="0" w:color="auto"/>
                    <w:left w:val="none" w:sz="0" w:space="0" w:color="auto"/>
                    <w:bottom w:val="none" w:sz="0" w:space="0" w:color="auto"/>
                    <w:right w:val="none" w:sz="0" w:space="0" w:color="auto"/>
                  </w:divBdr>
                  <w:divsChild>
                    <w:div w:id="20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141282">
      <w:bodyDiv w:val="1"/>
      <w:marLeft w:val="0"/>
      <w:marRight w:val="0"/>
      <w:marTop w:val="0"/>
      <w:marBottom w:val="0"/>
      <w:divBdr>
        <w:top w:val="none" w:sz="0" w:space="0" w:color="auto"/>
        <w:left w:val="none" w:sz="0" w:space="0" w:color="auto"/>
        <w:bottom w:val="none" w:sz="0" w:space="0" w:color="auto"/>
        <w:right w:val="none" w:sz="0" w:space="0" w:color="auto"/>
      </w:divBdr>
      <w:divsChild>
        <w:div w:id="623922651">
          <w:marLeft w:val="0"/>
          <w:marRight w:val="0"/>
          <w:marTop w:val="0"/>
          <w:marBottom w:val="0"/>
          <w:divBdr>
            <w:top w:val="none" w:sz="0" w:space="0" w:color="auto"/>
            <w:left w:val="none" w:sz="0" w:space="0" w:color="auto"/>
            <w:bottom w:val="none" w:sz="0" w:space="0" w:color="auto"/>
            <w:right w:val="none" w:sz="0" w:space="0" w:color="auto"/>
          </w:divBdr>
          <w:divsChild>
            <w:div w:id="41515041">
              <w:marLeft w:val="0"/>
              <w:marRight w:val="0"/>
              <w:marTop w:val="0"/>
              <w:marBottom w:val="0"/>
              <w:divBdr>
                <w:top w:val="none" w:sz="0" w:space="0" w:color="auto"/>
                <w:left w:val="none" w:sz="0" w:space="0" w:color="auto"/>
                <w:bottom w:val="none" w:sz="0" w:space="0" w:color="auto"/>
                <w:right w:val="none" w:sz="0" w:space="0" w:color="auto"/>
              </w:divBdr>
              <w:divsChild>
                <w:div w:id="1138032737">
                  <w:marLeft w:val="0"/>
                  <w:marRight w:val="0"/>
                  <w:marTop w:val="0"/>
                  <w:marBottom w:val="0"/>
                  <w:divBdr>
                    <w:top w:val="none" w:sz="0" w:space="0" w:color="auto"/>
                    <w:left w:val="none" w:sz="0" w:space="0" w:color="auto"/>
                    <w:bottom w:val="none" w:sz="0" w:space="0" w:color="auto"/>
                    <w:right w:val="none" w:sz="0" w:space="0" w:color="auto"/>
                  </w:divBdr>
                  <w:divsChild>
                    <w:div w:id="12420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9.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package" Target="embeddings/Microsoft_Excel_Worksheet.xlsx"/><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support.microsoft.com/en-gb/office/track-your-health-and-fitness-goals-in-excel-322af086-734b-4837-ba4f-410c6bceccd4" TargetMode="External"/><Relationship Id="rId10" Type="http://schemas.openxmlformats.org/officeDocument/2006/relationships/image" Target="media/image4.jpg"/><Relationship Id="rId19"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doi.org/10.1109/ICSE.2015.1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2518</Words>
  <Characters>14358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Cosmina Ramona Adamache (2528497)</cp:lastModifiedBy>
  <cp:revision>3</cp:revision>
  <dcterms:created xsi:type="dcterms:W3CDTF">2026-03-15T23:48:00Z</dcterms:created>
  <dcterms:modified xsi:type="dcterms:W3CDTF">2026-03-15T23:50:00Z</dcterms:modified>
</cp:coreProperties>
</file>