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C7C8F" w14:textId="77777777" w:rsidR="008628FF" w:rsidRDefault="008628FF"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p>
    <w:p w14:paraId="1A6078DC" w14:textId="77777777" w:rsidR="007E1DD5" w:rsidRPr="003C7EB8" w:rsidRDefault="00777DAE" w:rsidP="00BC24F8">
      <w:pPr>
        <w:jc w:val="center"/>
        <w:rPr>
          <w:rStyle w:val="s8"/>
          <w:rFonts w:ascii="Aptos" w:eastAsia="Times New Roman" w:hAnsi="Aptos"/>
          <w:b/>
          <w:bCs/>
          <w:color w:val="000000" w:themeColor="text1"/>
          <w:sz w:val="45"/>
          <w:szCs w:val="45"/>
        </w:rPr>
      </w:pPr>
      <w:r w:rsidRPr="003C7EB8">
        <w:rPr>
          <w:rStyle w:val="s8"/>
          <w:rFonts w:ascii="Aptos" w:eastAsia="Times New Roman" w:hAnsi="Aptos"/>
          <w:b/>
          <w:bCs/>
          <w:color w:val="000000" w:themeColor="text1"/>
          <w:sz w:val="45"/>
          <w:szCs w:val="45"/>
        </w:rPr>
        <w:t>Name: Mohammad Ilyas</w:t>
      </w:r>
      <w:r w:rsidRPr="003C7EB8">
        <w:rPr>
          <w:rFonts w:ascii="Aptos Display" w:eastAsia="Times New Roman" w:hAnsi="Aptos Display"/>
          <w:b/>
          <w:bCs/>
          <w:color w:val="000000" w:themeColor="text1"/>
          <w:sz w:val="45"/>
          <w:szCs w:val="45"/>
        </w:rPr>
        <w:br/>
      </w:r>
      <w:r w:rsidRPr="003C7EB8">
        <w:rPr>
          <w:rStyle w:val="s8"/>
          <w:rFonts w:ascii="Aptos" w:eastAsia="Times New Roman" w:hAnsi="Aptos"/>
          <w:b/>
          <w:bCs/>
          <w:color w:val="000000" w:themeColor="text1"/>
          <w:sz w:val="45"/>
          <w:szCs w:val="45"/>
        </w:rPr>
        <w:t>Student Number: 2029045</w:t>
      </w:r>
      <w:r w:rsidRPr="003C7EB8">
        <w:rPr>
          <w:rFonts w:ascii="Aptos Display" w:eastAsia="Times New Roman" w:hAnsi="Aptos Display"/>
          <w:b/>
          <w:bCs/>
          <w:color w:val="000000" w:themeColor="text1"/>
          <w:sz w:val="45"/>
          <w:szCs w:val="45"/>
        </w:rPr>
        <w:br/>
      </w:r>
      <w:r w:rsidRPr="003C7EB8">
        <w:rPr>
          <w:rStyle w:val="s8"/>
          <w:rFonts w:ascii="Aptos" w:eastAsia="Times New Roman" w:hAnsi="Aptos"/>
          <w:b/>
          <w:bCs/>
          <w:color w:val="000000" w:themeColor="text1"/>
          <w:sz w:val="45"/>
          <w:szCs w:val="45"/>
        </w:rPr>
        <w:t>Lecturer Name: Dr Fahad khan</w:t>
      </w:r>
      <w:r w:rsidRPr="003C7EB8">
        <w:rPr>
          <w:rFonts w:ascii="Aptos Display" w:eastAsia="Times New Roman" w:hAnsi="Aptos Display"/>
          <w:b/>
          <w:bCs/>
          <w:color w:val="000000" w:themeColor="text1"/>
          <w:sz w:val="45"/>
          <w:szCs w:val="45"/>
        </w:rPr>
        <w:br/>
      </w:r>
      <w:r w:rsidRPr="003C7EB8">
        <w:rPr>
          <w:rStyle w:val="s8"/>
          <w:rFonts w:ascii="Aptos" w:eastAsia="Times New Roman" w:hAnsi="Aptos"/>
          <w:b/>
          <w:bCs/>
          <w:color w:val="000000" w:themeColor="text1"/>
          <w:sz w:val="45"/>
          <w:szCs w:val="45"/>
        </w:rPr>
        <w:t>Module: Quality assurance and service improvements</w:t>
      </w:r>
    </w:p>
    <w:p w14:paraId="59E3F000" w14:textId="7118E2B2" w:rsidR="004C4829" w:rsidRDefault="007E1DD5" w:rsidP="00BC24F8">
      <w:pPr>
        <w:jc w:val="center"/>
        <w:rPr>
          <w:rStyle w:val="s8"/>
          <w:rFonts w:ascii="Aptos" w:eastAsia="Times New Roman" w:hAnsi="Aptos"/>
          <w:color w:val="FFFFFF"/>
          <w:sz w:val="45"/>
          <w:szCs w:val="45"/>
        </w:rPr>
      </w:pPr>
      <w:r w:rsidRPr="003C7EB8">
        <w:rPr>
          <w:rStyle w:val="s8"/>
          <w:rFonts w:ascii="Aptos" w:eastAsia="Times New Roman" w:hAnsi="Aptos"/>
          <w:b/>
          <w:bCs/>
          <w:color w:val="000000" w:themeColor="text1"/>
          <w:sz w:val="45"/>
          <w:szCs w:val="45"/>
        </w:rPr>
        <w:t xml:space="preserve">Module code: </w:t>
      </w:r>
      <w:r w:rsidR="005B26EF" w:rsidRPr="003C7EB8">
        <w:rPr>
          <w:rStyle w:val="s8"/>
          <w:rFonts w:ascii="Aptos" w:eastAsia="Times New Roman" w:hAnsi="Aptos"/>
          <w:b/>
          <w:bCs/>
          <w:color w:val="000000" w:themeColor="text1"/>
          <w:sz w:val="45"/>
          <w:szCs w:val="45"/>
        </w:rPr>
        <w:t>LCHS7006</w:t>
      </w:r>
      <w:r w:rsidR="00777DAE" w:rsidRPr="004C4829">
        <w:rPr>
          <w:rFonts w:ascii="Aptos Display" w:eastAsia="Times New Roman" w:hAnsi="Aptos Display"/>
          <w:color w:val="000000" w:themeColor="text1"/>
          <w:sz w:val="45"/>
          <w:szCs w:val="45"/>
        </w:rPr>
        <w:br/>
      </w:r>
      <w:r w:rsidR="00777DAE">
        <w:rPr>
          <w:rStyle w:val="s8"/>
          <w:rFonts w:ascii="Aptos" w:eastAsia="Times New Roman" w:hAnsi="Aptos"/>
          <w:color w:val="FFFFFF"/>
          <w:sz w:val="45"/>
          <w:szCs w:val="45"/>
        </w:rPr>
        <w:t>Module code:</w:t>
      </w:r>
    </w:p>
    <w:p w14:paraId="470982AD" w14:textId="77777777" w:rsidR="004C4829" w:rsidRDefault="004C4829">
      <w:pPr>
        <w:rPr>
          <w:rStyle w:val="s8"/>
          <w:rFonts w:ascii="Aptos" w:eastAsia="Times New Roman" w:hAnsi="Aptos"/>
          <w:color w:val="FFFFFF"/>
          <w:sz w:val="45"/>
          <w:szCs w:val="45"/>
        </w:rPr>
      </w:pPr>
    </w:p>
    <w:p w14:paraId="052039F2" w14:textId="77777777" w:rsidR="004C4829" w:rsidRDefault="004C4829">
      <w:pPr>
        <w:rPr>
          <w:rStyle w:val="s8"/>
          <w:rFonts w:ascii="Aptos" w:eastAsia="Times New Roman" w:hAnsi="Aptos"/>
          <w:color w:val="FFFFFF"/>
          <w:sz w:val="45"/>
          <w:szCs w:val="45"/>
        </w:rPr>
      </w:pPr>
    </w:p>
    <w:p w14:paraId="19D71426" w14:textId="77777777" w:rsidR="004C4829" w:rsidRDefault="004C4829">
      <w:pPr>
        <w:rPr>
          <w:rStyle w:val="s8"/>
          <w:rFonts w:ascii="Aptos" w:eastAsia="Times New Roman" w:hAnsi="Aptos"/>
          <w:color w:val="FFFFFF"/>
          <w:sz w:val="45"/>
          <w:szCs w:val="45"/>
        </w:rPr>
      </w:pPr>
    </w:p>
    <w:p w14:paraId="2A72ABD3" w14:textId="77777777" w:rsidR="004C4829" w:rsidRDefault="004C4829">
      <w:pPr>
        <w:rPr>
          <w:rStyle w:val="s8"/>
          <w:rFonts w:ascii="Aptos" w:eastAsia="Times New Roman" w:hAnsi="Aptos"/>
          <w:color w:val="FFFFFF"/>
          <w:sz w:val="45"/>
          <w:szCs w:val="45"/>
        </w:rPr>
      </w:pPr>
    </w:p>
    <w:p w14:paraId="205108A5" w14:textId="77777777" w:rsidR="004C4829" w:rsidRDefault="004C4829">
      <w:pPr>
        <w:rPr>
          <w:rStyle w:val="s8"/>
          <w:rFonts w:ascii="Aptos" w:eastAsia="Times New Roman" w:hAnsi="Aptos"/>
          <w:color w:val="FFFFFF"/>
          <w:sz w:val="45"/>
          <w:szCs w:val="45"/>
        </w:rPr>
      </w:pPr>
    </w:p>
    <w:p w14:paraId="324DA5D1" w14:textId="77777777" w:rsidR="004C4829" w:rsidRDefault="004C4829">
      <w:pPr>
        <w:rPr>
          <w:rStyle w:val="s8"/>
          <w:rFonts w:ascii="Aptos" w:eastAsia="Times New Roman" w:hAnsi="Aptos"/>
          <w:color w:val="FFFFFF"/>
          <w:sz w:val="45"/>
          <w:szCs w:val="45"/>
        </w:rPr>
      </w:pPr>
    </w:p>
    <w:p w14:paraId="750920C0" w14:textId="77777777" w:rsidR="004C4829" w:rsidRDefault="004C4829">
      <w:pPr>
        <w:rPr>
          <w:rStyle w:val="s8"/>
          <w:rFonts w:ascii="Aptos" w:eastAsia="Times New Roman" w:hAnsi="Aptos"/>
          <w:color w:val="FFFFFF"/>
          <w:sz w:val="45"/>
          <w:szCs w:val="45"/>
        </w:rPr>
      </w:pPr>
    </w:p>
    <w:p w14:paraId="2E9C856C" w14:textId="77777777" w:rsidR="004C4829" w:rsidRDefault="004C4829">
      <w:pPr>
        <w:rPr>
          <w:rStyle w:val="s8"/>
          <w:rFonts w:ascii="Aptos" w:eastAsia="Times New Roman" w:hAnsi="Aptos"/>
          <w:color w:val="FFFFFF"/>
          <w:sz w:val="45"/>
          <w:szCs w:val="45"/>
        </w:rPr>
      </w:pPr>
    </w:p>
    <w:p w14:paraId="238EF907" w14:textId="77777777" w:rsidR="004C4829" w:rsidRDefault="004C4829">
      <w:pPr>
        <w:rPr>
          <w:rStyle w:val="s8"/>
          <w:rFonts w:ascii="Aptos" w:eastAsia="Times New Roman" w:hAnsi="Aptos"/>
          <w:color w:val="FFFFFF"/>
          <w:sz w:val="45"/>
          <w:szCs w:val="45"/>
        </w:rPr>
      </w:pPr>
    </w:p>
    <w:p w14:paraId="3D34E95D" w14:textId="77777777" w:rsidR="004C4829" w:rsidRDefault="004C4829">
      <w:pPr>
        <w:rPr>
          <w:rStyle w:val="s8"/>
          <w:rFonts w:ascii="Aptos" w:eastAsia="Times New Roman" w:hAnsi="Aptos"/>
          <w:color w:val="FFFFFF"/>
          <w:sz w:val="45"/>
          <w:szCs w:val="45"/>
        </w:rPr>
      </w:pPr>
    </w:p>
    <w:p w14:paraId="3E5D5C5A" w14:textId="77777777" w:rsidR="00F03DE3" w:rsidRDefault="00F03DE3" w:rsidP="00F03DE3">
      <w:pPr>
        <w:rPr>
          <w:rStyle w:val="s8"/>
          <w:rFonts w:ascii="Aptos" w:eastAsia="Times New Roman" w:hAnsi="Aptos"/>
          <w:color w:val="FFFFFF"/>
          <w:sz w:val="45"/>
          <w:szCs w:val="45"/>
        </w:rPr>
      </w:pPr>
    </w:p>
    <w:p w14:paraId="21C769AC" w14:textId="63152C9D" w:rsidR="005A2E14" w:rsidRPr="00293DB3" w:rsidRDefault="005A2E14" w:rsidP="00F03DE3">
      <w:pPr>
        <w:rPr>
          <w:rFonts w:ascii="Arial" w:eastAsia="Times New Roman" w:hAnsi="Arial" w:cs="Arial"/>
          <w:b/>
          <w:bCs/>
          <w:kern w:val="0"/>
          <w:sz w:val="22"/>
          <w:szCs w:val="22"/>
          <w14:ligatures w14:val="none"/>
        </w:rPr>
      </w:pPr>
      <w:r w:rsidRPr="00293DB3">
        <w:rPr>
          <w:rFonts w:ascii="Arial" w:eastAsia="Times New Roman" w:hAnsi="Arial" w:cs="Arial"/>
          <w:b/>
          <w:bCs/>
          <w:kern w:val="0"/>
          <w:sz w:val="22"/>
          <w:szCs w:val="22"/>
          <w14:ligatures w14:val="none"/>
        </w:rPr>
        <w:lastRenderedPageBreak/>
        <w:t>Introduction</w:t>
      </w:r>
    </w:p>
    <w:p w14:paraId="43719274" w14:textId="141D5B50" w:rsidR="005A2E14" w:rsidRPr="00293DB3" w:rsidRDefault="005A2E14" w:rsidP="00E577C3">
      <w:pPr>
        <w:spacing w:before="100" w:beforeAutospacing="1" w:after="100" w:afterAutospacing="1" w:line="360" w:lineRule="auto"/>
        <w:rPr>
          <w:rFonts w:ascii="Arial" w:hAnsi="Arial" w:cs="Arial"/>
          <w:kern w:val="0"/>
          <w:sz w:val="22"/>
          <w:szCs w:val="22"/>
          <w14:ligatures w14:val="none"/>
        </w:rPr>
      </w:pPr>
      <w:r w:rsidRPr="00293DB3">
        <w:rPr>
          <w:rFonts w:ascii="Arial" w:hAnsi="Arial" w:cs="Arial"/>
          <w:kern w:val="0"/>
          <w:sz w:val="22"/>
          <w:szCs w:val="22"/>
          <w14:ligatures w14:val="none"/>
        </w:rPr>
        <w:t xml:space="preserve">Quality management and patient safety are fundamental components of effective health and social care systems, ensuring that services are safe, effective, and centred on patient needs. Failures in quality assurance can lead to significant harm, loss of trust, and systemic inefficiencies. One of the most significant examples of such failure within the UK healthcare system is the </w:t>
      </w:r>
      <w:r w:rsidRPr="00293DB3">
        <w:rPr>
          <w:rFonts w:ascii="Arial" w:hAnsi="Arial" w:cs="Arial"/>
          <w:color w:val="000000" w:themeColor="text1"/>
          <w:kern w:val="0"/>
          <w:sz w:val="22"/>
          <w:szCs w:val="22"/>
          <w14:ligatures w14:val="none"/>
        </w:rPr>
        <w:t>Bristol Royal Infirmary Inquiry</w:t>
      </w:r>
      <w:r w:rsidRPr="00293DB3">
        <w:rPr>
          <w:rFonts w:ascii="Arial" w:hAnsi="Arial" w:cs="Arial"/>
          <w:kern w:val="0"/>
          <w:sz w:val="22"/>
          <w:szCs w:val="22"/>
          <w14:ligatures w14:val="none"/>
        </w:rPr>
        <w:t>, which investigated paediatric cardiac surgery outcomes between 1984 and 1995. The Inquiry revealed unusually high mortality rates among children undergoing complex heart surgery, alongside serious deficiencies in clinical governance, communication, and organisational accountability (Kennedy, 2001).</w:t>
      </w:r>
    </w:p>
    <w:p w14:paraId="2BF9CA76" w14:textId="44A055B0" w:rsidR="005A2E14" w:rsidRPr="00293DB3" w:rsidRDefault="005A2E14" w:rsidP="00E577C3">
      <w:pPr>
        <w:spacing w:before="100" w:beforeAutospacing="1" w:after="100" w:afterAutospacing="1" w:line="360" w:lineRule="auto"/>
        <w:rPr>
          <w:rFonts w:ascii="Arial" w:hAnsi="Arial" w:cs="Arial"/>
          <w:kern w:val="0"/>
          <w:sz w:val="22"/>
          <w:szCs w:val="22"/>
          <w14:ligatures w14:val="none"/>
        </w:rPr>
      </w:pPr>
      <w:r w:rsidRPr="00293DB3">
        <w:rPr>
          <w:rFonts w:ascii="Arial" w:hAnsi="Arial" w:cs="Arial"/>
          <w:kern w:val="0"/>
          <w:sz w:val="22"/>
          <w:szCs w:val="22"/>
          <w14:ligatures w14:val="none"/>
        </w:rPr>
        <w:t>The Bristol case represents a major public health concern as it highlights how systemic weaknesses in healthcare delivery can result in avoidable harm. At the time, there was a lack of structured clinical audit, limited transparency in performance data, and a professional culture that discouraged questioning of senior clinicians. These factors contributed to a failure in identifying and addressing poor surgical outcomes in a timely manner. As a result, unsafe practices continued for several years, demonstrating the consequences of weak quality management systems (Department of Health, 2000). The case therefore provides a critical foundation for analysing how healthcare organisations can improve service delivery through effective governance, accountability, and continuous learning.</w:t>
      </w:r>
    </w:p>
    <w:p w14:paraId="238600E1" w14:textId="42AEBD48" w:rsidR="005A2E14" w:rsidRPr="00293DB3" w:rsidRDefault="005A2E14" w:rsidP="00E577C3">
      <w:pPr>
        <w:spacing w:before="100" w:beforeAutospacing="1" w:after="100" w:afterAutospacing="1" w:line="360" w:lineRule="auto"/>
        <w:rPr>
          <w:rFonts w:ascii="Arial" w:hAnsi="Arial" w:cs="Arial"/>
          <w:kern w:val="0"/>
          <w:sz w:val="22"/>
          <w:szCs w:val="22"/>
          <w14:ligatures w14:val="none"/>
        </w:rPr>
      </w:pPr>
      <w:r w:rsidRPr="00293DB3">
        <w:rPr>
          <w:rFonts w:ascii="Arial" w:hAnsi="Arial" w:cs="Arial"/>
          <w:kern w:val="0"/>
          <w:sz w:val="22"/>
          <w:szCs w:val="22"/>
          <w14:ligatures w14:val="none"/>
        </w:rPr>
        <w:t xml:space="preserve">This report aims to analyse the root causes of the quality failures identified in the Bristol Royal Infirmary Inquiry using established theoretical frameworks and quality management approaches. Specifically, models such as Root Cause Analysis, the Fishbone Diagram, and the 5 Whys technique will be applied to systematically identify underlying causes of failure. In addition, the </w:t>
      </w:r>
      <w:proofErr w:type="spellStart"/>
      <w:r w:rsidRPr="00293DB3">
        <w:rPr>
          <w:rFonts w:ascii="Arial" w:hAnsi="Arial" w:cs="Arial"/>
          <w:kern w:val="0"/>
          <w:sz w:val="22"/>
          <w:szCs w:val="22"/>
          <w14:ligatures w14:val="none"/>
        </w:rPr>
        <w:t>Donabedian</w:t>
      </w:r>
      <w:proofErr w:type="spellEnd"/>
      <w:r w:rsidRPr="00293DB3">
        <w:rPr>
          <w:rFonts w:ascii="Arial" w:hAnsi="Arial" w:cs="Arial"/>
          <w:kern w:val="0"/>
          <w:sz w:val="22"/>
          <w:szCs w:val="22"/>
          <w14:ligatures w14:val="none"/>
        </w:rPr>
        <w:t xml:space="preserve"> Model will be used to evaluate how structural and procedural weaknesses contributed to poor patient outcomes. These frameworks enable a comprehensive understanding of how different elements within the healthcare system interact to influence quality and safety (</w:t>
      </w:r>
      <w:proofErr w:type="spellStart"/>
      <w:r w:rsidRPr="00293DB3">
        <w:rPr>
          <w:rFonts w:ascii="Arial" w:hAnsi="Arial" w:cs="Arial"/>
          <w:kern w:val="0"/>
          <w:sz w:val="22"/>
          <w:szCs w:val="22"/>
          <w14:ligatures w14:val="none"/>
        </w:rPr>
        <w:t>Donabedian</w:t>
      </w:r>
      <w:proofErr w:type="spellEnd"/>
      <w:r w:rsidRPr="00293DB3">
        <w:rPr>
          <w:rFonts w:ascii="Arial" w:hAnsi="Arial" w:cs="Arial"/>
          <w:kern w:val="0"/>
          <w:sz w:val="22"/>
          <w:szCs w:val="22"/>
          <w14:ligatures w14:val="none"/>
        </w:rPr>
        <w:t>, 1988; Reason, 2000).</w:t>
      </w:r>
    </w:p>
    <w:p w14:paraId="31F5A40C" w14:textId="0D04FC4E" w:rsidR="005A2E14" w:rsidRPr="00293DB3" w:rsidRDefault="005A2E14" w:rsidP="00E577C3">
      <w:pPr>
        <w:spacing w:before="100" w:beforeAutospacing="1" w:after="100" w:afterAutospacing="1" w:line="360" w:lineRule="auto"/>
        <w:rPr>
          <w:rFonts w:ascii="Arial" w:hAnsi="Arial" w:cs="Arial"/>
          <w:kern w:val="0"/>
          <w:sz w:val="22"/>
          <w:szCs w:val="22"/>
          <w14:ligatures w14:val="none"/>
        </w:rPr>
      </w:pPr>
      <w:r w:rsidRPr="00293DB3">
        <w:rPr>
          <w:rFonts w:ascii="Arial" w:hAnsi="Arial" w:cs="Arial"/>
          <w:kern w:val="0"/>
          <w:sz w:val="22"/>
          <w:szCs w:val="22"/>
          <w14:ligatures w14:val="none"/>
        </w:rPr>
        <w:t>Furthermore, the report will examine the wider policy context that contributed to these failures, including the absence of robust clinical governance frameworks and limited regulatory oversight at the time. Strategic analysis tools such as SWOT will also be applied to assess organisational strengths, weaknesses, opportunities, and threats, supporting the development of evidence-based improvement strategies. The discussion will be supported by relevant literature and real-world examples to ensure a critical and analytical approach.</w:t>
      </w:r>
    </w:p>
    <w:p w14:paraId="616F4FB2" w14:textId="43E407AF" w:rsidR="00351892" w:rsidRPr="00293DB3" w:rsidRDefault="005A2E14" w:rsidP="00E577C3">
      <w:pPr>
        <w:spacing w:before="100" w:beforeAutospacing="1" w:after="100" w:afterAutospacing="1" w:line="360" w:lineRule="auto"/>
        <w:rPr>
          <w:rFonts w:ascii="Arial" w:hAnsi="Arial" w:cs="Arial"/>
          <w:kern w:val="0"/>
          <w:sz w:val="22"/>
          <w:szCs w:val="22"/>
          <w14:ligatures w14:val="none"/>
        </w:rPr>
      </w:pPr>
      <w:r w:rsidRPr="00293DB3">
        <w:rPr>
          <w:rFonts w:ascii="Arial" w:hAnsi="Arial" w:cs="Arial"/>
          <w:kern w:val="0"/>
          <w:sz w:val="22"/>
          <w:szCs w:val="22"/>
          <w14:ligatures w14:val="none"/>
        </w:rPr>
        <w:lastRenderedPageBreak/>
        <w:t>Finally, the report will propose actionable recommendations aimed at improving service quality and preventing similar failures in the future. These recommendations will be informed by quality improvement methodologies such as the Plan-Do-Study-Act (PDSA) cycle, Lean principles, and Six Sigma approaches, which are widely used to enhance efficiency and reduce errors in healthcare settings. Overall, this report seeks to demonstrate how theoretical models and quality improvement strategies can be applied in practice to strengthen health and social care systems and improve patient outcomes.</w:t>
      </w:r>
    </w:p>
    <w:p w14:paraId="6C4B3BFD" w14:textId="06513C0E" w:rsidR="00AD1856" w:rsidRPr="00AD1856" w:rsidRDefault="00AD1856"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AD1856">
        <w:rPr>
          <w:rFonts w:ascii="Arial" w:eastAsia="Times New Roman" w:hAnsi="Arial" w:cs="Arial"/>
          <w:b/>
          <w:bCs/>
          <w:kern w:val="0"/>
          <w:sz w:val="22"/>
          <w:szCs w:val="22"/>
          <w14:ligatures w14:val="none"/>
        </w:rPr>
        <w:t xml:space="preserve">Root Cause Analysis: Fishbone Diagram and 5 Whys </w:t>
      </w:r>
    </w:p>
    <w:p w14:paraId="2017F44A" w14:textId="4C25CA17" w:rsidR="00AD1856" w:rsidRPr="00AD1856" w:rsidRDefault="00AD1856" w:rsidP="00E577C3">
      <w:pPr>
        <w:spacing w:before="100" w:beforeAutospacing="1" w:after="100" w:afterAutospacing="1" w:line="360" w:lineRule="auto"/>
        <w:rPr>
          <w:rFonts w:ascii="Arial" w:hAnsi="Arial" w:cs="Arial"/>
          <w:kern w:val="0"/>
          <w:sz w:val="22"/>
          <w:szCs w:val="22"/>
          <w14:ligatures w14:val="none"/>
        </w:rPr>
      </w:pPr>
      <w:r w:rsidRPr="00AD1856">
        <w:rPr>
          <w:rFonts w:ascii="Arial" w:hAnsi="Arial" w:cs="Arial"/>
          <w:kern w:val="0"/>
          <w:sz w:val="22"/>
          <w:szCs w:val="22"/>
          <w14:ligatures w14:val="none"/>
        </w:rPr>
        <w:t>Understanding the root causes of the failures identified in the Bristol Royal Infirmary Inquiry requires a systematic approach that moves beyond individual blame to examine wider organisational and systemic factors. The Fishbone Diagram, also known as the Ishikawa model, provides a structured method for identifying multiple contributing causes by categorising them into key areas such as people, processes, organisation, communication, and policy (Ishikawa, 1986). In the Bristol case, several interconnected factors contributed to poor surgical outcomes.</w:t>
      </w:r>
    </w:p>
    <w:p w14:paraId="6B8A901D" w14:textId="60C6A26E" w:rsidR="00AD1856" w:rsidRPr="00AD1856" w:rsidRDefault="00AD1856" w:rsidP="00E577C3">
      <w:pPr>
        <w:spacing w:before="100" w:beforeAutospacing="1" w:after="100" w:afterAutospacing="1" w:line="360" w:lineRule="auto"/>
        <w:rPr>
          <w:rFonts w:ascii="Arial" w:hAnsi="Arial" w:cs="Arial"/>
          <w:kern w:val="0"/>
          <w:sz w:val="22"/>
          <w:szCs w:val="22"/>
          <w14:ligatures w14:val="none"/>
        </w:rPr>
      </w:pPr>
      <w:r w:rsidRPr="00AD1856">
        <w:rPr>
          <w:rFonts w:ascii="Arial" w:hAnsi="Arial" w:cs="Arial"/>
          <w:kern w:val="0"/>
          <w:sz w:val="22"/>
          <w:szCs w:val="22"/>
          <w14:ligatures w14:val="none"/>
        </w:rPr>
        <w:t>From a “people” perspective, a hierarchical professional culture discouraged junior staff from questioning senior clinicians, limiting opportunities to identify and address concerns at an early stage. In terms of “process”, there was a lack of formal clinical audit and peer review systems, meaning that surgical outcomes were not consistently monitored or evaluated. Organisationally, weak leadership and unclear accountability structures allowed poor performance to persist without intervention. Communication failures also played a significant role, as families were not adequately informed about risks and internal communication between teams was insufficient. At the policy level, the absence of strong national clinical governance frameworks meant that external oversight was limited, further enabling systemic weaknesses to continue unchecked (Kennedy, 2001).</w:t>
      </w:r>
    </w:p>
    <w:p w14:paraId="2D4E271B" w14:textId="3F523A24" w:rsidR="00AD1856" w:rsidRPr="00AD1856" w:rsidRDefault="00AD1856" w:rsidP="00E577C3">
      <w:pPr>
        <w:spacing w:before="100" w:beforeAutospacing="1" w:after="100" w:afterAutospacing="1" w:line="360" w:lineRule="auto"/>
        <w:rPr>
          <w:rFonts w:ascii="Arial" w:hAnsi="Arial" w:cs="Arial"/>
          <w:kern w:val="0"/>
          <w:sz w:val="22"/>
          <w:szCs w:val="22"/>
          <w14:ligatures w14:val="none"/>
        </w:rPr>
      </w:pPr>
      <w:r w:rsidRPr="00AD1856">
        <w:rPr>
          <w:rFonts w:ascii="Arial" w:hAnsi="Arial" w:cs="Arial"/>
          <w:kern w:val="0"/>
          <w:sz w:val="22"/>
          <w:szCs w:val="22"/>
          <w14:ligatures w14:val="none"/>
        </w:rPr>
        <w:t>The 5 Whys technique complements the Fishbone Diagram by exploring causal relationships in greater depth to identify underlying root causes. For example, the high mortality rates can be examined through a series of “why” questions. Firstly, why were mortality rates high? This was due to poor surgical outcomes. Secondly, why were these outcomes not addressed? Because there was no effective audit or monitoring system in place. Thirdly, why was there no audit system? This was linked to weak clinical governance structures within the organisation. Fourthly, why were governance structures weak? Because of insufficient policy guidance and a culture that lacked accountability. Ultimately, this leads to the root cause: a systemic failure within both organisational and policy frameworks.</w:t>
      </w:r>
    </w:p>
    <w:p w14:paraId="4A22665A" w14:textId="77BA3CB6" w:rsidR="00574D02" w:rsidRPr="00AD1856" w:rsidRDefault="00AD1856" w:rsidP="00E577C3">
      <w:pPr>
        <w:spacing w:before="100" w:beforeAutospacing="1" w:after="100" w:afterAutospacing="1" w:line="360" w:lineRule="auto"/>
        <w:rPr>
          <w:rFonts w:ascii="Arial" w:hAnsi="Arial" w:cs="Arial"/>
          <w:kern w:val="0"/>
          <w:sz w:val="22"/>
          <w:szCs w:val="22"/>
          <w14:ligatures w14:val="none"/>
        </w:rPr>
      </w:pPr>
      <w:r w:rsidRPr="00AD1856">
        <w:rPr>
          <w:rFonts w:ascii="Arial" w:hAnsi="Arial" w:cs="Arial"/>
          <w:kern w:val="0"/>
          <w:sz w:val="22"/>
          <w:szCs w:val="22"/>
          <w14:ligatures w14:val="none"/>
        </w:rPr>
        <w:lastRenderedPageBreak/>
        <w:t>Together, the Fishbone Diagram and 5 Whys analysis demonstrate that the failures at Bristol were not isolated incidents but the result of multiple interacting factors within a complex healthcare system. This reinforces the importance of adopting a systems-based approach to quality improvement, where attention is given to organisational processes, culture, and policy, rather than focusing solely on individual performance (Reason, 2000).</w:t>
      </w:r>
    </w:p>
    <w:p w14:paraId="119C5CD3" w14:textId="310124D1" w:rsidR="00022C60" w:rsidRPr="00022C60" w:rsidRDefault="00022C60"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proofErr w:type="spellStart"/>
      <w:r w:rsidRPr="00022C60">
        <w:rPr>
          <w:rFonts w:ascii="Arial" w:eastAsia="Times New Roman" w:hAnsi="Arial" w:cs="Arial"/>
          <w:b/>
          <w:bCs/>
          <w:kern w:val="0"/>
          <w:sz w:val="22"/>
          <w:szCs w:val="22"/>
          <w14:ligatures w14:val="none"/>
        </w:rPr>
        <w:t>Donabedian</w:t>
      </w:r>
      <w:proofErr w:type="spellEnd"/>
      <w:r w:rsidRPr="00022C60">
        <w:rPr>
          <w:rFonts w:ascii="Arial" w:eastAsia="Times New Roman" w:hAnsi="Arial" w:cs="Arial"/>
          <w:b/>
          <w:bCs/>
          <w:kern w:val="0"/>
          <w:sz w:val="22"/>
          <w:szCs w:val="22"/>
          <w14:ligatures w14:val="none"/>
        </w:rPr>
        <w:t xml:space="preserve"> Model (Structure–Process–Outcome)</w:t>
      </w:r>
    </w:p>
    <w:p w14:paraId="75753041" w14:textId="3EB819D0" w:rsidR="00022C60" w:rsidRPr="00022C60" w:rsidRDefault="00022C60" w:rsidP="00E577C3">
      <w:pPr>
        <w:spacing w:before="100" w:beforeAutospacing="1" w:after="100" w:afterAutospacing="1" w:line="360" w:lineRule="auto"/>
        <w:rPr>
          <w:rFonts w:ascii="Arial" w:hAnsi="Arial" w:cs="Arial"/>
          <w:kern w:val="0"/>
          <w:sz w:val="22"/>
          <w:szCs w:val="22"/>
          <w14:ligatures w14:val="none"/>
        </w:rPr>
      </w:pPr>
      <w:r w:rsidRPr="00022C60">
        <w:rPr>
          <w:rFonts w:ascii="Arial" w:hAnsi="Arial" w:cs="Arial"/>
          <w:kern w:val="0"/>
          <w:sz w:val="22"/>
          <w:szCs w:val="22"/>
          <w14:ligatures w14:val="none"/>
        </w:rPr>
        <w:t xml:space="preserve">The </w:t>
      </w:r>
      <w:proofErr w:type="spellStart"/>
      <w:r w:rsidRPr="00022C60">
        <w:rPr>
          <w:rFonts w:ascii="Arial" w:hAnsi="Arial" w:cs="Arial"/>
          <w:kern w:val="0"/>
          <w:sz w:val="22"/>
          <w:szCs w:val="22"/>
          <w14:ligatures w14:val="none"/>
        </w:rPr>
        <w:t>Donabedian</w:t>
      </w:r>
      <w:proofErr w:type="spellEnd"/>
      <w:r w:rsidRPr="00022C60">
        <w:rPr>
          <w:rFonts w:ascii="Arial" w:hAnsi="Arial" w:cs="Arial"/>
          <w:kern w:val="0"/>
          <w:sz w:val="22"/>
          <w:szCs w:val="22"/>
          <w14:ligatures w14:val="none"/>
        </w:rPr>
        <w:t xml:space="preserve"> Model provides a widely recognised framework for evaluating healthcare quality by examining three interconnected components: structure, process, and outcomes. This model is particularly useful in analysing the failures identified in the Bristol Royal Infirmary Inquiry, as it demonstrates how weaknesses in organisational systems can directly influence patient outcomes (</w:t>
      </w:r>
      <w:proofErr w:type="spellStart"/>
      <w:r w:rsidRPr="00022C60">
        <w:rPr>
          <w:rFonts w:ascii="Arial" w:hAnsi="Arial" w:cs="Arial"/>
          <w:kern w:val="0"/>
          <w:sz w:val="22"/>
          <w:szCs w:val="22"/>
          <w14:ligatures w14:val="none"/>
        </w:rPr>
        <w:t>Donabedian</w:t>
      </w:r>
      <w:proofErr w:type="spellEnd"/>
      <w:r w:rsidRPr="00022C60">
        <w:rPr>
          <w:rFonts w:ascii="Arial" w:hAnsi="Arial" w:cs="Arial"/>
          <w:kern w:val="0"/>
          <w:sz w:val="22"/>
          <w:szCs w:val="22"/>
          <w14:ligatures w14:val="none"/>
        </w:rPr>
        <w:t>, 1988).</w:t>
      </w:r>
    </w:p>
    <w:p w14:paraId="5CDEBFE7" w14:textId="37C3189B" w:rsidR="00022C60" w:rsidRPr="00022C60" w:rsidRDefault="00022C60" w:rsidP="00E577C3">
      <w:pPr>
        <w:spacing w:before="100" w:beforeAutospacing="1" w:after="100" w:afterAutospacing="1" w:line="360" w:lineRule="auto"/>
        <w:rPr>
          <w:rFonts w:ascii="Arial" w:hAnsi="Arial" w:cs="Arial"/>
          <w:kern w:val="0"/>
          <w:sz w:val="22"/>
          <w:szCs w:val="22"/>
          <w14:ligatures w14:val="none"/>
        </w:rPr>
      </w:pPr>
      <w:r w:rsidRPr="00022C60">
        <w:rPr>
          <w:rFonts w:ascii="Arial" w:hAnsi="Arial" w:cs="Arial"/>
          <w:kern w:val="0"/>
          <w:sz w:val="22"/>
          <w:szCs w:val="22"/>
          <w14:ligatures w14:val="none"/>
        </w:rPr>
        <w:t>In terms of structure, the Bristol case revealed significant deficiencies in leadership and organisational systems. There was a lack of effective clinical governance, limited oversight of surgical performance, and inadequate data systems to monitor outcomes. Leadership within the organisation failed to establish clear accountability or ensure that quality assurance mechanisms were in place. These structural weaknesses created an environment where poor practices could continue without detection or intervention (Kennedy, 2001). Additionally, the absence of robust national frameworks for monitoring performance further compounded these issues, reflecting broader systemic gaps within the healthcare system (Department of Health, 2000).</w:t>
      </w:r>
    </w:p>
    <w:p w14:paraId="67C7E153" w14:textId="5293B631" w:rsidR="00022C60" w:rsidRPr="00022C60" w:rsidRDefault="00022C60" w:rsidP="00E577C3">
      <w:pPr>
        <w:spacing w:before="100" w:beforeAutospacing="1" w:after="100" w:afterAutospacing="1" w:line="360" w:lineRule="auto"/>
        <w:rPr>
          <w:rFonts w:ascii="Arial" w:hAnsi="Arial" w:cs="Arial"/>
          <w:kern w:val="0"/>
          <w:sz w:val="22"/>
          <w:szCs w:val="22"/>
          <w14:ligatures w14:val="none"/>
        </w:rPr>
      </w:pPr>
      <w:r w:rsidRPr="00022C60">
        <w:rPr>
          <w:rFonts w:ascii="Arial" w:hAnsi="Arial" w:cs="Arial"/>
          <w:kern w:val="0"/>
          <w:sz w:val="22"/>
          <w:szCs w:val="22"/>
          <w14:ligatures w14:val="none"/>
        </w:rPr>
        <w:t>The process component refers to how care is delivered and includes clinical practices, communication, and decision-making. At Bristol, processes were notably flawed, particularly due to the absence of peer review and multidisciplinary evaluation of surgical outcomes. Without structured audit or review systems, clinicians continued to perform procedures despite evidence of poor results. Communication was also ineffective, both within clinical teams and between healthcare professionals and families. Parents were not fully informed about risks, and internal concerns were not escalated appropriately. These process failures highlight how inadequate systems and poor communication can compromise the safety and quality of care delivery.</w:t>
      </w:r>
    </w:p>
    <w:p w14:paraId="24418209" w14:textId="07C1655F" w:rsidR="00022C60" w:rsidRPr="00022C60" w:rsidRDefault="00022C60" w:rsidP="00E577C3">
      <w:pPr>
        <w:spacing w:before="100" w:beforeAutospacing="1" w:after="100" w:afterAutospacing="1" w:line="360" w:lineRule="auto"/>
        <w:rPr>
          <w:rFonts w:ascii="Arial" w:hAnsi="Arial" w:cs="Arial"/>
          <w:kern w:val="0"/>
          <w:sz w:val="22"/>
          <w:szCs w:val="22"/>
          <w14:ligatures w14:val="none"/>
        </w:rPr>
      </w:pPr>
      <w:r w:rsidRPr="00022C60">
        <w:rPr>
          <w:rFonts w:ascii="Arial" w:hAnsi="Arial" w:cs="Arial"/>
          <w:kern w:val="0"/>
          <w:sz w:val="22"/>
          <w:szCs w:val="22"/>
          <w14:ligatures w14:val="none"/>
        </w:rPr>
        <w:t xml:space="preserve">The outcomes of these structural and process failures were severe, most notably reflected in the high mortality rates among children undergoing cardiac surgery. The continuation of unsafe practices over an extended period ultimately led to the establishment of a public inquiry, which exposed the extent of the failures and prompted widespread reform within the </w:t>
      </w:r>
      <w:r w:rsidRPr="00022C60">
        <w:rPr>
          <w:rFonts w:ascii="Arial" w:hAnsi="Arial" w:cs="Arial"/>
          <w:kern w:val="0"/>
          <w:sz w:val="22"/>
          <w:szCs w:val="22"/>
          <w14:ligatures w14:val="none"/>
        </w:rPr>
        <w:lastRenderedPageBreak/>
        <w:t>NHS. The Bristol case clearly illustrates how deficiencies in structure and process can lead to negative patient outcomes, reinforcing the importance of robust governance and effective care delivery systems.</w:t>
      </w:r>
    </w:p>
    <w:p w14:paraId="00266791" w14:textId="77777777" w:rsidR="00022C60" w:rsidRPr="00293DB3" w:rsidRDefault="00022C60" w:rsidP="00E577C3">
      <w:pPr>
        <w:spacing w:before="100" w:beforeAutospacing="1" w:after="100" w:afterAutospacing="1" w:line="360" w:lineRule="auto"/>
        <w:rPr>
          <w:rFonts w:ascii="Arial" w:hAnsi="Arial" w:cs="Arial"/>
          <w:kern w:val="0"/>
          <w:sz w:val="22"/>
          <w:szCs w:val="22"/>
          <w14:ligatures w14:val="none"/>
        </w:rPr>
      </w:pPr>
      <w:r w:rsidRPr="00022C60">
        <w:rPr>
          <w:rFonts w:ascii="Arial" w:hAnsi="Arial" w:cs="Arial"/>
          <w:kern w:val="0"/>
          <w:sz w:val="22"/>
          <w:szCs w:val="22"/>
          <w14:ligatures w14:val="none"/>
        </w:rPr>
        <w:t xml:space="preserve">Overall, the </w:t>
      </w:r>
      <w:proofErr w:type="spellStart"/>
      <w:r w:rsidRPr="00022C60">
        <w:rPr>
          <w:rFonts w:ascii="Arial" w:hAnsi="Arial" w:cs="Arial"/>
          <w:kern w:val="0"/>
          <w:sz w:val="22"/>
          <w:szCs w:val="22"/>
          <w14:ligatures w14:val="none"/>
        </w:rPr>
        <w:t>Donabedian</w:t>
      </w:r>
      <w:proofErr w:type="spellEnd"/>
      <w:r w:rsidRPr="00022C60">
        <w:rPr>
          <w:rFonts w:ascii="Arial" w:hAnsi="Arial" w:cs="Arial"/>
          <w:kern w:val="0"/>
          <w:sz w:val="22"/>
          <w:szCs w:val="22"/>
          <w14:ligatures w14:val="none"/>
        </w:rPr>
        <w:t xml:space="preserve"> Model demonstrates a clear link between system design and patient harm, emphasising that improving healthcare quality requires strengthening organisational structures and care processes to achieve better outcomes (</w:t>
      </w:r>
      <w:proofErr w:type="spellStart"/>
      <w:r w:rsidRPr="00022C60">
        <w:rPr>
          <w:rFonts w:ascii="Arial" w:hAnsi="Arial" w:cs="Arial"/>
          <w:kern w:val="0"/>
          <w:sz w:val="22"/>
          <w:szCs w:val="22"/>
          <w14:ligatures w14:val="none"/>
        </w:rPr>
        <w:t>Donabedian</w:t>
      </w:r>
      <w:proofErr w:type="spellEnd"/>
      <w:r w:rsidRPr="00022C60">
        <w:rPr>
          <w:rFonts w:ascii="Arial" w:hAnsi="Arial" w:cs="Arial"/>
          <w:kern w:val="0"/>
          <w:sz w:val="22"/>
          <w:szCs w:val="22"/>
          <w14:ligatures w14:val="none"/>
        </w:rPr>
        <w:t>, 1988).</w:t>
      </w:r>
    </w:p>
    <w:p w14:paraId="4C3257A5" w14:textId="4C7B302F" w:rsidR="00A5496E" w:rsidRPr="00022C60" w:rsidRDefault="00A5496E"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A5496E">
        <w:rPr>
          <w:rFonts w:ascii="Arial" w:eastAsia="Times New Roman" w:hAnsi="Arial" w:cs="Arial"/>
          <w:b/>
          <w:bCs/>
          <w:kern w:val="0"/>
          <w:sz w:val="22"/>
          <w:szCs w:val="22"/>
          <w14:ligatures w14:val="none"/>
        </w:rPr>
        <w:t>Systems Theory (Critical Discussion) </w:t>
      </w:r>
    </w:p>
    <w:p w14:paraId="55A809AA" w14:textId="2CF463E6" w:rsidR="00371463" w:rsidRPr="00293DB3" w:rsidRDefault="00371463" w:rsidP="00E577C3">
      <w:pPr>
        <w:pStyle w:val="p1"/>
        <w:spacing w:line="360" w:lineRule="auto"/>
        <w:rPr>
          <w:rFonts w:ascii="Arial" w:hAnsi="Arial" w:cs="Arial"/>
          <w:sz w:val="22"/>
          <w:szCs w:val="22"/>
        </w:rPr>
      </w:pPr>
      <w:r w:rsidRPr="00293DB3">
        <w:rPr>
          <w:rStyle w:val="s1"/>
          <w:rFonts w:ascii="Arial" w:hAnsi="Arial" w:cs="Arial"/>
          <w:sz w:val="22"/>
          <w:szCs w:val="22"/>
        </w:rPr>
        <w:t xml:space="preserve">Systems Theory views healthcare as a </w:t>
      </w:r>
      <w:r w:rsidRPr="00293DB3">
        <w:rPr>
          <w:rStyle w:val="s2"/>
          <w:rFonts w:ascii="Arial" w:hAnsi="Arial" w:cs="Arial"/>
          <w:sz w:val="22"/>
          <w:szCs w:val="22"/>
        </w:rPr>
        <w:t>complex, adaptive system</w:t>
      </w:r>
      <w:r w:rsidRPr="00293DB3">
        <w:rPr>
          <w:rStyle w:val="s1"/>
          <w:rFonts w:ascii="Arial" w:hAnsi="Arial" w:cs="Arial"/>
          <w:sz w:val="22"/>
          <w:szCs w:val="22"/>
        </w:rPr>
        <w:t xml:space="preserve"> in which outcomes emerge from interactions between multiple components rather than from isolated actions (</w:t>
      </w:r>
      <w:proofErr w:type="spellStart"/>
      <w:r w:rsidRPr="00293DB3">
        <w:rPr>
          <w:rStyle w:val="s1"/>
          <w:rFonts w:ascii="Arial" w:hAnsi="Arial" w:cs="Arial"/>
          <w:sz w:val="22"/>
          <w:szCs w:val="22"/>
        </w:rPr>
        <w:t>Senge</w:t>
      </w:r>
      <w:proofErr w:type="spellEnd"/>
      <w:r w:rsidRPr="00293DB3">
        <w:rPr>
          <w:rStyle w:val="s1"/>
          <w:rFonts w:ascii="Arial" w:hAnsi="Arial" w:cs="Arial"/>
          <w:sz w:val="22"/>
          <w:szCs w:val="22"/>
        </w:rPr>
        <w:t>, 2006). In this perspective, safety and quality are products of how well individuals, teams, organisations, and policies function together. Applying this lens to the Bristol Royal Infirmary case highlights that failures were distributed across the system, not confined to any single clinician (Reason, 2000).</w:t>
      </w:r>
    </w:p>
    <w:p w14:paraId="2DC26518" w14:textId="36A94CD1" w:rsidR="00371463" w:rsidRPr="00293DB3" w:rsidRDefault="00371463" w:rsidP="00E577C3">
      <w:pPr>
        <w:pStyle w:val="p1"/>
        <w:spacing w:line="360" w:lineRule="auto"/>
        <w:rPr>
          <w:rFonts w:ascii="Arial" w:hAnsi="Arial" w:cs="Arial"/>
          <w:sz w:val="22"/>
          <w:szCs w:val="22"/>
        </w:rPr>
      </w:pPr>
      <w:r w:rsidRPr="00293DB3">
        <w:rPr>
          <w:rStyle w:val="s1"/>
          <w:rFonts w:ascii="Arial" w:hAnsi="Arial" w:cs="Arial"/>
          <w:sz w:val="22"/>
          <w:szCs w:val="22"/>
        </w:rPr>
        <w:t xml:space="preserve">At the level of </w:t>
      </w:r>
      <w:r w:rsidRPr="00293DB3">
        <w:rPr>
          <w:rStyle w:val="s2"/>
          <w:rFonts w:ascii="Arial" w:hAnsi="Arial" w:cs="Arial"/>
          <w:sz w:val="22"/>
          <w:szCs w:val="22"/>
        </w:rPr>
        <w:t>individuals</w:t>
      </w:r>
      <w:r w:rsidRPr="00293DB3">
        <w:rPr>
          <w:rStyle w:val="s1"/>
          <w:rFonts w:ascii="Arial" w:hAnsi="Arial" w:cs="Arial"/>
          <w:sz w:val="22"/>
          <w:szCs w:val="22"/>
        </w:rPr>
        <w:t xml:space="preserve">, clinical competence alone was insufficient to ensure safe care. Even where skills were present, practitioners operated within constraints such as limited data, unclear accountability, and cultural barriers to raising concerns. Moving to </w:t>
      </w:r>
      <w:r w:rsidRPr="00293DB3">
        <w:rPr>
          <w:rStyle w:val="s2"/>
          <w:rFonts w:ascii="Arial" w:hAnsi="Arial" w:cs="Arial"/>
          <w:sz w:val="22"/>
          <w:szCs w:val="22"/>
        </w:rPr>
        <w:t>teams</w:t>
      </w:r>
      <w:r w:rsidRPr="00293DB3">
        <w:rPr>
          <w:rStyle w:val="s1"/>
          <w:rFonts w:ascii="Arial" w:hAnsi="Arial" w:cs="Arial"/>
          <w:sz w:val="22"/>
          <w:szCs w:val="22"/>
        </w:rPr>
        <w:t>, ineffective multidisciplinary working and a lack of structured peer review reduced opportunities to detect and correct poor outcomes. Team dynamics were further shaped by hierarchy, which discouraged challenge and suppressed early warning signals (</w:t>
      </w:r>
      <w:proofErr w:type="spellStart"/>
      <w:r w:rsidRPr="00293DB3">
        <w:rPr>
          <w:rStyle w:val="s1"/>
          <w:rFonts w:ascii="Arial" w:hAnsi="Arial" w:cs="Arial"/>
          <w:sz w:val="22"/>
          <w:szCs w:val="22"/>
        </w:rPr>
        <w:t>Walshe</w:t>
      </w:r>
      <w:proofErr w:type="spellEnd"/>
      <w:r w:rsidRPr="00293DB3">
        <w:rPr>
          <w:rStyle w:val="s1"/>
          <w:rFonts w:ascii="Arial" w:hAnsi="Arial" w:cs="Arial"/>
          <w:sz w:val="22"/>
          <w:szCs w:val="22"/>
        </w:rPr>
        <w:t xml:space="preserve"> and </w:t>
      </w:r>
      <w:proofErr w:type="spellStart"/>
      <w:r w:rsidRPr="00293DB3">
        <w:rPr>
          <w:rStyle w:val="s1"/>
          <w:rFonts w:ascii="Arial" w:hAnsi="Arial" w:cs="Arial"/>
          <w:sz w:val="22"/>
          <w:szCs w:val="22"/>
        </w:rPr>
        <w:t>Boaden</w:t>
      </w:r>
      <w:proofErr w:type="spellEnd"/>
      <w:r w:rsidRPr="00293DB3">
        <w:rPr>
          <w:rStyle w:val="s1"/>
          <w:rFonts w:ascii="Arial" w:hAnsi="Arial" w:cs="Arial"/>
          <w:sz w:val="22"/>
          <w:szCs w:val="22"/>
        </w:rPr>
        <w:t>, 2006).</w:t>
      </w:r>
    </w:p>
    <w:p w14:paraId="2B4038E5" w14:textId="1E079161" w:rsidR="00371463" w:rsidRPr="00293DB3" w:rsidRDefault="00371463" w:rsidP="00293DB3">
      <w:pPr>
        <w:pStyle w:val="p1"/>
        <w:spacing w:line="360" w:lineRule="auto"/>
        <w:rPr>
          <w:rFonts w:ascii="Arial" w:hAnsi="Arial" w:cs="Arial"/>
          <w:sz w:val="22"/>
          <w:szCs w:val="22"/>
        </w:rPr>
      </w:pPr>
      <w:r w:rsidRPr="00293DB3">
        <w:rPr>
          <w:rStyle w:val="s1"/>
          <w:rFonts w:ascii="Arial" w:hAnsi="Arial" w:cs="Arial"/>
          <w:sz w:val="22"/>
          <w:szCs w:val="22"/>
        </w:rPr>
        <w:t xml:space="preserve">At the </w:t>
      </w:r>
      <w:r w:rsidRPr="00293DB3">
        <w:rPr>
          <w:rStyle w:val="s2"/>
          <w:rFonts w:ascii="Arial" w:hAnsi="Arial" w:cs="Arial"/>
          <w:sz w:val="22"/>
          <w:szCs w:val="22"/>
        </w:rPr>
        <w:t>organisational</w:t>
      </w:r>
      <w:r w:rsidRPr="00293DB3">
        <w:rPr>
          <w:rStyle w:val="s1"/>
          <w:rFonts w:ascii="Arial" w:hAnsi="Arial" w:cs="Arial"/>
          <w:sz w:val="22"/>
          <w:szCs w:val="22"/>
        </w:rPr>
        <w:t xml:space="preserve"> level, weak leadership and underdeveloped governance arrangements meant there were no reliable feedback loops—such as routine audit, outcome monitoring, and learning systems—to identify trends in mortality and trigger corrective action. Organisations failed to convert available information into improvement, illustrating a breakdown in system learning (Kennedy, 2001).</w:t>
      </w:r>
    </w:p>
    <w:p w14:paraId="1F349FAA" w14:textId="17F4B4BC" w:rsidR="00371463" w:rsidRPr="00293DB3" w:rsidRDefault="00371463" w:rsidP="00E577C3">
      <w:pPr>
        <w:pStyle w:val="p1"/>
        <w:spacing w:line="360" w:lineRule="auto"/>
        <w:rPr>
          <w:rFonts w:ascii="Arial" w:hAnsi="Arial" w:cs="Arial"/>
          <w:sz w:val="22"/>
          <w:szCs w:val="22"/>
        </w:rPr>
      </w:pPr>
      <w:r w:rsidRPr="00293DB3">
        <w:rPr>
          <w:rStyle w:val="s1"/>
          <w:rFonts w:ascii="Arial" w:hAnsi="Arial" w:cs="Arial"/>
          <w:sz w:val="22"/>
          <w:szCs w:val="22"/>
        </w:rPr>
        <w:t xml:space="preserve">Finally, </w:t>
      </w:r>
      <w:r w:rsidRPr="00293DB3">
        <w:rPr>
          <w:rStyle w:val="s2"/>
          <w:rFonts w:ascii="Arial" w:hAnsi="Arial" w:cs="Arial"/>
          <w:sz w:val="22"/>
          <w:szCs w:val="22"/>
        </w:rPr>
        <w:t>policy and regulatory contexts</w:t>
      </w:r>
      <w:r w:rsidRPr="00293DB3">
        <w:rPr>
          <w:rStyle w:val="s1"/>
          <w:rFonts w:ascii="Arial" w:hAnsi="Arial" w:cs="Arial"/>
          <w:sz w:val="22"/>
          <w:szCs w:val="22"/>
        </w:rPr>
        <w:t xml:space="preserve"> influenced local practice. The absence of strong, standardised requirements for audit and transparency limited external oversight and allowed variation in performance to persist. Without clear national expectations and accountability mechanisms, local systems lacked the pressure and support needed to improve (Department of Health, 2000).</w:t>
      </w:r>
    </w:p>
    <w:p w14:paraId="40DDEEA9" w14:textId="77777777" w:rsidR="00371463" w:rsidRPr="00293DB3" w:rsidRDefault="00371463" w:rsidP="00E577C3">
      <w:pPr>
        <w:pStyle w:val="p1"/>
        <w:spacing w:line="360" w:lineRule="auto"/>
        <w:rPr>
          <w:rStyle w:val="s1"/>
          <w:rFonts w:ascii="Arial" w:hAnsi="Arial" w:cs="Arial"/>
          <w:sz w:val="22"/>
          <w:szCs w:val="22"/>
        </w:rPr>
      </w:pPr>
      <w:r w:rsidRPr="00293DB3">
        <w:rPr>
          <w:rStyle w:val="s1"/>
          <w:rFonts w:ascii="Arial" w:hAnsi="Arial" w:cs="Arial"/>
          <w:sz w:val="22"/>
          <w:szCs w:val="22"/>
        </w:rPr>
        <w:lastRenderedPageBreak/>
        <w:t xml:space="preserve">A key implication of Systems Theory is that interventions targeting single components (e.g., retraining individuals) are unlikely to succeed unless the wider system is addressed. The Bristol case therefore supports the argument that adverse outcomes arose from </w:t>
      </w:r>
      <w:r w:rsidRPr="00293DB3">
        <w:rPr>
          <w:rStyle w:val="s2"/>
          <w:rFonts w:ascii="Arial" w:hAnsi="Arial" w:cs="Arial"/>
          <w:sz w:val="22"/>
          <w:szCs w:val="22"/>
        </w:rPr>
        <w:t>system failure rather than individual incompetence</w:t>
      </w:r>
      <w:r w:rsidRPr="00293DB3">
        <w:rPr>
          <w:rStyle w:val="s1"/>
          <w:rFonts w:ascii="Arial" w:hAnsi="Arial" w:cs="Arial"/>
          <w:sz w:val="22"/>
          <w:szCs w:val="22"/>
        </w:rPr>
        <w:t>. Effective improvement requires coordinated changes across all system levels—strengthening governance, enabling open communication, embedding audit and feedback, and aligning policy frameworks—to create resilient systems capable of consistently delivering safe, high-quality care (Reason, 2000).</w:t>
      </w:r>
    </w:p>
    <w:p w14:paraId="74091DEF" w14:textId="02E6B4F0" w:rsidR="00AE7B87" w:rsidRPr="00293DB3" w:rsidRDefault="00F00914"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F00914">
        <w:rPr>
          <w:rFonts w:ascii="Arial" w:eastAsia="Times New Roman" w:hAnsi="Arial" w:cs="Arial"/>
          <w:b/>
          <w:bCs/>
          <w:kern w:val="0"/>
          <w:sz w:val="22"/>
          <w:szCs w:val="22"/>
          <w14:ligatures w14:val="none"/>
        </w:rPr>
        <w:t>SWOT Analysis</w:t>
      </w:r>
    </w:p>
    <w:p w14:paraId="0823128B" w14:textId="67B81FF9" w:rsidR="006E3F46" w:rsidRPr="00293DB3" w:rsidRDefault="006E3F46" w:rsidP="00E577C3">
      <w:pPr>
        <w:pStyle w:val="p1"/>
        <w:spacing w:line="360" w:lineRule="auto"/>
        <w:rPr>
          <w:rFonts w:ascii="Arial" w:hAnsi="Arial" w:cs="Arial"/>
          <w:sz w:val="22"/>
          <w:szCs w:val="22"/>
        </w:rPr>
      </w:pPr>
      <w:r w:rsidRPr="00293DB3">
        <w:rPr>
          <w:rStyle w:val="s1"/>
          <w:rFonts w:ascii="Arial" w:hAnsi="Arial" w:cs="Arial"/>
          <w:sz w:val="22"/>
          <w:szCs w:val="22"/>
        </w:rPr>
        <w:t>A SWOT analysis provides a structured framework to evaluate internal strengths and weaknesses alongside external opportunities and threats influencing organisational performance. In the context of the Bristol Royal Infirmary case, this approach helps to identify how systemic factors contributed to quality failures and how strategic improvements could be developed (</w:t>
      </w:r>
      <w:proofErr w:type="spellStart"/>
      <w:r w:rsidRPr="00293DB3">
        <w:rPr>
          <w:rStyle w:val="s1"/>
          <w:rFonts w:ascii="Arial" w:hAnsi="Arial" w:cs="Arial"/>
          <w:sz w:val="22"/>
          <w:szCs w:val="22"/>
        </w:rPr>
        <w:t>Gürel</w:t>
      </w:r>
      <w:proofErr w:type="spellEnd"/>
      <w:r w:rsidRPr="00293DB3">
        <w:rPr>
          <w:rStyle w:val="s1"/>
          <w:rFonts w:ascii="Arial" w:hAnsi="Arial" w:cs="Arial"/>
          <w:sz w:val="22"/>
          <w:szCs w:val="22"/>
        </w:rPr>
        <w:t xml:space="preserve"> and Tat, 2017).</w:t>
      </w:r>
    </w:p>
    <w:p w14:paraId="6E444446" w14:textId="4BFC299D" w:rsidR="00F00914" w:rsidRPr="00293DB3" w:rsidRDefault="006E3F46" w:rsidP="00E577C3">
      <w:pPr>
        <w:pStyle w:val="p1"/>
        <w:spacing w:line="360" w:lineRule="auto"/>
        <w:rPr>
          <w:rFonts w:ascii="Arial" w:hAnsi="Arial" w:cs="Arial"/>
          <w:sz w:val="22"/>
          <w:szCs w:val="22"/>
        </w:rPr>
      </w:pPr>
      <w:r w:rsidRPr="00293DB3">
        <w:rPr>
          <w:rStyle w:val="s1"/>
          <w:rFonts w:ascii="Arial" w:hAnsi="Arial" w:cs="Arial"/>
          <w:sz w:val="22"/>
          <w:szCs w:val="22"/>
        </w:rPr>
        <w:t xml:space="preserve">The organisation demonstrated several </w:t>
      </w:r>
      <w:r w:rsidRPr="00293DB3">
        <w:rPr>
          <w:rStyle w:val="s2"/>
          <w:rFonts w:ascii="Arial" w:hAnsi="Arial" w:cs="Arial"/>
          <w:sz w:val="22"/>
          <w:szCs w:val="22"/>
        </w:rPr>
        <w:t>strengths</w:t>
      </w:r>
      <w:r w:rsidRPr="00293DB3">
        <w:rPr>
          <w:rStyle w:val="s1"/>
          <w:rFonts w:ascii="Arial" w:hAnsi="Arial" w:cs="Arial"/>
          <w:sz w:val="22"/>
          <w:szCs w:val="22"/>
        </w:rPr>
        <w:t>, including the presence of skilled clinicians and access to the wider NHS infrastructure. These factors indicate that there was sufficient clinical expertise and institutional support available to deliver high-quality care. However, these strengths were undermined by significant internal weaknesses identified during the Inquiry (Kennedy, 2001).</w:t>
      </w:r>
    </w:p>
    <w:p w14:paraId="7AAA6801" w14:textId="23D5535D" w:rsidR="006E3F46" w:rsidRPr="00293DB3" w:rsidRDefault="006E3F46" w:rsidP="00E577C3">
      <w:pPr>
        <w:pStyle w:val="p1"/>
        <w:spacing w:line="360" w:lineRule="auto"/>
        <w:rPr>
          <w:rFonts w:ascii="Arial" w:hAnsi="Arial" w:cs="Arial"/>
          <w:sz w:val="22"/>
          <w:szCs w:val="22"/>
        </w:rPr>
      </w:pPr>
      <w:r w:rsidRPr="00293DB3">
        <w:rPr>
          <w:rStyle w:val="s1"/>
          <w:rFonts w:ascii="Arial" w:hAnsi="Arial" w:cs="Arial"/>
          <w:sz w:val="22"/>
          <w:szCs w:val="22"/>
        </w:rPr>
        <w:t xml:space="preserve">The </w:t>
      </w:r>
      <w:r w:rsidRPr="00293DB3">
        <w:rPr>
          <w:rStyle w:val="s2"/>
          <w:rFonts w:ascii="Arial" w:hAnsi="Arial" w:cs="Arial"/>
          <w:sz w:val="22"/>
          <w:szCs w:val="22"/>
        </w:rPr>
        <w:t>weaknesses</w:t>
      </w:r>
      <w:r w:rsidRPr="00293DB3">
        <w:rPr>
          <w:rStyle w:val="s1"/>
          <w:rFonts w:ascii="Arial" w:hAnsi="Arial" w:cs="Arial"/>
          <w:sz w:val="22"/>
          <w:szCs w:val="22"/>
        </w:rPr>
        <w:t xml:space="preserve"> were central to the failures identified. The absence of routine clinical audit meant that poor surgical outcomes were not monitored or addressed effectively. Weak governance structures resulted in limited accountability and oversight, allowing unsafe practices to persist over time. Furthermore, a culture of silence, reinforced by professional hierarchy, discouraged staff from raising concerns or challenging decisions, reducing opportunities for early intervention (</w:t>
      </w:r>
      <w:proofErr w:type="spellStart"/>
      <w:r w:rsidRPr="00293DB3">
        <w:rPr>
          <w:rStyle w:val="s1"/>
          <w:rFonts w:ascii="Arial" w:hAnsi="Arial" w:cs="Arial"/>
          <w:sz w:val="22"/>
          <w:szCs w:val="22"/>
        </w:rPr>
        <w:t>Walshe</w:t>
      </w:r>
      <w:proofErr w:type="spellEnd"/>
      <w:r w:rsidRPr="00293DB3">
        <w:rPr>
          <w:rStyle w:val="s1"/>
          <w:rFonts w:ascii="Arial" w:hAnsi="Arial" w:cs="Arial"/>
          <w:sz w:val="22"/>
          <w:szCs w:val="22"/>
        </w:rPr>
        <w:t xml:space="preserve"> and </w:t>
      </w:r>
      <w:proofErr w:type="spellStart"/>
      <w:r w:rsidRPr="00293DB3">
        <w:rPr>
          <w:rStyle w:val="s1"/>
          <w:rFonts w:ascii="Arial" w:hAnsi="Arial" w:cs="Arial"/>
          <w:sz w:val="22"/>
          <w:szCs w:val="22"/>
        </w:rPr>
        <w:t>Boaden</w:t>
      </w:r>
      <w:proofErr w:type="spellEnd"/>
      <w:r w:rsidRPr="00293DB3">
        <w:rPr>
          <w:rStyle w:val="s1"/>
          <w:rFonts w:ascii="Arial" w:hAnsi="Arial" w:cs="Arial"/>
          <w:sz w:val="22"/>
          <w:szCs w:val="22"/>
        </w:rPr>
        <w:t>, 2006).</w:t>
      </w:r>
    </w:p>
    <w:p w14:paraId="18520BBD" w14:textId="49EBDCC5" w:rsidR="006E3F46" w:rsidRPr="00293DB3" w:rsidRDefault="006E3F46" w:rsidP="00E577C3">
      <w:pPr>
        <w:pStyle w:val="p1"/>
        <w:spacing w:line="360" w:lineRule="auto"/>
        <w:rPr>
          <w:rFonts w:ascii="Arial" w:hAnsi="Arial" w:cs="Arial"/>
          <w:sz w:val="22"/>
          <w:szCs w:val="22"/>
        </w:rPr>
      </w:pPr>
      <w:r w:rsidRPr="00293DB3">
        <w:rPr>
          <w:rStyle w:val="s1"/>
          <w:rFonts w:ascii="Arial" w:hAnsi="Arial" w:cs="Arial"/>
          <w:sz w:val="22"/>
          <w:szCs w:val="22"/>
        </w:rPr>
        <w:t xml:space="preserve">Despite these weaknesses, the situation created important </w:t>
      </w:r>
      <w:r w:rsidRPr="00293DB3">
        <w:rPr>
          <w:rStyle w:val="s2"/>
          <w:rFonts w:ascii="Arial" w:hAnsi="Arial" w:cs="Arial"/>
          <w:sz w:val="22"/>
          <w:szCs w:val="22"/>
        </w:rPr>
        <w:t>opportunities</w:t>
      </w:r>
      <w:r w:rsidRPr="00293DB3">
        <w:rPr>
          <w:rStyle w:val="s1"/>
          <w:rFonts w:ascii="Arial" w:hAnsi="Arial" w:cs="Arial"/>
          <w:sz w:val="22"/>
          <w:szCs w:val="22"/>
        </w:rPr>
        <w:t xml:space="preserve"> for improvement. The Inquiry acted as a catalyst for the introduction of clinical governance reforms, strengthening accountability and quality assurance processes across the NHS. The development of formal audit systems and performance monitoring mechanisms provided a pathway for improving transparency and patient safety (Department of Health, 2000).</w:t>
      </w:r>
    </w:p>
    <w:p w14:paraId="1E99018B" w14:textId="77777777" w:rsidR="006E3F46" w:rsidRPr="00293DB3" w:rsidRDefault="006E3F46" w:rsidP="00E577C3">
      <w:pPr>
        <w:pStyle w:val="p1"/>
        <w:spacing w:line="360" w:lineRule="auto"/>
        <w:rPr>
          <w:rFonts w:ascii="Arial" w:hAnsi="Arial" w:cs="Arial"/>
          <w:sz w:val="22"/>
          <w:szCs w:val="22"/>
        </w:rPr>
      </w:pPr>
      <w:r w:rsidRPr="00293DB3">
        <w:rPr>
          <w:rStyle w:val="s1"/>
          <w:rFonts w:ascii="Arial" w:hAnsi="Arial" w:cs="Arial"/>
          <w:sz w:val="22"/>
          <w:szCs w:val="22"/>
        </w:rPr>
        <w:t xml:space="preserve">However, the organisation also faced significant </w:t>
      </w:r>
      <w:r w:rsidRPr="00293DB3">
        <w:rPr>
          <w:rStyle w:val="s2"/>
          <w:rFonts w:ascii="Arial" w:hAnsi="Arial" w:cs="Arial"/>
          <w:sz w:val="22"/>
          <w:szCs w:val="22"/>
        </w:rPr>
        <w:t>threats</w:t>
      </w:r>
      <w:r w:rsidRPr="00293DB3">
        <w:rPr>
          <w:rStyle w:val="s1"/>
          <w:rFonts w:ascii="Arial" w:hAnsi="Arial" w:cs="Arial"/>
          <w:sz w:val="22"/>
          <w:szCs w:val="22"/>
        </w:rPr>
        <w:t xml:space="preserve">, including growing public mistrust and reputational damage. Legal consequences, such as litigation and the financial burden of the public inquiry, further highlighted the broader impact of quality failures. Overall, the </w:t>
      </w:r>
      <w:r w:rsidRPr="00293DB3">
        <w:rPr>
          <w:rStyle w:val="s1"/>
          <w:rFonts w:ascii="Arial" w:hAnsi="Arial" w:cs="Arial"/>
          <w:sz w:val="22"/>
          <w:szCs w:val="22"/>
        </w:rPr>
        <w:lastRenderedPageBreak/>
        <w:t>SWOT analysis demonstrates that while the organisation had the capability to deliver effective care, systemic weaknesses significantly compromised service quality and outcomes (Kennedy, 2001).</w:t>
      </w:r>
    </w:p>
    <w:p w14:paraId="4AFF0982" w14:textId="41A7895C" w:rsidR="00633204" w:rsidRPr="00633204" w:rsidRDefault="00633204"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633204">
        <w:rPr>
          <w:rFonts w:ascii="Arial" w:eastAsia="Times New Roman" w:hAnsi="Arial" w:cs="Arial"/>
          <w:b/>
          <w:bCs/>
          <w:kern w:val="0"/>
          <w:sz w:val="22"/>
          <w:szCs w:val="22"/>
          <w14:ligatures w14:val="none"/>
        </w:rPr>
        <w:t>Critical Evaluation of Models</w:t>
      </w:r>
    </w:p>
    <w:p w14:paraId="351CA8D4" w14:textId="77777777" w:rsidR="00633204" w:rsidRPr="00633204" w:rsidRDefault="00633204" w:rsidP="00E577C3">
      <w:pPr>
        <w:spacing w:before="100" w:beforeAutospacing="1" w:after="100" w:afterAutospacing="1" w:line="360" w:lineRule="auto"/>
        <w:rPr>
          <w:rFonts w:ascii="Arial" w:hAnsi="Arial" w:cs="Arial"/>
          <w:kern w:val="0"/>
          <w:sz w:val="22"/>
          <w:szCs w:val="22"/>
          <w14:ligatures w14:val="none"/>
        </w:rPr>
      </w:pPr>
      <w:r w:rsidRPr="00633204">
        <w:rPr>
          <w:rFonts w:ascii="Arial" w:hAnsi="Arial" w:cs="Arial"/>
          <w:kern w:val="0"/>
          <w:sz w:val="22"/>
          <w:szCs w:val="22"/>
          <w14:ligatures w14:val="none"/>
        </w:rPr>
        <w:t xml:space="preserve">The models applied provide valuable but distinct perspectives on quality improvement. The Fishbone Diagram is effective in identifying multiple contributing factors; however, it does not prioritise causes or indicate their relative importance. Root Cause Analysis and the 5 Whys allow deeper exploration of underlying issues but may oversimplify complex system interactions. The </w:t>
      </w:r>
      <w:proofErr w:type="spellStart"/>
      <w:r w:rsidRPr="00633204">
        <w:rPr>
          <w:rFonts w:ascii="Arial" w:hAnsi="Arial" w:cs="Arial"/>
          <w:kern w:val="0"/>
          <w:sz w:val="22"/>
          <w:szCs w:val="22"/>
          <w14:ligatures w14:val="none"/>
        </w:rPr>
        <w:t>Donabedian</w:t>
      </w:r>
      <w:proofErr w:type="spellEnd"/>
      <w:r w:rsidRPr="00633204">
        <w:rPr>
          <w:rFonts w:ascii="Arial" w:hAnsi="Arial" w:cs="Arial"/>
          <w:kern w:val="0"/>
          <w:sz w:val="22"/>
          <w:szCs w:val="22"/>
          <w14:ligatures w14:val="none"/>
        </w:rPr>
        <w:t xml:space="preserve"> Model offers a clear framework linking structure, process, and outcomes, although it can overlook the dynamic nature of healthcare systems. Similarly, SWOT analysis supports strategic planning but lacks clinical specificity, limiting its effectiveness in detailed patient safety analysis.</w:t>
      </w:r>
    </w:p>
    <w:p w14:paraId="7C902F7C" w14:textId="77777777" w:rsidR="00D408AD" w:rsidRPr="00D408AD" w:rsidRDefault="00D408AD" w:rsidP="00E577C3">
      <w:pPr>
        <w:spacing w:before="100" w:beforeAutospacing="1" w:after="100" w:afterAutospacing="1" w:line="360" w:lineRule="auto"/>
        <w:outlineLvl w:val="0"/>
        <w:rPr>
          <w:rFonts w:ascii="Arial" w:eastAsia="Times New Roman" w:hAnsi="Arial" w:cs="Arial"/>
          <w:b/>
          <w:bCs/>
          <w:kern w:val="36"/>
          <w:sz w:val="22"/>
          <w:szCs w:val="22"/>
          <w14:ligatures w14:val="none"/>
        </w:rPr>
      </w:pPr>
      <w:r w:rsidRPr="00D408AD">
        <w:rPr>
          <w:rFonts w:ascii="Arial" w:eastAsia="Times New Roman" w:hAnsi="Arial" w:cs="Arial"/>
          <w:b/>
          <w:bCs/>
          <w:kern w:val="36"/>
          <w:sz w:val="22"/>
          <w:szCs w:val="22"/>
          <w14:ligatures w14:val="none"/>
        </w:rPr>
        <w:t>RECOMMENDATIONS</w:t>
      </w:r>
    </w:p>
    <w:p w14:paraId="1C898757" w14:textId="77777777" w:rsidR="00393EF1" w:rsidRPr="00393EF1" w:rsidRDefault="00393EF1"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393EF1">
        <w:rPr>
          <w:rFonts w:ascii="Arial" w:eastAsia="Times New Roman" w:hAnsi="Arial" w:cs="Arial"/>
          <w:b/>
          <w:bCs/>
          <w:kern w:val="0"/>
          <w:sz w:val="22"/>
          <w:szCs w:val="22"/>
          <w14:ligatures w14:val="none"/>
        </w:rPr>
        <w:t>Quality Improvement Tools</w:t>
      </w:r>
    </w:p>
    <w:p w14:paraId="2111423F" w14:textId="7354B988" w:rsidR="00393EF1" w:rsidRPr="00393EF1" w:rsidRDefault="00393EF1" w:rsidP="00E577C3">
      <w:pPr>
        <w:spacing w:before="100" w:beforeAutospacing="1" w:after="100" w:afterAutospacing="1" w:line="360" w:lineRule="auto"/>
        <w:outlineLvl w:val="2"/>
        <w:rPr>
          <w:rFonts w:ascii="Arial" w:eastAsia="Times New Roman" w:hAnsi="Arial" w:cs="Arial"/>
          <w:b/>
          <w:bCs/>
          <w:kern w:val="0"/>
          <w:sz w:val="22"/>
          <w:szCs w:val="22"/>
          <w14:ligatures w14:val="none"/>
        </w:rPr>
      </w:pPr>
      <w:r w:rsidRPr="00393EF1">
        <w:rPr>
          <w:rFonts w:ascii="Arial" w:eastAsia="Times New Roman" w:hAnsi="Arial" w:cs="Arial"/>
          <w:b/>
          <w:bCs/>
          <w:kern w:val="0"/>
          <w:sz w:val="22"/>
          <w:szCs w:val="22"/>
          <w14:ligatures w14:val="none"/>
        </w:rPr>
        <w:t xml:space="preserve">PDSA Cycle </w:t>
      </w:r>
    </w:p>
    <w:p w14:paraId="309EC69C" w14:textId="741D071B" w:rsidR="00393EF1" w:rsidRPr="00393EF1" w:rsidRDefault="00393EF1" w:rsidP="00E577C3">
      <w:pPr>
        <w:spacing w:before="100" w:beforeAutospacing="1" w:after="100" w:afterAutospacing="1" w:line="360" w:lineRule="auto"/>
        <w:rPr>
          <w:rFonts w:ascii="Arial" w:hAnsi="Arial" w:cs="Arial"/>
          <w:kern w:val="0"/>
          <w:sz w:val="22"/>
          <w:szCs w:val="22"/>
          <w14:ligatures w14:val="none"/>
        </w:rPr>
      </w:pPr>
      <w:r w:rsidRPr="00393EF1">
        <w:rPr>
          <w:rFonts w:ascii="Arial" w:hAnsi="Arial" w:cs="Arial"/>
          <w:kern w:val="0"/>
          <w:sz w:val="22"/>
          <w:szCs w:val="22"/>
          <w14:ligatures w14:val="none"/>
        </w:rPr>
        <w:t>The Plan–Do–Study–Act (PDSA) cycle is a structured method for testing and implementing changes in healthcare settings. In the context of the Bristol case, the plan stage would involve introducing a formal clinical audit system to monitor surgical outcomes. The do phase would pilot this system within a specific department to assess feasibility. During the study phase, data on patient outcomes and compliance would be analysed to evaluate effectiveness. Finally, the act stage would involve refining and scaling the system across the organisation. This iterative approach supports continuous improvement and organisational learning (Taylor et al., 2014).</w:t>
      </w:r>
    </w:p>
    <w:p w14:paraId="75080EEB" w14:textId="08DF0487" w:rsidR="00393EF1" w:rsidRPr="00393EF1" w:rsidRDefault="00393EF1" w:rsidP="00E577C3">
      <w:pPr>
        <w:spacing w:before="100" w:beforeAutospacing="1" w:after="100" w:afterAutospacing="1" w:line="360" w:lineRule="auto"/>
        <w:outlineLvl w:val="2"/>
        <w:rPr>
          <w:rFonts w:ascii="Arial" w:hAnsi="Arial" w:cs="Arial"/>
          <w:b/>
          <w:bCs/>
          <w:kern w:val="0"/>
          <w:sz w:val="22"/>
          <w:szCs w:val="22"/>
          <w14:ligatures w14:val="none"/>
        </w:rPr>
      </w:pPr>
      <w:r w:rsidRPr="00393EF1">
        <w:rPr>
          <w:rFonts w:ascii="Arial" w:eastAsia="Times New Roman" w:hAnsi="Arial" w:cs="Arial"/>
          <w:b/>
          <w:bCs/>
          <w:kern w:val="0"/>
          <w:sz w:val="22"/>
          <w:szCs w:val="22"/>
          <w14:ligatures w14:val="none"/>
        </w:rPr>
        <w:t>Lean Approach</w:t>
      </w:r>
    </w:p>
    <w:p w14:paraId="7A1019CE" w14:textId="77777777" w:rsidR="0049480C" w:rsidRPr="00293DB3" w:rsidRDefault="00393EF1" w:rsidP="00E577C3">
      <w:pPr>
        <w:spacing w:before="100" w:beforeAutospacing="1" w:after="100" w:afterAutospacing="1" w:line="360" w:lineRule="auto"/>
        <w:rPr>
          <w:rFonts w:ascii="Arial" w:hAnsi="Arial" w:cs="Arial"/>
          <w:kern w:val="0"/>
          <w:sz w:val="22"/>
          <w:szCs w:val="22"/>
          <w14:ligatures w14:val="none"/>
        </w:rPr>
      </w:pPr>
      <w:r w:rsidRPr="00393EF1">
        <w:rPr>
          <w:rFonts w:ascii="Arial" w:hAnsi="Arial" w:cs="Arial"/>
          <w:kern w:val="0"/>
          <w:sz w:val="22"/>
          <w:szCs w:val="22"/>
          <w14:ligatures w14:val="none"/>
        </w:rPr>
        <w:t xml:space="preserve">The Lean approach focuses on improving efficiency by eliminating waste and optimising processes within healthcare systems. Applied to the Bristol case, Lean principles would aim to remove inefficiencies such as poor communication pathways and inconsistent practices. Standardising clinical procedures, including audit and reporting systems, would help ensure consistency in care delivery. Additionally, Lean encourages streamlining workflows to reduce delays and errors, ultimately improving patient safety. By focusing on value from the </w:t>
      </w:r>
      <w:r w:rsidRPr="00393EF1">
        <w:rPr>
          <w:rFonts w:ascii="Arial" w:hAnsi="Arial" w:cs="Arial"/>
          <w:kern w:val="0"/>
          <w:sz w:val="22"/>
          <w:szCs w:val="22"/>
          <w14:ligatures w14:val="none"/>
        </w:rPr>
        <w:lastRenderedPageBreak/>
        <w:t>patient’s perspective, Lean supports the delivery of high-quality, efficient care while minimising unnecessary variation (Womack and Jones, 2003).</w:t>
      </w:r>
    </w:p>
    <w:p w14:paraId="30D85A65" w14:textId="23727C1D" w:rsidR="00393EF1" w:rsidRPr="00393EF1" w:rsidRDefault="00393EF1" w:rsidP="00E577C3">
      <w:pPr>
        <w:spacing w:before="100" w:beforeAutospacing="1" w:after="100" w:afterAutospacing="1" w:line="360" w:lineRule="auto"/>
        <w:rPr>
          <w:rFonts w:ascii="Arial" w:hAnsi="Arial" w:cs="Arial"/>
          <w:kern w:val="0"/>
          <w:sz w:val="22"/>
          <w:szCs w:val="22"/>
          <w14:ligatures w14:val="none"/>
        </w:rPr>
      </w:pPr>
      <w:r w:rsidRPr="00393EF1">
        <w:rPr>
          <w:rFonts w:ascii="Arial" w:eastAsia="Times New Roman" w:hAnsi="Arial" w:cs="Arial"/>
          <w:b/>
          <w:bCs/>
          <w:kern w:val="0"/>
          <w:sz w:val="22"/>
          <w:szCs w:val="22"/>
          <w14:ligatures w14:val="none"/>
        </w:rPr>
        <w:t xml:space="preserve">Six Sigma </w:t>
      </w:r>
    </w:p>
    <w:p w14:paraId="7710A5D6" w14:textId="77777777" w:rsidR="00393EF1" w:rsidRPr="00393EF1" w:rsidRDefault="00393EF1" w:rsidP="00E577C3">
      <w:pPr>
        <w:spacing w:before="100" w:beforeAutospacing="1" w:after="100" w:afterAutospacing="1" w:line="360" w:lineRule="auto"/>
        <w:rPr>
          <w:rFonts w:ascii="Arial" w:hAnsi="Arial" w:cs="Arial"/>
          <w:kern w:val="0"/>
          <w:sz w:val="22"/>
          <w:szCs w:val="22"/>
          <w14:ligatures w14:val="none"/>
        </w:rPr>
      </w:pPr>
      <w:r w:rsidRPr="00393EF1">
        <w:rPr>
          <w:rFonts w:ascii="Arial" w:hAnsi="Arial" w:cs="Arial"/>
          <w:kern w:val="0"/>
          <w:sz w:val="22"/>
          <w:szCs w:val="22"/>
          <w14:ligatures w14:val="none"/>
        </w:rPr>
        <w:t>Six Sigma is a data-driven approach designed to reduce variation and improve quality by identifying and eliminating defects in processes. In healthcare, it focuses on improving reliability and consistency in service delivery. In relation to the Bristol case, Six Sigma could be used to analyse variations in surgical outcomes and identify factors contributing to high mortality rates. By using statistical tools and performance metrics, organisations can make evidence-based decisions to improve patient safety. This approach emphasises continuous monitoring and control, ensuring that improvements are sustained over time (Antony et al., 2019).</w:t>
      </w:r>
    </w:p>
    <w:p w14:paraId="1286238F" w14:textId="589EB768" w:rsidR="00841268" w:rsidRPr="00841268" w:rsidRDefault="00841268"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841268">
        <w:rPr>
          <w:rFonts w:ascii="Arial" w:eastAsia="Times New Roman" w:hAnsi="Arial" w:cs="Arial"/>
          <w:b/>
          <w:bCs/>
          <w:kern w:val="0"/>
          <w:sz w:val="22"/>
          <w:szCs w:val="22"/>
          <w14:ligatures w14:val="none"/>
        </w:rPr>
        <w:t xml:space="preserve">Key Recommendations </w:t>
      </w:r>
    </w:p>
    <w:p w14:paraId="39DEE4C2" w14:textId="5BEEEF0A"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To address the systemic failures identified in the Bristol Royal Infirmary case, a set of targeted and sustainable recommendations is required to strengthen quality management and patient safety within healthcare organisations.</w:t>
      </w:r>
    </w:p>
    <w:p w14:paraId="4C7FD74C" w14:textId="78553FCD"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Firstly, implementing a robust clinical governance framework is essential to ensure accountability, continuous monitoring, and quality improvement. This framework should clearly define roles, responsibilities, and reporting structures to support safe and effective care delivery.</w:t>
      </w:r>
    </w:p>
    <w:p w14:paraId="6603F1BC" w14:textId="797D8E42"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Secondly, the introduction of mandatory clinical audit systems is critical. Regular audits of clinical outcomes, particularly for high-risk procedures, would enable early identification of poor performance and support evidence-based decision-making. These audits should be standardised and integrated into routine practice.</w:t>
      </w:r>
    </w:p>
    <w:p w14:paraId="61FF0A95" w14:textId="747E398D"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Strengthening leadership and accountability is also a key priority. Healthcare leaders must foster a culture of openness, responsibility, and continuous learning. Clear lines of accountability should be established to ensure that concerns are addressed promptly and effectively.</w:t>
      </w:r>
    </w:p>
    <w:p w14:paraId="6350775B" w14:textId="2972D4C7"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 xml:space="preserve">Improving communication and transparency is vital for both patient safety and trust. Healthcare professionals should ensure clear communication within multidisciplinary teams and provide patients and families with accurate and timely information regarding risks and </w:t>
      </w:r>
      <w:r w:rsidRPr="00841268">
        <w:rPr>
          <w:rFonts w:ascii="Arial" w:hAnsi="Arial" w:cs="Arial"/>
          <w:kern w:val="0"/>
          <w:sz w:val="22"/>
          <w:szCs w:val="22"/>
          <w14:ligatures w14:val="none"/>
        </w:rPr>
        <w:lastRenderedPageBreak/>
        <w:t>outcomes. Transparent reporting systems should also be implemented to support organisational learning.</w:t>
      </w:r>
    </w:p>
    <w:p w14:paraId="1060C026" w14:textId="3559A831"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Promoting patient-centred care is another important recommendation. Patients and families should be actively involved in decision-making processes, with their concerns taken seriously. This approach enhances trust and ensures that care is aligned with patient needs and preferences.</w:t>
      </w:r>
    </w:p>
    <w:p w14:paraId="3594EBAA" w14:textId="3541002C"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Finally, encouraging a whistleblowing culture is essential to identify and address risks early. Staff should feel safe and supported to raise concerns without fear of retaliation. Establishing clear reporting mechanisms and protecting whistleblowers will contribute to a more open and accountable healthcare environment.</w:t>
      </w:r>
    </w:p>
    <w:p w14:paraId="2D21B36C" w14:textId="77777777" w:rsidR="00841268" w:rsidRPr="00841268" w:rsidRDefault="00841268" w:rsidP="00E577C3">
      <w:pPr>
        <w:spacing w:before="100" w:beforeAutospacing="1" w:after="100" w:afterAutospacing="1" w:line="360" w:lineRule="auto"/>
        <w:rPr>
          <w:rFonts w:ascii="Arial" w:hAnsi="Arial" w:cs="Arial"/>
          <w:kern w:val="0"/>
          <w:sz w:val="22"/>
          <w:szCs w:val="22"/>
          <w14:ligatures w14:val="none"/>
        </w:rPr>
      </w:pPr>
      <w:r w:rsidRPr="00841268">
        <w:rPr>
          <w:rFonts w:ascii="Arial" w:hAnsi="Arial" w:cs="Arial"/>
          <w:kern w:val="0"/>
          <w:sz w:val="22"/>
          <w:szCs w:val="22"/>
          <w14:ligatures w14:val="none"/>
        </w:rPr>
        <w:t>Overall, these recommendations aim to create a resilient system that prioritises safety, transparency, and continuous improvement.</w:t>
      </w:r>
    </w:p>
    <w:p w14:paraId="6190CCC9" w14:textId="6CD6EA08" w:rsidR="008063C2" w:rsidRPr="008063C2" w:rsidRDefault="008063C2"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8063C2">
        <w:rPr>
          <w:rFonts w:ascii="Arial" w:eastAsia="Times New Roman" w:hAnsi="Arial" w:cs="Arial"/>
          <w:b/>
          <w:bCs/>
          <w:kern w:val="0"/>
          <w:sz w:val="22"/>
          <w:szCs w:val="22"/>
          <w14:ligatures w14:val="none"/>
        </w:rPr>
        <w:t> Implementation Strategy</w:t>
      </w:r>
    </w:p>
    <w:p w14:paraId="114A7D8F" w14:textId="2360F0AF"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t>A structured implementation strategy is essential to ensure that the proposed recommendations are effectively embedded into practice and lead to sustainable improvement.</w:t>
      </w:r>
    </w:p>
    <w:p w14:paraId="60055D0A" w14:textId="0AAEBD75"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t>Firstly, staff training should be prioritised to enhance knowledge, skills, and awareness of clinical governance, patient safety, and audit processes. Regular training sessions and competency assessments will ensure that all staff understand their roles and responsibilities in maintaining quality care.</w:t>
      </w:r>
    </w:p>
    <w:p w14:paraId="4EDA3D13" w14:textId="2A6BF550"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t>Secondly, the introduction of digital systems for data tracking is crucial. Implementing electronic audit and reporting systems will enable accurate, real-time monitoring of clinical outcomes, incidents, and performance indicators. This will support better decision-making and improve transparency across the organisation.</w:t>
      </w:r>
    </w:p>
    <w:p w14:paraId="510A89EB" w14:textId="6124DCD1"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t>In addition, organisations should establish clear Key Performance Indicators (KPIs) to measure quality, safety, and effectiveness. These may include mortality rates, audit compliance, incident reporting, and patient satisfaction. Regular monitoring of KPIs will allow organisations to identify trends, address issues promptly, and evaluate the impact of interventions.</w:t>
      </w:r>
    </w:p>
    <w:p w14:paraId="3CCF2F0D" w14:textId="46C07A69"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lastRenderedPageBreak/>
        <w:t>Finally, continuous evaluation should be embedded within the organisation through regular audits, feedback mechanisms, and review meetings. This ensures that improvements are sustained over time and that the organisation remains responsive to emerging risks.</w:t>
      </w:r>
    </w:p>
    <w:p w14:paraId="734CC9D4" w14:textId="77777777" w:rsidR="008063C2" w:rsidRPr="008063C2" w:rsidRDefault="008063C2" w:rsidP="00E577C3">
      <w:pPr>
        <w:spacing w:before="100" w:beforeAutospacing="1" w:after="100" w:afterAutospacing="1" w:line="360" w:lineRule="auto"/>
        <w:rPr>
          <w:rFonts w:ascii="Arial" w:hAnsi="Arial" w:cs="Arial"/>
          <w:kern w:val="0"/>
          <w:sz w:val="22"/>
          <w:szCs w:val="22"/>
          <w14:ligatures w14:val="none"/>
        </w:rPr>
      </w:pPr>
      <w:r w:rsidRPr="008063C2">
        <w:rPr>
          <w:rFonts w:ascii="Arial" w:hAnsi="Arial" w:cs="Arial"/>
          <w:kern w:val="0"/>
          <w:sz w:val="22"/>
          <w:szCs w:val="22"/>
          <w14:ligatures w14:val="none"/>
        </w:rPr>
        <w:t>Overall, this implementation strategy supports a proactive and data-driven approach to quality improvement, ensuring that changes are effectively maintained and aligned with organisational goals.</w:t>
      </w:r>
    </w:p>
    <w:p w14:paraId="68D0057B" w14:textId="4B37B578" w:rsidR="00412DD0" w:rsidRPr="00412DD0" w:rsidRDefault="00412DD0" w:rsidP="00E577C3">
      <w:pPr>
        <w:spacing w:before="100" w:beforeAutospacing="1" w:after="100" w:afterAutospacing="1" w:line="360" w:lineRule="auto"/>
        <w:outlineLvl w:val="1"/>
        <w:rPr>
          <w:rFonts w:ascii="Arial" w:eastAsia="Times New Roman" w:hAnsi="Arial" w:cs="Arial"/>
          <w:b/>
          <w:bCs/>
          <w:kern w:val="0"/>
          <w:sz w:val="22"/>
          <w:szCs w:val="22"/>
          <w14:ligatures w14:val="none"/>
        </w:rPr>
      </w:pPr>
      <w:r w:rsidRPr="00412DD0">
        <w:rPr>
          <w:rFonts w:ascii="Arial" w:eastAsia="Times New Roman" w:hAnsi="Arial" w:cs="Arial"/>
          <w:b/>
          <w:bCs/>
          <w:kern w:val="0"/>
          <w:sz w:val="22"/>
          <w:szCs w:val="22"/>
          <w14:ligatures w14:val="none"/>
        </w:rPr>
        <w:t xml:space="preserve">Conclusion </w:t>
      </w:r>
    </w:p>
    <w:p w14:paraId="36AB5EE7" w14:textId="4235639F" w:rsidR="00412DD0" w:rsidRPr="00412DD0" w:rsidRDefault="00412DD0" w:rsidP="00E577C3">
      <w:pPr>
        <w:spacing w:before="100" w:beforeAutospacing="1" w:after="100" w:afterAutospacing="1" w:line="360" w:lineRule="auto"/>
        <w:rPr>
          <w:rFonts w:ascii="Arial" w:hAnsi="Arial" w:cs="Arial"/>
          <w:kern w:val="0"/>
          <w:sz w:val="22"/>
          <w:szCs w:val="22"/>
          <w14:ligatures w14:val="none"/>
        </w:rPr>
      </w:pPr>
      <w:r w:rsidRPr="00412DD0">
        <w:rPr>
          <w:rFonts w:ascii="Arial" w:hAnsi="Arial" w:cs="Arial"/>
          <w:kern w:val="0"/>
          <w:sz w:val="22"/>
          <w:szCs w:val="22"/>
          <w14:ligatures w14:val="none"/>
        </w:rPr>
        <w:t>This report has critically examined the quality failures identified in the Bristol Royal Infirmary case, highlighting how a combination of root causes, policy gaps, and systemic weaknesses contributed to adverse patient outcomes. The analysis demonstrated that high mortality rates were not the result of isolated clinical errors but were driven by deeper organisational issues, including the absence of clinical audit systems, weak governance structures, poor communication, and a hierarchical culture that discouraged challenge. These root causes were further reinforced by policy failures, particularly the lack of strong national frameworks for clinical governance, transparency, and accountability at the time.</w:t>
      </w:r>
    </w:p>
    <w:p w14:paraId="165057D4" w14:textId="3339A44C" w:rsidR="00412DD0" w:rsidRPr="00412DD0" w:rsidRDefault="00412DD0" w:rsidP="00E577C3">
      <w:pPr>
        <w:spacing w:before="100" w:beforeAutospacing="1" w:after="100" w:afterAutospacing="1" w:line="360" w:lineRule="auto"/>
        <w:rPr>
          <w:rFonts w:ascii="Arial" w:hAnsi="Arial" w:cs="Arial"/>
          <w:kern w:val="0"/>
          <w:sz w:val="22"/>
          <w:szCs w:val="22"/>
          <w14:ligatures w14:val="none"/>
        </w:rPr>
      </w:pPr>
      <w:r w:rsidRPr="00412DD0">
        <w:rPr>
          <w:rFonts w:ascii="Arial" w:hAnsi="Arial" w:cs="Arial"/>
          <w:kern w:val="0"/>
          <w:sz w:val="22"/>
          <w:szCs w:val="22"/>
          <w14:ligatures w14:val="none"/>
        </w:rPr>
        <w:t xml:space="preserve">The application of theoretical models, including the Fishbone Diagram, 5 Whys, </w:t>
      </w:r>
      <w:proofErr w:type="spellStart"/>
      <w:r w:rsidRPr="00412DD0">
        <w:rPr>
          <w:rFonts w:ascii="Arial" w:hAnsi="Arial" w:cs="Arial"/>
          <w:kern w:val="0"/>
          <w:sz w:val="22"/>
          <w:szCs w:val="22"/>
          <w14:ligatures w14:val="none"/>
        </w:rPr>
        <w:t>Donabedian</w:t>
      </w:r>
      <w:proofErr w:type="spellEnd"/>
      <w:r w:rsidRPr="00412DD0">
        <w:rPr>
          <w:rFonts w:ascii="Arial" w:hAnsi="Arial" w:cs="Arial"/>
          <w:kern w:val="0"/>
          <w:sz w:val="22"/>
          <w:szCs w:val="22"/>
          <w14:ligatures w14:val="none"/>
        </w:rPr>
        <w:t xml:space="preserve"> Model, and Systems Theory, provided a comprehensive understanding of how these failures occurred across multiple levels of the healthcare system. These frameworks emphasised that healthcare quality is influenced by the interaction between structure, processes, and outcomes, as well as the broader system within which care is delivered. The findings clearly illustrate that failures in one area can have significant consequences across the entire system.</w:t>
      </w:r>
    </w:p>
    <w:p w14:paraId="54EA7D7A" w14:textId="5C97AF85" w:rsidR="00412DD0" w:rsidRPr="00412DD0" w:rsidRDefault="00412DD0" w:rsidP="00E577C3">
      <w:pPr>
        <w:spacing w:before="100" w:beforeAutospacing="1" w:after="100" w:afterAutospacing="1" w:line="360" w:lineRule="auto"/>
        <w:rPr>
          <w:rFonts w:ascii="Arial" w:hAnsi="Arial" w:cs="Arial"/>
          <w:kern w:val="0"/>
          <w:sz w:val="22"/>
          <w:szCs w:val="22"/>
          <w14:ligatures w14:val="none"/>
        </w:rPr>
      </w:pPr>
      <w:r w:rsidRPr="00412DD0">
        <w:rPr>
          <w:rFonts w:ascii="Arial" w:hAnsi="Arial" w:cs="Arial"/>
          <w:kern w:val="0"/>
          <w:sz w:val="22"/>
          <w:szCs w:val="22"/>
          <w14:ligatures w14:val="none"/>
        </w:rPr>
        <w:t>Importantly, the Bristol Inquiry served as a catalyst for major reforms within the NHS, leading to the development of clinical governance frameworks, improved audit systems, and a stronger focus on patient safety and accountability. These changes underline the importance of continuous quality improvement in preventing similar failures in the future.</w:t>
      </w:r>
    </w:p>
    <w:p w14:paraId="42DC8850" w14:textId="77777777" w:rsidR="00412DD0" w:rsidRPr="00412DD0" w:rsidRDefault="00412DD0" w:rsidP="00E577C3">
      <w:pPr>
        <w:spacing w:before="100" w:beforeAutospacing="1" w:after="100" w:afterAutospacing="1" w:line="360" w:lineRule="auto"/>
        <w:rPr>
          <w:rFonts w:ascii="Arial" w:hAnsi="Arial" w:cs="Arial"/>
          <w:kern w:val="0"/>
          <w:sz w:val="22"/>
          <w:szCs w:val="22"/>
          <w14:ligatures w14:val="none"/>
        </w:rPr>
      </w:pPr>
      <w:r w:rsidRPr="00412DD0">
        <w:rPr>
          <w:rFonts w:ascii="Arial" w:hAnsi="Arial" w:cs="Arial"/>
          <w:kern w:val="0"/>
          <w:sz w:val="22"/>
          <w:szCs w:val="22"/>
          <w14:ligatures w14:val="none"/>
        </w:rPr>
        <w:t>In conclusion, the case reinforces the critical need for healthcare organisations to adopt a systems-based approach to quality management. Effective leadership, transparent communication, robust governance, and ongoing monitoring are essential to ensure safe and effective care. Ultimately, safe care requires strong systems, not just skilled individuals, and sustainable improvement depends on the ability of organisations to learn, adapt, and continuously enhance their practices</w:t>
      </w:r>
    </w:p>
    <w:p w14:paraId="07B66346" w14:textId="138C7167" w:rsidR="003E54CA" w:rsidRPr="003E54CA" w:rsidRDefault="003E54CA" w:rsidP="003E319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E54CA">
        <w:rPr>
          <w:rFonts w:ascii="Times New Roman" w:eastAsia="Times New Roman" w:hAnsi="Times New Roman" w:cs="Times New Roman"/>
          <w:b/>
          <w:bCs/>
          <w:kern w:val="0"/>
          <w:sz w:val="36"/>
          <w:szCs w:val="36"/>
          <w14:ligatures w14:val="none"/>
        </w:rPr>
        <w:lastRenderedPageBreak/>
        <w:t xml:space="preserve">Final Reference List </w:t>
      </w:r>
    </w:p>
    <w:p w14:paraId="76DB7761" w14:textId="0DE7354B"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Antony, J., Sony, M., Dempsey, M., Brennan, A. and </w:t>
      </w:r>
      <w:proofErr w:type="spellStart"/>
      <w:r w:rsidRPr="003E54CA">
        <w:rPr>
          <w:rFonts w:ascii="Times New Roman" w:hAnsi="Times New Roman" w:cs="Times New Roman"/>
          <w:kern w:val="0"/>
          <w14:ligatures w14:val="none"/>
        </w:rPr>
        <w:t>Farrington</w:t>
      </w:r>
      <w:proofErr w:type="spellEnd"/>
      <w:r w:rsidRPr="003E54CA">
        <w:rPr>
          <w:rFonts w:ascii="Times New Roman" w:hAnsi="Times New Roman" w:cs="Times New Roman"/>
          <w:kern w:val="0"/>
          <w14:ligatures w14:val="none"/>
        </w:rPr>
        <w:t>, T. (2019) ‘</w:t>
      </w:r>
      <w:r w:rsidRPr="003E54CA">
        <w:rPr>
          <w:rFonts w:ascii="Times New Roman" w:hAnsi="Times New Roman" w:cs="Times New Roman"/>
          <w:i/>
          <w:iCs/>
          <w:kern w:val="0"/>
          <w14:ligatures w14:val="none"/>
        </w:rPr>
        <w:t>An evaluation into the limitations and emerging trends of Six Sigma: an empirical study</w:t>
      </w:r>
      <w:r w:rsidRPr="003E54CA">
        <w:rPr>
          <w:rFonts w:ascii="Times New Roman" w:hAnsi="Times New Roman" w:cs="Times New Roman"/>
          <w:kern w:val="0"/>
          <w14:ligatures w14:val="none"/>
        </w:rPr>
        <w:t>’, The TQM Journal, 31(3), pp. 205–221.</w:t>
      </w:r>
    </w:p>
    <w:p w14:paraId="2CD97236" w14:textId="79F42C8C"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Bate, P. and Robert, G. (2007) </w:t>
      </w:r>
      <w:r w:rsidRPr="003E54CA">
        <w:rPr>
          <w:rFonts w:ascii="Times New Roman" w:hAnsi="Times New Roman" w:cs="Times New Roman"/>
          <w:i/>
          <w:iCs/>
          <w:kern w:val="0"/>
          <w14:ligatures w14:val="none"/>
        </w:rPr>
        <w:t>Bringing user experience to healthcare improvement: The concepts, methods and practices of experience-based design.</w:t>
      </w:r>
      <w:r w:rsidRPr="003E54CA">
        <w:rPr>
          <w:rFonts w:ascii="Times New Roman" w:hAnsi="Times New Roman" w:cs="Times New Roman"/>
          <w:kern w:val="0"/>
          <w14:ligatures w14:val="none"/>
        </w:rPr>
        <w:t xml:space="preserve"> Oxford: Radcliffe Publishing.</w:t>
      </w:r>
    </w:p>
    <w:p w14:paraId="5B8407C0" w14:textId="275E00CE"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Department of Health (2000) </w:t>
      </w:r>
      <w:r w:rsidRPr="003E54CA">
        <w:rPr>
          <w:rFonts w:ascii="Times New Roman" w:hAnsi="Times New Roman" w:cs="Times New Roman"/>
          <w:i/>
          <w:iCs/>
          <w:kern w:val="0"/>
          <w14:ligatures w14:val="none"/>
        </w:rPr>
        <w:t>An organisation with a memory</w:t>
      </w:r>
      <w:r w:rsidRPr="003E54CA">
        <w:rPr>
          <w:rFonts w:ascii="Times New Roman" w:hAnsi="Times New Roman" w:cs="Times New Roman"/>
          <w:kern w:val="0"/>
          <w14:ligatures w14:val="none"/>
        </w:rPr>
        <w:t>. London: HMSO.</w:t>
      </w:r>
    </w:p>
    <w:p w14:paraId="3853DF1E" w14:textId="5C51A1BF"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Department of Health (2008) </w:t>
      </w:r>
      <w:r w:rsidRPr="003E54CA">
        <w:rPr>
          <w:rFonts w:ascii="Times New Roman" w:hAnsi="Times New Roman" w:cs="Times New Roman"/>
          <w:i/>
          <w:iCs/>
          <w:kern w:val="0"/>
          <w14:ligatures w14:val="none"/>
        </w:rPr>
        <w:t>High quality care for all: NHS Next Stage Review final report.</w:t>
      </w:r>
      <w:r w:rsidRPr="003E54CA">
        <w:rPr>
          <w:rFonts w:ascii="Times New Roman" w:hAnsi="Times New Roman" w:cs="Times New Roman"/>
          <w:kern w:val="0"/>
          <w14:ligatures w14:val="none"/>
        </w:rPr>
        <w:t xml:space="preserve"> London: HMSO.</w:t>
      </w:r>
    </w:p>
    <w:p w14:paraId="013EB32B" w14:textId="5D6C20EE" w:rsidR="003E3190"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Donabedian</w:t>
      </w:r>
      <w:proofErr w:type="spellEnd"/>
      <w:r w:rsidRPr="003E54CA">
        <w:rPr>
          <w:rFonts w:ascii="Times New Roman" w:hAnsi="Times New Roman" w:cs="Times New Roman"/>
          <w:kern w:val="0"/>
          <w14:ligatures w14:val="none"/>
        </w:rPr>
        <w:t>, A. (1988) ‘</w:t>
      </w:r>
      <w:r w:rsidRPr="003E54CA">
        <w:rPr>
          <w:rFonts w:ascii="Times New Roman" w:hAnsi="Times New Roman" w:cs="Times New Roman"/>
          <w:i/>
          <w:iCs/>
          <w:kern w:val="0"/>
          <w14:ligatures w14:val="none"/>
        </w:rPr>
        <w:t>The quality of care: How can it be assessed?</w:t>
      </w:r>
      <w:r w:rsidRPr="003E54CA">
        <w:rPr>
          <w:rFonts w:ascii="Times New Roman" w:hAnsi="Times New Roman" w:cs="Times New Roman"/>
          <w:kern w:val="0"/>
          <w14:ligatures w14:val="none"/>
        </w:rPr>
        <w:t>’, JAMA, 260(12), pp. 1743–1748.</w:t>
      </w:r>
    </w:p>
    <w:p w14:paraId="0C94875D" w14:textId="18384007"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Gürel</w:t>
      </w:r>
      <w:proofErr w:type="spellEnd"/>
      <w:r w:rsidRPr="003E54CA">
        <w:rPr>
          <w:rFonts w:ascii="Times New Roman" w:hAnsi="Times New Roman" w:cs="Times New Roman"/>
          <w:kern w:val="0"/>
          <w14:ligatures w14:val="none"/>
        </w:rPr>
        <w:t>, E. and Tat, M. (2017) ‘</w:t>
      </w:r>
      <w:r w:rsidRPr="003E54CA">
        <w:rPr>
          <w:rFonts w:ascii="Times New Roman" w:hAnsi="Times New Roman" w:cs="Times New Roman"/>
          <w:i/>
          <w:iCs/>
          <w:kern w:val="0"/>
          <w14:ligatures w14:val="none"/>
        </w:rPr>
        <w:t>SWOT analysis: A theoretical review’, Journal of International Social Research</w:t>
      </w:r>
      <w:r w:rsidRPr="003E54CA">
        <w:rPr>
          <w:rFonts w:ascii="Times New Roman" w:hAnsi="Times New Roman" w:cs="Times New Roman"/>
          <w:kern w:val="0"/>
          <w14:ligatures w14:val="none"/>
        </w:rPr>
        <w:t>, 10(51), pp. 994–1006.</w:t>
      </w:r>
    </w:p>
    <w:p w14:paraId="2ABA97F0" w14:textId="40FD0B42"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Institute of Medicine (2001) </w:t>
      </w:r>
      <w:r w:rsidRPr="003E54CA">
        <w:rPr>
          <w:rFonts w:ascii="Times New Roman" w:hAnsi="Times New Roman" w:cs="Times New Roman"/>
          <w:i/>
          <w:iCs/>
          <w:kern w:val="0"/>
          <w14:ligatures w14:val="none"/>
        </w:rPr>
        <w:t>Crossing the quality chasm: A new health system for the 21st century.</w:t>
      </w:r>
      <w:r w:rsidRPr="003E54CA">
        <w:rPr>
          <w:rFonts w:ascii="Times New Roman" w:hAnsi="Times New Roman" w:cs="Times New Roman"/>
          <w:kern w:val="0"/>
          <w14:ligatures w14:val="none"/>
        </w:rPr>
        <w:t xml:space="preserve"> Washington, DC: National Academies Press.</w:t>
      </w:r>
    </w:p>
    <w:p w14:paraId="2D0B70EC" w14:textId="46A5BE17"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Ishikawa, K. (1986) </w:t>
      </w:r>
      <w:r w:rsidRPr="003E54CA">
        <w:rPr>
          <w:rFonts w:ascii="Times New Roman" w:hAnsi="Times New Roman" w:cs="Times New Roman"/>
          <w:i/>
          <w:iCs/>
          <w:kern w:val="0"/>
          <w14:ligatures w14:val="none"/>
        </w:rPr>
        <w:t>Guide to Quality Control.</w:t>
      </w:r>
      <w:r w:rsidRPr="003E54CA">
        <w:rPr>
          <w:rFonts w:ascii="Times New Roman" w:hAnsi="Times New Roman" w:cs="Times New Roman"/>
          <w:kern w:val="0"/>
          <w14:ligatures w14:val="none"/>
        </w:rPr>
        <w:t xml:space="preserve"> Tokyo: Asian Productivity </w:t>
      </w:r>
      <w:proofErr w:type="spellStart"/>
      <w:r w:rsidRPr="003E54CA">
        <w:rPr>
          <w:rFonts w:ascii="Times New Roman" w:hAnsi="Times New Roman" w:cs="Times New Roman"/>
          <w:kern w:val="0"/>
          <w14:ligatures w14:val="none"/>
        </w:rPr>
        <w:t>Organization</w:t>
      </w:r>
      <w:proofErr w:type="spellEnd"/>
      <w:r w:rsidRPr="003E54CA">
        <w:rPr>
          <w:rFonts w:ascii="Times New Roman" w:hAnsi="Times New Roman" w:cs="Times New Roman"/>
          <w:kern w:val="0"/>
          <w14:ligatures w14:val="none"/>
        </w:rPr>
        <w:t>.</w:t>
      </w:r>
    </w:p>
    <w:p w14:paraId="003189F9" w14:textId="5F7A4D66"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Kennedy, I. (2001) </w:t>
      </w:r>
      <w:r w:rsidRPr="003E54CA">
        <w:rPr>
          <w:rFonts w:ascii="Times New Roman" w:hAnsi="Times New Roman" w:cs="Times New Roman"/>
          <w:i/>
          <w:iCs/>
          <w:kern w:val="0"/>
          <w14:ligatures w14:val="none"/>
        </w:rPr>
        <w:t>The Report of the Public Inquiry into Children’s Heart Surgery at the Bristol Royal Infirmary 1984–1995. London: The Stationery Office</w:t>
      </w:r>
      <w:r w:rsidRPr="003E54CA">
        <w:rPr>
          <w:rFonts w:ascii="Times New Roman" w:hAnsi="Times New Roman" w:cs="Times New Roman"/>
          <w:kern w:val="0"/>
          <w14:ligatures w14:val="none"/>
        </w:rPr>
        <w:t>. Available at: http://webarchive.nationalarchives.gov.uk/20090811143822/http://www.bristol-inquiry.org.uk/final_report/</w:t>
      </w:r>
    </w:p>
    <w:p w14:paraId="55C0CE10" w14:textId="71F8221C"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Langley, G.J., </w:t>
      </w:r>
      <w:proofErr w:type="spellStart"/>
      <w:r w:rsidRPr="003E54CA">
        <w:rPr>
          <w:rFonts w:ascii="Times New Roman" w:hAnsi="Times New Roman" w:cs="Times New Roman"/>
          <w:kern w:val="0"/>
          <w14:ligatures w14:val="none"/>
        </w:rPr>
        <w:t>Moen</w:t>
      </w:r>
      <w:proofErr w:type="spellEnd"/>
      <w:r w:rsidRPr="003E54CA">
        <w:rPr>
          <w:rFonts w:ascii="Times New Roman" w:hAnsi="Times New Roman" w:cs="Times New Roman"/>
          <w:kern w:val="0"/>
          <w14:ligatures w14:val="none"/>
        </w:rPr>
        <w:t xml:space="preserve">, R., Nolan, K.M., Nolan, T.W., Norman, C.L. and Provost, L.P. (2009) </w:t>
      </w:r>
      <w:r w:rsidRPr="003E54CA">
        <w:rPr>
          <w:rFonts w:ascii="Times New Roman" w:hAnsi="Times New Roman" w:cs="Times New Roman"/>
          <w:i/>
          <w:iCs/>
          <w:kern w:val="0"/>
          <w14:ligatures w14:val="none"/>
        </w:rPr>
        <w:t xml:space="preserve">The improvement guide: A practical approach to enhancing </w:t>
      </w:r>
      <w:proofErr w:type="spellStart"/>
      <w:r w:rsidRPr="003E54CA">
        <w:rPr>
          <w:rFonts w:ascii="Times New Roman" w:hAnsi="Times New Roman" w:cs="Times New Roman"/>
          <w:i/>
          <w:iCs/>
          <w:kern w:val="0"/>
          <w14:ligatures w14:val="none"/>
        </w:rPr>
        <w:t>organizational</w:t>
      </w:r>
      <w:proofErr w:type="spellEnd"/>
      <w:r w:rsidRPr="003E54CA">
        <w:rPr>
          <w:rFonts w:ascii="Times New Roman" w:hAnsi="Times New Roman" w:cs="Times New Roman"/>
          <w:i/>
          <w:iCs/>
          <w:kern w:val="0"/>
          <w14:ligatures w14:val="none"/>
        </w:rPr>
        <w:t xml:space="preserve"> performance</w:t>
      </w:r>
      <w:r w:rsidRPr="003E54CA">
        <w:rPr>
          <w:rFonts w:ascii="Times New Roman" w:hAnsi="Times New Roman" w:cs="Times New Roman"/>
          <w:kern w:val="0"/>
          <w14:ligatures w14:val="none"/>
        </w:rPr>
        <w:t xml:space="preserve">. 2nd </w:t>
      </w:r>
      <w:proofErr w:type="spellStart"/>
      <w:r w:rsidRPr="003E54CA">
        <w:rPr>
          <w:rFonts w:ascii="Times New Roman" w:hAnsi="Times New Roman" w:cs="Times New Roman"/>
          <w:kern w:val="0"/>
          <w14:ligatures w14:val="none"/>
        </w:rPr>
        <w:t>edn</w:t>
      </w:r>
      <w:proofErr w:type="spellEnd"/>
      <w:r w:rsidRPr="003E54CA">
        <w:rPr>
          <w:rFonts w:ascii="Times New Roman" w:hAnsi="Times New Roman" w:cs="Times New Roman"/>
          <w:kern w:val="0"/>
          <w14:ligatures w14:val="none"/>
        </w:rPr>
        <w:t xml:space="preserve">. San Francisco: </w:t>
      </w:r>
      <w:proofErr w:type="spellStart"/>
      <w:r w:rsidRPr="003E54CA">
        <w:rPr>
          <w:rFonts w:ascii="Times New Roman" w:hAnsi="Times New Roman" w:cs="Times New Roman"/>
          <w:kern w:val="0"/>
          <w14:ligatures w14:val="none"/>
        </w:rPr>
        <w:t>Jossey-Bass</w:t>
      </w:r>
      <w:proofErr w:type="spellEnd"/>
      <w:r w:rsidRPr="003E54CA">
        <w:rPr>
          <w:rFonts w:ascii="Times New Roman" w:hAnsi="Times New Roman" w:cs="Times New Roman"/>
          <w:kern w:val="0"/>
          <w14:ligatures w14:val="none"/>
        </w:rPr>
        <w:t>.</w:t>
      </w:r>
    </w:p>
    <w:p w14:paraId="10F443AB" w14:textId="57418721"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NHS England (2015) </w:t>
      </w:r>
      <w:r w:rsidRPr="003E54CA">
        <w:rPr>
          <w:rFonts w:ascii="Times New Roman" w:hAnsi="Times New Roman" w:cs="Times New Roman"/>
          <w:i/>
          <w:iCs/>
          <w:kern w:val="0"/>
          <w14:ligatures w14:val="none"/>
        </w:rPr>
        <w:t>Serious Incident Framework: Supporting learning to prevent recurrence.</w:t>
      </w:r>
      <w:r w:rsidRPr="003E54CA">
        <w:rPr>
          <w:rFonts w:ascii="Times New Roman" w:hAnsi="Times New Roman" w:cs="Times New Roman"/>
          <w:kern w:val="0"/>
          <w14:ligatures w14:val="none"/>
        </w:rPr>
        <w:t xml:space="preserve"> London: NHS England.</w:t>
      </w:r>
    </w:p>
    <w:p w14:paraId="4BC3D431" w14:textId="07E9D9AE"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NHS England (2019) </w:t>
      </w:r>
      <w:r w:rsidRPr="003E54CA">
        <w:rPr>
          <w:rFonts w:ascii="Times New Roman" w:hAnsi="Times New Roman" w:cs="Times New Roman"/>
          <w:i/>
          <w:iCs/>
          <w:kern w:val="0"/>
          <w14:ligatures w14:val="none"/>
        </w:rPr>
        <w:t>The NHS Patient Safety Strategy: Safer culture, safer systems, safer patients</w:t>
      </w:r>
      <w:r w:rsidRPr="003E54CA">
        <w:rPr>
          <w:rFonts w:ascii="Times New Roman" w:hAnsi="Times New Roman" w:cs="Times New Roman"/>
          <w:kern w:val="0"/>
          <w14:ligatures w14:val="none"/>
        </w:rPr>
        <w:t>. London: NHS England.</w:t>
      </w:r>
    </w:p>
    <w:p w14:paraId="2DD2BD12" w14:textId="31508FC6"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Øvretveit</w:t>
      </w:r>
      <w:proofErr w:type="spellEnd"/>
      <w:r w:rsidRPr="003E54CA">
        <w:rPr>
          <w:rFonts w:ascii="Times New Roman" w:hAnsi="Times New Roman" w:cs="Times New Roman"/>
          <w:kern w:val="0"/>
          <w14:ligatures w14:val="none"/>
        </w:rPr>
        <w:t xml:space="preserve">, J. (2009) </w:t>
      </w:r>
      <w:r w:rsidRPr="003E54CA">
        <w:rPr>
          <w:rFonts w:ascii="Times New Roman" w:hAnsi="Times New Roman" w:cs="Times New Roman"/>
          <w:i/>
          <w:iCs/>
          <w:kern w:val="0"/>
          <w14:ligatures w14:val="none"/>
        </w:rPr>
        <w:t>Does improving quality save money? A review of evidence of which improvements to quality reduce costs to health service providers</w:t>
      </w:r>
      <w:r w:rsidRPr="003E54CA">
        <w:rPr>
          <w:rFonts w:ascii="Times New Roman" w:hAnsi="Times New Roman" w:cs="Times New Roman"/>
          <w:kern w:val="0"/>
          <w14:ligatures w14:val="none"/>
        </w:rPr>
        <w:t>. London: The Health Foundation.</w:t>
      </w:r>
    </w:p>
    <w:p w14:paraId="08AC1CE1" w14:textId="77777777"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Percarpio</w:t>
      </w:r>
      <w:proofErr w:type="spellEnd"/>
      <w:r w:rsidRPr="003E54CA">
        <w:rPr>
          <w:rFonts w:ascii="Times New Roman" w:hAnsi="Times New Roman" w:cs="Times New Roman"/>
          <w:kern w:val="0"/>
          <w14:ligatures w14:val="none"/>
        </w:rPr>
        <w:t>, K., Watts, B. and Weeks, W. (2008) ‘</w:t>
      </w:r>
      <w:r w:rsidRPr="003E54CA">
        <w:rPr>
          <w:rFonts w:ascii="Times New Roman" w:hAnsi="Times New Roman" w:cs="Times New Roman"/>
          <w:i/>
          <w:iCs/>
          <w:kern w:val="0"/>
          <w14:ligatures w14:val="none"/>
        </w:rPr>
        <w:t>The effectiveness of root cause analysis: What does the literature tell us</w:t>
      </w:r>
      <w:r w:rsidRPr="003E54CA">
        <w:rPr>
          <w:rFonts w:ascii="Times New Roman" w:hAnsi="Times New Roman" w:cs="Times New Roman"/>
          <w:kern w:val="0"/>
          <w14:ligatures w14:val="none"/>
        </w:rPr>
        <w:t>?’, BMJ Quality &amp; Safety, 17(3), pp. 223–226.</w:t>
      </w:r>
    </w:p>
    <w:p w14:paraId="4DDCA633" w14:textId="77777777"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
    <w:p w14:paraId="5FB69C30" w14:textId="7AA8752B"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lastRenderedPageBreak/>
        <w:t>Reason, J. (2000) ‘</w:t>
      </w:r>
      <w:r w:rsidRPr="003E54CA">
        <w:rPr>
          <w:rFonts w:ascii="Times New Roman" w:hAnsi="Times New Roman" w:cs="Times New Roman"/>
          <w:i/>
          <w:iCs/>
          <w:kern w:val="0"/>
          <w14:ligatures w14:val="none"/>
        </w:rPr>
        <w:t>Human error: Models and management</w:t>
      </w:r>
      <w:r w:rsidRPr="003E54CA">
        <w:rPr>
          <w:rFonts w:ascii="Times New Roman" w:hAnsi="Times New Roman" w:cs="Times New Roman"/>
          <w:kern w:val="0"/>
          <w14:ligatures w14:val="none"/>
        </w:rPr>
        <w:t>’, BMJ, 320(7237), pp. 768–770.</w:t>
      </w:r>
    </w:p>
    <w:p w14:paraId="4A4B2566" w14:textId="2BA3F573"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Scally</w:t>
      </w:r>
      <w:proofErr w:type="spellEnd"/>
      <w:r w:rsidRPr="003E54CA">
        <w:rPr>
          <w:rFonts w:ascii="Times New Roman" w:hAnsi="Times New Roman" w:cs="Times New Roman"/>
          <w:kern w:val="0"/>
          <w14:ligatures w14:val="none"/>
        </w:rPr>
        <w:t>, G. and Donaldson, L. (1998) ‘</w:t>
      </w:r>
      <w:r w:rsidRPr="003E54CA">
        <w:rPr>
          <w:rFonts w:ascii="Times New Roman" w:hAnsi="Times New Roman" w:cs="Times New Roman"/>
          <w:i/>
          <w:iCs/>
          <w:kern w:val="0"/>
          <w14:ligatures w14:val="none"/>
        </w:rPr>
        <w:t>Clinical governance and the drive for quality improvement in the new NHS in England</w:t>
      </w:r>
      <w:r w:rsidRPr="003E54CA">
        <w:rPr>
          <w:rFonts w:ascii="Times New Roman" w:hAnsi="Times New Roman" w:cs="Times New Roman"/>
          <w:kern w:val="0"/>
          <w14:ligatures w14:val="none"/>
        </w:rPr>
        <w:t>’, BMJ, 317(7150), pp. 61–65.</w:t>
      </w:r>
    </w:p>
    <w:p w14:paraId="0D067B62" w14:textId="4C0BF5CC"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Senge</w:t>
      </w:r>
      <w:proofErr w:type="spellEnd"/>
      <w:r w:rsidRPr="003E54CA">
        <w:rPr>
          <w:rFonts w:ascii="Times New Roman" w:hAnsi="Times New Roman" w:cs="Times New Roman"/>
          <w:kern w:val="0"/>
          <w14:ligatures w14:val="none"/>
        </w:rPr>
        <w:t xml:space="preserve">, P. (2006) </w:t>
      </w:r>
      <w:r w:rsidRPr="003E54CA">
        <w:rPr>
          <w:rFonts w:ascii="Times New Roman" w:hAnsi="Times New Roman" w:cs="Times New Roman"/>
          <w:i/>
          <w:iCs/>
          <w:kern w:val="0"/>
          <w14:ligatures w14:val="none"/>
        </w:rPr>
        <w:t xml:space="preserve">The Fifth Discipline: The art and practice of the learning organisation. </w:t>
      </w:r>
      <w:r w:rsidRPr="003E54CA">
        <w:rPr>
          <w:rFonts w:ascii="Times New Roman" w:hAnsi="Times New Roman" w:cs="Times New Roman"/>
          <w:kern w:val="0"/>
          <w14:ligatures w14:val="none"/>
        </w:rPr>
        <w:t>London: Random House.</w:t>
      </w:r>
    </w:p>
    <w:p w14:paraId="4C5B1DC8" w14:textId="01E175B8"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Taylor, M.J., McNicholas, C., </w:t>
      </w:r>
      <w:proofErr w:type="spellStart"/>
      <w:r w:rsidRPr="003E54CA">
        <w:rPr>
          <w:rFonts w:ascii="Times New Roman" w:hAnsi="Times New Roman" w:cs="Times New Roman"/>
          <w:kern w:val="0"/>
          <w14:ligatures w14:val="none"/>
        </w:rPr>
        <w:t>Nicolay</w:t>
      </w:r>
      <w:proofErr w:type="spellEnd"/>
      <w:r w:rsidRPr="003E54CA">
        <w:rPr>
          <w:rFonts w:ascii="Times New Roman" w:hAnsi="Times New Roman" w:cs="Times New Roman"/>
          <w:kern w:val="0"/>
          <w14:ligatures w14:val="none"/>
        </w:rPr>
        <w:t xml:space="preserve">, C., </w:t>
      </w:r>
      <w:proofErr w:type="spellStart"/>
      <w:r w:rsidRPr="003E54CA">
        <w:rPr>
          <w:rFonts w:ascii="Times New Roman" w:hAnsi="Times New Roman" w:cs="Times New Roman"/>
          <w:kern w:val="0"/>
          <w14:ligatures w14:val="none"/>
        </w:rPr>
        <w:t>Darzi</w:t>
      </w:r>
      <w:proofErr w:type="spellEnd"/>
      <w:r w:rsidRPr="003E54CA">
        <w:rPr>
          <w:rFonts w:ascii="Times New Roman" w:hAnsi="Times New Roman" w:cs="Times New Roman"/>
          <w:kern w:val="0"/>
          <w14:ligatures w14:val="none"/>
        </w:rPr>
        <w:t>, A., Bell, D. and Reed, J.E. (2014) ‘</w:t>
      </w:r>
      <w:r w:rsidRPr="003E54CA">
        <w:rPr>
          <w:rFonts w:ascii="Times New Roman" w:hAnsi="Times New Roman" w:cs="Times New Roman"/>
          <w:i/>
          <w:iCs/>
          <w:kern w:val="0"/>
          <w14:ligatures w14:val="none"/>
        </w:rPr>
        <w:t>Systematic review of the application of the plan–do–study–act method to improve quality in healthcare’,</w:t>
      </w:r>
      <w:r w:rsidRPr="003E54CA">
        <w:rPr>
          <w:rFonts w:ascii="Times New Roman" w:hAnsi="Times New Roman" w:cs="Times New Roman"/>
          <w:kern w:val="0"/>
          <w14:ligatures w14:val="none"/>
        </w:rPr>
        <w:t xml:space="preserve"> BMJ Quality &amp; Safety, 23(4), pp. 290–298.</w:t>
      </w:r>
    </w:p>
    <w:p w14:paraId="31D25188" w14:textId="416DC8D1"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Walshe</w:t>
      </w:r>
      <w:proofErr w:type="spellEnd"/>
      <w:r w:rsidRPr="003E54CA">
        <w:rPr>
          <w:rFonts w:ascii="Times New Roman" w:hAnsi="Times New Roman" w:cs="Times New Roman"/>
          <w:kern w:val="0"/>
          <w14:ligatures w14:val="none"/>
        </w:rPr>
        <w:t xml:space="preserve">, K. and </w:t>
      </w:r>
      <w:proofErr w:type="spellStart"/>
      <w:r w:rsidRPr="003E54CA">
        <w:rPr>
          <w:rFonts w:ascii="Times New Roman" w:hAnsi="Times New Roman" w:cs="Times New Roman"/>
          <w:kern w:val="0"/>
          <w14:ligatures w14:val="none"/>
        </w:rPr>
        <w:t>Boaden</w:t>
      </w:r>
      <w:proofErr w:type="spellEnd"/>
      <w:r w:rsidRPr="003E54CA">
        <w:rPr>
          <w:rFonts w:ascii="Times New Roman" w:hAnsi="Times New Roman" w:cs="Times New Roman"/>
          <w:kern w:val="0"/>
          <w14:ligatures w14:val="none"/>
        </w:rPr>
        <w:t>, R. (2006) ‘</w:t>
      </w:r>
      <w:r w:rsidRPr="003E54CA">
        <w:rPr>
          <w:rFonts w:ascii="Times New Roman" w:hAnsi="Times New Roman" w:cs="Times New Roman"/>
          <w:i/>
          <w:iCs/>
          <w:kern w:val="0"/>
          <w14:ligatures w14:val="none"/>
        </w:rPr>
        <w:t>Patient safety: Research into practice</w:t>
      </w:r>
      <w:r w:rsidRPr="003E54CA">
        <w:rPr>
          <w:rFonts w:ascii="Times New Roman" w:hAnsi="Times New Roman" w:cs="Times New Roman"/>
          <w:kern w:val="0"/>
          <w14:ligatures w14:val="none"/>
        </w:rPr>
        <w:t>’, BMJ Quality &amp; Safety, 15(3), pp. 171–172.</w:t>
      </w:r>
    </w:p>
    <w:p w14:paraId="35D9A194" w14:textId="2BBDE3E1"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World Health </w:t>
      </w:r>
      <w:proofErr w:type="spellStart"/>
      <w:r w:rsidRPr="003E54CA">
        <w:rPr>
          <w:rFonts w:ascii="Times New Roman" w:hAnsi="Times New Roman" w:cs="Times New Roman"/>
          <w:kern w:val="0"/>
          <w14:ligatures w14:val="none"/>
        </w:rPr>
        <w:t>Organization</w:t>
      </w:r>
      <w:proofErr w:type="spellEnd"/>
      <w:r w:rsidRPr="003E54CA">
        <w:rPr>
          <w:rFonts w:ascii="Times New Roman" w:hAnsi="Times New Roman" w:cs="Times New Roman"/>
          <w:kern w:val="0"/>
          <w14:ligatures w14:val="none"/>
        </w:rPr>
        <w:t xml:space="preserve"> (2006) </w:t>
      </w:r>
      <w:r w:rsidRPr="003E54CA">
        <w:rPr>
          <w:rFonts w:ascii="Times New Roman" w:hAnsi="Times New Roman" w:cs="Times New Roman"/>
          <w:i/>
          <w:iCs/>
          <w:kern w:val="0"/>
          <w14:ligatures w14:val="none"/>
        </w:rPr>
        <w:t>Quality of care: A process for making strategic choices in health systems.</w:t>
      </w:r>
      <w:r w:rsidRPr="003E54CA">
        <w:rPr>
          <w:rFonts w:ascii="Times New Roman" w:hAnsi="Times New Roman" w:cs="Times New Roman"/>
          <w:kern w:val="0"/>
          <w14:ligatures w14:val="none"/>
        </w:rPr>
        <w:t xml:space="preserve"> Geneva: WHO.</w:t>
      </w:r>
    </w:p>
    <w:p w14:paraId="3D44F8BD" w14:textId="2EDBF313"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World Health </w:t>
      </w:r>
      <w:proofErr w:type="spellStart"/>
      <w:r w:rsidRPr="003E54CA">
        <w:rPr>
          <w:rFonts w:ascii="Times New Roman" w:hAnsi="Times New Roman" w:cs="Times New Roman"/>
          <w:kern w:val="0"/>
          <w14:ligatures w14:val="none"/>
        </w:rPr>
        <w:t>Organization</w:t>
      </w:r>
      <w:proofErr w:type="spellEnd"/>
      <w:r w:rsidRPr="003E54CA">
        <w:rPr>
          <w:rFonts w:ascii="Times New Roman" w:hAnsi="Times New Roman" w:cs="Times New Roman"/>
          <w:kern w:val="0"/>
          <w14:ligatures w14:val="none"/>
        </w:rPr>
        <w:t xml:space="preserve"> (2018) </w:t>
      </w:r>
      <w:r w:rsidRPr="003E54CA">
        <w:rPr>
          <w:rFonts w:ascii="Times New Roman" w:hAnsi="Times New Roman" w:cs="Times New Roman"/>
          <w:i/>
          <w:iCs/>
          <w:kern w:val="0"/>
          <w14:ligatures w14:val="none"/>
        </w:rPr>
        <w:t xml:space="preserve">Delivering quality health services: A global imperative. </w:t>
      </w:r>
      <w:r w:rsidRPr="003E54CA">
        <w:rPr>
          <w:rFonts w:ascii="Times New Roman" w:hAnsi="Times New Roman" w:cs="Times New Roman"/>
          <w:kern w:val="0"/>
          <w14:ligatures w14:val="none"/>
        </w:rPr>
        <w:t>Geneva: WHO.</w:t>
      </w:r>
    </w:p>
    <w:p w14:paraId="23B375FC" w14:textId="4708EC8E"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Care Quality Commission (2021) </w:t>
      </w:r>
      <w:r w:rsidRPr="003E54CA">
        <w:rPr>
          <w:rFonts w:ascii="Times New Roman" w:hAnsi="Times New Roman" w:cs="Times New Roman"/>
          <w:i/>
          <w:iCs/>
          <w:kern w:val="0"/>
          <w14:ligatures w14:val="none"/>
        </w:rPr>
        <w:t>The state of health care and adult social care in England</w:t>
      </w:r>
      <w:r w:rsidRPr="003E54CA">
        <w:rPr>
          <w:rFonts w:ascii="Times New Roman" w:hAnsi="Times New Roman" w:cs="Times New Roman"/>
          <w:kern w:val="0"/>
          <w14:ligatures w14:val="none"/>
        </w:rPr>
        <w:t>. London: CQC.</w:t>
      </w:r>
    </w:p>
    <w:p w14:paraId="4D292F43" w14:textId="3C67D675"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National Institute for Health and Care Excellence (NICE) (2019) </w:t>
      </w:r>
      <w:r w:rsidRPr="003E54CA">
        <w:rPr>
          <w:rFonts w:ascii="Times New Roman" w:hAnsi="Times New Roman" w:cs="Times New Roman"/>
          <w:i/>
          <w:iCs/>
          <w:kern w:val="0"/>
          <w14:ligatures w14:val="none"/>
        </w:rPr>
        <w:t>Improving safety in healthcare systems.</w:t>
      </w:r>
      <w:r w:rsidRPr="003E54CA">
        <w:rPr>
          <w:rFonts w:ascii="Times New Roman" w:hAnsi="Times New Roman" w:cs="Times New Roman"/>
          <w:kern w:val="0"/>
          <w14:ligatures w14:val="none"/>
        </w:rPr>
        <w:t xml:space="preserve"> London: NICE.</w:t>
      </w:r>
    </w:p>
    <w:p w14:paraId="65CCB6D0" w14:textId="769B1C4B"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Institute for Healthcare Improvement (IHI) (2020) </w:t>
      </w:r>
      <w:r w:rsidRPr="003E54CA">
        <w:rPr>
          <w:rFonts w:ascii="Times New Roman" w:hAnsi="Times New Roman" w:cs="Times New Roman"/>
          <w:i/>
          <w:iCs/>
          <w:kern w:val="0"/>
          <w14:ligatures w14:val="none"/>
        </w:rPr>
        <w:t>Science of improvement: How to improve.</w:t>
      </w:r>
      <w:r w:rsidRPr="003E54CA">
        <w:rPr>
          <w:rFonts w:ascii="Times New Roman" w:hAnsi="Times New Roman" w:cs="Times New Roman"/>
          <w:kern w:val="0"/>
          <w14:ligatures w14:val="none"/>
        </w:rPr>
        <w:t xml:space="preserve"> Boston: IHI.</w:t>
      </w:r>
    </w:p>
    <w:p w14:paraId="5FD0D6FB" w14:textId="379968A0"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Berwick, D. (2013) </w:t>
      </w:r>
      <w:r w:rsidRPr="003E54CA">
        <w:rPr>
          <w:rFonts w:ascii="Times New Roman" w:hAnsi="Times New Roman" w:cs="Times New Roman"/>
          <w:i/>
          <w:iCs/>
          <w:kern w:val="0"/>
          <w14:ligatures w14:val="none"/>
        </w:rPr>
        <w:t>A promise to learn – a commitment to act: Improving the safety of patients in England</w:t>
      </w:r>
      <w:r w:rsidRPr="003E54CA">
        <w:rPr>
          <w:rFonts w:ascii="Times New Roman" w:hAnsi="Times New Roman" w:cs="Times New Roman"/>
          <w:kern w:val="0"/>
          <w14:ligatures w14:val="none"/>
        </w:rPr>
        <w:t>. London: Department of Health.</w:t>
      </w:r>
    </w:p>
    <w:p w14:paraId="0FD19886" w14:textId="134F93E0"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proofErr w:type="spellStart"/>
      <w:r w:rsidRPr="003E54CA">
        <w:rPr>
          <w:rFonts w:ascii="Times New Roman" w:hAnsi="Times New Roman" w:cs="Times New Roman"/>
          <w:kern w:val="0"/>
          <w14:ligatures w14:val="none"/>
        </w:rPr>
        <w:t>Leape</w:t>
      </w:r>
      <w:proofErr w:type="spellEnd"/>
      <w:r w:rsidRPr="003E54CA">
        <w:rPr>
          <w:rFonts w:ascii="Times New Roman" w:hAnsi="Times New Roman" w:cs="Times New Roman"/>
          <w:kern w:val="0"/>
          <w14:ligatures w14:val="none"/>
        </w:rPr>
        <w:t>, L.L. (1994) ‘</w:t>
      </w:r>
      <w:r w:rsidRPr="003E54CA">
        <w:rPr>
          <w:rFonts w:ascii="Times New Roman" w:hAnsi="Times New Roman" w:cs="Times New Roman"/>
          <w:i/>
          <w:iCs/>
          <w:kern w:val="0"/>
          <w14:ligatures w14:val="none"/>
        </w:rPr>
        <w:t>Error in medicine</w:t>
      </w:r>
      <w:r w:rsidRPr="003E54CA">
        <w:rPr>
          <w:rFonts w:ascii="Times New Roman" w:hAnsi="Times New Roman" w:cs="Times New Roman"/>
          <w:kern w:val="0"/>
          <w14:ligatures w14:val="none"/>
        </w:rPr>
        <w:t>’, JAMA, 272(23), pp. 1851–1857.</w:t>
      </w:r>
    </w:p>
    <w:p w14:paraId="65374768" w14:textId="6EE8B25E"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Vincent, C. (2010) </w:t>
      </w:r>
      <w:r w:rsidRPr="003E54CA">
        <w:rPr>
          <w:rFonts w:ascii="Times New Roman" w:hAnsi="Times New Roman" w:cs="Times New Roman"/>
          <w:i/>
          <w:iCs/>
          <w:kern w:val="0"/>
          <w14:ligatures w14:val="none"/>
        </w:rPr>
        <w:t>Patient safety.</w:t>
      </w:r>
      <w:r w:rsidRPr="003E54CA">
        <w:rPr>
          <w:rFonts w:ascii="Times New Roman" w:hAnsi="Times New Roman" w:cs="Times New Roman"/>
          <w:kern w:val="0"/>
          <w14:ligatures w14:val="none"/>
        </w:rPr>
        <w:t xml:space="preserve"> 2nd </w:t>
      </w:r>
      <w:proofErr w:type="spellStart"/>
      <w:r w:rsidRPr="003E54CA">
        <w:rPr>
          <w:rFonts w:ascii="Times New Roman" w:hAnsi="Times New Roman" w:cs="Times New Roman"/>
          <w:kern w:val="0"/>
          <w14:ligatures w14:val="none"/>
        </w:rPr>
        <w:t>edn</w:t>
      </w:r>
      <w:proofErr w:type="spellEnd"/>
      <w:r w:rsidRPr="003E54CA">
        <w:rPr>
          <w:rFonts w:ascii="Times New Roman" w:hAnsi="Times New Roman" w:cs="Times New Roman"/>
          <w:kern w:val="0"/>
          <w14:ligatures w14:val="none"/>
        </w:rPr>
        <w:t>. Oxford: Wiley-Blackwell.</w:t>
      </w:r>
    </w:p>
    <w:p w14:paraId="71B2CA2B" w14:textId="700FB09D"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Healy, J. and </w:t>
      </w:r>
      <w:proofErr w:type="spellStart"/>
      <w:r w:rsidRPr="003E54CA">
        <w:rPr>
          <w:rFonts w:ascii="Times New Roman" w:hAnsi="Times New Roman" w:cs="Times New Roman"/>
          <w:kern w:val="0"/>
          <w14:ligatures w14:val="none"/>
        </w:rPr>
        <w:t>Dugdale</w:t>
      </w:r>
      <w:proofErr w:type="spellEnd"/>
      <w:r w:rsidRPr="003E54CA">
        <w:rPr>
          <w:rFonts w:ascii="Times New Roman" w:hAnsi="Times New Roman" w:cs="Times New Roman"/>
          <w:kern w:val="0"/>
          <w14:ligatures w14:val="none"/>
        </w:rPr>
        <w:t>, P. (2009) ‘</w:t>
      </w:r>
      <w:r w:rsidRPr="003E54CA">
        <w:rPr>
          <w:rFonts w:ascii="Times New Roman" w:hAnsi="Times New Roman" w:cs="Times New Roman"/>
          <w:i/>
          <w:iCs/>
          <w:kern w:val="0"/>
          <w14:ligatures w14:val="none"/>
        </w:rPr>
        <w:t>Improving health system performance</w:t>
      </w:r>
      <w:r w:rsidRPr="003E54CA">
        <w:rPr>
          <w:rFonts w:ascii="Times New Roman" w:hAnsi="Times New Roman" w:cs="Times New Roman"/>
          <w:kern w:val="0"/>
          <w14:ligatures w14:val="none"/>
        </w:rPr>
        <w:t>’, Health Policy, 92(2–3), pp. 151–157.</w:t>
      </w:r>
    </w:p>
    <w:p w14:paraId="7302BC71" w14:textId="77777777" w:rsidR="003E54CA" w:rsidRPr="003E54CA" w:rsidRDefault="003E54CA" w:rsidP="003E54CA">
      <w:pPr>
        <w:spacing w:before="100" w:beforeAutospacing="1" w:after="100" w:afterAutospacing="1" w:line="240" w:lineRule="auto"/>
        <w:rPr>
          <w:rFonts w:ascii="Times New Roman" w:hAnsi="Times New Roman" w:cs="Times New Roman"/>
          <w:kern w:val="0"/>
          <w14:ligatures w14:val="none"/>
        </w:rPr>
      </w:pPr>
      <w:r w:rsidRPr="003E54CA">
        <w:rPr>
          <w:rFonts w:ascii="Times New Roman" w:hAnsi="Times New Roman" w:cs="Times New Roman"/>
          <w:kern w:val="0"/>
          <w14:ligatures w14:val="none"/>
        </w:rPr>
        <w:t xml:space="preserve">Dixon-Woods, M., Baker, R., Charles, K., Dawson, J., </w:t>
      </w:r>
      <w:proofErr w:type="spellStart"/>
      <w:r w:rsidRPr="003E54CA">
        <w:rPr>
          <w:rFonts w:ascii="Times New Roman" w:hAnsi="Times New Roman" w:cs="Times New Roman"/>
          <w:kern w:val="0"/>
          <w14:ligatures w14:val="none"/>
        </w:rPr>
        <w:t>Jerzembek</w:t>
      </w:r>
      <w:proofErr w:type="spellEnd"/>
      <w:r w:rsidRPr="003E54CA">
        <w:rPr>
          <w:rFonts w:ascii="Times New Roman" w:hAnsi="Times New Roman" w:cs="Times New Roman"/>
          <w:kern w:val="0"/>
          <w14:ligatures w14:val="none"/>
        </w:rPr>
        <w:t xml:space="preserve">, G., Martin, G., McCarthy, I., McKee, L., Minion, J., </w:t>
      </w:r>
      <w:proofErr w:type="spellStart"/>
      <w:r w:rsidRPr="003E54CA">
        <w:rPr>
          <w:rFonts w:ascii="Times New Roman" w:hAnsi="Times New Roman" w:cs="Times New Roman"/>
          <w:kern w:val="0"/>
          <w14:ligatures w14:val="none"/>
        </w:rPr>
        <w:t>Ozieranski</w:t>
      </w:r>
      <w:proofErr w:type="spellEnd"/>
      <w:r w:rsidRPr="003E54CA">
        <w:rPr>
          <w:rFonts w:ascii="Times New Roman" w:hAnsi="Times New Roman" w:cs="Times New Roman"/>
          <w:kern w:val="0"/>
          <w14:ligatures w14:val="none"/>
        </w:rPr>
        <w:t xml:space="preserve">, P. and </w:t>
      </w:r>
      <w:proofErr w:type="spellStart"/>
      <w:r w:rsidRPr="003E54CA">
        <w:rPr>
          <w:rFonts w:ascii="Times New Roman" w:hAnsi="Times New Roman" w:cs="Times New Roman"/>
          <w:kern w:val="0"/>
          <w14:ligatures w14:val="none"/>
        </w:rPr>
        <w:t>Willars</w:t>
      </w:r>
      <w:proofErr w:type="spellEnd"/>
      <w:r w:rsidRPr="003E54CA">
        <w:rPr>
          <w:rFonts w:ascii="Times New Roman" w:hAnsi="Times New Roman" w:cs="Times New Roman"/>
          <w:kern w:val="0"/>
          <w14:ligatures w14:val="none"/>
        </w:rPr>
        <w:t>, J. (2014) ‘</w:t>
      </w:r>
      <w:r w:rsidRPr="003E54CA">
        <w:rPr>
          <w:rFonts w:ascii="Times New Roman" w:hAnsi="Times New Roman" w:cs="Times New Roman"/>
          <w:i/>
          <w:iCs/>
          <w:kern w:val="0"/>
          <w14:ligatures w14:val="none"/>
        </w:rPr>
        <w:t>Culture and behaviour in the English National Health Service’</w:t>
      </w:r>
      <w:r w:rsidRPr="003E54CA">
        <w:rPr>
          <w:rFonts w:ascii="Times New Roman" w:hAnsi="Times New Roman" w:cs="Times New Roman"/>
          <w:kern w:val="0"/>
          <w14:ligatures w14:val="none"/>
        </w:rPr>
        <w:t>, BMJ Quality &amp; Safety, 23(2), pp. 106–115.</w:t>
      </w:r>
    </w:p>
    <w:p w14:paraId="5F0D141C" w14:textId="77777777" w:rsidR="005A2E14" w:rsidRPr="00293DB3" w:rsidRDefault="005A2E14" w:rsidP="00E577C3">
      <w:pPr>
        <w:spacing w:line="360" w:lineRule="auto"/>
        <w:rPr>
          <w:rFonts w:ascii="Arial" w:hAnsi="Arial" w:cs="Arial"/>
          <w:sz w:val="22"/>
          <w:szCs w:val="22"/>
        </w:rPr>
      </w:pPr>
    </w:p>
    <w:sectPr w:rsidR="005A2E14" w:rsidRPr="00293D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FA7A1" w14:textId="77777777" w:rsidR="00730135" w:rsidRDefault="00730135" w:rsidP="00A874EA">
      <w:pPr>
        <w:spacing w:after="0" w:line="240" w:lineRule="auto"/>
      </w:pPr>
      <w:r>
        <w:separator/>
      </w:r>
    </w:p>
  </w:endnote>
  <w:endnote w:type="continuationSeparator" w:id="0">
    <w:p w14:paraId="21C1A7EF" w14:textId="77777777" w:rsidR="00730135" w:rsidRDefault="00730135" w:rsidP="00A87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71132" w14:textId="77777777" w:rsidR="00730135" w:rsidRDefault="00730135" w:rsidP="00A874EA">
      <w:pPr>
        <w:spacing w:after="0" w:line="240" w:lineRule="auto"/>
      </w:pPr>
      <w:r>
        <w:separator/>
      </w:r>
    </w:p>
  </w:footnote>
  <w:footnote w:type="continuationSeparator" w:id="0">
    <w:p w14:paraId="1EC3726E" w14:textId="77777777" w:rsidR="00730135" w:rsidRDefault="00730135" w:rsidP="00A874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E14"/>
    <w:rsid w:val="00022C60"/>
    <w:rsid w:val="00023B97"/>
    <w:rsid w:val="001E7C1D"/>
    <w:rsid w:val="002420DC"/>
    <w:rsid w:val="00293DB3"/>
    <w:rsid w:val="002C4EC4"/>
    <w:rsid w:val="00351892"/>
    <w:rsid w:val="0036630D"/>
    <w:rsid w:val="00371463"/>
    <w:rsid w:val="00393EF1"/>
    <w:rsid w:val="003C7EB8"/>
    <w:rsid w:val="003E3190"/>
    <w:rsid w:val="003E54CA"/>
    <w:rsid w:val="00412DD0"/>
    <w:rsid w:val="00442CCA"/>
    <w:rsid w:val="0049480C"/>
    <w:rsid w:val="004C4829"/>
    <w:rsid w:val="00574D02"/>
    <w:rsid w:val="005A2E14"/>
    <w:rsid w:val="005B26EF"/>
    <w:rsid w:val="00633204"/>
    <w:rsid w:val="00686868"/>
    <w:rsid w:val="006A17A6"/>
    <w:rsid w:val="006E3F46"/>
    <w:rsid w:val="00730135"/>
    <w:rsid w:val="00777DAE"/>
    <w:rsid w:val="007D0456"/>
    <w:rsid w:val="007E1DD5"/>
    <w:rsid w:val="007E6C1A"/>
    <w:rsid w:val="008063C2"/>
    <w:rsid w:val="00806E6C"/>
    <w:rsid w:val="00841268"/>
    <w:rsid w:val="008628FF"/>
    <w:rsid w:val="00A5496E"/>
    <w:rsid w:val="00A874EA"/>
    <w:rsid w:val="00AD1856"/>
    <w:rsid w:val="00AE7B87"/>
    <w:rsid w:val="00BC24F8"/>
    <w:rsid w:val="00BC5C4A"/>
    <w:rsid w:val="00CC2D5B"/>
    <w:rsid w:val="00CE1AB8"/>
    <w:rsid w:val="00D213D3"/>
    <w:rsid w:val="00D408AD"/>
    <w:rsid w:val="00DC6ED9"/>
    <w:rsid w:val="00E415BC"/>
    <w:rsid w:val="00E577C3"/>
    <w:rsid w:val="00E82FD6"/>
    <w:rsid w:val="00F00914"/>
    <w:rsid w:val="00F03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ACB75"/>
  <w15:chartTrackingRefBased/>
  <w15:docId w15:val="{706D5D93-BEE2-7847-A27A-5522FB5E0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2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2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E14"/>
    <w:rPr>
      <w:rFonts w:eastAsiaTheme="majorEastAsia" w:cstheme="majorBidi"/>
      <w:color w:val="272727" w:themeColor="text1" w:themeTint="D8"/>
    </w:rPr>
  </w:style>
  <w:style w:type="paragraph" w:styleId="Title">
    <w:name w:val="Title"/>
    <w:basedOn w:val="Normal"/>
    <w:next w:val="Normal"/>
    <w:link w:val="TitleChar"/>
    <w:uiPriority w:val="10"/>
    <w:qFormat/>
    <w:rsid w:val="005A2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E14"/>
    <w:pPr>
      <w:spacing w:before="160"/>
      <w:jc w:val="center"/>
    </w:pPr>
    <w:rPr>
      <w:i/>
      <w:iCs/>
      <w:color w:val="404040" w:themeColor="text1" w:themeTint="BF"/>
    </w:rPr>
  </w:style>
  <w:style w:type="character" w:customStyle="1" w:styleId="QuoteChar">
    <w:name w:val="Quote Char"/>
    <w:basedOn w:val="DefaultParagraphFont"/>
    <w:link w:val="Quote"/>
    <w:uiPriority w:val="29"/>
    <w:rsid w:val="005A2E14"/>
    <w:rPr>
      <w:i/>
      <w:iCs/>
      <w:color w:val="404040" w:themeColor="text1" w:themeTint="BF"/>
    </w:rPr>
  </w:style>
  <w:style w:type="paragraph" w:styleId="ListParagraph">
    <w:name w:val="List Paragraph"/>
    <w:basedOn w:val="Normal"/>
    <w:uiPriority w:val="34"/>
    <w:qFormat/>
    <w:rsid w:val="005A2E14"/>
    <w:pPr>
      <w:ind w:left="720"/>
      <w:contextualSpacing/>
    </w:pPr>
  </w:style>
  <w:style w:type="character" w:styleId="IntenseEmphasis">
    <w:name w:val="Intense Emphasis"/>
    <w:basedOn w:val="DefaultParagraphFont"/>
    <w:uiPriority w:val="21"/>
    <w:qFormat/>
    <w:rsid w:val="005A2E14"/>
    <w:rPr>
      <w:i/>
      <w:iCs/>
      <w:color w:val="0F4761" w:themeColor="accent1" w:themeShade="BF"/>
    </w:rPr>
  </w:style>
  <w:style w:type="paragraph" w:styleId="IntenseQuote">
    <w:name w:val="Intense Quote"/>
    <w:basedOn w:val="Normal"/>
    <w:next w:val="Normal"/>
    <w:link w:val="IntenseQuoteChar"/>
    <w:uiPriority w:val="30"/>
    <w:qFormat/>
    <w:rsid w:val="005A2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E14"/>
    <w:rPr>
      <w:i/>
      <w:iCs/>
      <w:color w:val="0F4761" w:themeColor="accent1" w:themeShade="BF"/>
    </w:rPr>
  </w:style>
  <w:style w:type="character" w:styleId="IntenseReference">
    <w:name w:val="Intense Reference"/>
    <w:basedOn w:val="DefaultParagraphFont"/>
    <w:uiPriority w:val="32"/>
    <w:qFormat/>
    <w:rsid w:val="005A2E14"/>
    <w:rPr>
      <w:b/>
      <w:bCs/>
      <w:smallCaps/>
      <w:color w:val="0F4761" w:themeColor="accent1" w:themeShade="BF"/>
      <w:spacing w:val="5"/>
    </w:rPr>
  </w:style>
  <w:style w:type="character" w:customStyle="1" w:styleId="s1">
    <w:name w:val="s1"/>
    <w:basedOn w:val="DefaultParagraphFont"/>
    <w:rsid w:val="005A2E14"/>
  </w:style>
  <w:style w:type="paragraph" w:customStyle="1" w:styleId="p2">
    <w:name w:val="p2"/>
    <w:basedOn w:val="Normal"/>
    <w:rsid w:val="005A2E1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A2E14"/>
  </w:style>
  <w:style w:type="paragraph" w:customStyle="1" w:styleId="p3">
    <w:name w:val="p3"/>
    <w:basedOn w:val="Normal"/>
    <w:rsid w:val="005A2E14"/>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5A2E14"/>
  </w:style>
  <w:style w:type="paragraph" w:customStyle="1" w:styleId="p1">
    <w:name w:val="p1"/>
    <w:basedOn w:val="Normal"/>
    <w:rsid w:val="0037146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5496E"/>
  </w:style>
  <w:style w:type="paragraph" w:styleId="Header">
    <w:name w:val="header"/>
    <w:basedOn w:val="Normal"/>
    <w:link w:val="HeaderChar"/>
    <w:uiPriority w:val="99"/>
    <w:unhideWhenUsed/>
    <w:rsid w:val="00A87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4EA"/>
  </w:style>
  <w:style w:type="paragraph" w:styleId="Footer">
    <w:name w:val="footer"/>
    <w:basedOn w:val="Normal"/>
    <w:link w:val="FooterChar"/>
    <w:uiPriority w:val="99"/>
    <w:unhideWhenUsed/>
    <w:rsid w:val="00A87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4EA"/>
  </w:style>
  <w:style w:type="character" w:customStyle="1" w:styleId="s8">
    <w:name w:val="s8"/>
    <w:basedOn w:val="DefaultParagraphFont"/>
    <w:rsid w:val="00777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3936</Words>
  <Characters>22437</Characters>
  <Application>Microsoft Office Word</Application>
  <DocSecurity>0</DocSecurity>
  <Lines>186</Lines>
  <Paragraphs>52</Paragraphs>
  <ScaleCrop>false</ScaleCrop>
  <Company/>
  <LinksUpToDate>false</LinksUpToDate>
  <CharactersWithSpaces>26321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2026-04-01T22:36:00Z</dcterms:created>
  <dcterms:modified xsi:type="dcterms:W3CDTF">2026-04-01T22:36:00Z</dcterms:modified>
</cp:coreProperties>
</file>