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3A32E" w14:textId="17C4385D" w:rsidR="00A03ABE" w:rsidRDefault="00D56288" w:rsidP="00E23D8E">
      <w:pPr>
        <w:spacing w:before="1100" w:line="360" w:lineRule="auto"/>
        <w:jc w:val="center"/>
        <w:rPr>
          <w:rFonts w:asciiTheme="majorBidi" w:hAnsiTheme="majorBidi" w:cstheme="majorBidi"/>
          <w:b/>
          <w:color w:val="000000" w:themeColor="text1"/>
          <w:sz w:val="24"/>
          <w:szCs w:val="24"/>
        </w:rPr>
      </w:pPr>
      <w:r w:rsidRPr="005B5165">
        <w:rPr>
          <w:rFonts w:cs="Arial"/>
          <w:noProof/>
          <w:color w:val="000000" w:themeColor="text1"/>
        </w:rPr>
        <w:drawing>
          <wp:anchor distT="0" distB="0" distL="114300" distR="114300" simplePos="0" relativeHeight="251658240" behindDoc="0" locked="0" layoutInCell="1" allowOverlap="1" wp14:anchorId="09FE1643" wp14:editId="6ACB63E5">
            <wp:simplePos x="1889760" y="1356360"/>
            <wp:positionH relativeFrom="column">
              <wp:posOffset>1889760</wp:posOffset>
            </wp:positionH>
            <wp:positionV relativeFrom="paragraph">
              <wp:align>top</wp:align>
            </wp:positionV>
            <wp:extent cx="3780155" cy="1325245"/>
            <wp:effectExtent l="0" t="0" r="0" b="8255"/>
            <wp:wrapSquare wrapText="bothSides"/>
            <wp:docPr id="1" name="Picture 1" descr="University of Wales Trinity Saint David logo" title="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780155" cy="1325245"/>
                    </a:xfrm>
                    <a:prstGeom prst="rect">
                      <a:avLst/>
                    </a:prstGeom>
                    <a:noFill/>
                  </pic:spPr>
                </pic:pic>
              </a:graphicData>
            </a:graphic>
          </wp:anchor>
        </w:drawing>
      </w:r>
      <w:r>
        <w:rPr>
          <w:rFonts w:asciiTheme="majorBidi" w:hAnsiTheme="majorBidi" w:cstheme="majorBidi"/>
          <w:b/>
          <w:color w:val="000000" w:themeColor="text1"/>
          <w:sz w:val="24"/>
          <w:szCs w:val="24"/>
        </w:rPr>
        <w:br w:type="textWrapping" w:clear="all"/>
      </w:r>
    </w:p>
    <w:p w14:paraId="33462ED5" w14:textId="58405015" w:rsidR="00D56288" w:rsidRPr="00AA2C3E" w:rsidRDefault="00D56288" w:rsidP="00E23D8E">
      <w:pPr>
        <w:jc w:val="center"/>
        <w:rPr>
          <w:rFonts w:asciiTheme="majorBidi" w:hAnsiTheme="majorBidi" w:cstheme="majorBidi"/>
          <w:b/>
          <w:bCs/>
          <w:color w:val="943634" w:themeColor="accent2" w:themeShade="BF"/>
          <w:sz w:val="36"/>
          <w:szCs w:val="36"/>
        </w:rPr>
      </w:pPr>
      <w:r w:rsidRPr="00AA2C3E">
        <w:rPr>
          <w:rFonts w:asciiTheme="majorBidi" w:hAnsiTheme="majorBidi" w:cstheme="majorBidi"/>
          <w:b/>
          <w:bCs/>
          <w:color w:val="943634" w:themeColor="accent2" w:themeShade="BF"/>
          <w:sz w:val="36"/>
          <w:szCs w:val="36"/>
        </w:rPr>
        <w:t>Programme:</w:t>
      </w:r>
    </w:p>
    <w:p w14:paraId="267F76E0" w14:textId="364D25DF" w:rsidR="00D56288" w:rsidRPr="009D4F59" w:rsidRDefault="00D56288" w:rsidP="00E23D8E">
      <w:pPr>
        <w:jc w:val="center"/>
        <w:rPr>
          <w:rFonts w:asciiTheme="majorBidi" w:hAnsiTheme="majorBidi" w:cstheme="majorBidi"/>
          <w:sz w:val="36"/>
          <w:szCs w:val="36"/>
        </w:rPr>
      </w:pPr>
      <w:r w:rsidRPr="009D4F59">
        <w:rPr>
          <w:rFonts w:asciiTheme="majorBidi" w:hAnsiTheme="majorBidi" w:cstheme="majorBidi"/>
          <w:sz w:val="36"/>
          <w:szCs w:val="36"/>
        </w:rPr>
        <w:t>Master of Business Administration</w:t>
      </w:r>
    </w:p>
    <w:p w14:paraId="03002C85" w14:textId="48B2B999" w:rsidR="00D56288" w:rsidRPr="00AA2C3E" w:rsidRDefault="00D56288" w:rsidP="00E23D8E">
      <w:pPr>
        <w:pStyle w:val="Heading1"/>
        <w:ind w:left="432"/>
        <w:jc w:val="center"/>
        <w:rPr>
          <w:rFonts w:asciiTheme="majorBidi" w:hAnsiTheme="majorBidi"/>
          <w:b w:val="0"/>
          <w:bCs w:val="0"/>
          <w:sz w:val="36"/>
          <w:szCs w:val="36"/>
        </w:rPr>
      </w:pPr>
      <w:r w:rsidRPr="00AA2C3E">
        <w:rPr>
          <w:rFonts w:asciiTheme="majorBidi" w:hAnsiTheme="majorBidi"/>
          <w:color w:val="943634" w:themeColor="accent2" w:themeShade="BF"/>
          <w:sz w:val="36"/>
          <w:szCs w:val="36"/>
        </w:rPr>
        <w:t>Module</w:t>
      </w:r>
      <w:r w:rsidRPr="00AA2C3E">
        <w:rPr>
          <w:rFonts w:asciiTheme="majorBidi" w:hAnsiTheme="majorBidi"/>
          <w:color w:val="943634" w:themeColor="accent2" w:themeShade="BF"/>
          <w:spacing w:val="-12"/>
          <w:sz w:val="36"/>
          <w:szCs w:val="36"/>
        </w:rPr>
        <w:t xml:space="preserve"> </w:t>
      </w:r>
      <w:r w:rsidRPr="00AA2C3E">
        <w:rPr>
          <w:rFonts w:asciiTheme="majorBidi" w:hAnsiTheme="majorBidi"/>
          <w:color w:val="943634" w:themeColor="accent2" w:themeShade="BF"/>
          <w:spacing w:val="-2"/>
          <w:sz w:val="36"/>
          <w:szCs w:val="36"/>
        </w:rPr>
        <w:t>Title:</w:t>
      </w:r>
    </w:p>
    <w:p w14:paraId="38B8A62F" w14:textId="0B86F768" w:rsidR="00D56288" w:rsidRDefault="00D56288" w:rsidP="00E23D8E">
      <w:pPr>
        <w:spacing w:before="184"/>
        <w:ind w:left="720"/>
        <w:jc w:val="center"/>
        <w:rPr>
          <w:sz w:val="32"/>
        </w:rPr>
      </w:pPr>
      <w:r>
        <w:rPr>
          <w:sz w:val="32"/>
        </w:rPr>
        <w:t xml:space="preserve">International </w:t>
      </w:r>
      <w:r>
        <w:rPr>
          <w:sz w:val="32"/>
        </w:rPr>
        <w:t>Business Concepts</w:t>
      </w:r>
    </w:p>
    <w:p w14:paraId="1ECC37F0" w14:textId="53CDF592" w:rsidR="00D56288" w:rsidRPr="00AA2C3E" w:rsidRDefault="00D56288" w:rsidP="00E23D8E">
      <w:pPr>
        <w:pStyle w:val="Heading1"/>
        <w:ind w:left="432"/>
        <w:jc w:val="center"/>
        <w:rPr>
          <w:rFonts w:asciiTheme="majorBidi" w:hAnsiTheme="majorBidi"/>
          <w:b w:val="0"/>
          <w:bCs w:val="0"/>
          <w:color w:val="943634" w:themeColor="accent2" w:themeShade="BF"/>
          <w:sz w:val="36"/>
          <w:szCs w:val="36"/>
        </w:rPr>
      </w:pPr>
      <w:r w:rsidRPr="00AA2C3E">
        <w:rPr>
          <w:rFonts w:asciiTheme="majorBidi" w:hAnsiTheme="majorBidi"/>
          <w:color w:val="943634" w:themeColor="accent2" w:themeShade="BF"/>
          <w:sz w:val="36"/>
          <w:szCs w:val="36"/>
        </w:rPr>
        <w:t>Module</w:t>
      </w:r>
      <w:r w:rsidRPr="00AA2C3E">
        <w:rPr>
          <w:rFonts w:asciiTheme="majorBidi" w:hAnsiTheme="majorBidi"/>
          <w:color w:val="943634" w:themeColor="accent2" w:themeShade="BF"/>
          <w:spacing w:val="-12"/>
          <w:sz w:val="36"/>
          <w:szCs w:val="36"/>
        </w:rPr>
        <w:t xml:space="preserve"> </w:t>
      </w:r>
      <w:r w:rsidRPr="00AA2C3E">
        <w:rPr>
          <w:rFonts w:asciiTheme="majorBidi" w:hAnsiTheme="majorBidi"/>
          <w:color w:val="943634" w:themeColor="accent2" w:themeShade="BF"/>
          <w:spacing w:val="-2"/>
          <w:sz w:val="36"/>
          <w:szCs w:val="36"/>
        </w:rPr>
        <w:t>Code:</w:t>
      </w:r>
    </w:p>
    <w:p w14:paraId="34357793" w14:textId="129261F6" w:rsidR="00D56288" w:rsidRDefault="00E23D8E" w:rsidP="00E23D8E">
      <w:pPr>
        <w:spacing w:before="184"/>
        <w:ind w:left="720"/>
        <w:rPr>
          <w:sz w:val="32"/>
        </w:rPr>
      </w:pPr>
      <w:r>
        <w:rPr>
          <w:spacing w:val="-2"/>
          <w:sz w:val="32"/>
        </w:rPr>
        <w:t xml:space="preserve">                                                 </w:t>
      </w:r>
      <w:r w:rsidR="00D56288">
        <w:rPr>
          <w:spacing w:val="-2"/>
          <w:sz w:val="32"/>
        </w:rPr>
        <w:t>LCMB70</w:t>
      </w:r>
      <w:r w:rsidR="00D56288">
        <w:rPr>
          <w:spacing w:val="-2"/>
          <w:sz w:val="32"/>
        </w:rPr>
        <w:t>34</w:t>
      </w:r>
    </w:p>
    <w:p w14:paraId="02390432" w14:textId="450F8C20" w:rsidR="00D56288" w:rsidRPr="00AA2C3E" w:rsidRDefault="00D56288" w:rsidP="00E23D8E">
      <w:pPr>
        <w:pStyle w:val="Heading1"/>
        <w:spacing w:before="1"/>
        <w:ind w:left="432"/>
        <w:jc w:val="center"/>
        <w:rPr>
          <w:rFonts w:asciiTheme="majorBidi" w:hAnsiTheme="majorBidi"/>
          <w:b w:val="0"/>
          <w:bCs w:val="0"/>
          <w:sz w:val="36"/>
          <w:szCs w:val="36"/>
        </w:rPr>
      </w:pPr>
      <w:r w:rsidRPr="00AA2C3E">
        <w:rPr>
          <w:rFonts w:asciiTheme="majorBidi" w:hAnsiTheme="majorBidi"/>
          <w:color w:val="943634" w:themeColor="accent2" w:themeShade="BF"/>
          <w:sz w:val="36"/>
          <w:szCs w:val="36"/>
        </w:rPr>
        <w:t>Module</w:t>
      </w:r>
      <w:r w:rsidRPr="00AA2C3E">
        <w:rPr>
          <w:rFonts w:asciiTheme="majorBidi" w:hAnsiTheme="majorBidi"/>
          <w:color w:val="943634" w:themeColor="accent2" w:themeShade="BF"/>
          <w:spacing w:val="-12"/>
          <w:sz w:val="36"/>
          <w:szCs w:val="36"/>
        </w:rPr>
        <w:t xml:space="preserve"> </w:t>
      </w:r>
      <w:r w:rsidRPr="00AA2C3E">
        <w:rPr>
          <w:rFonts w:asciiTheme="majorBidi" w:hAnsiTheme="majorBidi"/>
          <w:color w:val="943634" w:themeColor="accent2" w:themeShade="BF"/>
          <w:spacing w:val="-2"/>
          <w:sz w:val="36"/>
          <w:szCs w:val="36"/>
        </w:rPr>
        <w:t>Lecturer:</w:t>
      </w:r>
    </w:p>
    <w:p w14:paraId="6191B78A" w14:textId="1BB3ED39" w:rsidR="00D56288" w:rsidRDefault="00161062" w:rsidP="00161062">
      <w:pPr>
        <w:spacing w:before="184"/>
        <w:ind w:left="720"/>
        <w:rPr>
          <w:sz w:val="32"/>
        </w:rPr>
      </w:pPr>
      <w:r>
        <w:rPr>
          <w:sz w:val="32"/>
        </w:rPr>
        <w:t xml:space="preserve">                                              </w:t>
      </w:r>
      <w:r w:rsidR="00E23D8E">
        <w:rPr>
          <w:sz w:val="32"/>
        </w:rPr>
        <w:t>Jean Wang</w:t>
      </w:r>
    </w:p>
    <w:p w14:paraId="6107BBE0" w14:textId="77777777" w:rsidR="00E23D8E" w:rsidRDefault="00E23D8E" w:rsidP="00E23D8E">
      <w:pPr>
        <w:spacing w:before="184"/>
        <w:ind w:left="720"/>
        <w:jc w:val="center"/>
        <w:rPr>
          <w:sz w:val="32"/>
        </w:rPr>
      </w:pPr>
    </w:p>
    <w:p w14:paraId="5E5D41CE" w14:textId="68CCEC8E" w:rsidR="00D56288" w:rsidRPr="00D56288" w:rsidRDefault="00161062" w:rsidP="00161062">
      <w:pPr>
        <w:spacing w:before="184"/>
        <w:ind w:left="720"/>
        <w:rPr>
          <w:sz w:val="32"/>
          <w:szCs w:val="32"/>
        </w:rPr>
      </w:pPr>
      <w:r>
        <w:rPr>
          <w:rFonts w:asciiTheme="majorBidi" w:hAnsiTheme="majorBidi" w:cstheme="majorBidi"/>
          <w:b/>
          <w:color w:val="000000" w:themeColor="text1"/>
          <w:sz w:val="32"/>
          <w:szCs w:val="32"/>
        </w:rPr>
        <w:t xml:space="preserve">                                         </w:t>
      </w:r>
      <w:r w:rsidR="00D56288" w:rsidRPr="00D56288">
        <w:rPr>
          <w:rFonts w:asciiTheme="majorBidi" w:hAnsiTheme="majorBidi" w:cstheme="majorBidi"/>
          <w:b/>
          <w:color w:val="000000" w:themeColor="text1"/>
          <w:sz w:val="32"/>
          <w:szCs w:val="32"/>
        </w:rPr>
        <w:t>TESLA INC.</w:t>
      </w:r>
    </w:p>
    <w:p w14:paraId="3AB2578C" w14:textId="0825F087" w:rsidR="00D56288" w:rsidRPr="00D56288" w:rsidRDefault="00E23D8E" w:rsidP="00E23D8E">
      <w:pPr>
        <w:spacing w:line="360" w:lineRule="auto"/>
        <w:jc w:val="center"/>
        <w:rPr>
          <w:rFonts w:asciiTheme="majorBidi" w:hAnsiTheme="majorBidi" w:cstheme="majorBidi"/>
          <w:color w:val="000000" w:themeColor="text1"/>
          <w:sz w:val="28"/>
          <w:szCs w:val="28"/>
        </w:rPr>
      </w:pPr>
      <w:r>
        <w:rPr>
          <w:rFonts w:asciiTheme="majorBidi" w:hAnsiTheme="majorBidi" w:cstheme="majorBidi"/>
          <w:b/>
          <w:color w:val="000000" w:themeColor="text1"/>
          <w:sz w:val="28"/>
          <w:szCs w:val="28"/>
        </w:rPr>
        <w:t xml:space="preserve">      </w:t>
      </w:r>
      <w:r w:rsidR="00D56288" w:rsidRPr="00D56288">
        <w:rPr>
          <w:rFonts w:asciiTheme="majorBidi" w:hAnsiTheme="majorBidi" w:cstheme="majorBidi"/>
          <w:b/>
          <w:color w:val="000000" w:themeColor="text1"/>
          <w:sz w:val="28"/>
          <w:szCs w:val="28"/>
        </w:rPr>
        <w:t>Strategic Market Entry into Indonesia</w:t>
      </w:r>
    </w:p>
    <w:p w14:paraId="66D57C49" w14:textId="119C1983" w:rsidR="00D56288" w:rsidRPr="00D56288" w:rsidRDefault="00E23D8E" w:rsidP="00E23D8E">
      <w:pPr>
        <w:spacing w:line="360" w:lineRule="auto"/>
        <w:jc w:val="center"/>
        <w:rPr>
          <w:rFonts w:asciiTheme="majorBidi" w:hAnsiTheme="majorBidi" w:cstheme="majorBidi"/>
          <w:color w:val="000000" w:themeColor="text1"/>
          <w:sz w:val="28"/>
          <w:szCs w:val="28"/>
        </w:rPr>
      </w:pPr>
      <w:r>
        <w:rPr>
          <w:rFonts w:asciiTheme="majorBidi" w:hAnsiTheme="majorBidi" w:cstheme="majorBidi"/>
          <w:color w:val="000000" w:themeColor="text1"/>
          <w:sz w:val="28"/>
          <w:szCs w:val="28"/>
        </w:rPr>
        <w:t xml:space="preserve">     </w:t>
      </w:r>
      <w:r w:rsidR="00D56288" w:rsidRPr="00D56288">
        <w:rPr>
          <w:rFonts w:asciiTheme="majorBidi" w:hAnsiTheme="majorBidi" w:cstheme="majorBidi"/>
          <w:color w:val="000000" w:themeColor="text1"/>
          <w:sz w:val="28"/>
          <w:szCs w:val="28"/>
        </w:rPr>
        <w:t>Automotive / Electric Vehicles</w:t>
      </w:r>
    </w:p>
    <w:p w14:paraId="15D5BA2B" w14:textId="127DDEDB" w:rsidR="00D56288" w:rsidRDefault="00E23D8E" w:rsidP="00E23D8E">
      <w:pPr>
        <w:spacing w:before="1"/>
        <w:ind w:right="1"/>
        <w:jc w:val="center"/>
        <w:rPr>
          <w:b/>
          <w:sz w:val="28"/>
        </w:rPr>
      </w:pPr>
      <w:r>
        <w:rPr>
          <w:b/>
          <w:sz w:val="28"/>
        </w:rPr>
        <w:t xml:space="preserve">   </w:t>
      </w:r>
      <w:r w:rsidR="00D56288">
        <w:rPr>
          <w:b/>
          <w:sz w:val="28"/>
        </w:rPr>
        <w:t>Submitted</w:t>
      </w:r>
      <w:r w:rsidR="00D56288">
        <w:rPr>
          <w:b/>
          <w:spacing w:val="-5"/>
          <w:sz w:val="28"/>
        </w:rPr>
        <w:t xml:space="preserve"> By:</w:t>
      </w:r>
    </w:p>
    <w:p w14:paraId="4353B9DF" w14:textId="77777777" w:rsidR="00D56288" w:rsidRPr="000D5CEE" w:rsidRDefault="00D56288" w:rsidP="00E23D8E">
      <w:pPr>
        <w:ind w:left="362" w:right="95"/>
        <w:jc w:val="center"/>
        <w:rPr>
          <w:b/>
          <w:sz w:val="28"/>
          <w:szCs w:val="28"/>
        </w:rPr>
      </w:pPr>
      <w:r w:rsidRPr="000D5CEE">
        <w:rPr>
          <w:b/>
          <w:spacing w:val="-2"/>
          <w:sz w:val="28"/>
          <w:szCs w:val="28"/>
        </w:rPr>
        <w:t>MUHAMMED</w:t>
      </w:r>
      <w:r w:rsidRPr="000D5CEE">
        <w:rPr>
          <w:b/>
          <w:spacing w:val="-5"/>
          <w:sz w:val="28"/>
          <w:szCs w:val="28"/>
        </w:rPr>
        <w:t xml:space="preserve"> </w:t>
      </w:r>
      <w:r w:rsidRPr="000D5CEE">
        <w:rPr>
          <w:b/>
          <w:spacing w:val="-2"/>
          <w:sz w:val="28"/>
          <w:szCs w:val="28"/>
        </w:rPr>
        <w:t>SALIM</w:t>
      </w:r>
    </w:p>
    <w:p w14:paraId="7E0E66F7" w14:textId="50CDFFEB" w:rsidR="00D56288" w:rsidRDefault="00D56288" w:rsidP="00E23D8E">
      <w:pPr>
        <w:spacing w:before="184"/>
        <w:ind w:left="362" w:right="73"/>
        <w:jc w:val="center"/>
        <w:rPr>
          <w:b/>
          <w:spacing w:val="-2"/>
          <w:sz w:val="32"/>
        </w:rPr>
      </w:pPr>
      <w:r w:rsidRPr="00C31662">
        <w:rPr>
          <w:b/>
          <w:sz w:val="28"/>
          <w:szCs w:val="28"/>
        </w:rPr>
        <w:t>Student</w:t>
      </w:r>
      <w:r w:rsidRPr="00C31662">
        <w:rPr>
          <w:b/>
          <w:spacing w:val="-10"/>
          <w:sz w:val="28"/>
          <w:szCs w:val="28"/>
        </w:rPr>
        <w:t xml:space="preserve"> </w:t>
      </w:r>
      <w:r w:rsidRPr="00C31662">
        <w:rPr>
          <w:b/>
          <w:spacing w:val="-2"/>
          <w:sz w:val="28"/>
          <w:szCs w:val="28"/>
        </w:rPr>
        <w:t>ID:</w:t>
      </w:r>
    </w:p>
    <w:p w14:paraId="09911276" w14:textId="77777777" w:rsidR="00D56288" w:rsidRDefault="00D56288" w:rsidP="00E23D8E">
      <w:pPr>
        <w:spacing w:before="184"/>
        <w:ind w:left="362" w:right="73"/>
        <w:jc w:val="center"/>
        <w:rPr>
          <w:b/>
          <w:spacing w:val="-2"/>
          <w:sz w:val="32"/>
        </w:rPr>
      </w:pPr>
      <w:r>
        <w:rPr>
          <w:b/>
          <w:spacing w:val="-2"/>
          <w:sz w:val="32"/>
        </w:rPr>
        <w:t>2518573</w:t>
      </w:r>
    </w:p>
    <w:p w14:paraId="1D7DEEBE" w14:textId="77777777" w:rsidR="00D56288" w:rsidRDefault="00D56288" w:rsidP="00E23D8E">
      <w:pPr>
        <w:spacing w:before="184"/>
        <w:ind w:left="362" w:right="73"/>
        <w:jc w:val="center"/>
        <w:rPr>
          <w:b/>
          <w:spacing w:val="-2"/>
          <w:sz w:val="28"/>
          <w:szCs w:val="28"/>
        </w:rPr>
      </w:pPr>
      <w:r w:rsidRPr="00E30D0C">
        <w:rPr>
          <w:b/>
          <w:spacing w:val="-2"/>
          <w:sz w:val="28"/>
          <w:szCs w:val="28"/>
        </w:rPr>
        <w:t>Submission Date:</w:t>
      </w:r>
    </w:p>
    <w:p w14:paraId="033CB982" w14:textId="4CB7AEE7" w:rsidR="00D56288" w:rsidRPr="00E30D0C" w:rsidRDefault="00D56288" w:rsidP="00E23D8E">
      <w:pPr>
        <w:spacing w:before="184"/>
        <w:ind w:left="362" w:right="73"/>
        <w:jc w:val="center"/>
        <w:rPr>
          <w:b/>
          <w:spacing w:val="-2"/>
          <w:sz w:val="28"/>
          <w:szCs w:val="28"/>
        </w:rPr>
      </w:pPr>
      <w:r>
        <w:rPr>
          <w:b/>
          <w:spacing w:val="-2"/>
          <w:sz w:val="28"/>
          <w:szCs w:val="28"/>
        </w:rPr>
        <w:t>1</w:t>
      </w:r>
      <w:r>
        <w:rPr>
          <w:b/>
          <w:spacing w:val="-2"/>
          <w:sz w:val="28"/>
          <w:szCs w:val="28"/>
        </w:rPr>
        <w:t>4</w:t>
      </w:r>
      <w:r>
        <w:rPr>
          <w:b/>
          <w:spacing w:val="-2"/>
          <w:sz w:val="28"/>
          <w:szCs w:val="28"/>
        </w:rPr>
        <w:t>-August-2026</w:t>
      </w:r>
    </w:p>
    <w:p w14:paraId="4A33A7C9" w14:textId="77777777" w:rsidR="00E23D8E" w:rsidRDefault="00E23D8E" w:rsidP="00CA48AA">
      <w:pPr>
        <w:spacing w:line="360" w:lineRule="auto"/>
        <w:jc w:val="both"/>
        <w:rPr>
          <w:rFonts w:asciiTheme="majorBidi" w:hAnsiTheme="majorBidi" w:cstheme="majorBidi"/>
          <w:color w:val="000000" w:themeColor="text1"/>
          <w:sz w:val="24"/>
          <w:szCs w:val="24"/>
        </w:rPr>
      </w:pPr>
    </w:p>
    <w:p w14:paraId="5B58AAB1" w14:textId="77777777" w:rsidR="00E23D8E" w:rsidRPr="00A03ABE" w:rsidRDefault="00E23D8E" w:rsidP="00CA48AA">
      <w:pPr>
        <w:spacing w:line="360" w:lineRule="auto"/>
        <w:jc w:val="both"/>
        <w:rPr>
          <w:rFonts w:asciiTheme="majorBidi" w:hAnsiTheme="majorBidi" w:cstheme="majorBidi"/>
          <w:color w:val="000000" w:themeColor="text1"/>
          <w:sz w:val="24"/>
          <w:szCs w:val="24"/>
        </w:rPr>
      </w:pPr>
    </w:p>
    <w:p w14:paraId="2D776716" w14:textId="77777777" w:rsidR="00905892" w:rsidRPr="00A03ABE" w:rsidRDefault="00905892" w:rsidP="00905892">
      <w:pPr>
        <w:spacing w:line="360" w:lineRule="auto"/>
        <w:jc w:val="center"/>
        <w:rPr>
          <w:rFonts w:asciiTheme="majorBidi" w:hAnsiTheme="majorBidi" w:cstheme="majorBidi"/>
          <w:b/>
          <w:bCs/>
          <w:sz w:val="24"/>
          <w:szCs w:val="24"/>
        </w:rPr>
      </w:pPr>
      <w:r w:rsidRPr="00A03ABE">
        <w:rPr>
          <w:rFonts w:asciiTheme="majorBidi" w:hAnsiTheme="majorBidi" w:cstheme="majorBidi"/>
          <w:b/>
          <w:bCs/>
          <w:sz w:val="24"/>
          <w:szCs w:val="24"/>
        </w:rPr>
        <w:lastRenderedPageBreak/>
        <w:t>AI Use Acknowledgement</w:t>
      </w:r>
    </w:p>
    <w:p w14:paraId="04D23568" w14:textId="64C9E224" w:rsidR="00905892" w:rsidRPr="00A03ABE" w:rsidRDefault="00905892" w:rsidP="00905892">
      <w:pPr>
        <w:spacing w:line="360" w:lineRule="auto"/>
        <w:jc w:val="both"/>
        <w:rPr>
          <w:rFonts w:asciiTheme="majorBidi" w:hAnsiTheme="majorBidi" w:cstheme="majorBidi"/>
          <w:sz w:val="24"/>
          <w:szCs w:val="24"/>
        </w:rPr>
      </w:pPr>
      <w:r w:rsidRPr="00A03ABE">
        <w:rPr>
          <w:rFonts w:asciiTheme="majorBidi" w:hAnsiTheme="majorBidi" w:cstheme="majorBidi"/>
          <w:sz w:val="24"/>
          <w:szCs w:val="24"/>
        </w:rPr>
        <w:t>I acknowledge the use of certain AI tools in assisting with the research, academic writing, proofreading and structuring of report sections of this assignment, which I used from 25 July to 12 August 2026 to craft the content; these tools were used to aid structuring of the report sections, to refine the academic tone and expression of the content, to generate comparative analysis relating to Tesla's global strategy, the Indonesian EV market, the OLI framework and market entry strategy options, and to assist with the creation of supporting visualisations, which were critically reviewed and verified against academic and industry sources and adapted in my own words to ensure the final content reflects my own understanding and analysis of the topic.</w:t>
      </w:r>
    </w:p>
    <w:p w14:paraId="0F57773A" w14:textId="77777777" w:rsidR="00905892" w:rsidRPr="00A03ABE" w:rsidRDefault="00905892" w:rsidP="00905892">
      <w:pPr>
        <w:spacing w:line="360" w:lineRule="auto"/>
        <w:jc w:val="both"/>
        <w:rPr>
          <w:rFonts w:asciiTheme="majorBidi" w:hAnsiTheme="majorBidi" w:cstheme="majorBidi"/>
          <w:sz w:val="24"/>
          <w:szCs w:val="24"/>
        </w:rPr>
      </w:pPr>
      <w:r w:rsidRPr="00A03ABE">
        <w:rPr>
          <w:rFonts w:asciiTheme="majorBidi" w:hAnsiTheme="majorBidi" w:cstheme="majorBidi"/>
          <w:b/>
          <w:bCs/>
          <w:sz w:val="24"/>
          <w:szCs w:val="24"/>
        </w:rPr>
        <w:t xml:space="preserve">1. ChatGPT (OpenAI) </w:t>
      </w:r>
      <w:hyperlink r:id="rId9" w:tgtFrame="_new" w:history="1">
        <w:r w:rsidRPr="00A03ABE">
          <w:rPr>
            <w:rStyle w:val="Hyperlink"/>
            <w:rFonts w:asciiTheme="majorBidi" w:hAnsiTheme="majorBidi" w:cstheme="majorBidi"/>
            <w:b/>
            <w:bCs/>
            <w:sz w:val="24"/>
            <w:szCs w:val="24"/>
          </w:rPr>
          <w:t>https://chatgpt.com/</w:t>
        </w:r>
      </w:hyperlink>
      <w:r w:rsidRPr="00A03ABE">
        <w:rPr>
          <w:rFonts w:asciiTheme="majorBidi" w:hAnsiTheme="majorBidi" w:cstheme="majorBidi"/>
          <w:sz w:val="24"/>
          <w:szCs w:val="24"/>
        </w:rPr>
        <w:t xml:space="preserve"> was utilised to help structure report sections, enhance academic expression, and create comparative analysis concerning the Tesla global strategy, the market conditions in Indonesia regarding EVs, the OLI framework, and market entry strategy. Furthermore, I also utilized Chat GPT for the creation of relevant visualizations for the content created. </w:t>
      </w:r>
    </w:p>
    <w:p w14:paraId="2985B880" w14:textId="77777777" w:rsidR="00905892" w:rsidRPr="00A03ABE" w:rsidRDefault="00905892" w:rsidP="00905892">
      <w:pPr>
        <w:spacing w:line="360" w:lineRule="auto"/>
        <w:jc w:val="both"/>
        <w:rPr>
          <w:rFonts w:asciiTheme="majorBidi" w:hAnsiTheme="majorBidi" w:cstheme="majorBidi"/>
          <w:sz w:val="24"/>
          <w:szCs w:val="24"/>
        </w:rPr>
      </w:pPr>
      <w:r w:rsidRPr="00A03ABE">
        <w:rPr>
          <w:rFonts w:asciiTheme="majorBidi" w:hAnsiTheme="majorBidi" w:cstheme="majorBidi"/>
          <w:sz w:val="24"/>
          <w:szCs w:val="24"/>
        </w:rPr>
        <w:t>Example prompt</w:t>
      </w:r>
    </w:p>
    <w:p w14:paraId="0A03C478" w14:textId="77777777" w:rsidR="00905892" w:rsidRPr="00A03ABE" w:rsidRDefault="00905892" w:rsidP="00905892">
      <w:pPr>
        <w:pStyle w:val="ListParagraph"/>
        <w:numPr>
          <w:ilvl w:val="0"/>
          <w:numId w:val="10"/>
        </w:numPr>
        <w:spacing w:line="360" w:lineRule="auto"/>
        <w:jc w:val="both"/>
        <w:rPr>
          <w:rFonts w:asciiTheme="majorBidi" w:hAnsiTheme="majorBidi" w:cstheme="majorBidi"/>
          <w:sz w:val="24"/>
          <w:szCs w:val="24"/>
        </w:rPr>
      </w:pPr>
      <w:r w:rsidRPr="00A03ABE">
        <w:rPr>
          <w:rFonts w:asciiTheme="majorBidi" w:hAnsiTheme="majorBidi" w:cstheme="majorBidi"/>
          <w:sz w:val="24"/>
          <w:szCs w:val="24"/>
        </w:rPr>
        <w:t>Assist me in developing a comparison of the potential entry modes of Tesla to Indonesia in control, risk, and strategic appropriateness.</w:t>
      </w:r>
    </w:p>
    <w:p w14:paraId="4D94EB63" w14:textId="76080C5A" w:rsidR="00905892" w:rsidRPr="00A03ABE" w:rsidRDefault="00A03ABE" w:rsidP="00905892">
      <w:pPr>
        <w:pStyle w:val="ListParagraph"/>
        <w:numPr>
          <w:ilvl w:val="0"/>
          <w:numId w:val="10"/>
        </w:numPr>
        <w:spacing w:line="360" w:lineRule="auto"/>
        <w:jc w:val="both"/>
        <w:rPr>
          <w:rFonts w:asciiTheme="majorBidi" w:hAnsiTheme="majorBidi" w:cstheme="majorBidi"/>
          <w:sz w:val="24"/>
          <w:szCs w:val="24"/>
        </w:rPr>
      </w:pPr>
      <w:r w:rsidRPr="00A03ABE">
        <w:rPr>
          <w:rFonts w:asciiTheme="majorBidi" w:hAnsiTheme="majorBidi" w:cstheme="majorBidi"/>
          <w:sz w:val="24"/>
          <w:szCs w:val="24"/>
        </w:rPr>
        <w:t xml:space="preserve">Suggest </w:t>
      </w:r>
      <w:r w:rsidR="00905892" w:rsidRPr="00A03ABE">
        <w:rPr>
          <w:rFonts w:asciiTheme="majorBidi" w:hAnsiTheme="majorBidi" w:cstheme="majorBidi"/>
          <w:sz w:val="24"/>
          <w:szCs w:val="24"/>
        </w:rPr>
        <w:t>a logical section flow: Introduction → Tesla's Global Strategy → Indonesia Market Context → OLI Framework Analysis → Market Entry Strategy Options → Recommendation → Conclusion</w:t>
      </w:r>
    </w:p>
    <w:p w14:paraId="65170CDB" w14:textId="54F586BE" w:rsidR="00905892" w:rsidRPr="00A03ABE" w:rsidRDefault="00A03ABE" w:rsidP="00905892">
      <w:pPr>
        <w:pStyle w:val="ListParagraph"/>
        <w:numPr>
          <w:ilvl w:val="0"/>
          <w:numId w:val="10"/>
        </w:numPr>
        <w:spacing w:line="360" w:lineRule="auto"/>
        <w:jc w:val="both"/>
        <w:rPr>
          <w:rFonts w:asciiTheme="majorBidi" w:hAnsiTheme="majorBidi" w:cstheme="majorBidi"/>
          <w:sz w:val="24"/>
          <w:szCs w:val="24"/>
        </w:rPr>
      </w:pPr>
      <w:r w:rsidRPr="00A03ABE">
        <w:rPr>
          <w:rFonts w:asciiTheme="majorBidi" w:hAnsiTheme="majorBidi" w:cstheme="majorBidi"/>
          <w:sz w:val="24"/>
          <w:szCs w:val="24"/>
        </w:rPr>
        <w:t xml:space="preserve">Propose the </w:t>
      </w:r>
      <w:r w:rsidR="00905892" w:rsidRPr="00A03ABE">
        <w:rPr>
          <w:rFonts w:asciiTheme="majorBidi" w:hAnsiTheme="majorBidi" w:cstheme="majorBidi"/>
          <w:sz w:val="24"/>
          <w:szCs w:val="24"/>
        </w:rPr>
        <w:t xml:space="preserve">OLI section (Ownership Advantages, Location Advantages, </w:t>
      </w:r>
      <w:r w:rsidRPr="00A03ABE">
        <w:rPr>
          <w:rFonts w:asciiTheme="majorBidi" w:hAnsiTheme="majorBidi" w:cstheme="majorBidi"/>
          <w:sz w:val="24"/>
          <w:szCs w:val="24"/>
        </w:rPr>
        <w:t xml:space="preserve">Internalisation Advantages) as per </w:t>
      </w:r>
      <w:r w:rsidR="00905892" w:rsidRPr="00A03ABE">
        <w:rPr>
          <w:rFonts w:asciiTheme="majorBidi" w:hAnsiTheme="majorBidi" w:cstheme="majorBidi"/>
          <w:sz w:val="24"/>
          <w:szCs w:val="24"/>
        </w:rPr>
        <w:t>Dunning model structure</w:t>
      </w:r>
      <w:r w:rsidRPr="00A03ABE">
        <w:rPr>
          <w:rFonts w:asciiTheme="majorBidi" w:hAnsiTheme="majorBidi" w:cstheme="majorBidi"/>
          <w:sz w:val="24"/>
          <w:szCs w:val="24"/>
        </w:rPr>
        <w:t xml:space="preserve"> for TESLA in Indonesia</w:t>
      </w:r>
    </w:p>
    <w:p w14:paraId="405509DF" w14:textId="66FD8735" w:rsidR="00905892" w:rsidRPr="00A03ABE" w:rsidRDefault="00A03ABE" w:rsidP="00905892">
      <w:pPr>
        <w:pStyle w:val="ListParagraph"/>
        <w:numPr>
          <w:ilvl w:val="0"/>
          <w:numId w:val="10"/>
        </w:numPr>
        <w:spacing w:line="360" w:lineRule="auto"/>
        <w:jc w:val="both"/>
        <w:rPr>
          <w:rFonts w:asciiTheme="majorBidi" w:hAnsiTheme="majorBidi" w:cstheme="majorBidi"/>
          <w:sz w:val="24"/>
          <w:szCs w:val="24"/>
        </w:rPr>
      </w:pPr>
      <w:r w:rsidRPr="00A03ABE">
        <w:rPr>
          <w:rFonts w:asciiTheme="majorBidi" w:hAnsiTheme="majorBidi" w:cstheme="majorBidi"/>
          <w:sz w:val="24"/>
          <w:szCs w:val="24"/>
        </w:rPr>
        <w:t xml:space="preserve">Make an </w:t>
      </w:r>
      <w:r w:rsidR="00905892" w:rsidRPr="00A03ABE">
        <w:rPr>
          <w:rFonts w:asciiTheme="majorBidi" w:hAnsiTheme="majorBidi" w:cstheme="majorBidi"/>
          <w:sz w:val="24"/>
          <w:szCs w:val="24"/>
        </w:rPr>
        <w:t>entry mode comparison (export/licensing</w:t>
      </w:r>
      <w:r w:rsidRPr="00A03ABE">
        <w:rPr>
          <w:rFonts w:asciiTheme="majorBidi" w:hAnsiTheme="majorBidi" w:cstheme="majorBidi"/>
          <w:sz w:val="24"/>
          <w:szCs w:val="24"/>
        </w:rPr>
        <w:t>/JV/wholly-owned subsidiary) and provide recommendation</w:t>
      </w:r>
      <w:r w:rsidR="00905892" w:rsidRPr="00A03ABE">
        <w:rPr>
          <w:rFonts w:asciiTheme="majorBidi" w:hAnsiTheme="majorBidi" w:cstheme="majorBidi"/>
          <w:sz w:val="24"/>
          <w:szCs w:val="24"/>
        </w:rPr>
        <w:t xml:space="preserve"> to be put after the OLI analysis, to make the choice of the market entry mode logically follow the results of the OLI analysis.</w:t>
      </w:r>
    </w:p>
    <w:p w14:paraId="19688176" w14:textId="77777777" w:rsidR="00905892" w:rsidRPr="00A03ABE" w:rsidRDefault="00905892" w:rsidP="00905892">
      <w:pPr>
        <w:spacing w:line="360" w:lineRule="auto"/>
        <w:jc w:val="both"/>
        <w:rPr>
          <w:rFonts w:asciiTheme="majorBidi" w:hAnsiTheme="majorBidi" w:cstheme="majorBidi"/>
          <w:sz w:val="24"/>
          <w:szCs w:val="24"/>
        </w:rPr>
      </w:pPr>
      <w:r w:rsidRPr="00A03ABE">
        <w:rPr>
          <w:rFonts w:asciiTheme="majorBidi" w:hAnsiTheme="majorBidi" w:cstheme="majorBidi"/>
          <w:b/>
          <w:bCs/>
          <w:sz w:val="24"/>
          <w:szCs w:val="24"/>
        </w:rPr>
        <w:t xml:space="preserve">2. QuillBot </w:t>
      </w:r>
      <w:hyperlink r:id="rId10" w:tgtFrame="_new" w:history="1">
        <w:r w:rsidRPr="00A03ABE">
          <w:rPr>
            <w:rStyle w:val="Hyperlink"/>
            <w:rFonts w:asciiTheme="majorBidi" w:hAnsiTheme="majorBidi" w:cstheme="majorBidi"/>
            <w:b/>
            <w:bCs/>
            <w:sz w:val="24"/>
            <w:szCs w:val="24"/>
          </w:rPr>
          <w:t>https://quillbot.com/</w:t>
        </w:r>
      </w:hyperlink>
      <w:r w:rsidRPr="00A03ABE">
        <w:rPr>
          <w:rFonts w:asciiTheme="majorBidi" w:hAnsiTheme="majorBidi" w:cstheme="majorBidi"/>
          <w:sz w:val="24"/>
          <w:szCs w:val="24"/>
        </w:rPr>
        <w:t xml:space="preserve"> was used to paraphrase selected sentences, improve grammar, and maintain a consistent academic tone while preserving the original meaning of my work.</w:t>
      </w:r>
    </w:p>
    <w:p w14:paraId="593B505A" w14:textId="77777777" w:rsidR="00905892" w:rsidRPr="00A03ABE" w:rsidRDefault="00905892" w:rsidP="00905892">
      <w:pPr>
        <w:spacing w:line="360" w:lineRule="auto"/>
        <w:jc w:val="both"/>
        <w:rPr>
          <w:rFonts w:asciiTheme="majorBidi" w:hAnsiTheme="majorBidi" w:cstheme="majorBidi"/>
          <w:sz w:val="24"/>
          <w:szCs w:val="24"/>
        </w:rPr>
      </w:pPr>
      <w:r w:rsidRPr="00A03ABE">
        <w:rPr>
          <w:rFonts w:asciiTheme="majorBidi" w:hAnsiTheme="majorBidi" w:cstheme="majorBidi"/>
          <w:b/>
          <w:bCs/>
          <w:sz w:val="24"/>
          <w:szCs w:val="24"/>
        </w:rPr>
        <w:t xml:space="preserve">3. Semantic Scholar </w:t>
      </w:r>
      <w:hyperlink r:id="rId11" w:tgtFrame="_new" w:history="1">
        <w:r w:rsidRPr="00A03ABE">
          <w:rPr>
            <w:rStyle w:val="Hyperlink"/>
            <w:rFonts w:asciiTheme="majorBidi" w:hAnsiTheme="majorBidi" w:cstheme="majorBidi"/>
            <w:b/>
            <w:bCs/>
            <w:sz w:val="24"/>
            <w:szCs w:val="24"/>
          </w:rPr>
          <w:t>https://www.semanticscholar.org/</w:t>
        </w:r>
      </w:hyperlink>
      <w:r w:rsidRPr="00A03ABE">
        <w:rPr>
          <w:rFonts w:asciiTheme="majorBidi" w:hAnsiTheme="majorBidi" w:cstheme="majorBidi"/>
          <w:sz w:val="24"/>
          <w:szCs w:val="24"/>
        </w:rPr>
        <w:t xml:space="preserve"> to find other pertinent academic literature that can support the ideas of international business strategy, electric vehicle adoption, entry-mode theory, the OLI framework proposed by Dunning, and Gibbs reflective cycle.</w:t>
      </w:r>
    </w:p>
    <w:p w14:paraId="1025C5C2" w14:textId="4EC3AA0F" w:rsidR="00A03ABE" w:rsidRPr="00A03ABE" w:rsidRDefault="00905892" w:rsidP="00CA48AA">
      <w:pPr>
        <w:spacing w:line="360" w:lineRule="auto"/>
        <w:jc w:val="both"/>
        <w:rPr>
          <w:rFonts w:asciiTheme="majorBidi" w:hAnsiTheme="majorBidi" w:cstheme="majorBidi"/>
          <w:sz w:val="24"/>
          <w:szCs w:val="24"/>
        </w:rPr>
      </w:pPr>
      <w:r w:rsidRPr="00A03ABE">
        <w:rPr>
          <w:rFonts w:asciiTheme="majorBidi" w:hAnsiTheme="majorBidi" w:cstheme="majorBidi"/>
          <w:sz w:val="24"/>
          <w:szCs w:val="24"/>
        </w:rPr>
        <w:t>I can affirm that I have never claimed any text that was produced by AI to be my personal work. I have kept my drafts, notes, references, and other supporting materials I used before and after using AI, which presented as evidence if necessary.</w:t>
      </w:r>
    </w:p>
    <w:p w14:paraId="447EC7CC" w14:textId="77777777" w:rsidR="004602C3" w:rsidRPr="00A03ABE" w:rsidRDefault="004602C3" w:rsidP="00CA48AA">
      <w:pPr>
        <w:spacing w:line="360" w:lineRule="auto"/>
        <w:jc w:val="both"/>
        <w:rPr>
          <w:rFonts w:asciiTheme="majorBidi" w:hAnsiTheme="majorBidi" w:cstheme="majorBidi"/>
          <w:sz w:val="24"/>
          <w:szCs w:val="24"/>
        </w:rPr>
      </w:pPr>
    </w:p>
    <w:sdt>
      <w:sdtPr>
        <w:rPr>
          <w:rFonts w:asciiTheme="majorBidi" w:eastAsia="Calibri" w:hAnsiTheme="majorBidi" w:cstheme="minorBidi"/>
          <w:b w:val="0"/>
          <w:bCs w:val="0"/>
          <w:color w:val="auto"/>
          <w:sz w:val="24"/>
          <w:szCs w:val="24"/>
        </w:rPr>
        <w:id w:val="-271865432"/>
        <w:docPartObj>
          <w:docPartGallery w:val="Table of Contents"/>
          <w:docPartUnique/>
        </w:docPartObj>
      </w:sdtPr>
      <w:sdtEndPr>
        <w:rPr>
          <w:noProof/>
        </w:rPr>
      </w:sdtEndPr>
      <w:sdtContent>
        <w:p w14:paraId="142066B1" w14:textId="77777777" w:rsidR="004602C3" w:rsidRPr="00A03ABE" w:rsidRDefault="004602C3" w:rsidP="00CA48AA">
          <w:pPr>
            <w:pStyle w:val="TOCHeading"/>
            <w:spacing w:line="360" w:lineRule="auto"/>
            <w:rPr>
              <w:rFonts w:asciiTheme="majorBidi" w:hAnsiTheme="majorBidi"/>
              <w:color w:val="auto"/>
              <w:sz w:val="24"/>
              <w:szCs w:val="24"/>
            </w:rPr>
          </w:pPr>
          <w:r w:rsidRPr="00A03ABE">
            <w:rPr>
              <w:rFonts w:asciiTheme="majorBidi" w:hAnsiTheme="majorBidi"/>
              <w:color w:val="auto"/>
              <w:sz w:val="24"/>
              <w:szCs w:val="24"/>
            </w:rPr>
            <w:t>Table of Contents</w:t>
          </w:r>
        </w:p>
        <w:p w14:paraId="20A8D546" w14:textId="3D578C9B" w:rsidR="0012592D" w:rsidRDefault="004602C3">
          <w:pPr>
            <w:pStyle w:val="TOC1"/>
            <w:tabs>
              <w:tab w:val="right" w:leader="dot" w:pos="9451"/>
            </w:tabs>
            <w:rPr>
              <w:rFonts w:asciiTheme="minorHAnsi" w:eastAsiaTheme="minorEastAsia" w:hAnsiTheme="minorHAnsi"/>
              <w:noProof/>
              <w:sz w:val="22"/>
            </w:rPr>
          </w:pPr>
          <w:r w:rsidRPr="00A03ABE">
            <w:rPr>
              <w:rFonts w:asciiTheme="majorBidi" w:hAnsiTheme="majorBidi" w:cstheme="majorBidi"/>
              <w:sz w:val="24"/>
              <w:szCs w:val="24"/>
            </w:rPr>
            <w:fldChar w:fldCharType="begin"/>
          </w:r>
          <w:r w:rsidRPr="00A03ABE">
            <w:rPr>
              <w:rFonts w:asciiTheme="majorBidi" w:hAnsiTheme="majorBidi" w:cstheme="majorBidi"/>
              <w:sz w:val="24"/>
              <w:szCs w:val="24"/>
            </w:rPr>
            <w:instrText xml:space="preserve"> TOC \o "1-3" \h \z \u </w:instrText>
          </w:r>
          <w:r w:rsidRPr="00A03ABE">
            <w:rPr>
              <w:rFonts w:asciiTheme="majorBidi" w:hAnsiTheme="majorBidi" w:cstheme="majorBidi"/>
              <w:sz w:val="24"/>
              <w:szCs w:val="24"/>
            </w:rPr>
            <w:fldChar w:fldCharType="separate"/>
          </w:r>
          <w:hyperlink w:anchor="_Toc237559433" w:history="1">
            <w:r w:rsidR="0012592D" w:rsidRPr="002D13EE">
              <w:rPr>
                <w:rStyle w:val="Hyperlink"/>
                <w:noProof/>
              </w:rPr>
              <w:t>Section 1: Strategic Market Entry Analysis</w:t>
            </w:r>
            <w:r w:rsidR="0012592D">
              <w:rPr>
                <w:noProof/>
                <w:webHidden/>
              </w:rPr>
              <w:tab/>
            </w:r>
            <w:r w:rsidR="0012592D">
              <w:rPr>
                <w:noProof/>
                <w:webHidden/>
              </w:rPr>
              <w:fldChar w:fldCharType="begin"/>
            </w:r>
            <w:r w:rsidR="0012592D">
              <w:rPr>
                <w:noProof/>
                <w:webHidden/>
              </w:rPr>
              <w:instrText xml:space="preserve"> PAGEREF _Toc237559433 \h </w:instrText>
            </w:r>
            <w:r w:rsidR="0012592D">
              <w:rPr>
                <w:noProof/>
                <w:webHidden/>
              </w:rPr>
            </w:r>
            <w:r w:rsidR="0012592D">
              <w:rPr>
                <w:noProof/>
                <w:webHidden/>
              </w:rPr>
              <w:fldChar w:fldCharType="separate"/>
            </w:r>
            <w:r w:rsidR="0012592D">
              <w:rPr>
                <w:noProof/>
                <w:webHidden/>
              </w:rPr>
              <w:t>5</w:t>
            </w:r>
            <w:r w:rsidR="0012592D">
              <w:rPr>
                <w:noProof/>
                <w:webHidden/>
              </w:rPr>
              <w:fldChar w:fldCharType="end"/>
            </w:r>
          </w:hyperlink>
        </w:p>
        <w:p w14:paraId="080AA2D8" w14:textId="69550872" w:rsidR="0012592D" w:rsidRDefault="0012592D">
          <w:pPr>
            <w:pStyle w:val="TOC2"/>
            <w:tabs>
              <w:tab w:val="left" w:pos="660"/>
              <w:tab w:val="right" w:leader="dot" w:pos="9451"/>
            </w:tabs>
            <w:rPr>
              <w:rFonts w:asciiTheme="minorHAnsi" w:eastAsiaTheme="minorEastAsia" w:hAnsiTheme="minorHAnsi"/>
              <w:noProof/>
              <w:sz w:val="22"/>
            </w:rPr>
          </w:pPr>
          <w:hyperlink w:anchor="_Toc237559434" w:history="1">
            <w:r w:rsidRPr="002D13EE">
              <w:rPr>
                <w:rStyle w:val="Hyperlink"/>
                <w:noProof/>
              </w:rPr>
              <w:t>1.</w:t>
            </w:r>
            <w:r>
              <w:rPr>
                <w:rFonts w:asciiTheme="minorHAnsi" w:eastAsiaTheme="minorEastAsia" w:hAnsiTheme="minorHAnsi"/>
                <w:noProof/>
                <w:sz w:val="22"/>
              </w:rPr>
              <w:tab/>
            </w:r>
            <w:r w:rsidRPr="002D13EE">
              <w:rPr>
                <w:rStyle w:val="Hyperlink"/>
                <w:noProof/>
              </w:rPr>
              <w:t>Introduction</w:t>
            </w:r>
            <w:r>
              <w:rPr>
                <w:noProof/>
                <w:webHidden/>
              </w:rPr>
              <w:tab/>
            </w:r>
            <w:r>
              <w:rPr>
                <w:noProof/>
                <w:webHidden/>
              </w:rPr>
              <w:fldChar w:fldCharType="begin"/>
            </w:r>
            <w:r>
              <w:rPr>
                <w:noProof/>
                <w:webHidden/>
              </w:rPr>
              <w:instrText xml:space="preserve"> PAGEREF _Toc237559434 \h </w:instrText>
            </w:r>
            <w:r>
              <w:rPr>
                <w:noProof/>
                <w:webHidden/>
              </w:rPr>
            </w:r>
            <w:r>
              <w:rPr>
                <w:noProof/>
                <w:webHidden/>
              </w:rPr>
              <w:fldChar w:fldCharType="separate"/>
            </w:r>
            <w:r>
              <w:rPr>
                <w:noProof/>
                <w:webHidden/>
              </w:rPr>
              <w:t>5</w:t>
            </w:r>
            <w:r>
              <w:rPr>
                <w:noProof/>
                <w:webHidden/>
              </w:rPr>
              <w:fldChar w:fldCharType="end"/>
            </w:r>
          </w:hyperlink>
        </w:p>
        <w:p w14:paraId="1B15E5BA" w14:textId="08C0A024" w:rsidR="0012592D" w:rsidRDefault="0012592D">
          <w:pPr>
            <w:pStyle w:val="TOC2"/>
            <w:tabs>
              <w:tab w:val="left" w:pos="660"/>
              <w:tab w:val="right" w:leader="dot" w:pos="9451"/>
            </w:tabs>
            <w:rPr>
              <w:rFonts w:asciiTheme="minorHAnsi" w:eastAsiaTheme="minorEastAsia" w:hAnsiTheme="minorHAnsi"/>
              <w:noProof/>
              <w:sz w:val="22"/>
            </w:rPr>
          </w:pPr>
          <w:hyperlink w:anchor="_Toc237559435" w:history="1">
            <w:r w:rsidRPr="002D13EE">
              <w:rPr>
                <w:rStyle w:val="Hyperlink"/>
                <w:noProof/>
              </w:rPr>
              <w:t>2.</w:t>
            </w:r>
            <w:r>
              <w:rPr>
                <w:rFonts w:asciiTheme="minorHAnsi" w:eastAsiaTheme="minorEastAsia" w:hAnsiTheme="minorHAnsi"/>
                <w:noProof/>
                <w:sz w:val="22"/>
              </w:rPr>
              <w:tab/>
            </w:r>
            <w:r w:rsidRPr="002D13EE">
              <w:rPr>
                <w:rStyle w:val="Hyperlink"/>
                <w:noProof/>
              </w:rPr>
              <w:t>Organisational classification and global strategy</w:t>
            </w:r>
            <w:r>
              <w:rPr>
                <w:noProof/>
                <w:webHidden/>
              </w:rPr>
              <w:tab/>
            </w:r>
            <w:r>
              <w:rPr>
                <w:noProof/>
                <w:webHidden/>
              </w:rPr>
              <w:fldChar w:fldCharType="begin"/>
            </w:r>
            <w:r>
              <w:rPr>
                <w:noProof/>
                <w:webHidden/>
              </w:rPr>
              <w:instrText xml:space="preserve"> PAGEREF _Toc237559435 \h </w:instrText>
            </w:r>
            <w:r>
              <w:rPr>
                <w:noProof/>
                <w:webHidden/>
              </w:rPr>
            </w:r>
            <w:r>
              <w:rPr>
                <w:noProof/>
                <w:webHidden/>
              </w:rPr>
              <w:fldChar w:fldCharType="separate"/>
            </w:r>
            <w:r>
              <w:rPr>
                <w:noProof/>
                <w:webHidden/>
              </w:rPr>
              <w:t>5</w:t>
            </w:r>
            <w:r>
              <w:rPr>
                <w:noProof/>
                <w:webHidden/>
              </w:rPr>
              <w:fldChar w:fldCharType="end"/>
            </w:r>
          </w:hyperlink>
        </w:p>
        <w:p w14:paraId="321ADF52" w14:textId="55BC2B35" w:rsidR="0012592D" w:rsidRDefault="0012592D">
          <w:pPr>
            <w:pStyle w:val="TOC3"/>
            <w:tabs>
              <w:tab w:val="right" w:leader="dot" w:pos="9451"/>
            </w:tabs>
            <w:rPr>
              <w:rFonts w:asciiTheme="minorHAnsi" w:eastAsiaTheme="minorEastAsia" w:hAnsiTheme="minorHAnsi"/>
              <w:noProof/>
              <w:sz w:val="22"/>
            </w:rPr>
          </w:pPr>
          <w:hyperlink w:anchor="_Toc237559436" w:history="1">
            <w:r w:rsidRPr="002D13EE">
              <w:rPr>
                <w:rStyle w:val="Hyperlink"/>
                <w:noProof/>
              </w:rPr>
              <w:t>2.1 Strategic categorization</w:t>
            </w:r>
            <w:r>
              <w:rPr>
                <w:noProof/>
                <w:webHidden/>
              </w:rPr>
              <w:tab/>
            </w:r>
            <w:r>
              <w:rPr>
                <w:noProof/>
                <w:webHidden/>
              </w:rPr>
              <w:fldChar w:fldCharType="begin"/>
            </w:r>
            <w:r>
              <w:rPr>
                <w:noProof/>
                <w:webHidden/>
              </w:rPr>
              <w:instrText xml:space="preserve"> PAGEREF _Toc237559436 \h </w:instrText>
            </w:r>
            <w:r>
              <w:rPr>
                <w:noProof/>
                <w:webHidden/>
              </w:rPr>
            </w:r>
            <w:r>
              <w:rPr>
                <w:noProof/>
                <w:webHidden/>
              </w:rPr>
              <w:fldChar w:fldCharType="separate"/>
            </w:r>
            <w:r>
              <w:rPr>
                <w:noProof/>
                <w:webHidden/>
              </w:rPr>
              <w:t>5</w:t>
            </w:r>
            <w:r>
              <w:rPr>
                <w:noProof/>
                <w:webHidden/>
              </w:rPr>
              <w:fldChar w:fldCharType="end"/>
            </w:r>
          </w:hyperlink>
        </w:p>
        <w:p w14:paraId="4BF622F5" w14:textId="6925F146" w:rsidR="0012592D" w:rsidRDefault="0012592D">
          <w:pPr>
            <w:pStyle w:val="TOC3"/>
            <w:tabs>
              <w:tab w:val="right" w:leader="dot" w:pos="9451"/>
            </w:tabs>
            <w:rPr>
              <w:rFonts w:asciiTheme="minorHAnsi" w:eastAsiaTheme="minorEastAsia" w:hAnsiTheme="minorHAnsi"/>
              <w:noProof/>
              <w:sz w:val="22"/>
            </w:rPr>
          </w:pPr>
          <w:hyperlink w:anchor="_Toc237559437" w:history="1">
            <w:r w:rsidRPr="002D13EE">
              <w:rPr>
                <w:rStyle w:val="Hyperlink"/>
                <w:noProof/>
              </w:rPr>
              <w:t>2.2 Global configuration and value creation</w:t>
            </w:r>
            <w:r>
              <w:rPr>
                <w:noProof/>
                <w:webHidden/>
              </w:rPr>
              <w:tab/>
            </w:r>
            <w:r>
              <w:rPr>
                <w:noProof/>
                <w:webHidden/>
              </w:rPr>
              <w:fldChar w:fldCharType="begin"/>
            </w:r>
            <w:r>
              <w:rPr>
                <w:noProof/>
                <w:webHidden/>
              </w:rPr>
              <w:instrText xml:space="preserve"> PAGEREF _Toc237559437 \h </w:instrText>
            </w:r>
            <w:r>
              <w:rPr>
                <w:noProof/>
                <w:webHidden/>
              </w:rPr>
            </w:r>
            <w:r>
              <w:rPr>
                <w:noProof/>
                <w:webHidden/>
              </w:rPr>
              <w:fldChar w:fldCharType="separate"/>
            </w:r>
            <w:r>
              <w:rPr>
                <w:noProof/>
                <w:webHidden/>
              </w:rPr>
              <w:t>7</w:t>
            </w:r>
            <w:r>
              <w:rPr>
                <w:noProof/>
                <w:webHidden/>
              </w:rPr>
              <w:fldChar w:fldCharType="end"/>
            </w:r>
          </w:hyperlink>
        </w:p>
        <w:p w14:paraId="3CA7E67F" w14:textId="4A695A49" w:rsidR="0012592D" w:rsidRDefault="0012592D">
          <w:pPr>
            <w:pStyle w:val="TOC2"/>
            <w:tabs>
              <w:tab w:val="left" w:pos="660"/>
              <w:tab w:val="right" w:leader="dot" w:pos="9451"/>
            </w:tabs>
            <w:rPr>
              <w:rFonts w:asciiTheme="minorHAnsi" w:eastAsiaTheme="minorEastAsia" w:hAnsiTheme="minorHAnsi"/>
              <w:noProof/>
              <w:sz w:val="22"/>
            </w:rPr>
          </w:pPr>
          <w:hyperlink w:anchor="_Toc237559438" w:history="1">
            <w:r w:rsidRPr="002D13EE">
              <w:rPr>
                <w:rStyle w:val="Hyperlink"/>
                <w:noProof/>
              </w:rPr>
              <w:t>3.</w:t>
            </w:r>
            <w:r>
              <w:rPr>
                <w:rFonts w:asciiTheme="minorHAnsi" w:eastAsiaTheme="minorEastAsia" w:hAnsiTheme="minorHAnsi"/>
                <w:noProof/>
                <w:sz w:val="22"/>
              </w:rPr>
              <w:tab/>
            </w:r>
            <w:r w:rsidRPr="002D13EE">
              <w:rPr>
                <w:rStyle w:val="Hyperlink"/>
                <w:noProof/>
              </w:rPr>
              <w:t>Macro-environmental appraisal and market attractiveness</w:t>
            </w:r>
            <w:r>
              <w:rPr>
                <w:noProof/>
                <w:webHidden/>
              </w:rPr>
              <w:tab/>
            </w:r>
            <w:r>
              <w:rPr>
                <w:noProof/>
                <w:webHidden/>
              </w:rPr>
              <w:fldChar w:fldCharType="begin"/>
            </w:r>
            <w:r>
              <w:rPr>
                <w:noProof/>
                <w:webHidden/>
              </w:rPr>
              <w:instrText xml:space="preserve"> PAGEREF _Toc237559438 \h </w:instrText>
            </w:r>
            <w:r>
              <w:rPr>
                <w:noProof/>
                <w:webHidden/>
              </w:rPr>
            </w:r>
            <w:r>
              <w:rPr>
                <w:noProof/>
                <w:webHidden/>
              </w:rPr>
              <w:fldChar w:fldCharType="separate"/>
            </w:r>
            <w:r>
              <w:rPr>
                <w:noProof/>
                <w:webHidden/>
              </w:rPr>
              <w:t>9</w:t>
            </w:r>
            <w:r>
              <w:rPr>
                <w:noProof/>
                <w:webHidden/>
              </w:rPr>
              <w:fldChar w:fldCharType="end"/>
            </w:r>
          </w:hyperlink>
        </w:p>
        <w:p w14:paraId="104279A5" w14:textId="446953B3" w:rsidR="0012592D" w:rsidRDefault="0012592D">
          <w:pPr>
            <w:pStyle w:val="TOC3"/>
            <w:tabs>
              <w:tab w:val="right" w:leader="dot" w:pos="9451"/>
            </w:tabs>
            <w:rPr>
              <w:rFonts w:asciiTheme="minorHAnsi" w:eastAsiaTheme="minorEastAsia" w:hAnsiTheme="minorHAnsi"/>
              <w:noProof/>
              <w:sz w:val="22"/>
            </w:rPr>
          </w:pPr>
          <w:hyperlink w:anchor="_Toc237559439" w:history="1">
            <w:r w:rsidRPr="002D13EE">
              <w:rPr>
                <w:rStyle w:val="Hyperlink"/>
                <w:noProof/>
              </w:rPr>
              <w:t>3.1 Macro-environmental appraisal</w:t>
            </w:r>
            <w:r>
              <w:rPr>
                <w:noProof/>
                <w:webHidden/>
              </w:rPr>
              <w:tab/>
            </w:r>
            <w:r>
              <w:rPr>
                <w:noProof/>
                <w:webHidden/>
              </w:rPr>
              <w:fldChar w:fldCharType="begin"/>
            </w:r>
            <w:r>
              <w:rPr>
                <w:noProof/>
                <w:webHidden/>
              </w:rPr>
              <w:instrText xml:space="preserve"> PAGEREF _Toc237559439 \h </w:instrText>
            </w:r>
            <w:r>
              <w:rPr>
                <w:noProof/>
                <w:webHidden/>
              </w:rPr>
            </w:r>
            <w:r>
              <w:rPr>
                <w:noProof/>
                <w:webHidden/>
              </w:rPr>
              <w:fldChar w:fldCharType="separate"/>
            </w:r>
            <w:r>
              <w:rPr>
                <w:noProof/>
                <w:webHidden/>
              </w:rPr>
              <w:t>9</w:t>
            </w:r>
            <w:r>
              <w:rPr>
                <w:noProof/>
                <w:webHidden/>
              </w:rPr>
              <w:fldChar w:fldCharType="end"/>
            </w:r>
          </w:hyperlink>
        </w:p>
        <w:p w14:paraId="61416ACF" w14:textId="05E7482D" w:rsidR="0012592D" w:rsidRDefault="0012592D">
          <w:pPr>
            <w:pStyle w:val="TOC3"/>
            <w:tabs>
              <w:tab w:val="right" w:leader="dot" w:pos="9451"/>
            </w:tabs>
            <w:rPr>
              <w:rFonts w:asciiTheme="minorHAnsi" w:eastAsiaTheme="minorEastAsia" w:hAnsiTheme="minorHAnsi"/>
              <w:noProof/>
              <w:sz w:val="22"/>
            </w:rPr>
          </w:pPr>
          <w:hyperlink w:anchor="_Toc237559440" w:history="1">
            <w:r w:rsidRPr="002D13EE">
              <w:rPr>
                <w:rStyle w:val="Hyperlink"/>
                <w:noProof/>
              </w:rPr>
              <w:t>3.2 Market attractiveness as per Dunning’s OLI synthesis</w:t>
            </w:r>
            <w:r>
              <w:rPr>
                <w:noProof/>
                <w:webHidden/>
              </w:rPr>
              <w:tab/>
            </w:r>
            <w:r>
              <w:rPr>
                <w:noProof/>
                <w:webHidden/>
              </w:rPr>
              <w:fldChar w:fldCharType="begin"/>
            </w:r>
            <w:r>
              <w:rPr>
                <w:noProof/>
                <w:webHidden/>
              </w:rPr>
              <w:instrText xml:space="preserve"> PAGEREF _Toc237559440 \h </w:instrText>
            </w:r>
            <w:r>
              <w:rPr>
                <w:noProof/>
                <w:webHidden/>
              </w:rPr>
            </w:r>
            <w:r>
              <w:rPr>
                <w:noProof/>
                <w:webHidden/>
              </w:rPr>
              <w:fldChar w:fldCharType="separate"/>
            </w:r>
            <w:r>
              <w:rPr>
                <w:noProof/>
                <w:webHidden/>
              </w:rPr>
              <w:t>13</w:t>
            </w:r>
            <w:r>
              <w:rPr>
                <w:noProof/>
                <w:webHidden/>
              </w:rPr>
              <w:fldChar w:fldCharType="end"/>
            </w:r>
          </w:hyperlink>
        </w:p>
        <w:p w14:paraId="25AB660F" w14:textId="1903257F" w:rsidR="0012592D" w:rsidRDefault="0012592D">
          <w:pPr>
            <w:pStyle w:val="TOC2"/>
            <w:tabs>
              <w:tab w:val="left" w:pos="660"/>
              <w:tab w:val="right" w:leader="dot" w:pos="9451"/>
            </w:tabs>
            <w:rPr>
              <w:rFonts w:asciiTheme="minorHAnsi" w:eastAsiaTheme="minorEastAsia" w:hAnsiTheme="minorHAnsi"/>
              <w:noProof/>
              <w:sz w:val="22"/>
            </w:rPr>
          </w:pPr>
          <w:hyperlink w:anchor="_Toc237559441" w:history="1">
            <w:r w:rsidRPr="002D13EE">
              <w:rPr>
                <w:rStyle w:val="Hyperlink"/>
                <w:noProof/>
              </w:rPr>
              <w:t>4.</w:t>
            </w:r>
            <w:r>
              <w:rPr>
                <w:rFonts w:asciiTheme="minorHAnsi" w:eastAsiaTheme="minorEastAsia" w:hAnsiTheme="minorHAnsi"/>
                <w:noProof/>
                <w:sz w:val="22"/>
              </w:rPr>
              <w:tab/>
            </w:r>
            <w:r w:rsidRPr="002D13EE">
              <w:rPr>
                <w:rStyle w:val="Hyperlink"/>
                <w:noProof/>
              </w:rPr>
              <w:t>Entry mode strategy and strategic synthesis</w:t>
            </w:r>
            <w:r>
              <w:rPr>
                <w:noProof/>
                <w:webHidden/>
              </w:rPr>
              <w:tab/>
            </w:r>
            <w:r>
              <w:rPr>
                <w:noProof/>
                <w:webHidden/>
              </w:rPr>
              <w:fldChar w:fldCharType="begin"/>
            </w:r>
            <w:r>
              <w:rPr>
                <w:noProof/>
                <w:webHidden/>
              </w:rPr>
              <w:instrText xml:space="preserve"> PAGEREF _Toc237559441 \h </w:instrText>
            </w:r>
            <w:r>
              <w:rPr>
                <w:noProof/>
                <w:webHidden/>
              </w:rPr>
            </w:r>
            <w:r>
              <w:rPr>
                <w:noProof/>
                <w:webHidden/>
              </w:rPr>
              <w:fldChar w:fldCharType="separate"/>
            </w:r>
            <w:r>
              <w:rPr>
                <w:noProof/>
                <w:webHidden/>
              </w:rPr>
              <w:t>15</w:t>
            </w:r>
            <w:r>
              <w:rPr>
                <w:noProof/>
                <w:webHidden/>
              </w:rPr>
              <w:fldChar w:fldCharType="end"/>
            </w:r>
          </w:hyperlink>
        </w:p>
        <w:p w14:paraId="3B7725A4" w14:textId="16C1C6F3" w:rsidR="0012592D" w:rsidRDefault="0012592D">
          <w:pPr>
            <w:pStyle w:val="TOC3"/>
            <w:tabs>
              <w:tab w:val="right" w:leader="dot" w:pos="9451"/>
            </w:tabs>
            <w:rPr>
              <w:rFonts w:asciiTheme="minorHAnsi" w:eastAsiaTheme="minorEastAsia" w:hAnsiTheme="minorHAnsi"/>
              <w:noProof/>
              <w:sz w:val="22"/>
            </w:rPr>
          </w:pPr>
          <w:hyperlink w:anchor="_Toc237559442" w:history="1">
            <w:r w:rsidRPr="002D13EE">
              <w:rPr>
                <w:rStyle w:val="Hyperlink"/>
                <w:noProof/>
              </w:rPr>
              <w:t>4.1 Historical pattern</w:t>
            </w:r>
            <w:r>
              <w:rPr>
                <w:noProof/>
                <w:webHidden/>
              </w:rPr>
              <w:tab/>
            </w:r>
            <w:r>
              <w:rPr>
                <w:noProof/>
                <w:webHidden/>
              </w:rPr>
              <w:fldChar w:fldCharType="begin"/>
            </w:r>
            <w:r>
              <w:rPr>
                <w:noProof/>
                <w:webHidden/>
              </w:rPr>
              <w:instrText xml:space="preserve"> PAGEREF _Toc237559442 \h </w:instrText>
            </w:r>
            <w:r>
              <w:rPr>
                <w:noProof/>
                <w:webHidden/>
              </w:rPr>
            </w:r>
            <w:r>
              <w:rPr>
                <w:noProof/>
                <w:webHidden/>
              </w:rPr>
              <w:fldChar w:fldCharType="separate"/>
            </w:r>
            <w:r>
              <w:rPr>
                <w:noProof/>
                <w:webHidden/>
              </w:rPr>
              <w:t>15</w:t>
            </w:r>
            <w:r>
              <w:rPr>
                <w:noProof/>
                <w:webHidden/>
              </w:rPr>
              <w:fldChar w:fldCharType="end"/>
            </w:r>
          </w:hyperlink>
        </w:p>
        <w:p w14:paraId="64EBD666" w14:textId="4BC90567" w:rsidR="0012592D" w:rsidRDefault="0012592D">
          <w:pPr>
            <w:pStyle w:val="TOC3"/>
            <w:tabs>
              <w:tab w:val="right" w:leader="dot" w:pos="9451"/>
            </w:tabs>
            <w:rPr>
              <w:rFonts w:asciiTheme="minorHAnsi" w:eastAsiaTheme="minorEastAsia" w:hAnsiTheme="minorHAnsi"/>
              <w:noProof/>
              <w:sz w:val="22"/>
            </w:rPr>
          </w:pPr>
          <w:hyperlink w:anchor="_Toc237559443" w:history="1">
            <w:r w:rsidRPr="002D13EE">
              <w:rPr>
                <w:rStyle w:val="Hyperlink"/>
                <w:noProof/>
              </w:rPr>
              <w:t>4.2 Strategic fit and justification</w:t>
            </w:r>
            <w:r>
              <w:rPr>
                <w:noProof/>
                <w:webHidden/>
              </w:rPr>
              <w:tab/>
            </w:r>
            <w:r>
              <w:rPr>
                <w:noProof/>
                <w:webHidden/>
              </w:rPr>
              <w:fldChar w:fldCharType="begin"/>
            </w:r>
            <w:r>
              <w:rPr>
                <w:noProof/>
                <w:webHidden/>
              </w:rPr>
              <w:instrText xml:space="preserve"> PAGEREF _Toc237559443 \h </w:instrText>
            </w:r>
            <w:r>
              <w:rPr>
                <w:noProof/>
                <w:webHidden/>
              </w:rPr>
            </w:r>
            <w:r>
              <w:rPr>
                <w:noProof/>
                <w:webHidden/>
              </w:rPr>
              <w:fldChar w:fldCharType="separate"/>
            </w:r>
            <w:r>
              <w:rPr>
                <w:noProof/>
                <w:webHidden/>
              </w:rPr>
              <w:t>16</w:t>
            </w:r>
            <w:r>
              <w:rPr>
                <w:noProof/>
                <w:webHidden/>
              </w:rPr>
              <w:fldChar w:fldCharType="end"/>
            </w:r>
          </w:hyperlink>
        </w:p>
        <w:p w14:paraId="468CEE61" w14:textId="616D0B46" w:rsidR="0012592D" w:rsidRDefault="0012592D">
          <w:pPr>
            <w:pStyle w:val="TOC2"/>
            <w:tabs>
              <w:tab w:val="left" w:pos="660"/>
              <w:tab w:val="right" w:leader="dot" w:pos="9451"/>
            </w:tabs>
            <w:rPr>
              <w:rFonts w:asciiTheme="minorHAnsi" w:eastAsiaTheme="minorEastAsia" w:hAnsiTheme="minorHAnsi"/>
              <w:noProof/>
              <w:sz w:val="22"/>
            </w:rPr>
          </w:pPr>
          <w:hyperlink w:anchor="_Toc237559444" w:history="1">
            <w:r w:rsidRPr="002D13EE">
              <w:rPr>
                <w:rStyle w:val="Hyperlink"/>
                <w:noProof/>
              </w:rPr>
              <w:t>5.</w:t>
            </w:r>
            <w:r>
              <w:rPr>
                <w:rFonts w:asciiTheme="minorHAnsi" w:eastAsiaTheme="minorEastAsia" w:hAnsiTheme="minorHAnsi"/>
                <w:noProof/>
                <w:sz w:val="22"/>
              </w:rPr>
              <w:tab/>
            </w:r>
            <w:r w:rsidRPr="002D13EE">
              <w:rPr>
                <w:rStyle w:val="Hyperlink"/>
                <w:noProof/>
              </w:rPr>
              <w:t>Recommendations</w:t>
            </w:r>
            <w:r>
              <w:rPr>
                <w:noProof/>
                <w:webHidden/>
              </w:rPr>
              <w:tab/>
            </w:r>
            <w:r>
              <w:rPr>
                <w:noProof/>
                <w:webHidden/>
              </w:rPr>
              <w:fldChar w:fldCharType="begin"/>
            </w:r>
            <w:r>
              <w:rPr>
                <w:noProof/>
                <w:webHidden/>
              </w:rPr>
              <w:instrText xml:space="preserve"> PAGEREF _Toc237559444 \h </w:instrText>
            </w:r>
            <w:r>
              <w:rPr>
                <w:noProof/>
                <w:webHidden/>
              </w:rPr>
            </w:r>
            <w:r>
              <w:rPr>
                <w:noProof/>
                <w:webHidden/>
              </w:rPr>
              <w:fldChar w:fldCharType="separate"/>
            </w:r>
            <w:r>
              <w:rPr>
                <w:noProof/>
                <w:webHidden/>
              </w:rPr>
              <w:t>19</w:t>
            </w:r>
            <w:r>
              <w:rPr>
                <w:noProof/>
                <w:webHidden/>
              </w:rPr>
              <w:fldChar w:fldCharType="end"/>
            </w:r>
          </w:hyperlink>
        </w:p>
        <w:p w14:paraId="27A1EB96" w14:textId="7F6C3BB8" w:rsidR="0012592D" w:rsidRDefault="0012592D">
          <w:pPr>
            <w:pStyle w:val="TOC2"/>
            <w:tabs>
              <w:tab w:val="left" w:pos="660"/>
              <w:tab w:val="right" w:leader="dot" w:pos="9451"/>
            </w:tabs>
            <w:rPr>
              <w:rFonts w:asciiTheme="minorHAnsi" w:eastAsiaTheme="minorEastAsia" w:hAnsiTheme="minorHAnsi"/>
              <w:noProof/>
              <w:sz w:val="22"/>
            </w:rPr>
          </w:pPr>
          <w:hyperlink w:anchor="_Toc237559445" w:history="1">
            <w:r w:rsidRPr="002D13EE">
              <w:rPr>
                <w:rStyle w:val="Hyperlink"/>
                <w:noProof/>
              </w:rPr>
              <w:t>6.</w:t>
            </w:r>
            <w:r>
              <w:rPr>
                <w:rFonts w:asciiTheme="minorHAnsi" w:eastAsiaTheme="minorEastAsia" w:hAnsiTheme="minorHAnsi"/>
                <w:noProof/>
                <w:sz w:val="22"/>
              </w:rPr>
              <w:tab/>
            </w:r>
            <w:r w:rsidRPr="002D13EE">
              <w:rPr>
                <w:rStyle w:val="Hyperlink"/>
                <w:noProof/>
              </w:rPr>
              <w:t>Conclusion</w:t>
            </w:r>
            <w:r>
              <w:rPr>
                <w:noProof/>
                <w:webHidden/>
              </w:rPr>
              <w:tab/>
            </w:r>
            <w:r>
              <w:rPr>
                <w:noProof/>
                <w:webHidden/>
              </w:rPr>
              <w:fldChar w:fldCharType="begin"/>
            </w:r>
            <w:r>
              <w:rPr>
                <w:noProof/>
                <w:webHidden/>
              </w:rPr>
              <w:instrText xml:space="preserve"> PAGEREF _Toc237559445 \h </w:instrText>
            </w:r>
            <w:r>
              <w:rPr>
                <w:noProof/>
                <w:webHidden/>
              </w:rPr>
            </w:r>
            <w:r>
              <w:rPr>
                <w:noProof/>
                <w:webHidden/>
              </w:rPr>
              <w:fldChar w:fldCharType="separate"/>
            </w:r>
            <w:r>
              <w:rPr>
                <w:noProof/>
                <w:webHidden/>
              </w:rPr>
              <w:t>20</w:t>
            </w:r>
            <w:r>
              <w:rPr>
                <w:noProof/>
                <w:webHidden/>
              </w:rPr>
              <w:fldChar w:fldCharType="end"/>
            </w:r>
          </w:hyperlink>
        </w:p>
        <w:p w14:paraId="09D7A5FF" w14:textId="5DF05FFC" w:rsidR="0012592D" w:rsidRDefault="0012592D">
          <w:pPr>
            <w:pStyle w:val="TOC1"/>
            <w:tabs>
              <w:tab w:val="right" w:leader="dot" w:pos="9451"/>
            </w:tabs>
            <w:rPr>
              <w:rFonts w:asciiTheme="minorHAnsi" w:eastAsiaTheme="minorEastAsia" w:hAnsiTheme="minorHAnsi"/>
              <w:noProof/>
              <w:sz w:val="22"/>
            </w:rPr>
          </w:pPr>
          <w:hyperlink w:anchor="_Toc237559446" w:history="1">
            <w:r w:rsidRPr="002D13EE">
              <w:rPr>
                <w:rStyle w:val="Hyperlink"/>
                <w:noProof/>
              </w:rPr>
              <w:t>Section 2: Reflective Account</w:t>
            </w:r>
            <w:r>
              <w:rPr>
                <w:noProof/>
                <w:webHidden/>
              </w:rPr>
              <w:tab/>
            </w:r>
            <w:r>
              <w:rPr>
                <w:noProof/>
                <w:webHidden/>
              </w:rPr>
              <w:fldChar w:fldCharType="begin"/>
            </w:r>
            <w:r>
              <w:rPr>
                <w:noProof/>
                <w:webHidden/>
              </w:rPr>
              <w:instrText xml:space="preserve"> PAGEREF _Toc237559446 \h </w:instrText>
            </w:r>
            <w:r>
              <w:rPr>
                <w:noProof/>
                <w:webHidden/>
              </w:rPr>
            </w:r>
            <w:r>
              <w:rPr>
                <w:noProof/>
                <w:webHidden/>
              </w:rPr>
              <w:fldChar w:fldCharType="separate"/>
            </w:r>
            <w:r>
              <w:rPr>
                <w:noProof/>
                <w:webHidden/>
              </w:rPr>
              <w:t>21</w:t>
            </w:r>
            <w:r>
              <w:rPr>
                <w:noProof/>
                <w:webHidden/>
              </w:rPr>
              <w:fldChar w:fldCharType="end"/>
            </w:r>
          </w:hyperlink>
        </w:p>
        <w:p w14:paraId="3107EC92" w14:textId="61197D93" w:rsidR="0012592D" w:rsidRDefault="0012592D">
          <w:pPr>
            <w:pStyle w:val="TOC2"/>
            <w:tabs>
              <w:tab w:val="right" w:leader="dot" w:pos="9451"/>
            </w:tabs>
            <w:rPr>
              <w:rFonts w:asciiTheme="minorHAnsi" w:eastAsiaTheme="minorEastAsia" w:hAnsiTheme="minorHAnsi"/>
              <w:noProof/>
              <w:sz w:val="22"/>
            </w:rPr>
          </w:pPr>
          <w:hyperlink w:anchor="_Toc237559447" w:history="1">
            <w:r w:rsidRPr="002D13EE">
              <w:rPr>
                <w:rStyle w:val="Hyperlink"/>
                <w:noProof/>
              </w:rPr>
              <w:t>Reflective account using Gibbs’ reflective cycle</w:t>
            </w:r>
            <w:r>
              <w:rPr>
                <w:noProof/>
                <w:webHidden/>
              </w:rPr>
              <w:tab/>
            </w:r>
            <w:r>
              <w:rPr>
                <w:noProof/>
                <w:webHidden/>
              </w:rPr>
              <w:fldChar w:fldCharType="begin"/>
            </w:r>
            <w:r>
              <w:rPr>
                <w:noProof/>
                <w:webHidden/>
              </w:rPr>
              <w:instrText xml:space="preserve"> PAGEREF _Toc237559447 \h </w:instrText>
            </w:r>
            <w:r>
              <w:rPr>
                <w:noProof/>
                <w:webHidden/>
              </w:rPr>
            </w:r>
            <w:r>
              <w:rPr>
                <w:noProof/>
                <w:webHidden/>
              </w:rPr>
              <w:fldChar w:fldCharType="separate"/>
            </w:r>
            <w:r>
              <w:rPr>
                <w:noProof/>
                <w:webHidden/>
              </w:rPr>
              <w:t>21</w:t>
            </w:r>
            <w:r>
              <w:rPr>
                <w:noProof/>
                <w:webHidden/>
              </w:rPr>
              <w:fldChar w:fldCharType="end"/>
            </w:r>
          </w:hyperlink>
        </w:p>
        <w:p w14:paraId="180B7B14" w14:textId="3272899B" w:rsidR="0012592D" w:rsidRDefault="0012592D">
          <w:pPr>
            <w:pStyle w:val="TOC1"/>
            <w:tabs>
              <w:tab w:val="right" w:leader="dot" w:pos="9451"/>
            </w:tabs>
            <w:rPr>
              <w:rFonts w:asciiTheme="minorHAnsi" w:eastAsiaTheme="minorEastAsia" w:hAnsiTheme="minorHAnsi"/>
              <w:noProof/>
              <w:sz w:val="22"/>
            </w:rPr>
          </w:pPr>
          <w:hyperlink w:anchor="_Toc237559448" w:history="1">
            <w:r w:rsidRPr="002D13EE">
              <w:rPr>
                <w:rStyle w:val="Hyperlink"/>
                <w:noProof/>
              </w:rPr>
              <w:t>Reference List</w:t>
            </w:r>
            <w:r>
              <w:rPr>
                <w:noProof/>
                <w:webHidden/>
              </w:rPr>
              <w:tab/>
            </w:r>
            <w:r>
              <w:rPr>
                <w:noProof/>
                <w:webHidden/>
              </w:rPr>
              <w:fldChar w:fldCharType="begin"/>
            </w:r>
            <w:r>
              <w:rPr>
                <w:noProof/>
                <w:webHidden/>
              </w:rPr>
              <w:instrText xml:space="preserve"> PAGEREF _Toc237559448 \h </w:instrText>
            </w:r>
            <w:r>
              <w:rPr>
                <w:noProof/>
                <w:webHidden/>
              </w:rPr>
            </w:r>
            <w:r>
              <w:rPr>
                <w:noProof/>
                <w:webHidden/>
              </w:rPr>
              <w:fldChar w:fldCharType="separate"/>
            </w:r>
            <w:r>
              <w:rPr>
                <w:noProof/>
                <w:webHidden/>
              </w:rPr>
              <w:t>24</w:t>
            </w:r>
            <w:r>
              <w:rPr>
                <w:noProof/>
                <w:webHidden/>
              </w:rPr>
              <w:fldChar w:fldCharType="end"/>
            </w:r>
          </w:hyperlink>
        </w:p>
        <w:p w14:paraId="5229047B" w14:textId="2FE5DF00" w:rsidR="004602C3" w:rsidRPr="00A03ABE" w:rsidRDefault="004602C3" w:rsidP="00CA48AA">
          <w:pPr>
            <w:spacing w:line="360" w:lineRule="auto"/>
            <w:rPr>
              <w:rFonts w:asciiTheme="majorBidi" w:hAnsiTheme="majorBidi" w:cstheme="majorBidi"/>
              <w:sz w:val="24"/>
              <w:szCs w:val="24"/>
            </w:rPr>
          </w:pPr>
          <w:r w:rsidRPr="00A03ABE">
            <w:rPr>
              <w:rFonts w:asciiTheme="majorBidi" w:hAnsiTheme="majorBidi" w:cstheme="majorBidi"/>
              <w:b/>
              <w:bCs/>
              <w:noProof/>
              <w:sz w:val="24"/>
              <w:szCs w:val="24"/>
            </w:rPr>
            <w:fldChar w:fldCharType="end"/>
          </w:r>
        </w:p>
      </w:sdtContent>
    </w:sdt>
    <w:p w14:paraId="0A9DC2D2" w14:textId="77777777" w:rsidR="00845429" w:rsidRPr="00A03ABE" w:rsidRDefault="004B1BD0" w:rsidP="00CA48AA">
      <w:pPr>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br w:type="page"/>
      </w:r>
    </w:p>
    <w:p w14:paraId="7AB9858D" w14:textId="77777777" w:rsidR="00845429" w:rsidRPr="00A03ABE" w:rsidRDefault="004B1BD0" w:rsidP="00046FCB">
      <w:pPr>
        <w:pStyle w:val="Heading1"/>
      </w:pPr>
      <w:bookmarkStart w:id="0" w:name="_Toc237559433"/>
      <w:r w:rsidRPr="00A03ABE">
        <w:lastRenderedPageBreak/>
        <w:t>Section 1: Strategic Market Entry Analysis</w:t>
      </w:r>
      <w:bookmarkEnd w:id="0"/>
    </w:p>
    <w:p w14:paraId="3A455A4C" w14:textId="286D489C" w:rsidR="00845429" w:rsidRPr="00A03ABE" w:rsidRDefault="004B1BD0" w:rsidP="00046FCB">
      <w:pPr>
        <w:pStyle w:val="Heading2"/>
        <w:numPr>
          <w:ilvl w:val="0"/>
          <w:numId w:val="11"/>
        </w:numPr>
      </w:pPr>
      <w:bookmarkStart w:id="1" w:name="_Toc237559434"/>
      <w:r w:rsidRPr="00A03ABE">
        <w:t>Introduction</w:t>
      </w:r>
      <w:bookmarkEnd w:id="1"/>
    </w:p>
    <w:p w14:paraId="11A5FAFE" w14:textId="74F80D1D" w:rsidR="00845429" w:rsidRPr="00A03ABE" w:rsidRDefault="00AE578A" w:rsidP="005A3BA0">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The purpose of this report is to determine the viability of Tesla Inc. venturing into the Indonesian market through a strategic analysis, market appeal, operational limitations, and other possible options. By the evidence cut-off date (1 June 2026), Tesla had no material network of its company-owned sales, service, charging, and production network in Indonesia, and policy debate was widespread on the possible part Tesla could play in the Indonesian EV and battery ecosystem </w:t>
      </w:r>
      <w:r w:rsidR="005C0D44" w:rsidRPr="00A03ABE">
        <w:rPr>
          <w:rFonts w:asciiTheme="majorBidi" w:hAnsiTheme="majorBidi" w:cstheme="majorBidi"/>
          <w:color w:val="000000" w:themeColor="text1"/>
          <w:sz w:val="24"/>
          <w:szCs w:val="24"/>
        </w:rPr>
        <w:t>(Guild, 2023). Indonesia offers a strategically mixed opportunity: sustained economic growth and growing EV and battery value chain industrial policy, coupled with a growing public-charging network and accelerating adoption of battery electric vehicles (BEVs), increase the attractiveness of the location. However, these benefits are offset by modest household purchasing power, exposure to foreign exchange and financing risk, Chinese EV competition, greater local content demands, and a carbon-heavy electricity generation mix, and the complexity of the service delivery that occurs</w:t>
      </w:r>
      <w:r w:rsidR="00F43E1B" w:rsidRPr="00A03ABE">
        <w:rPr>
          <w:rFonts w:asciiTheme="majorBidi" w:hAnsiTheme="majorBidi" w:cstheme="majorBidi"/>
          <w:color w:val="000000" w:themeColor="text1"/>
          <w:sz w:val="24"/>
          <w:szCs w:val="24"/>
        </w:rPr>
        <w:t xml:space="preserve"> within an archipelagic </w:t>
      </w:r>
      <w:r w:rsidR="00F8416E" w:rsidRPr="00A03ABE">
        <w:rPr>
          <w:rFonts w:asciiTheme="majorBidi" w:hAnsiTheme="majorBidi" w:cstheme="majorBidi"/>
          <w:color w:val="000000" w:themeColor="text1"/>
          <w:sz w:val="24"/>
          <w:szCs w:val="24"/>
        </w:rPr>
        <w:t>market.</w:t>
      </w:r>
      <w:r w:rsidR="00905892" w:rsidRPr="00A03ABE">
        <w:t xml:space="preserve"> </w:t>
      </w:r>
      <w:r w:rsidR="00905892" w:rsidRPr="00A03ABE">
        <w:rPr>
          <w:rFonts w:asciiTheme="majorBidi" w:hAnsiTheme="majorBidi" w:cstheme="majorBidi"/>
          <w:color w:val="000000" w:themeColor="text1"/>
          <w:sz w:val="24"/>
          <w:szCs w:val="24"/>
        </w:rPr>
        <w:t>This report critically examines the strategy of Tesla's market entry in Indonesia in three aspects as follows; organisational classification and global strategy, macro-environmental appraisal and market attractiveness, and entry mode strategy based on OLI framework. These sections constitute a researched-based case for Tesla's strategy to be adopted in the Indonesian electric vehicle market.</w:t>
      </w:r>
    </w:p>
    <w:p w14:paraId="279A8C89" w14:textId="77B26DFA" w:rsidR="00845429" w:rsidRPr="00A03ABE" w:rsidRDefault="004B1BD0" w:rsidP="00046FCB">
      <w:pPr>
        <w:pStyle w:val="Heading2"/>
        <w:numPr>
          <w:ilvl w:val="0"/>
          <w:numId w:val="11"/>
        </w:numPr>
      </w:pPr>
      <w:bookmarkStart w:id="2" w:name="_Toc237559435"/>
      <w:r w:rsidRPr="00A03ABE">
        <w:t>Organisational classification and global strategy</w:t>
      </w:r>
      <w:bookmarkEnd w:id="2"/>
    </w:p>
    <w:p w14:paraId="6F0E2854" w14:textId="230E5A51" w:rsidR="00845429" w:rsidRPr="00A03ABE" w:rsidRDefault="00046FCB" w:rsidP="00046FCB">
      <w:pPr>
        <w:pStyle w:val="Heading3"/>
      </w:pPr>
      <w:bookmarkStart w:id="3" w:name="_Toc237559436"/>
      <w:r w:rsidRPr="00A03ABE">
        <w:t>2.1 Strategic</w:t>
      </w:r>
      <w:r w:rsidR="004B1BD0" w:rsidRPr="00A03ABE">
        <w:t xml:space="preserve"> </w:t>
      </w:r>
      <w:r w:rsidR="0016486E" w:rsidRPr="00A03ABE">
        <w:t>categorization</w:t>
      </w:r>
      <w:bookmarkEnd w:id="3"/>
      <w:r w:rsidR="0016486E" w:rsidRPr="00A03ABE">
        <w:t xml:space="preserve"> </w:t>
      </w:r>
    </w:p>
    <w:p w14:paraId="78ABA4B2" w14:textId="77777777" w:rsidR="00046FCB" w:rsidRPr="00A03ABE" w:rsidRDefault="00046FCB" w:rsidP="00046FCB"/>
    <w:p w14:paraId="49409756" w14:textId="66FD2A2F" w:rsidR="00034B46" w:rsidRPr="00A03ABE" w:rsidRDefault="00FC1576" w:rsidP="00DC7F56">
      <w:pPr>
        <w:pStyle w:val="BodyText"/>
        <w:spacing w:line="360" w:lineRule="auto"/>
        <w:jc w:val="both"/>
        <w:rPr>
          <w:rFonts w:asciiTheme="majorBidi" w:hAnsiTheme="majorBidi" w:cstheme="majorBidi"/>
          <w:sz w:val="24"/>
          <w:szCs w:val="24"/>
        </w:rPr>
      </w:pPr>
      <w:r>
        <w:rPr>
          <w:rFonts w:asciiTheme="majorBidi" w:hAnsiTheme="majorBidi" w:cstheme="majorBidi"/>
          <w:sz w:val="24"/>
          <w:szCs w:val="24"/>
        </w:rPr>
        <w:t xml:space="preserve">Bartlett and Ghoshal, </w:t>
      </w:r>
      <w:r w:rsidR="00AC2BD9" w:rsidRPr="00A03ABE">
        <w:rPr>
          <w:rFonts w:asciiTheme="majorBidi" w:hAnsiTheme="majorBidi" w:cstheme="majorBidi"/>
          <w:sz w:val="24"/>
          <w:szCs w:val="24"/>
        </w:rPr>
        <w:t>(1989) explain in their Integration-Responsiveness Framework how multinational corporations balance between global integration and local responsiveness. Tesla would be primarily a global strategy due to its software, vehicle platforms, brand, customer data</w:t>
      </w:r>
      <w:r w:rsidR="0022520F" w:rsidRPr="00A03ABE">
        <w:rPr>
          <w:rFonts w:asciiTheme="majorBidi" w:hAnsiTheme="majorBidi" w:cstheme="majorBidi"/>
          <w:sz w:val="24"/>
          <w:szCs w:val="24"/>
        </w:rPr>
        <w:t>,</w:t>
      </w:r>
      <w:r w:rsidR="00AC2BD9" w:rsidRPr="00A03ABE">
        <w:rPr>
          <w:rFonts w:asciiTheme="majorBidi" w:hAnsiTheme="majorBidi" w:cstheme="majorBidi"/>
          <w:sz w:val="24"/>
          <w:szCs w:val="24"/>
        </w:rPr>
        <w:t xml:space="preserve"> and technologies that are centrally managed. However, it also has certain selective transnational features</w:t>
      </w:r>
      <w:r w:rsidR="0022520F" w:rsidRPr="00A03ABE">
        <w:rPr>
          <w:rFonts w:asciiTheme="majorBidi" w:hAnsiTheme="majorBidi" w:cstheme="majorBidi"/>
          <w:sz w:val="24"/>
          <w:szCs w:val="24"/>
        </w:rPr>
        <w:t>,</w:t>
      </w:r>
      <w:r w:rsidR="00AC2BD9" w:rsidRPr="00A03ABE">
        <w:rPr>
          <w:rFonts w:asciiTheme="majorBidi" w:hAnsiTheme="majorBidi" w:cstheme="majorBidi"/>
          <w:sz w:val="24"/>
          <w:szCs w:val="24"/>
        </w:rPr>
        <w:t xml:space="preserve"> </w:t>
      </w:r>
      <w:proofErr w:type="gramStart"/>
      <w:r w:rsidR="00AC2BD9" w:rsidRPr="00A03ABE">
        <w:rPr>
          <w:rFonts w:asciiTheme="majorBidi" w:hAnsiTheme="majorBidi" w:cstheme="majorBidi"/>
          <w:sz w:val="24"/>
          <w:szCs w:val="24"/>
        </w:rPr>
        <w:t>as</w:t>
      </w:r>
      <w:proofErr w:type="gramEnd"/>
      <w:r w:rsidR="00AC2BD9" w:rsidRPr="00A03ABE">
        <w:rPr>
          <w:rFonts w:asciiTheme="majorBidi" w:hAnsiTheme="majorBidi" w:cstheme="majorBidi"/>
          <w:sz w:val="24"/>
          <w:szCs w:val="24"/>
        </w:rPr>
        <w:t xml:space="preserve"> </w:t>
      </w:r>
      <w:r w:rsidR="0022520F" w:rsidRPr="00A03ABE">
        <w:rPr>
          <w:rFonts w:asciiTheme="majorBidi" w:hAnsiTheme="majorBidi" w:cstheme="majorBidi"/>
          <w:sz w:val="24"/>
          <w:szCs w:val="24"/>
        </w:rPr>
        <w:t>regulations</w:t>
      </w:r>
      <w:r w:rsidR="00AC2BD9" w:rsidRPr="00A03ABE">
        <w:rPr>
          <w:rFonts w:asciiTheme="majorBidi" w:hAnsiTheme="majorBidi" w:cstheme="majorBidi"/>
          <w:sz w:val="24"/>
          <w:szCs w:val="24"/>
        </w:rPr>
        <w:t>, financing, charging, service</w:t>
      </w:r>
      <w:r w:rsidR="0022520F" w:rsidRPr="00A03ABE">
        <w:rPr>
          <w:rFonts w:asciiTheme="majorBidi" w:hAnsiTheme="majorBidi" w:cstheme="majorBidi"/>
          <w:sz w:val="24"/>
          <w:szCs w:val="24"/>
        </w:rPr>
        <w:t>,</w:t>
      </w:r>
      <w:r w:rsidR="00AC2BD9" w:rsidRPr="00A03ABE">
        <w:rPr>
          <w:rFonts w:asciiTheme="majorBidi" w:hAnsiTheme="majorBidi" w:cstheme="majorBidi"/>
          <w:sz w:val="24"/>
          <w:szCs w:val="24"/>
        </w:rPr>
        <w:t xml:space="preserve"> and communication with customers </w:t>
      </w:r>
      <w:r w:rsidR="0022520F" w:rsidRPr="00A03ABE">
        <w:rPr>
          <w:rFonts w:asciiTheme="majorBidi" w:hAnsiTheme="majorBidi" w:cstheme="majorBidi"/>
          <w:sz w:val="24"/>
          <w:szCs w:val="24"/>
        </w:rPr>
        <w:t xml:space="preserve">and </w:t>
      </w:r>
      <w:r w:rsidR="00AC2BD9" w:rsidRPr="00A03ABE">
        <w:rPr>
          <w:rFonts w:asciiTheme="majorBidi" w:hAnsiTheme="majorBidi" w:cstheme="majorBidi"/>
          <w:sz w:val="24"/>
          <w:szCs w:val="24"/>
        </w:rPr>
        <w:t xml:space="preserve">operations must be modified to meet the needs of the markets. </w:t>
      </w:r>
      <w:r w:rsidR="00034B46" w:rsidRPr="00A03ABE">
        <w:rPr>
          <w:rFonts w:asciiTheme="majorBidi" w:hAnsiTheme="majorBidi" w:cstheme="majorBidi"/>
          <w:sz w:val="24"/>
          <w:szCs w:val="24"/>
        </w:rPr>
        <w:t>Tesla may be referred to as a firm with a global strategy and possesses certain transnational characteristics; it is not a transnational firm. Technology, software, brand and large capital investments continue to be centralised, while manufacturing continues to be regionalised in select locations where size and institutional landscapes support investment, as seen in China and Germany (Thomas and Maine, 2019). The emphasis is on market-access activities (homologation, charging, service, financing and regulatory compliance) rather than on wide-ranging subsidiary autonomy.</w:t>
      </w:r>
    </w:p>
    <w:p w14:paraId="459859E6" w14:textId="234E06A1" w:rsidR="00034B46" w:rsidRPr="00A03ABE" w:rsidRDefault="00034B46" w:rsidP="00034B46">
      <w:pPr>
        <w:pStyle w:val="TableCaption"/>
        <w:keepNext/>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b/>
          <w:color w:val="000000" w:themeColor="text1"/>
          <w:sz w:val="24"/>
          <w:szCs w:val="24"/>
        </w:rPr>
        <w:lastRenderedPageBreak/>
        <w:t>Table 1. Integration-responsiveness classification of Tesla</w:t>
      </w:r>
    </w:p>
    <w:p w14:paraId="280CE90B" w14:textId="11B4EF84" w:rsidR="00034B46" w:rsidRPr="00A03ABE" w:rsidRDefault="00034B46" w:rsidP="00DC7F56">
      <w:pPr>
        <w:pStyle w:val="BodyText"/>
        <w:spacing w:line="360" w:lineRule="auto"/>
        <w:jc w:val="both"/>
        <w:rPr>
          <w:rFonts w:asciiTheme="majorBidi" w:hAnsiTheme="majorBidi" w:cstheme="majorBidi"/>
          <w:sz w:val="24"/>
          <w:szCs w:val="24"/>
        </w:rPr>
      </w:pPr>
      <w:r w:rsidRPr="00A03ABE">
        <w:rPr>
          <w:rFonts w:asciiTheme="majorBidi" w:hAnsiTheme="majorBidi" w:cstheme="majorBidi"/>
          <w:noProof/>
          <w:color w:val="000000" w:themeColor="text1"/>
          <w:sz w:val="24"/>
          <w:szCs w:val="24"/>
        </w:rPr>
        <w:drawing>
          <wp:inline distT="0" distB="0" distL="0" distR="0" wp14:anchorId="65555E50" wp14:editId="7F79F2BA">
            <wp:extent cx="6007735" cy="4069715"/>
            <wp:effectExtent l="0" t="0" r="0" b="6985"/>
            <wp:docPr id="1973578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78045" name=""/>
                    <pic:cNvPicPr/>
                  </pic:nvPicPr>
                  <pic:blipFill>
                    <a:blip r:embed="rId12"/>
                    <a:stretch>
                      <a:fillRect/>
                    </a:stretch>
                  </pic:blipFill>
                  <pic:spPr>
                    <a:xfrm>
                      <a:off x="0" y="0"/>
                      <a:ext cx="6007735" cy="4069715"/>
                    </a:xfrm>
                    <a:prstGeom prst="rect">
                      <a:avLst/>
                    </a:prstGeom>
                  </pic:spPr>
                </pic:pic>
              </a:graphicData>
            </a:graphic>
          </wp:inline>
        </w:drawing>
      </w:r>
    </w:p>
    <w:p w14:paraId="0F113286" w14:textId="22089C68" w:rsidR="001B4B1D" w:rsidRPr="00A03ABE" w:rsidRDefault="001B4B1D" w:rsidP="001B4B1D">
      <w:pPr>
        <w:pStyle w:val="BodyText"/>
      </w:pPr>
      <w:r w:rsidRPr="00A03ABE">
        <w:rPr>
          <w:i/>
          <w:sz w:val="18"/>
        </w:rPr>
        <w:t>Source: Author’s analysis based on Bartlett and Ghoshal (1989), Thomas and Maine (2019), and Teece (2018).</w:t>
      </w:r>
    </w:p>
    <w:p w14:paraId="2B2FF6D5" w14:textId="6E215044" w:rsidR="00034B46" w:rsidRPr="00A03ABE" w:rsidRDefault="00034B46" w:rsidP="00DC7F56">
      <w:pPr>
        <w:pStyle w:val="BodyText"/>
        <w:spacing w:line="360" w:lineRule="auto"/>
        <w:jc w:val="both"/>
        <w:rPr>
          <w:rFonts w:asciiTheme="majorBidi" w:hAnsiTheme="majorBidi" w:cstheme="majorBidi"/>
          <w:sz w:val="24"/>
          <w:szCs w:val="24"/>
        </w:rPr>
      </w:pPr>
      <w:r w:rsidRPr="00A03ABE">
        <w:rPr>
          <w:rFonts w:asciiTheme="majorBidi" w:hAnsiTheme="majorBidi" w:cstheme="majorBidi"/>
          <w:sz w:val="24"/>
          <w:szCs w:val="24"/>
        </w:rPr>
        <w:t>Furthermore, TESLA is best classified as pursuing a global strategy because the competitive advantage of the company is based on centrally controlled technology, software, product architecture and brand, and massive regional manufacturing centers. By 2025, Tesla had produced 1.65 million vehicles, delivered 1.64 million, had 1,553 plants, and 8,182 Superchargers located worldwide</w:t>
      </w:r>
      <w:r w:rsidR="00F43E1B" w:rsidRPr="00A03ABE">
        <w:rPr>
          <w:rFonts w:asciiTheme="majorBidi" w:hAnsiTheme="majorBidi" w:cstheme="majorBidi"/>
          <w:sz w:val="24"/>
          <w:szCs w:val="24"/>
        </w:rPr>
        <w:t xml:space="preserve"> </w:t>
      </w:r>
      <w:r w:rsidR="00F43E1B" w:rsidRPr="00A03ABE">
        <w:rPr>
          <w:rFonts w:asciiTheme="majorBidi" w:hAnsiTheme="majorBidi" w:cstheme="majorBidi"/>
          <w:color w:val="000000" w:themeColor="text1"/>
          <w:sz w:val="24"/>
          <w:szCs w:val="24"/>
        </w:rPr>
        <w:t>(Tesla, 2026).</w:t>
      </w:r>
      <w:r w:rsidRPr="00A03ABE">
        <w:rPr>
          <w:rFonts w:asciiTheme="majorBidi" w:hAnsiTheme="majorBidi" w:cstheme="majorBidi"/>
          <w:sz w:val="24"/>
          <w:szCs w:val="24"/>
        </w:rPr>
        <w:t xml:space="preserve"> This concentration leads to economies of scale, consistent customer experience and greater control of proprietary systems. Local adaptation is therefore selective, primarily in the regulation, financing, charging and service but not in core technology or strategy at a global scale.</w:t>
      </w:r>
    </w:p>
    <w:p w14:paraId="0663198C" w14:textId="0C154D8C" w:rsidR="00AC2BD9" w:rsidRPr="00A03ABE" w:rsidRDefault="00AC2BD9" w:rsidP="00DC7F56">
      <w:pPr>
        <w:pStyle w:val="BodyText"/>
        <w:spacing w:line="360" w:lineRule="auto"/>
        <w:jc w:val="both"/>
        <w:rPr>
          <w:rFonts w:asciiTheme="majorBidi" w:hAnsiTheme="majorBidi" w:cstheme="majorBidi"/>
          <w:sz w:val="24"/>
          <w:szCs w:val="24"/>
        </w:rPr>
      </w:pPr>
      <w:r w:rsidRPr="00A03ABE">
        <w:rPr>
          <w:rFonts w:asciiTheme="majorBidi" w:hAnsiTheme="majorBidi" w:cstheme="majorBidi"/>
          <w:sz w:val="24"/>
          <w:szCs w:val="24"/>
        </w:rPr>
        <w:t>The situation with Tesla in the context of Indonesia would be where it would have to retain centralized ownership of proprietary capabilities but with a bit of local customization where necessary</w:t>
      </w:r>
      <w:r w:rsidR="00034B46" w:rsidRPr="00A03ABE">
        <w:rPr>
          <w:rFonts w:asciiTheme="majorBidi" w:hAnsiTheme="majorBidi" w:cstheme="majorBidi"/>
          <w:sz w:val="24"/>
          <w:szCs w:val="24"/>
        </w:rPr>
        <w:t xml:space="preserve"> (Teece, 2018).</w:t>
      </w:r>
      <w:r w:rsidRPr="00A03ABE">
        <w:rPr>
          <w:rFonts w:asciiTheme="majorBidi" w:hAnsiTheme="majorBidi" w:cstheme="majorBidi"/>
          <w:sz w:val="24"/>
          <w:szCs w:val="24"/>
        </w:rPr>
        <w:t xml:space="preserve"> </w:t>
      </w:r>
    </w:p>
    <w:p w14:paraId="68C3328C" w14:textId="40F2F258" w:rsidR="005C0D44" w:rsidRPr="00A03ABE" w:rsidRDefault="005C0D44" w:rsidP="00AE578A">
      <w:pPr>
        <w:pStyle w:val="BodyText"/>
        <w:spacing w:line="360" w:lineRule="auto"/>
        <w:jc w:val="both"/>
        <w:rPr>
          <w:rFonts w:asciiTheme="majorBidi" w:hAnsiTheme="majorBidi" w:cstheme="majorBidi"/>
          <w:sz w:val="24"/>
          <w:szCs w:val="24"/>
        </w:rPr>
      </w:pPr>
    </w:p>
    <w:p w14:paraId="295C460C" w14:textId="77777777" w:rsidR="00603BB0" w:rsidRPr="00A03ABE" w:rsidRDefault="00603BB0" w:rsidP="00DF4295">
      <w:pPr>
        <w:pStyle w:val="BodyText"/>
        <w:spacing w:line="360" w:lineRule="auto"/>
        <w:jc w:val="both"/>
        <w:rPr>
          <w:rFonts w:asciiTheme="majorBidi" w:hAnsiTheme="majorBidi" w:cstheme="majorBidi"/>
          <w:sz w:val="24"/>
          <w:szCs w:val="24"/>
        </w:rPr>
      </w:pPr>
      <w:r w:rsidRPr="00A03ABE">
        <w:rPr>
          <w:rFonts w:asciiTheme="majorBidi" w:hAnsiTheme="majorBidi" w:cstheme="majorBidi"/>
          <w:noProof/>
          <w:sz w:val="24"/>
          <w:szCs w:val="24"/>
        </w:rPr>
        <w:lastRenderedPageBreak/>
        <w:drawing>
          <wp:inline distT="0" distB="0" distL="0" distR="0" wp14:anchorId="2C66E241" wp14:editId="0202B3EE">
            <wp:extent cx="5816899" cy="5226319"/>
            <wp:effectExtent l="0" t="0" r="0" b="0"/>
            <wp:docPr id="1381401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401242" name=""/>
                    <pic:cNvPicPr/>
                  </pic:nvPicPr>
                  <pic:blipFill>
                    <a:blip r:embed="rId13"/>
                    <a:stretch>
                      <a:fillRect/>
                    </a:stretch>
                  </pic:blipFill>
                  <pic:spPr>
                    <a:xfrm>
                      <a:off x="0" y="0"/>
                      <a:ext cx="5816899" cy="5226319"/>
                    </a:xfrm>
                    <a:prstGeom prst="rect">
                      <a:avLst/>
                    </a:prstGeom>
                  </pic:spPr>
                </pic:pic>
              </a:graphicData>
            </a:graphic>
          </wp:inline>
        </w:drawing>
      </w:r>
    </w:p>
    <w:p w14:paraId="53F7F567" w14:textId="618F372E" w:rsidR="00603BB0" w:rsidRPr="00A03ABE" w:rsidRDefault="00603BB0" w:rsidP="008D6F47">
      <w:pPr>
        <w:pStyle w:val="BodyText"/>
        <w:spacing w:line="360" w:lineRule="auto"/>
        <w:jc w:val="center"/>
        <w:rPr>
          <w:rFonts w:asciiTheme="majorBidi" w:hAnsiTheme="majorBidi" w:cstheme="majorBidi"/>
          <w:i/>
          <w:iCs/>
          <w:sz w:val="24"/>
          <w:szCs w:val="24"/>
        </w:rPr>
      </w:pPr>
      <w:r w:rsidRPr="00A03ABE">
        <w:rPr>
          <w:rFonts w:asciiTheme="majorBidi" w:hAnsiTheme="majorBidi" w:cstheme="majorBidi"/>
          <w:i/>
          <w:iCs/>
          <w:sz w:val="24"/>
          <w:szCs w:val="24"/>
        </w:rPr>
        <w:t>Figure 1: Integration–Responsiveness Framework</w:t>
      </w:r>
    </w:p>
    <w:p w14:paraId="4E44DB6B" w14:textId="125AC15C" w:rsidR="008D6F47" w:rsidRPr="00A03ABE" w:rsidRDefault="008D6F47" w:rsidP="008D6F47">
      <w:pPr>
        <w:pStyle w:val="BodyText"/>
        <w:jc w:val="center"/>
        <w:rPr>
          <w:i/>
          <w:sz w:val="18"/>
        </w:rPr>
      </w:pPr>
      <w:r w:rsidRPr="00A03ABE">
        <w:rPr>
          <w:i/>
          <w:sz w:val="18"/>
        </w:rPr>
        <w:t>Source: Self-Created</w:t>
      </w:r>
    </w:p>
    <w:p w14:paraId="2B3A9A95" w14:textId="34930759" w:rsidR="00845429" w:rsidRPr="00A03ABE" w:rsidRDefault="00845429" w:rsidP="00CA48AA">
      <w:pPr>
        <w:spacing w:after="20" w:line="360" w:lineRule="auto"/>
        <w:jc w:val="both"/>
        <w:rPr>
          <w:rFonts w:asciiTheme="majorBidi" w:hAnsiTheme="majorBidi" w:cstheme="majorBidi"/>
          <w:color w:val="000000" w:themeColor="text1"/>
          <w:sz w:val="24"/>
          <w:szCs w:val="24"/>
        </w:rPr>
      </w:pPr>
    </w:p>
    <w:p w14:paraId="0249199A" w14:textId="6B7BA27E" w:rsidR="00845429" w:rsidRPr="00A03ABE" w:rsidRDefault="008D6F47" w:rsidP="008D6F47">
      <w:pPr>
        <w:pStyle w:val="Heading3"/>
      </w:pPr>
      <w:bookmarkStart w:id="4" w:name="_Toc237559437"/>
      <w:r w:rsidRPr="00A03ABE">
        <w:t xml:space="preserve">2.2 </w:t>
      </w:r>
      <w:r w:rsidR="004B1BD0" w:rsidRPr="00A03ABE">
        <w:t>Global configuration and value creation</w:t>
      </w:r>
      <w:bookmarkEnd w:id="4"/>
      <w:r w:rsidR="0016486E" w:rsidRPr="00A03ABE">
        <w:t xml:space="preserve">  </w:t>
      </w:r>
    </w:p>
    <w:p w14:paraId="34CDBB41" w14:textId="77777777" w:rsidR="00046FCB" w:rsidRPr="00A03ABE" w:rsidRDefault="00046FCB" w:rsidP="00046FCB">
      <w:pPr>
        <w:ind w:left="360"/>
      </w:pPr>
    </w:p>
    <w:p w14:paraId="327F95E4" w14:textId="1F877CC7" w:rsidR="00845429" w:rsidRPr="00A03ABE" w:rsidRDefault="00AA74B4" w:rsidP="005C0D44">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The global design of Tesla places a lot of production capacity and technology in a small number of regional centers and has centralized software, data, and product design. By 2025, Tesla manufactured approximately 1.66 million cars and sold 1.64 million all around the globe, earning US$94.83 billion in revenue (Tesla, 2026). This scale of manufacturing is in Shanghai, where it established more than 950,000 Model 3/Y vehicle capacity per year in comparison to more than 375,000 Model Y vehicle capacity in Berlin and more than 650,000 combined capacity of Model 3/Y and S/X in California. The state of Texas has over 375,000 units of Model Y and Cybertruck capacity (Tesla, 2026). The regional hub paradigm adds to the economies of scale, learning, and value creation that are expedited across vehicles, software, charging, and customer relationships </w:t>
      </w:r>
      <w:r w:rsidR="00AB6FE6" w:rsidRPr="00A03ABE">
        <w:rPr>
          <w:rFonts w:asciiTheme="majorBidi" w:hAnsiTheme="majorBidi" w:cstheme="majorBidi"/>
          <w:color w:val="000000" w:themeColor="text1"/>
          <w:sz w:val="24"/>
          <w:szCs w:val="24"/>
        </w:rPr>
        <w:t xml:space="preserve">(Lang et al., </w:t>
      </w:r>
      <w:r w:rsidR="00AC2BD9" w:rsidRPr="00A03ABE">
        <w:rPr>
          <w:rFonts w:asciiTheme="majorBidi" w:hAnsiTheme="majorBidi" w:cstheme="majorBidi"/>
          <w:color w:val="000000" w:themeColor="text1"/>
          <w:sz w:val="24"/>
          <w:szCs w:val="24"/>
        </w:rPr>
        <w:t xml:space="preserve">2021). </w:t>
      </w:r>
    </w:p>
    <w:p w14:paraId="2BCA9092" w14:textId="77777777" w:rsidR="00A31C60" w:rsidRPr="00A03ABE" w:rsidRDefault="00A31C60" w:rsidP="005C0D44">
      <w:pPr>
        <w:pStyle w:val="BodyText"/>
        <w:spacing w:line="360" w:lineRule="auto"/>
        <w:jc w:val="both"/>
        <w:rPr>
          <w:rFonts w:asciiTheme="majorBidi" w:hAnsiTheme="majorBidi" w:cstheme="majorBidi"/>
          <w:color w:val="000000" w:themeColor="text1"/>
          <w:sz w:val="24"/>
          <w:szCs w:val="24"/>
        </w:rPr>
      </w:pPr>
    </w:p>
    <w:p w14:paraId="63A61136" w14:textId="12BFAB3C" w:rsidR="00845429" w:rsidRPr="00A03ABE" w:rsidRDefault="00E76593" w:rsidP="00E76593">
      <w:pPr>
        <w:spacing w:line="360" w:lineRule="auto"/>
        <w:jc w:val="center"/>
        <w:rPr>
          <w:rFonts w:asciiTheme="majorBidi" w:hAnsiTheme="majorBidi" w:cstheme="majorBidi"/>
          <w:color w:val="000000" w:themeColor="text1"/>
          <w:sz w:val="24"/>
          <w:szCs w:val="24"/>
        </w:rPr>
      </w:pPr>
      <w:r w:rsidRPr="00A03ABE">
        <w:rPr>
          <w:rFonts w:asciiTheme="majorBidi" w:hAnsiTheme="majorBidi" w:cstheme="majorBidi"/>
          <w:noProof/>
          <w:color w:val="000000" w:themeColor="text1"/>
          <w:sz w:val="24"/>
          <w:szCs w:val="24"/>
        </w:rPr>
        <w:drawing>
          <wp:inline distT="0" distB="0" distL="0" distR="0" wp14:anchorId="5E18E806" wp14:editId="7C8A161A">
            <wp:extent cx="5505733" cy="3549832"/>
            <wp:effectExtent l="0" t="0" r="0" b="0"/>
            <wp:docPr id="508223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23083" name=""/>
                    <pic:cNvPicPr/>
                  </pic:nvPicPr>
                  <pic:blipFill>
                    <a:blip r:embed="rId14"/>
                    <a:stretch>
                      <a:fillRect/>
                    </a:stretch>
                  </pic:blipFill>
                  <pic:spPr>
                    <a:xfrm>
                      <a:off x="0" y="0"/>
                      <a:ext cx="5505733" cy="3549832"/>
                    </a:xfrm>
                    <a:prstGeom prst="rect">
                      <a:avLst/>
                    </a:prstGeom>
                  </pic:spPr>
                </pic:pic>
              </a:graphicData>
            </a:graphic>
          </wp:inline>
        </w:drawing>
      </w:r>
    </w:p>
    <w:p w14:paraId="557B3091" w14:textId="35EDE105" w:rsidR="000548DC" w:rsidRPr="00A03ABE" w:rsidRDefault="004B1BD0" w:rsidP="00CD7268">
      <w:pPr>
        <w:pStyle w:val="FigureCaption"/>
        <w:spacing w:after="120" w:line="360" w:lineRule="auto"/>
        <w:jc w:val="center"/>
        <w:rPr>
          <w:rFonts w:asciiTheme="majorBidi" w:eastAsia="Calibri" w:hAnsiTheme="majorBidi" w:cstheme="majorBidi"/>
          <w:i/>
          <w:color w:val="000000" w:themeColor="text1"/>
          <w:sz w:val="24"/>
          <w:szCs w:val="24"/>
        </w:rPr>
      </w:pPr>
      <w:r w:rsidRPr="00A03ABE">
        <w:rPr>
          <w:rFonts w:asciiTheme="majorBidi" w:eastAsia="Calibri" w:hAnsiTheme="majorBidi" w:cstheme="majorBidi"/>
          <w:i/>
          <w:color w:val="000000" w:themeColor="text1"/>
          <w:sz w:val="24"/>
          <w:szCs w:val="24"/>
        </w:rPr>
        <w:t xml:space="preserve">Figure </w:t>
      </w:r>
      <w:r w:rsidR="00603BB0" w:rsidRPr="00A03ABE">
        <w:rPr>
          <w:rFonts w:asciiTheme="majorBidi" w:eastAsia="Calibri" w:hAnsiTheme="majorBidi" w:cstheme="majorBidi"/>
          <w:i/>
          <w:color w:val="000000" w:themeColor="text1"/>
          <w:sz w:val="24"/>
          <w:szCs w:val="24"/>
        </w:rPr>
        <w:t>2</w:t>
      </w:r>
      <w:r w:rsidRPr="00A03ABE">
        <w:rPr>
          <w:rFonts w:asciiTheme="majorBidi" w:eastAsia="Calibri" w:hAnsiTheme="majorBidi" w:cstheme="majorBidi"/>
          <w:i/>
          <w:color w:val="000000" w:themeColor="text1"/>
          <w:sz w:val="24"/>
          <w:szCs w:val="24"/>
        </w:rPr>
        <w:t>. Tesla’s global operating configuration and the proposed role of Indonesia</w:t>
      </w:r>
    </w:p>
    <w:p w14:paraId="7AB3EDBD" w14:textId="77777777" w:rsidR="008D6F47" w:rsidRPr="00A03ABE" w:rsidRDefault="008D6F47" w:rsidP="008D6F47">
      <w:pPr>
        <w:pStyle w:val="BodyText"/>
        <w:jc w:val="center"/>
        <w:rPr>
          <w:i/>
          <w:sz w:val="18"/>
        </w:rPr>
      </w:pPr>
      <w:r w:rsidRPr="00A03ABE">
        <w:rPr>
          <w:i/>
          <w:sz w:val="18"/>
        </w:rPr>
        <w:t>Source: Self-Created</w:t>
      </w:r>
    </w:p>
    <w:p w14:paraId="01DE5ED4" w14:textId="77777777" w:rsidR="008D6F47" w:rsidRPr="00A03ABE" w:rsidRDefault="008D6F47" w:rsidP="00CD7268">
      <w:pPr>
        <w:pStyle w:val="FigureCaption"/>
        <w:spacing w:after="120" w:line="360" w:lineRule="auto"/>
        <w:jc w:val="center"/>
        <w:rPr>
          <w:rFonts w:asciiTheme="majorBidi" w:eastAsia="Calibri" w:hAnsiTheme="majorBidi" w:cstheme="majorBidi"/>
          <w:i/>
          <w:color w:val="000000" w:themeColor="text1"/>
          <w:sz w:val="24"/>
          <w:szCs w:val="24"/>
        </w:rPr>
      </w:pPr>
    </w:p>
    <w:p w14:paraId="1ABD471A" w14:textId="402AABB3" w:rsidR="00A31C60" w:rsidRPr="00A03ABE" w:rsidRDefault="00A31C60" w:rsidP="008D6F47">
      <w:pPr>
        <w:pStyle w:val="BodyText"/>
        <w:jc w:val="center"/>
        <w:rPr>
          <w:rFonts w:asciiTheme="majorBidi" w:hAnsiTheme="majorBidi" w:cstheme="majorBidi"/>
          <w:i/>
          <w:color w:val="000000" w:themeColor="text1"/>
          <w:sz w:val="24"/>
          <w:szCs w:val="24"/>
        </w:rPr>
      </w:pPr>
    </w:p>
    <w:p w14:paraId="1E0535FB" w14:textId="118F28A3" w:rsidR="00A31C60" w:rsidRPr="00A03ABE" w:rsidRDefault="001A4A1F" w:rsidP="00A31C60">
      <w:pPr>
        <w:spacing w:after="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Instead of having numerous smaller plants, Tesla's global strategy is to distribute manufacturing facilities among a few important geographic sites (Shanghai, California, Berlin, and Texas). This allows the corporation to benefit from economies of scale. Compared to a distributed, multi-country structure, this concentrated approach allows the corporation to distribute fixed costs (R&amp;D, tooling, automation, facility overheads, etc.) over a far larger number of production bases</w:t>
      </w:r>
      <w:r w:rsidR="00F8416E" w:rsidRPr="00A03ABE">
        <w:rPr>
          <w:rFonts w:asciiTheme="majorBidi" w:hAnsiTheme="majorBidi" w:cstheme="majorBidi"/>
          <w:color w:val="000000" w:themeColor="text1"/>
          <w:sz w:val="24"/>
          <w:szCs w:val="24"/>
        </w:rPr>
        <w:t xml:space="preserve"> (Lang et al., 2021)</w:t>
      </w:r>
      <w:r w:rsidRPr="00A03ABE">
        <w:rPr>
          <w:rFonts w:asciiTheme="majorBidi" w:hAnsiTheme="majorBidi" w:cstheme="majorBidi"/>
          <w:color w:val="000000" w:themeColor="text1"/>
          <w:sz w:val="24"/>
          <w:szCs w:val="24"/>
        </w:rPr>
        <w:t>.</w:t>
      </w:r>
      <w:r w:rsidR="00F8416E" w:rsidRPr="00A03ABE">
        <w:rPr>
          <w:rFonts w:asciiTheme="majorBidi" w:hAnsiTheme="majorBidi" w:cstheme="majorBidi"/>
          <w:color w:val="000000" w:themeColor="text1"/>
          <w:sz w:val="24"/>
          <w:szCs w:val="24"/>
        </w:rPr>
        <w:t xml:space="preserve"> </w:t>
      </w:r>
      <w:r w:rsidRPr="00A03ABE">
        <w:rPr>
          <w:rFonts w:asciiTheme="majorBidi" w:hAnsiTheme="majorBidi" w:cstheme="majorBidi"/>
          <w:color w:val="000000" w:themeColor="text1"/>
          <w:sz w:val="24"/>
          <w:szCs w:val="24"/>
        </w:rPr>
        <w:t xml:space="preserve"> As a result, the company's cost position will be better than that of businesses with more scattered production networks in joint ventures, and its unit costs will be lower. It helps Tesla continue to invest cost savings in continued innovation and strategic positioning in the global EV market, and it allows the business to maintain its competitiveness in </w:t>
      </w:r>
      <w:proofErr w:type="gramStart"/>
      <w:r w:rsidRPr="00A03ABE">
        <w:rPr>
          <w:rFonts w:asciiTheme="majorBidi" w:hAnsiTheme="majorBidi" w:cstheme="majorBidi"/>
          <w:color w:val="000000" w:themeColor="text1"/>
          <w:sz w:val="24"/>
          <w:szCs w:val="24"/>
        </w:rPr>
        <w:t>a number of</w:t>
      </w:r>
      <w:proofErr w:type="gramEnd"/>
      <w:r w:rsidRPr="00A03ABE">
        <w:rPr>
          <w:rFonts w:asciiTheme="majorBidi" w:hAnsiTheme="majorBidi" w:cstheme="majorBidi"/>
          <w:color w:val="000000" w:themeColor="text1"/>
          <w:sz w:val="24"/>
          <w:szCs w:val="24"/>
        </w:rPr>
        <w:t xml:space="preserve"> markets while attaining higher profits</w:t>
      </w:r>
      <w:r w:rsidR="00F8416E" w:rsidRPr="00A03ABE">
        <w:rPr>
          <w:rFonts w:asciiTheme="majorBidi" w:hAnsiTheme="majorBidi" w:cstheme="majorBidi"/>
          <w:color w:val="000000" w:themeColor="text1"/>
          <w:sz w:val="24"/>
          <w:szCs w:val="24"/>
        </w:rPr>
        <w:t xml:space="preserve"> (Han, 2021)</w:t>
      </w:r>
      <w:r w:rsidRPr="00A03ABE">
        <w:rPr>
          <w:rFonts w:asciiTheme="majorBidi" w:hAnsiTheme="majorBidi" w:cstheme="majorBidi"/>
          <w:color w:val="000000" w:themeColor="text1"/>
          <w:sz w:val="24"/>
          <w:szCs w:val="24"/>
        </w:rPr>
        <w:t>.</w:t>
      </w:r>
    </w:p>
    <w:p w14:paraId="1160BC2F" w14:textId="77777777" w:rsidR="001A4A1F" w:rsidRPr="00A03ABE" w:rsidRDefault="001A4A1F" w:rsidP="00A31C60">
      <w:pPr>
        <w:spacing w:after="0" w:line="360" w:lineRule="auto"/>
        <w:jc w:val="both"/>
        <w:rPr>
          <w:rFonts w:ascii="Times New Roman" w:eastAsia="Times New Roman" w:hAnsi="Times New Roman" w:cs="Times New Roman"/>
          <w:sz w:val="24"/>
          <w:szCs w:val="24"/>
        </w:rPr>
      </w:pPr>
    </w:p>
    <w:p w14:paraId="48F48EF6" w14:textId="2FBC3629" w:rsidR="00A31C60" w:rsidRPr="00A03ABE" w:rsidRDefault="00A31C60" w:rsidP="00A31C60">
      <w:pPr>
        <w:spacing w:after="0" w:line="360" w:lineRule="auto"/>
        <w:jc w:val="both"/>
        <w:rPr>
          <w:rFonts w:ascii="Times New Roman" w:eastAsia="Times New Roman" w:hAnsi="Times New Roman" w:cs="Times New Roman"/>
          <w:sz w:val="24"/>
          <w:szCs w:val="24"/>
        </w:rPr>
      </w:pPr>
      <w:r w:rsidRPr="00A03ABE">
        <w:rPr>
          <w:rFonts w:ascii="Times New Roman" w:eastAsia="Times New Roman" w:hAnsi="Times New Roman" w:cs="Times New Roman"/>
          <w:sz w:val="24"/>
          <w:szCs w:val="24"/>
        </w:rPr>
        <w:t>This regional manufacturing scale is combined with centralized software, data, and product design to create value</w:t>
      </w:r>
      <w:r w:rsidR="00F8416E" w:rsidRPr="00A03ABE">
        <w:rPr>
          <w:rFonts w:ascii="Times New Roman" w:eastAsia="Times New Roman" w:hAnsi="Times New Roman" w:cs="Times New Roman"/>
          <w:sz w:val="24"/>
          <w:szCs w:val="24"/>
        </w:rPr>
        <w:t xml:space="preserve"> (Lang et al., 2021)</w:t>
      </w:r>
      <w:r w:rsidRPr="00A03ABE">
        <w:rPr>
          <w:rFonts w:ascii="Times New Roman" w:eastAsia="Times New Roman" w:hAnsi="Times New Roman" w:cs="Times New Roman"/>
          <w:sz w:val="24"/>
          <w:szCs w:val="24"/>
        </w:rPr>
        <w:t>. Instead of pursuing them separately per region, this standardization of fundamental technology and design concepts across all hubs accelerates learning and innovation dissemination within and between vehicles, charging infrastruc</w:t>
      </w:r>
      <w:r w:rsidR="00F43E1B" w:rsidRPr="00A03ABE">
        <w:rPr>
          <w:rFonts w:ascii="Times New Roman" w:eastAsia="Times New Roman" w:hAnsi="Times New Roman" w:cs="Times New Roman"/>
          <w:sz w:val="24"/>
          <w:szCs w:val="24"/>
        </w:rPr>
        <w:t xml:space="preserve">ture, and customer </w:t>
      </w:r>
      <w:r w:rsidR="00F43E1B" w:rsidRPr="00A03ABE">
        <w:rPr>
          <w:rFonts w:ascii="Times New Roman" w:eastAsia="Times New Roman" w:hAnsi="Times New Roman" w:cs="Times New Roman"/>
          <w:sz w:val="24"/>
          <w:szCs w:val="24"/>
        </w:rPr>
        <w:lastRenderedPageBreak/>
        <w:t xml:space="preserve">connections. </w:t>
      </w:r>
      <w:r w:rsidRPr="00A03ABE">
        <w:rPr>
          <w:rFonts w:ascii="Times New Roman" w:eastAsia="Times New Roman" w:hAnsi="Times New Roman" w:cs="Times New Roman"/>
          <w:sz w:val="24"/>
          <w:szCs w:val="24"/>
        </w:rPr>
        <w:t>Manufacturing scale can directly accelerate innovation, improve customer integration, and add value across the entire business system thanks to its hub-based architecture.</w:t>
      </w:r>
    </w:p>
    <w:p w14:paraId="4009CB58" w14:textId="77777777" w:rsidR="00A31C60" w:rsidRPr="00A03ABE" w:rsidRDefault="00A31C60" w:rsidP="00CD7268">
      <w:pPr>
        <w:pStyle w:val="FigureCaption"/>
        <w:spacing w:after="120" w:line="360" w:lineRule="auto"/>
        <w:jc w:val="center"/>
        <w:rPr>
          <w:rFonts w:asciiTheme="majorBidi" w:hAnsiTheme="majorBidi" w:cstheme="majorBidi"/>
          <w:color w:val="000000" w:themeColor="text1"/>
          <w:sz w:val="24"/>
          <w:szCs w:val="24"/>
        </w:rPr>
      </w:pPr>
    </w:p>
    <w:p w14:paraId="72030EDA" w14:textId="0C2D117B" w:rsidR="00845429" w:rsidRPr="00A03ABE" w:rsidRDefault="004B1BD0" w:rsidP="00046FCB">
      <w:pPr>
        <w:pStyle w:val="Heading2"/>
        <w:numPr>
          <w:ilvl w:val="0"/>
          <w:numId w:val="11"/>
        </w:numPr>
      </w:pPr>
      <w:r w:rsidRPr="00A03ABE">
        <w:t xml:space="preserve"> </w:t>
      </w:r>
      <w:bookmarkStart w:id="5" w:name="_Toc237559438"/>
      <w:r w:rsidRPr="00A03ABE">
        <w:t>Macro-environmental appraisal and market attractiveness</w:t>
      </w:r>
      <w:bookmarkEnd w:id="5"/>
    </w:p>
    <w:p w14:paraId="38044019" w14:textId="0BFC0819" w:rsidR="00046FCB" w:rsidRPr="00A03ABE" w:rsidRDefault="00046FCB" w:rsidP="00046FCB">
      <w:pPr>
        <w:pStyle w:val="Heading3"/>
      </w:pPr>
      <w:bookmarkStart w:id="6" w:name="_Toc237559439"/>
      <w:r w:rsidRPr="00A03ABE">
        <w:t>3.1 Macro-environmental appraisal</w:t>
      </w:r>
      <w:bookmarkEnd w:id="6"/>
    </w:p>
    <w:p w14:paraId="5ECF505E" w14:textId="77777777" w:rsidR="00046FCB" w:rsidRPr="00A03ABE" w:rsidRDefault="00046FCB" w:rsidP="00046FCB"/>
    <w:p w14:paraId="7A5DBBC6" w14:textId="21755C41" w:rsidR="00845429"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Political and institutional environment</w:t>
      </w:r>
    </w:p>
    <w:p w14:paraId="1BB2AE3D" w14:textId="4215265D" w:rsidR="0025142E" w:rsidRPr="00A03ABE" w:rsidRDefault="0025142E" w:rsidP="00AE578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EV investment is an opportunity in the political economy of Indonesia</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the opportunity is increasingly becoming associated with local value generation. Indonesia is attempting to surpass the mining industry with refining of nickel, battery parts, cells</w:t>
      </w:r>
      <w:r w:rsidR="006718BB"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automobiles. Input-output data show that domestic EV manufacturing can generate more widespread economic benefits, but environmental benefits are based on the efficiency of production and the mix of electricity (Pirmana et al., 2023). Tesla already has battery expertise and a worldwide brand that fits this agenda, but an Indonesian initiative would be pitting Tesla against itself in terms of capacity and outside competitors who already made investments in assembly and suppliers. The incentives should then be considered as contingent benefits as opposed to the main commercial reason</w:t>
      </w:r>
      <w:r w:rsidR="00F8416E" w:rsidRPr="00A03ABE">
        <w:rPr>
          <w:rFonts w:asciiTheme="majorBidi" w:hAnsiTheme="majorBidi" w:cstheme="majorBidi"/>
          <w:color w:val="000000" w:themeColor="text1"/>
          <w:sz w:val="24"/>
          <w:szCs w:val="24"/>
        </w:rPr>
        <w:t xml:space="preserve"> (Han, 2021)</w:t>
      </w:r>
      <w:r w:rsidRPr="00A03ABE">
        <w:rPr>
          <w:rFonts w:asciiTheme="majorBidi" w:hAnsiTheme="majorBidi" w:cstheme="majorBidi"/>
          <w:color w:val="000000" w:themeColor="text1"/>
          <w:sz w:val="24"/>
          <w:szCs w:val="24"/>
        </w:rPr>
        <w:t>.</w:t>
      </w:r>
    </w:p>
    <w:p w14:paraId="30D31355" w14:textId="77777777" w:rsidR="00845429" w:rsidRPr="00A03ABE" w:rsidRDefault="0025142E"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Policy consistency is a second issue. Regulatory uncertainty, incentive design, local industrial capability</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charging readiness, as noted in the research</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are all interdependent variables that influence the diffusion of </w:t>
      </w:r>
      <w:r w:rsidR="006526E8" w:rsidRPr="00A03ABE">
        <w:rPr>
          <w:rFonts w:asciiTheme="majorBidi" w:hAnsiTheme="majorBidi" w:cstheme="majorBidi"/>
          <w:color w:val="000000" w:themeColor="text1"/>
          <w:sz w:val="24"/>
          <w:szCs w:val="24"/>
        </w:rPr>
        <w:t>EVs</w:t>
      </w:r>
      <w:r w:rsidRPr="00A03ABE">
        <w:rPr>
          <w:rFonts w:asciiTheme="majorBidi" w:hAnsiTheme="majorBidi" w:cstheme="majorBidi"/>
          <w:color w:val="000000" w:themeColor="text1"/>
          <w:sz w:val="24"/>
          <w:szCs w:val="24"/>
        </w:rPr>
        <w:t xml:space="preserve"> in Indonesia (Lazuardy et al., 2024</w:t>
      </w:r>
      <w:r w:rsidR="00E70B80" w:rsidRPr="00A03ABE">
        <w:rPr>
          <w:rFonts w:asciiTheme="majorBidi" w:hAnsiTheme="majorBidi" w:cstheme="majorBidi"/>
          <w:color w:val="000000" w:themeColor="text1"/>
          <w:sz w:val="24"/>
          <w:szCs w:val="24"/>
        </w:rPr>
        <w:t xml:space="preserve">). </w:t>
      </w:r>
      <w:r w:rsidRPr="00A03ABE">
        <w:rPr>
          <w:rFonts w:asciiTheme="majorBidi" w:hAnsiTheme="majorBidi" w:cstheme="majorBidi"/>
          <w:color w:val="000000" w:themeColor="text1"/>
          <w:sz w:val="24"/>
          <w:szCs w:val="24"/>
        </w:rPr>
        <w:t>It is also multi-level in its implementation at an institutional level. The national actors influence the investment, standards of vehicles, taxation and energy policy, and the provincial and municipal actors influence the permits, property, parking, fleet adoption and charging deployment. Global-strategy studies propose that this contextual complexity must be addressed using selective local adaptation as opposed to blind decentralisation (Benito et al., 2022; Moller Larsen et al., 2023). Government and utility relations in Jakarta and part of the Java-Bali corridors with a dedicated Indonesian public-policy and compliance team are the first steps that Tesla needs to take.</w:t>
      </w:r>
    </w:p>
    <w:p w14:paraId="2C996E0F" w14:textId="17A1CBDA" w:rsidR="00845429"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 xml:space="preserve"> Economic and market conditions</w:t>
      </w:r>
    </w:p>
    <w:p w14:paraId="08F4A733" w14:textId="56A636EB" w:rsidR="00845429" w:rsidRPr="00A03ABE" w:rsidRDefault="0025142E" w:rsidP="00AA74B4">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Indonesia is a big and growing economy, but not all people can be served</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the market is smaller than it is reflected in the national population. The GDP growth is estimated </w:t>
      </w:r>
      <w:r w:rsidR="006526E8" w:rsidRPr="00A03ABE">
        <w:rPr>
          <w:rFonts w:asciiTheme="majorBidi" w:hAnsiTheme="majorBidi" w:cstheme="majorBidi"/>
          <w:color w:val="000000" w:themeColor="text1"/>
          <w:sz w:val="24"/>
          <w:szCs w:val="24"/>
        </w:rPr>
        <w:t xml:space="preserve">at </w:t>
      </w:r>
      <w:r w:rsidRPr="00A03ABE">
        <w:rPr>
          <w:rFonts w:asciiTheme="majorBidi" w:hAnsiTheme="majorBidi" w:cstheme="majorBidi"/>
          <w:color w:val="000000" w:themeColor="text1"/>
          <w:sz w:val="24"/>
          <w:szCs w:val="24"/>
        </w:rPr>
        <w:t>5.1 per cent</w:t>
      </w:r>
      <w:r w:rsidR="006718BB"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the GDP per capita </w:t>
      </w:r>
      <w:r w:rsidR="006526E8" w:rsidRPr="00A03ABE">
        <w:rPr>
          <w:rFonts w:asciiTheme="majorBidi" w:hAnsiTheme="majorBidi" w:cstheme="majorBidi"/>
          <w:color w:val="000000" w:themeColor="text1"/>
          <w:sz w:val="24"/>
          <w:szCs w:val="24"/>
        </w:rPr>
        <w:t xml:space="preserve">is </w:t>
      </w:r>
      <w:r w:rsidRPr="00A03ABE">
        <w:rPr>
          <w:rFonts w:asciiTheme="majorBidi" w:hAnsiTheme="majorBidi" w:cstheme="majorBidi"/>
          <w:color w:val="000000" w:themeColor="text1"/>
          <w:sz w:val="24"/>
          <w:szCs w:val="24"/>
        </w:rPr>
        <w:t>approximately 5060 US in 2025 according to World Bank data (World Bank, 2026). These signs enable the market potential</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but also the fact that a premium-only portfolio cannot be considered a mass-market product</w:t>
      </w:r>
      <w:r w:rsidR="00C16214" w:rsidRPr="00A03ABE">
        <w:rPr>
          <w:rFonts w:asciiTheme="majorBidi" w:hAnsiTheme="majorBidi" w:cstheme="majorBidi"/>
          <w:color w:val="000000" w:themeColor="text1"/>
          <w:sz w:val="24"/>
          <w:szCs w:val="24"/>
        </w:rPr>
        <w:t xml:space="preserve"> </w:t>
      </w:r>
      <w:r w:rsidRPr="00A03ABE">
        <w:rPr>
          <w:rFonts w:asciiTheme="majorBidi" w:hAnsiTheme="majorBidi" w:cstheme="majorBidi"/>
          <w:color w:val="000000" w:themeColor="text1"/>
          <w:sz w:val="24"/>
          <w:szCs w:val="24"/>
        </w:rPr>
        <w:t xml:space="preserve">(IEA, 2026). </w:t>
      </w:r>
    </w:p>
    <w:p w14:paraId="2CBEF5D1" w14:textId="77777777" w:rsidR="00845429" w:rsidRPr="00A03ABE" w:rsidRDefault="00057AF3" w:rsidP="00CA48AA">
      <w:pPr>
        <w:spacing w:line="360" w:lineRule="auto"/>
        <w:jc w:val="center"/>
        <w:rPr>
          <w:rFonts w:asciiTheme="majorBidi" w:hAnsiTheme="majorBidi" w:cstheme="majorBidi"/>
          <w:color w:val="000000" w:themeColor="text1"/>
          <w:sz w:val="24"/>
          <w:szCs w:val="24"/>
        </w:rPr>
      </w:pPr>
      <w:r w:rsidRPr="00A03ABE">
        <w:rPr>
          <w:rFonts w:asciiTheme="majorBidi" w:hAnsiTheme="majorBidi" w:cstheme="majorBidi"/>
          <w:noProof/>
          <w:color w:val="000000" w:themeColor="text1"/>
          <w:sz w:val="24"/>
          <w:szCs w:val="24"/>
        </w:rPr>
        <w:lastRenderedPageBreak/>
        <w:drawing>
          <wp:inline distT="0" distB="0" distL="0" distR="0" wp14:anchorId="14576DAC" wp14:editId="7917211E">
            <wp:extent cx="5683542" cy="2692538"/>
            <wp:effectExtent l="0" t="0" r="0" b="0"/>
            <wp:docPr id="1442009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009756" name=""/>
                    <pic:cNvPicPr/>
                  </pic:nvPicPr>
                  <pic:blipFill>
                    <a:blip r:embed="rId15"/>
                    <a:stretch>
                      <a:fillRect/>
                    </a:stretch>
                  </pic:blipFill>
                  <pic:spPr>
                    <a:xfrm>
                      <a:off x="0" y="0"/>
                      <a:ext cx="5683542" cy="2692538"/>
                    </a:xfrm>
                    <a:prstGeom prst="rect">
                      <a:avLst/>
                    </a:prstGeom>
                  </pic:spPr>
                </pic:pic>
              </a:graphicData>
            </a:graphic>
          </wp:inline>
        </w:drawing>
      </w:r>
    </w:p>
    <w:p w14:paraId="0A82EB14" w14:textId="77777777" w:rsidR="00CD3445" w:rsidRPr="00A03ABE" w:rsidRDefault="004B1BD0" w:rsidP="00CA48AA">
      <w:pPr>
        <w:pStyle w:val="FigureCaption"/>
        <w:spacing w:after="120" w:line="360" w:lineRule="auto"/>
        <w:jc w:val="center"/>
        <w:rPr>
          <w:rFonts w:asciiTheme="majorBidi" w:hAnsiTheme="majorBidi" w:cstheme="majorBidi"/>
          <w:i/>
          <w:color w:val="000000" w:themeColor="text1"/>
          <w:sz w:val="24"/>
          <w:szCs w:val="24"/>
        </w:rPr>
      </w:pPr>
      <w:r w:rsidRPr="00A03ABE">
        <w:rPr>
          <w:rFonts w:asciiTheme="majorBidi" w:hAnsiTheme="majorBidi" w:cstheme="majorBidi"/>
          <w:i/>
          <w:color w:val="000000" w:themeColor="text1"/>
          <w:sz w:val="24"/>
          <w:szCs w:val="24"/>
        </w:rPr>
        <w:t xml:space="preserve">Figure </w:t>
      </w:r>
      <w:r w:rsidR="00CD7268" w:rsidRPr="00A03ABE">
        <w:rPr>
          <w:rFonts w:asciiTheme="majorBidi" w:hAnsiTheme="majorBidi" w:cstheme="majorBidi"/>
          <w:i/>
          <w:color w:val="000000" w:themeColor="text1"/>
          <w:sz w:val="24"/>
          <w:szCs w:val="24"/>
        </w:rPr>
        <w:t>3</w:t>
      </w:r>
      <w:r w:rsidRPr="00A03ABE">
        <w:rPr>
          <w:rFonts w:asciiTheme="majorBidi" w:hAnsiTheme="majorBidi" w:cstheme="majorBidi"/>
          <w:i/>
          <w:color w:val="000000" w:themeColor="text1"/>
          <w:sz w:val="24"/>
          <w:szCs w:val="24"/>
        </w:rPr>
        <w:t xml:space="preserve">. Indonesia electric-car market signals relevant to Tesla </w:t>
      </w:r>
      <w:r w:rsidR="006019C9" w:rsidRPr="00A03ABE">
        <w:rPr>
          <w:rFonts w:asciiTheme="majorBidi" w:hAnsiTheme="majorBidi" w:cstheme="majorBidi"/>
          <w:i/>
          <w:color w:val="000000" w:themeColor="text1"/>
          <w:sz w:val="24"/>
          <w:szCs w:val="24"/>
        </w:rPr>
        <w:t>entry.</w:t>
      </w:r>
    </w:p>
    <w:p w14:paraId="34E925CC" w14:textId="0AF52204" w:rsidR="006019C9" w:rsidRPr="00A03ABE" w:rsidRDefault="00CD3445" w:rsidP="008D6F47">
      <w:pPr>
        <w:pStyle w:val="BodyText"/>
        <w:jc w:val="center"/>
        <w:rPr>
          <w:i/>
          <w:sz w:val="18"/>
        </w:rPr>
      </w:pPr>
      <w:r w:rsidRPr="00A03ABE">
        <w:rPr>
          <w:i/>
          <w:sz w:val="18"/>
        </w:rPr>
        <w:t>Source: Adapted from International Energy Agency (IEA, 2026), Global EV Outlook 2026.</w:t>
      </w:r>
      <w:r w:rsidR="006019C9" w:rsidRPr="00A03ABE">
        <w:rPr>
          <w:i/>
          <w:sz w:val="18"/>
        </w:rPr>
        <w:t xml:space="preserve"> </w:t>
      </w:r>
    </w:p>
    <w:p w14:paraId="6F5BD8E6" w14:textId="524AF924" w:rsidR="000548DC"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Competitive market attractiveness</w:t>
      </w:r>
    </w:p>
    <w:p w14:paraId="6CE47877" w14:textId="3C64BA0C" w:rsidR="00AE578A" w:rsidRPr="00A03ABE" w:rsidRDefault="006019C9" w:rsidP="004C5A3B">
      <w:pPr>
        <w:pStyle w:val="FigureCaption"/>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iCs/>
          <w:color w:val="000000" w:themeColor="text1"/>
          <w:sz w:val="24"/>
          <w:szCs w:val="24"/>
        </w:rPr>
        <w:t>Competitive</w:t>
      </w:r>
      <w:r w:rsidR="008F7368" w:rsidRPr="00A03ABE">
        <w:rPr>
          <w:rFonts w:asciiTheme="majorBidi" w:hAnsiTheme="majorBidi" w:cstheme="majorBidi"/>
          <w:iCs/>
          <w:color w:val="000000" w:themeColor="text1"/>
          <w:sz w:val="24"/>
          <w:szCs w:val="24"/>
        </w:rPr>
        <w:t xml:space="preserve"> threat</w:t>
      </w:r>
      <w:r w:rsidR="008F7368" w:rsidRPr="00A03ABE">
        <w:rPr>
          <w:rFonts w:asciiTheme="majorBidi" w:hAnsiTheme="majorBidi" w:cstheme="majorBidi"/>
          <w:color w:val="000000" w:themeColor="text1"/>
          <w:sz w:val="24"/>
          <w:szCs w:val="24"/>
        </w:rPr>
        <w:t xml:space="preserve"> is structural. Smaller, cheaper vehicles, hybrids</w:t>
      </w:r>
      <w:r w:rsidR="006526E8" w:rsidRPr="00A03ABE">
        <w:rPr>
          <w:rFonts w:asciiTheme="majorBidi" w:hAnsiTheme="majorBidi" w:cstheme="majorBidi"/>
          <w:color w:val="000000" w:themeColor="text1"/>
          <w:sz w:val="24"/>
          <w:szCs w:val="24"/>
        </w:rPr>
        <w:t>,</w:t>
      </w:r>
      <w:r w:rsidR="008F7368" w:rsidRPr="00A03ABE">
        <w:rPr>
          <w:rFonts w:asciiTheme="majorBidi" w:hAnsiTheme="majorBidi" w:cstheme="majorBidi"/>
          <w:color w:val="000000" w:themeColor="text1"/>
          <w:sz w:val="24"/>
          <w:szCs w:val="24"/>
        </w:rPr>
        <w:t xml:space="preserve"> or MPVs and wide market reach can be provided by Chinese and locally </w:t>
      </w:r>
      <w:r w:rsidR="006526E8" w:rsidRPr="00A03ABE">
        <w:rPr>
          <w:rFonts w:asciiTheme="majorBidi" w:hAnsiTheme="majorBidi" w:cstheme="majorBidi"/>
          <w:color w:val="000000" w:themeColor="text1"/>
          <w:sz w:val="24"/>
          <w:szCs w:val="24"/>
        </w:rPr>
        <w:t>assembled</w:t>
      </w:r>
      <w:r w:rsidR="008F7368" w:rsidRPr="00A03ABE">
        <w:rPr>
          <w:rFonts w:asciiTheme="majorBidi" w:hAnsiTheme="majorBidi" w:cstheme="majorBidi"/>
          <w:color w:val="000000" w:themeColor="text1"/>
          <w:sz w:val="24"/>
          <w:szCs w:val="24"/>
        </w:rPr>
        <w:t xml:space="preserve"> brands. </w:t>
      </w:r>
      <w:r w:rsidR="00AE578A" w:rsidRPr="00A03ABE">
        <w:rPr>
          <w:rFonts w:asciiTheme="majorBidi" w:hAnsiTheme="majorBidi" w:cstheme="majorBidi"/>
          <w:color w:val="000000" w:themeColor="text1"/>
          <w:sz w:val="24"/>
          <w:szCs w:val="24"/>
        </w:rPr>
        <w:t>Tesla currently possesses reasonably priced BEVs</w:t>
      </w:r>
      <w:r w:rsidR="007B490B" w:rsidRPr="00A03ABE">
        <w:rPr>
          <w:rFonts w:asciiTheme="majorBidi" w:hAnsiTheme="majorBidi" w:cstheme="majorBidi"/>
          <w:color w:val="000000" w:themeColor="text1"/>
          <w:sz w:val="24"/>
          <w:szCs w:val="24"/>
        </w:rPr>
        <w:t>,</w:t>
      </w:r>
      <w:r w:rsidR="00AE578A" w:rsidRPr="00A03ABE">
        <w:rPr>
          <w:rFonts w:asciiTheme="majorBidi" w:hAnsiTheme="majorBidi" w:cstheme="majorBidi"/>
          <w:color w:val="000000" w:themeColor="text1"/>
          <w:sz w:val="24"/>
          <w:szCs w:val="24"/>
        </w:rPr>
        <w:t xml:space="preserve"> which </w:t>
      </w:r>
      <w:r w:rsidR="007B490B" w:rsidRPr="00A03ABE">
        <w:rPr>
          <w:rFonts w:asciiTheme="majorBidi" w:hAnsiTheme="majorBidi" w:cstheme="majorBidi"/>
          <w:color w:val="000000" w:themeColor="text1"/>
          <w:sz w:val="24"/>
          <w:szCs w:val="24"/>
        </w:rPr>
        <w:t>are</w:t>
      </w:r>
      <w:r w:rsidR="00AE578A" w:rsidRPr="00A03ABE">
        <w:rPr>
          <w:rFonts w:asciiTheme="majorBidi" w:hAnsiTheme="majorBidi" w:cstheme="majorBidi"/>
          <w:color w:val="000000" w:themeColor="text1"/>
          <w:sz w:val="24"/>
          <w:szCs w:val="24"/>
        </w:rPr>
        <w:t xml:space="preserve"> relatively high-end and </w:t>
      </w:r>
      <w:r w:rsidR="007B490B" w:rsidRPr="00A03ABE">
        <w:rPr>
          <w:rFonts w:asciiTheme="majorBidi" w:hAnsiTheme="majorBidi" w:cstheme="majorBidi"/>
          <w:color w:val="000000" w:themeColor="text1"/>
          <w:sz w:val="24"/>
          <w:szCs w:val="24"/>
        </w:rPr>
        <w:t>do</w:t>
      </w:r>
      <w:r w:rsidR="00AE578A" w:rsidRPr="00A03ABE">
        <w:rPr>
          <w:rFonts w:asciiTheme="majorBidi" w:hAnsiTheme="majorBidi" w:cstheme="majorBidi"/>
          <w:color w:val="000000" w:themeColor="text1"/>
          <w:sz w:val="24"/>
          <w:szCs w:val="24"/>
        </w:rPr>
        <w:t xml:space="preserve"> not have a low-priced family MPV that is more aligned to the average use cycle of Indonesians</w:t>
      </w:r>
      <w:r w:rsidR="00AA74B4" w:rsidRPr="00A03ABE">
        <w:rPr>
          <w:rFonts w:asciiTheme="majorBidi" w:hAnsiTheme="majorBidi" w:cstheme="majorBidi"/>
          <w:color w:val="000000" w:themeColor="text1"/>
          <w:sz w:val="24"/>
          <w:szCs w:val="24"/>
        </w:rPr>
        <w:t xml:space="preserve"> (Jakarta Globe, 2026)</w:t>
      </w:r>
      <w:r w:rsidR="00AE578A" w:rsidRPr="00A03ABE">
        <w:rPr>
          <w:rFonts w:asciiTheme="majorBidi" w:hAnsiTheme="majorBidi" w:cstheme="majorBidi"/>
          <w:color w:val="000000" w:themeColor="text1"/>
          <w:sz w:val="24"/>
          <w:szCs w:val="24"/>
        </w:rPr>
        <w:t>. Consumer research indicates that EV perceptions can be influenced by the brand; affordability, usefulness, range, charging, and general cost of ownership continue to be the focus of purchasing intention (Long et al., 2019; Febransyah, 2021). This means that Tesla will be forced to differentiate its products based on software, performance, safety, reliability of charging and service, and comfortable that its early target market will be a relatively small market</w:t>
      </w:r>
      <w:r w:rsidR="004C5A3B" w:rsidRPr="00A03ABE">
        <w:rPr>
          <w:rFonts w:asciiTheme="majorBidi" w:hAnsiTheme="majorBidi" w:cstheme="majorBidi"/>
          <w:color w:val="000000" w:themeColor="text1"/>
          <w:sz w:val="24"/>
          <w:szCs w:val="24"/>
        </w:rPr>
        <w:t xml:space="preserve"> </w:t>
      </w:r>
      <w:r w:rsidR="00AE578A" w:rsidRPr="00A03ABE">
        <w:rPr>
          <w:rFonts w:asciiTheme="majorBidi" w:hAnsiTheme="majorBidi" w:cstheme="majorBidi"/>
          <w:color w:val="000000" w:themeColor="text1"/>
          <w:sz w:val="24"/>
          <w:szCs w:val="24"/>
        </w:rPr>
        <w:t xml:space="preserve">(World Bank, 2026; Damanik et al., 2025). </w:t>
      </w:r>
    </w:p>
    <w:p w14:paraId="319CEEEF" w14:textId="4BDEAE74" w:rsidR="00AE578A" w:rsidRPr="00A03ABE" w:rsidRDefault="00AE578A" w:rsidP="00AE578A">
      <w:pPr>
        <w:pStyle w:val="FigureCaption"/>
        <w:spacing w:after="12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This lowers the barrier to entry into the basic infrastructural requirements, and the number of stations does not necessarily translate to high-power supply, interoperability, uptime, or convenient location. One of the most critical challenges to the adoption has been the access cost, technical demands, and the quality of networks among Indonesian readiness research (Maghfiroh et al., 2021; Damanik et al., 2024). Coverage of corridors and quality of service should be considered by Tesla, and not just nominal counts of chargers.</w:t>
      </w:r>
    </w:p>
    <w:p w14:paraId="15C67966" w14:textId="6A4AF57E" w:rsidR="00845429" w:rsidRPr="00A03ABE" w:rsidRDefault="008F7368"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w:t>
      </w:r>
    </w:p>
    <w:p w14:paraId="7A2C084E" w14:textId="77777777" w:rsidR="00845429" w:rsidRPr="00A03ABE" w:rsidRDefault="004B1BD0" w:rsidP="00CA48AA">
      <w:pPr>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noProof/>
          <w:color w:val="000000" w:themeColor="text1"/>
          <w:sz w:val="24"/>
          <w:szCs w:val="24"/>
        </w:rPr>
        <w:lastRenderedPageBreak/>
        <w:drawing>
          <wp:inline distT="0" distB="0" distL="0" distR="0" wp14:anchorId="63B35C2C" wp14:editId="72E3E1A4">
            <wp:extent cx="5806440" cy="3170580"/>
            <wp:effectExtent l="0" t="0" r="0" b="0"/>
            <wp:docPr id="3" name="Picture 3" descr="Bar chart showing growth in Indonesian public electric vehicle charger units from 2024 to March 2026." title="Bar chart showing growth in Indonesian public electric vehicle charger units from 2024 to March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ging_growth.png"/>
                    <pic:cNvPicPr/>
                  </pic:nvPicPr>
                  <pic:blipFill>
                    <a:blip r:embed="rId16"/>
                    <a:stretch>
                      <a:fillRect/>
                    </a:stretch>
                  </pic:blipFill>
                  <pic:spPr>
                    <a:xfrm>
                      <a:off x="0" y="0"/>
                      <a:ext cx="5806440" cy="3170580"/>
                    </a:xfrm>
                    <a:prstGeom prst="rect">
                      <a:avLst/>
                    </a:prstGeom>
                  </pic:spPr>
                </pic:pic>
              </a:graphicData>
            </a:graphic>
          </wp:inline>
        </w:drawing>
      </w:r>
    </w:p>
    <w:p w14:paraId="064798C4" w14:textId="72E6E3D6" w:rsidR="00845429" w:rsidRPr="00A03ABE" w:rsidRDefault="004B1BD0" w:rsidP="00CA48AA">
      <w:pPr>
        <w:pStyle w:val="FigureCaption"/>
        <w:spacing w:after="120" w:line="360" w:lineRule="auto"/>
        <w:jc w:val="center"/>
        <w:rPr>
          <w:rFonts w:asciiTheme="majorBidi" w:eastAsia="Calibri" w:hAnsiTheme="majorBidi" w:cstheme="majorBidi"/>
          <w:i/>
          <w:color w:val="000000" w:themeColor="text1"/>
          <w:sz w:val="24"/>
          <w:szCs w:val="24"/>
        </w:rPr>
      </w:pPr>
      <w:r w:rsidRPr="00A03ABE">
        <w:rPr>
          <w:rFonts w:asciiTheme="majorBidi" w:eastAsia="Calibri" w:hAnsiTheme="majorBidi" w:cstheme="majorBidi"/>
          <w:i/>
          <w:color w:val="000000" w:themeColor="text1"/>
          <w:sz w:val="24"/>
          <w:szCs w:val="24"/>
        </w:rPr>
        <w:t xml:space="preserve">Figure </w:t>
      </w:r>
      <w:r w:rsidR="00DC7F56" w:rsidRPr="00A03ABE">
        <w:rPr>
          <w:rFonts w:asciiTheme="majorBidi" w:eastAsia="Calibri" w:hAnsiTheme="majorBidi" w:cstheme="majorBidi"/>
          <w:i/>
          <w:color w:val="000000" w:themeColor="text1"/>
          <w:sz w:val="24"/>
          <w:szCs w:val="24"/>
        </w:rPr>
        <w:t>4</w:t>
      </w:r>
      <w:r w:rsidRPr="00A03ABE">
        <w:rPr>
          <w:rFonts w:asciiTheme="majorBidi" w:eastAsia="Calibri" w:hAnsiTheme="majorBidi" w:cstheme="majorBidi"/>
          <w:i/>
          <w:color w:val="000000" w:themeColor="text1"/>
          <w:sz w:val="24"/>
          <w:szCs w:val="24"/>
        </w:rPr>
        <w:t>. Growth of Indonesia’s public charging infrastructure</w:t>
      </w:r>
    </w:p>
    <w:p w14:paraId="2F924EB4" w14:textId="5932AEDD" w:rsidR="00CD3445" w:rsidRPr="00A03ABE" w:rsidRDefault="00CD3445" w:rsidP="008D6F47">
      <w:pPr>
        <w:pStyle w:val="BodyText"/>
        <w:jc w:val="center"/>
        <w:rPr>
          <w:i/>
          <w:sz w:val="18"/>
        </w:rPr>
      </w:pPr>
      <w:r w:rsidRPr="00A03ABE">
        <w:rPr>
          <w:i/>
          <w:sz w:val="18"/>
        </w:rPr>
        <w:t>Source: Adapted from Jakarta Globe (2026), based on PLN charging-infrastructure data.</w:t>
      </w:r>
    </w:p>
    <w:p w14:paraId="03BC5792" w14:textId="69638F8E" w:rsidR="008F7368" w:rsidRPr="00A03ABE" w:rsidRDefault="008F7368"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Tesla must therefore consider charging as a brand-managed layer of </w:t>
      </w:r>
      <w:r w:rsidR="006526E8" w:rsidRPr="00A03ABE">
        <w:rPr>
          <w:rFonts w:asciiTheme="majorBidi" w:hAnsiTheme="majorBidi" w:cstheme="majorBidi"/>
          <w:color w:val="000000" w:themeColor="text1"/>
          <w:sz w:val="24"/>
          <w:szCs w:val="24"/>
        </w:rPr>
        <w:t>customer experience</w:t>
      </w:r>
      <w:r w:rsidRPr="00A03ABE">
        <w:rPr>
          <w:rFonts w:asciiTheme="majorBidi" w:hAnsiTheme="majorBidi" w:cstheme="majorBidi"/>
          <w:color w:val="000000" w:themeColor="text1"/>
          <w:sz w:val="24"/>
          <w:szCs w:val="24"/>
        </w:rPr>
        <w:t xml:space="preserve"> instead of replicating the entire public network</w:t>
      </w:r>
      <w:r w:rsidR="00DA5A90" w:rsidRPr="00A03ABE">
        <w:rPr>
          <w:rFonts w:asciiTheme="majorBidi" w:hAnsiTheme="majorBidi" w:cstheme="majorBidi"/>
          <w:color w:val="000000" w:themeColor="text1"/>
          <w:sz w:val="24"/>
          <w:szCs w:val="24"/>
        </w:rPr>
        <w:t xml:space="preserve"> (Charo et al., 2025)</w:t>
      </w:r>
      <w:r w:rsidRPr="00A03ABE">
        <w:rPr>
          <w:rFonts w:asciiTheme="majorBidi" w:hAnsiTheme="majorBidi" w:cstheme="majorBidi"/>
          <w:color w:val="000000" w:themeColor="text1"/>
          <w:sz w:val="24"/>
          <w:szCs w:val="24"/>
        </w:rPr>
        <w:t xml:space="preserve">. </w:t>
      </w:r>
      <w:r w:rsidR="006526E8" w:rsidRPr="00A03ABE">
        <w:rPr>
          <w:rFonts w:asciiTheme="majorBidi" w:hAnsiTheme="majorBidi" w:cstheme="majorBidi"/>
          <w:color w:val="000000" w:themeColor="text1"/>
          <w:sz w:val="24"/>
          <w:szCs w:val="24"/>
        </w:rPr>
        <w:t>A few</w:t>
      </w:r>
      <w:r w:rsidRPr="00A03ABE">
        <w:rPr>
          <w:rFonts w:asciiTheme="majorBidi" w:hAnsiTheme="majorBidi" w:cstheme="majorBidi"/>
          <w:color w:val="000000" w:themeColor="text1"/>
          <w:sz w:val="24"/>
          <w:szCs w:val="24"/>
        </w:rPr>
        <w:t xml:space="preserve"> flagship Supercharger locations in Jakarta, Bandung, Surabaya and Bali, and destination-charging partnerships in malls, offices, hotels and intercity rest areas would </w:t>
      </w:r>
      <w:r w:rsidR="006526E8" w:rsidRPr="00A03ABE">
        <w:rPr>
          <w:rFonts w:asciiTheme="majorBidi" w:hAnsiTheme="majorBidi" w:cstheme="majorBidi"/>
          <w:color w:val="000000" w:themeColor="text1"/>
          <w:sz w:val="24"/>
          <w:szCs w:val="24"/>
        </w:rPr>
        <w:t>be assured</w:t>
      </w:r>
      <w:r w:rsidRPr="00A03ABE">
        <w:rPr>
          <w:rFonts w:asciiTheme="majorBidi" w:hAnsiTheme="majorBidi" w:cstheme="majorBidi"/>
          <w:color w:val="000000" w:themeColor="text1"/>
          <w:sz w:val="24"/>
          <w:szCs w:val="24"/>
        </w:rPr>
        <w:t xml:space="preserve"> with not too much capital. Assessment of compatibility and payment integration with local infrastructure </w:t>
      </w:r>
      <w:r w:rsidR="006526E8" w:rsidRPr="00A03ABE">
        <w:rPr>
          <w:rFonts w:asciiTheme="majorBidi" w:hAnsiTheme="majorBidi" w:cstheme="majorBidi"/>
          <w:color w:val="000000" w:themeColor="text1"/>
          <w:sz w:val="24"/>
          <w:szCs w:val="24"/>
        </w:rPr>
        <w:t>before</w:t>
      </w:r>
      <w:r w:rsidRPr="00A03ABE">
        <w:rPr>
          <w:rFonts w:asciiTheme="majorBidi" w:hAnsiTheme="majorBidi" w:cstheme="majorBidi"/>
          <w:color w:val="000000" w:themeColor="text1"/>
          <w:sz w:val="24"/>
          <w:szCs w:val="24"/>
        </w:rPr>
        <w:t xml:space="preserve"> launch should be considered</w:t>
      </w:r>
      <w:r w:rsidR="00165777" w:rsidRPr="00A03ABE">
        <w:rPr>
          <w:rFonts w:asciiTheme="majorBidi" w:hAnsiTheme="majorBidi" w:cstheme="majorBidi"/>
          <w:color w:val="000000" w:themeColor="text1"/>
          <w:sz w:val="24"/>
          <w:szCs w:val="24"/>
        </w:rPr>
        <w:t xml:space="preserve"> (Handrea et al., 2023)</w:t>
      </w:r>
      <w:r w:rsidRPr="00A03ABE">
        <w:rPr>
          <w:rFonts w:asciiTheme="majorBidi" w:hAnsiTheme="majorBidi" w:cstheme="majorBidi"/>
          <w:color w:val="000000" w:themeColor="text1"/>
          <w:sz w:val="24"/>
          <w:szCs w:val="24"/>
        </w:rPr>
        <w:t>. Homestead installation services should also be part of the charging scheme since the wealthy early adopters with personal parking will be the ones most likely to create the most initial demand.</w:t>
      </w:r>
    </w:p>
    <w:p w14:paraId="6B7830A3" w14:textId="4DC5B6DC" w:rsidR="00845429" w:rsidRPr="00A03ABE" w:rsidRDefault="008F7368"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The electricity system in Indonesia undermines the environmental argument compared to markets that depend on renewable energy. The studies on domestic EV manufacturing and infrastructure emphasize that the benefits of lifecycle vary according to the carbon content of electricity, battery manufacturing, and the rate of the power-sector transition (Pirmana et al., 2023). BEVs are still able to mitigate urban tailpipe emissions, and could provide greater lifecycle benefits as the grid becomes decarbonised, though Tesla should not over-sell the short-term zero-carbon mobility. An effective sustainability proposal would consist of transparent charging emissions and solar-and-storage of chosen locations</w:t>
      </w:r>
      <w:r w:rsidR="00AA74B4"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cleaner electricity advocacy</w:t>
      </w:r>
      <w:r w:rsidR="00BF6433" w:rsidRPr="00A03ABE">
        <w:rPr>
          <w:rFonts w:asciiTheme="majorBidi" w:hAnsiTheme="majorBidi" w:cstheme="majorBidi"/>
          <w:color w:val="000000" w:themeColor="text1"/>
          <w:sz w:val="24"/>
          <w:szCs w:val="24"/>
        </w:rPr>
        <w:t xml:space="preserve"> (Yan, 2024).</w:t>
      </w:r>
    </w:p>
    <w:p w14:paraId="7CEECAAF" w14:textId="30AB6F11" w:rsidR="00845429" w:rsidRPr="00A03ABE" w:rsidRDefault="004B1BD0" w:rsidP="00CA48AA">
      <w:pPr>
        <w:pStyle w:val="TableCaption"/>
        <w:keepNext/>
        <w:spacing w:after="80" w:line="360" w:lineRule="auto"/>
        <w:jc w:val="both"/>
        <w:rPr>
          <w:rFonts w:asciiTheme="majorBidi" w:hAnsiTheme="majorBidi" w:cstheme="majorBidi"/>
          <w:color w:val="000000" w:themeColor="text1"/>
          <w:sz w:val="24"/>
          <w:szCs w:val="24"/>
        </w:rPr>
      </w:pPr>
      <w:r w:rsidRPr="00A03ABE">
        <w:rPr>
          <w:rFonts w:asciiTheme="majorBidi" w:eastAsia="Calibri" w:hAnsiTheme="majorBidi" w:cstheme="majorBidi"/>
          <w:b/>
          <w:color w:val="000000" w:themeColor="text1"/>
          <w:sz w:val="24"/>
          <w:szCs w:val="24"/>
        </w:rPr>
        <w:lastRenderedPageBreak/>
        <w:t xml:space="preserve">Table </w:t>
      </w:r>
      <w:r w:rsidR="00DC7F56" w:rsidRPr="00A03ABE">
        <w:rPr>
          <w:rFonts w:asciiTheme="majorBidi" w:eastAsia="Calibri" w:hAnsiTheme="majorBidi" w:cstheme="majorBidi"/>
          <w:b/>
          <w:color w:val="000000" w:themeColor="text1"/>
          <w:sz w:val="24"/>
          <w:szCs w:val="24"/>
        </w:rPr>
        <w:t>2</w:t>
      </w:r>
      <w:r w:rsidRPr="00A03ABE">
        <w:rPr>
          <w:rFonts w:asciiTheme="majorBidi" w:eastAsia="Calibri" w:hAnsiTheme="majorBidi" w:cstheme="majorBidi"/>
          <w:b/>
          <w:color w:val="000000" w:themeColor="text1"/>
          <w:sz w:val="24"/>
          <w:szCs w:val="24"/>
        </w:rPr>
        <w:t>. Selected Indonesian market indicators and strategic implications</w:t>
      </w:r>
    </w:p>
    <w:p w14:paraId="700A730F" w14:textId="6332AA2E" w:rsidR="00845429" w:rsidRPr="00A03ABE" w:rsidRDefault="00AA74B4" w:rsidP="00CA48AA">
      <w:pPr>
        <w:spacing w:after="20" w:line="360" w:lineRule="auto"/>
        <w:jc w:val="both"/>
        <w:rPr>
          <w:rFonts w:asciiTheme="majorBidi" w:hAnsiTheme="majorBidi" w:cstheme="majorBidi"/>
          <w:color w:val="000000" w:themeColor="text1"/>
          <w:sz w:val="24"/>
          <w:szCs w:val="24"/>
        </w:rPr>
      </w:pPr>
      <w:r w:rsidRPr="00A03ABE">
        <w:rPr>
          <w:rFonts w:asciiTheme="majorBidi" w:hAnsiTheme="majorBidi" w:cstheme="majorBidi"/>
          <w:noProof/>
          <w:color w:val="000000" w:themeColor="text1"/>
          <w:sz w:val="24"/>
          <w:szCs w:val="24"/>
        </w:rPr>
        <w:drawing>
          <wp:inline distT="0" distB="0" distL="0" distR="0" wp14:anchorId="29B789EB" wp14:editId="47236AFE">
            <wp:extent cx="6007735" cy="3044825"/>
            <wp:effectExtent l="0" t="0" r="0" b="3175"/>
            <wp:docPr id="510218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18397" name=""/>
                    <pic:cNvPicPr/>
                  </pic:nvPicPr>
                  <pic:blipFill>
                    <a:blip r:embed="rId17"/>
                    <a:stretch>
                      <a:fillRect/>
                    </a:stretch>
                  </pic:blipFill>
                  <pic:spPr>
                    <a:xfrm>
                      <a:off x="0" y="0"/>
                      <a:ext cx="6007735" cy="3044825"/>
                    </a:xfrm>
                    <a:prstGeom prst="rect">
                      <a:avLst/>
                    </a:prstGeom>
                  </pic:spPr>
                </pic:pic>
              </a:graphicData>
            </a:graphic>
          </wp:inline>
        </w:drawing>
      </w:r>
    </w:p>
    <w:p w14:paraId="7E6DC054" w14:textId="3C585201" w:rsidR="001B4B1D" w:rsidRPr="00A03ABE" w:rsidRDefault="001B4B1D" w:rsidP="008D6F47">
      <w:pPr>
        <w:pStyle w:val="BodyText"/>
        <w:jc w:val="center"/>
        <w:rPr>
          <w:i/>
          <w:sz w:val="18"/>
        </w:rPr>
      </w:pPr>
      <w:r w:rsidRPr="00A03ABE">
        <w:rPr>
          <w:i/>
          <w:sz w:val="18"/>
        </w:rPr>
        <w:t>Source: Author’s synthesis based on World Bank (2026), International Energy Agency (IEA, 2026), Jakarta Globe (2026), and Pirmana et al. (2023).</w:t>
      </w:r>
    </w:p>
    <w:p w14:paraId="5BED09F2" w14:textId="232C8818" w:rsidR="00845429"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Legal and regulatory environment</w:t>
      </w:r>
    </w:p>
    <w:p w14:paraId="18B6F95D" w14:textId="6A73E9F1" w:rsidR="00C16214" w:rsidRPr="00A03ABE" w:rsidRDefault="00C16214" w:rsidP="00C16214">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It is not a question of whether Tesla can export cars to Indonesia, but whether it is possible to replicate a highly controlled model and respond to the needs of </w:t>
      </w:r>
      <w:r w:rsidR="001B4B1D" w:rsidRPr="00A03ABE">
        <w:rPr>
          <w:rFonts w:asciiTheme="majorBidi" w:hAnsiTheme="majorBidi" w:cstheme="majorBidi"/>
          <w:color w:val="000000" w:themeColor="text1"/>
          <w:sz w:val="24"/>
          <w:szCs w:val="24"/>
        </w:rPr>
        <w:t>foreign investment</w:t>
      </w:r>
      <w:r w:rsidRPr="00A03ABE">
        <w:rPr>
          <w:rFonts w:asciiTheme="majorBidi" w:hAnsiTheme="majorBidi" w:cstheme="majorBidi"/>
          <w:color w:val="000000" w:themeColor="text1"/>
          <w:sz w:val="24"/>
          <w:szCs w:val="24"/>
        </w:rPr>
        <w:t xml:space="preserve">, automotive, consumer, tax, and data and infrastructure (Sasongko et al., 2024; Lazuardy et al., 2024). Tesla is therefore advised to establish a locally incorporated and </w:t>
      </w:r>
      <w:r w:rsidR="001B4B1D" w:rsidRPr="00A03ABE">
        <w:rPr>
          <w:rFonts w:asciiTheme="majorBidi" w:hAnsiTheme="majorBidi" w:cstheme="majorBidi"/>
          <w:color w:val="000000" w:themeColor="text1"/>
          <w:sz w:val="24"/>
          <w:szCs w:val="24"/>
        </w:rPr>
        <w:t>company-owned</w:t>
      </w:r>
      <w:r w:rsidRPr="00A03ABE">
        <w:rPr>
          <w:rFonts w:asciiTheme="majorBidi" w:hAnsiTheme="majorBidi" w:cstheme="majorBidi"/>
          <w:color w:val="000000" w:themeColor="text1"/>
          <w:sz w:val="24"/>
          <w:szCs w:val="24"/>
        </w:rPr>
        <w:t xml:space="preserve"> operating subsidiary</w:t>
      </w:r>
      <w:r w:rsidR="001B4B1D"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which could be opened to the Indonesian legal validation of ownership, capital and licensing requirements. The entity will need to assume the sales, warranty, service, recalls, customer information, charging process and regulatory reporting.</w:t>
      </w:r>
    </w:p>
    <w:p w14:paraId="2E8E240E" w14:textId="2F5A32A6" w:rsidR="008F7368" w:rsidRPr="00A03ABE" w:rsidRDefault="00C16214" w:rsidP="00C16214">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Local-content laws and tax laws are concluded. </w:t>
      </w:r>
      <w:r w:rsidR="008F7368" w:rsidRPr="00A03ABE">
        <w:rPr>
          <w:rFonts w:asciiTheme="majorBidi" w:hAnsiTheme="majorBidi" w:cstheme="majorBidi"/>
          <w:color w:val="000000" w:themeColor="text1"/>
          <w:sz w:val="24"/>
          <w:szCs w:val="24"/>
        </w:rPr>
        <w:t xml:space="preserve">This new course that Indonesia has followed has aligned incentives towards consumers with the easing of imports and the higher expectations of local production or industrial input (IEA, 2026). This course of action would be a downside to </w:t>
      </w:r>
      <w:r w:rsidR="006526E8" w:rsidRPr="00A03ABE">
        <w:rPr>
          <w:rFonts w:asciiTheme="majorBidi" w:hAnsiTheme="majorBidi" w:cstheme="majorBidi"/>
          <w:color w:val="000000" w:themeColor="text1"/>
          <w:sz w:val="24"/>
          <w:szCs w:val="24"/>
        </w:rPr>
        <w:t xml:space="preserve">a </w:t>
      </w:r>
      <w:r w:rsidR="008F7368" w:rsidRPr="00A03ABE">
        <w:rPr>
          <w:rFonts w:asciiTheme="majorBidi" w:hAnsiTheme="majorBidi" w:cstheme="majorBidi"/>
          <w:color w:val="000000" w:themeColor="text1"/>
          <w:sz w:val="24"/>
          <w:szCs w:val="24"/>
        </w:rPr>
        <w:t>permanent CBU-only approach</w:t>
      </w:r>
      <w:r w:rsidR="006526E8" w:rsidRPr="00A03ABE">
        <w:rPr>
          <w:rFonts w:asciiTheme="majorBidi" w:hAnsiTheme="majorBidi" w:cstheme="majorBidi"/>
          <w:color w:val="000000" w:themeColor="text1"/>
          <w:sz w:val="24"/>
          <w:szCs w:val="24"/>
        </w:rPr>
        <w:t>;</w:t>
      </w:r>
      <w:r w:rsidR="008F7368" w:rsidRPr="00A03ABE">
        <w:rPr>
          <w:rFonts w:asciiTheme="majorBidi" w:hAnsiTheme="majorBidi" w:cstheme="majorBidi"/>
          <w:color w:val="000000" w:themeColor="text1"/>
          <w:sz w:val="24"/>
          <w:szCs w:val="24"/>
        </w:rPr>
        <w:t xml:space="preserve"> instant </w:t>
      </w:r>
      <w:r w:rsidR="006526E8" w:rsidRPr="00A03ABE">
        <w:rPr>
          <w:rFonts w:asciiTheme="majorBidi" w:hAnsiTheme="majorBidi" w:cstheme="majorBidi"/>
          <w:color w:val="000000" w:themeColor="text1"/>
          <w:sz w:val="24"/>
          <w:szCs w:val="24"/>
        </w:rPr>
        <w:t>greenfield</w:t>
      </w:r>
      <w:r w:rsidR="008F7368" w:rsidRPr="00A03ABE">
        <w:rPr>
          <w:rFonts w:asciiTheme="majorBidi" w:hAnsiTheme="majorBidi" w:cstheme="majorBidi"/>
          <w:color w:val="000000" w:themeColor="text1"/>
          <w:sz w:val="24"/>
          <w:szCs w:val="24"/>
        </w:rPr>
        <w:t xml:space="preserve"> production would put Tesla at risk of huge sunk costs before high demand can be validated. The concession between the legal and economic is a temporary imported release and formal localisation review. Treatment of tariffs, domestic-content eligibility</w:t>
      </w:r>
      <w:r w:rsidR="00057AF3" w:rsidRPr="00A03ABE">
        <w:rPr>
          <w:rFonts w:asciiTheme="majorBidi" w:hAnsiTheme="majorBidi" w:cstheme="majorBidi"/>
          <w:color w:val="000000" w:themeColor="text1"/>
          <w:sz w:val="24"/>
          <w:szCs w:val="24"/>
        </w:rPr>
        <w:t>,</w:t>
      </w:r>
      <w:r w:rsidR="008F7368" w:rsidRPr="00A03ABE">
        <w:rPr>
          <w:rFonts w:asciiTheme="majorBidi" w:hAnsiTheme="majorBidi" w:cstheme="majorBidi"/>
          <w:color w:val="000000" w:themeColor="text1"/>
          <w:sz w:val="24"/>
          <w:szCs w:val="24"/>
        </w:rPr>
        <w:t xml:space="preserve"> and investment requirements should be independently verified</w:t>
      </w:r>
      <w:r w:rsidR="006526E8" w:rsidRPr="00A03ABE">
        <w:rPr>
          <w:rFonts w:asciiTheme="majorBidi" w:hAnsiTheme="majorBidi" w:cstheme="majorBidi"/>
          <w:color w:val="000000" w:themeColor="text1"/>
          <w:sz w:val="24"/>
          <w:szCs w:val="24"/>
        </w:rPr>
        <w:t>,</w:t>
      </w:r>
      <w:r w:rsidR="008F7368" w:rsidRPr="00A03ABE">
        <w:rPr>
          <w:rFonts w:asciiTheme="majorBidi" w:hAnsiTheme="majorBidi" w:cstheme="majorBidi"/>
          <w:color w:val="000000" w:themeColor="text1"/>
          <w:sz w:val="24"/>
          <w:szCs w:val="24"/>
        </w:rPr>
        <w:t xml:space="preserve"> and only after the treatment, the assembly of the contract or SKD/CKD production should be permitted</w:t>
      </w:r>
      <w:r w:rsidR="00165777" w:rsidRPr="00A03ABE">
        <w:rPr>
          <w:rFonts w:asciiTheme="majorBidi" w:hAnsiTheme="majorBidi" w:cstheme="majorBidi"/>
          <w:color w:val="000000" w:themeColor="text1"/>
          <w:sz w:val="24"/>
          <w:szCs w:val="24"/>
        </w:rPr>
        <w:t xml:space="preserve"> (Nielsen and Hestermeyer, 2014)</w:t>
      </w:r>
      <w:r w:rsidR="008F7368" w:rsidRPr="00A03ABE">
        <w:rPr>
          <w:rFonts w:asciiTheme="majorBidi" w:hAnsiTheme="majorBidi" w:cstheme="majorBidi"/>
          <w:color w:val="000000" w:themeColor="text1"/>
          <w:sz w:val="24"/>
          <w:szCs w:val="24"/>
        </w:rPr>
        <w:t>.</w:t>
      </w:r>
    </w:p>
    <w:p w14:paraId="1E0A07AD" w14:textId="77777777" w:rsidR="008F7368" w:rsidRPr="00A03ABE" w:rsidRDefault="008F7368"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It also necessitates </w:t>
      </w:r>
      <w:r w:rsidR="006526E8" w:rsidRPr="00A03ABE">
        <w:rPr>
          <w:rFonts w:asciiTheme="majorBidi" w:hAnsiTheme="majorBidi" w:cstheme="majorBidi"/>
          <w:color w:val="000000" w:themeColor="text1"/>
          <w:sz w:val="24"/>
          <w:szCs w:val="24"/>
        </w:rPr>
        <w:t>Tesla's</w:t>
      </w:r>
      <w:r w:rsidRPr="00A03ABE">
        <w:rPr>
          <w:rFonts w:asciiTheme="majorBidi" w:hAnsiTheme="majorBidi" w:cstheme="majorBidi"/>
          <w:color w:val="000000" w:themeColor="text1"/>
          <w:sz w:val="24"/>
          <w:szCs w:val="24"/>
        </w:rPr>
        <w:t xml:space="preserve"> direct digital model local legal design. An online configuration and customer account should be supported by the locally compliant experience, operations delivery</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service operations of a company. The recent study of the entry mode emphasizes that </w:t>
      </w:r>
      <w:proofErr w:type="gramStart"/>
      <w:r w:rsidRPr="00A03ABE">
        <w:rPr>
          <w:rFonts w:asciiTheme="majorBidi" w:hAnsiTheme="majorBidi" w:cstheme="majorBidi"/>
          <w:color w:val="000000" w:themeColor="text1"/>
          <w:sz w:val="24"/>
          <w:szCs w:val="24"/>
        </w:rPr>
        <w:t>the digital</w:t>
      </w:r>
      <w:proofErr w:type="gramEnd"/>
      <w:r w:rsidRPr="00A03ABE">
        <w:rPr>
          <w:rFonts w:asciiTheme="majorBidi" w:hAnsiTheme="majorBidi" w:cstheme="majorBidi"/>
          <w:color w:val="000000" w:themeColor="text1"/>
          <w:sz w:val="24"/>
          <w:szCs w:val="24"/>
        </w:rPr>
        <w:t xml:space="preserve"> </w:t>
      </w:r>
      <w:r w:rsidRPr="00A03ABE">
        <w:rPr>
          <w:rFonts w:asciiTheme="majorBidi" w:hAnsiTheme="majorBidi" w:cstheme="majorBidi"/>
          <w:color w:val="000000" w:themeColor="text1"/>
          <w:sz w:val="24"/>
          <w:szCs w:val="24"/>
        </w:rPr>
        <w:lastRenderedPageBreak/>
        <w:t>channels do not supersede the need to allocate governance, liability, and local operations in an articulate manner (Brouthers et al., 2022). Indonesian legal advice should confirm the contracting party, the disclosure of prices, the refunds, the referral to finance, the warranty language, the consumer remedies</w:t>
      </w:r>
      <w:r w:rsidR="006718BB"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dispute procedures. This maintains the digital interface in that all the elements of the US model will not be transferred automatically.</w:t>
      </w:r>
    </w:p>
    <w:p w14:paraId="01D5427B" w14:textId="6A43FCF2" w:rsidR="00845429" w:rsidRPr="00A03ABE" w:rsidRDefault="008F7368"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CAVs create a high liability </w:t>
      </w:r>
      <w:r w:rsidR="006526E8" w:rsidRPr="00A03ABE">
        <w:rPr>
          <w:rFonts w:asciiTheme="majorBidi" w:hAnsiTheme="majorBidi" w:cstheme="majorBidi"/>
          <w:color w:val="000000" w:themeColor="text1"/>
          <w:sz w:val="24"/>
          <w:szCs w:val="24"/>
        </w:rPr>
        <w:t>for personal data</w:t>
      </w:r>
      <w:r w:rsidRPr="00A03ABE">
        <w:rPr>
          <w:rFonts w:asciiTheme="majorBidi" w:hAnsiTheme="majorBidi" w:cstheme="majorBidi"/>
          <w:color w:val="000000" w:themeColor="text1"/>
          <w:sz w:val="24"/>
          <w:szCs w:val="24"/>
        </w:rPr>
        <w:t xml:space="preserve"> because the account information, location, driver profile, telemetry, diagnostics, payment data</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customer communications, etc.</w:t>
      </w:r>
      <w:r w:rsidR="007B490B"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can all be used to identify and profile individuals (Syailendra et al., 2024). Data is the sole ownership privilege that trust is safeguarded by governance.</w:t>
      </w:r>
    </w:p>
    <w:p w14:paraId="6D6418DC" w14:textId="4A0D079F" w:rsidR="00845429" w:rsidRPr="00A03ABE" w:rsidRDefault="004B1BD0" w:rsidP="00046FCB">
      <w:pPr>
        <w:rPr>
          <w:rFonts w:ascii="Times New Roman" w:hAnsi="Times New Roman"/>
          <w:color w:val="000000" w:themeColor="text1"/>
          <w:sz w:val="22"/>
        </w:rPr>
      </w:pPr>
      <w:r w:rsidRPr="00A03ABE">
        <w:rPr>
          <w:rFonts w:ascii="Times New Roman" w:hAnsi="Times New Roman" w:cs="Times New Roman"/>
          <w:b/>
          <w:sz w:val="24"/>
          <w:szCs w:val="24"/>
          <w:u w:val="single"/>
        </w:rPr>
        <w:t>Cultural and consumer considerations</w:t>
      </w:r>
    </w:p>
    <w:p w14:paraId="341AA843" w14:textId="4D4BD270" w:rsidR="008F7368" w:rsidRPr="00A03ABE" w:rsidRDefault="008F7368"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The analysis of culture needs to revolve around the visible purchase behaviour as opposed to national stereotypes. The price, operating cost, access to charging, driving range, policy incentives, perceived usefulness and product fit are consistently found to have a presence in Indonesian studies as factors influencing EV purchase intention and readiness (Febransyah, 2021). These findings refute a theory that the image of </w:t>
      </w:r>
      <w:r w:rsidR="006526E8" w:rsidRPr="00A03ABE">
        <w:rPr>
          <w:rFonts w:asciiTheme="majorBidi" w:hAnsiTheme="majorBidi" w:cstheme="majorBidi"/>
          <w:color w:val="000000" w:themeColor="text1"/>
          <w:sz w:val="24"/>
          <w:szCs w:val="24"/>
        </w:rPr>
        <w:t>Tesla's</w:t>
      </w:r>
      <w:r w:rsidRPr="00A03ABE">
        <w:rPr>
          <w:rFonts w:asciiTheme="majorBidi" w:hAnsiTheme="majorBidi" w:cstheme="majorBidi"/>
          <w:color w:val="000000" w:themeColor="text1"/>
          <w:sz w:val="24"/>
          <w:szCs w:val="24"/>
        </w:rPr>
        <w:t xml:space="preserve"> technology will generate </w:t>
      </w:r>
      <w:proofErr w:type="gramStart"/>
      <w:r w:rsidRPr="00A03ABE">
        <w:rPr>
          <w:rFonts w:asciiTheme="majorBidi" w:hAnsiTheme="majorBidi" w:cstheme="majorBidi"/>
          <w:color w:val="000000" w:themeColor="text1"/>
          <w:sz w:val="24"/>
          <w:szCs w:val="24"/>
        </w:rPr>
        <w:t>a mass</w:t>
      </w:r>
      <w:proofErr w:type="gramEnd"/>
      <w:r w:rsidRPr="00A03ABE">
        <w:rPr>
          <w:rFonts w:asciiTheme="majorBidi" w:hAnsiTheme="majorBidi" w:cstheme="majorBidi"/>
          <w:color w:val="000000" w:themeColor="text1"/>
          <w:sz w:val="24"/>
          <w:szCs w:val="24"/>
        </w:rPr>
        <w:t xml:space="preserve"> demand. The importance is therefore that market communication can transform innovation </w:t>
      </w:r>
      <w:r w:rsidR="006526E8" w:rsidRPr="00A03ABE">
        <w:rPr>
          <w:rFonts w:asciiTheme="majorBidi" w:hAnsiTheme="majorBidi" w:cstheme="majorBidi"/>
          <w:color w:val="000000" w:themeColor="text1"/>
          <w:sz w:val="24"/>
          <w:szCs w:val="24"/>
        </w:rPr>
        <w:t>into</w:t>
      </w:r>
      <w:r w:rsidRPr="00A03ABE">
        <w:rPr>
          <w:rFonts w:asciiTheme="majorBidi" w:hAnsiTheme="majorBidi" w:cstheme="majorBidi"/>
          <w:color w:val="000000" w:themeColor="text1"/>
          <w:sz w:val="24"/>
          <w:szCs w:val="24"/>
        </w:rPr>
        <w:t xml:space="preserve"> plausible locally relevant ownership effects.</w:t>
      </w:r>
    </w:p>
    <w:p w14:paraId="7DB5D1F3" w14:textId="77777777" w:rsidR="00845429" w:rsidRPr="00A03ABE" w:rsidRDefault="008F7368"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An adventure would not be online only. Online ordering might be valued by early buyers, whereas grey-import history and official servicing shortages give rise to uncertainty regarding repairs, parts and warranty</w:t>
      </w:r>
      <w:r w:rsidR="00165777" w:rsidRPr="00A03ABE">
        <w:rPr>
          <w:rFonts w:asciiTheme="majorBidi" w:hAnsiTheme="majorBidi" w:cstheme="majorBidi"/>
          <w:color w:val="000000" w:themeColor="text1"/>
          <w:sz w:val="24"/>
          <w:szCs w:val="24"/>
        </w:rPr>
        <w:t xml:space="preserve"> (Maghfiroh et al., 2021)</w:t>
      </w:r>
      <w:r w:rsidRPr="00A03ABE">
        <w:rPr>
          <w:rFonts w:asciiTheme="majorBidi" w:hAnsiTheme="majorBidi" w:cstheme="majorBidi"/>
          <w:color w:val="000000" w:themeColor="text1"/>
          <w:sz w:val="24"/>
          <w:szCs w:val="24"/>
        </w:rPr>
        <w:t xml:space="preserve">. The Tesla model of digital-first, </w:t>
      </w:r>
      <w:r w:rsidR="0044486B" w:rsidRPr="00A03ABE">
        <w:rPr>
          <w:rFonts w:asciiTheme="majorBidi" w:hAnsiTheme="majorBidi" w:cstheme="majorBidi"/>
          <w:color w:val="000000" w:themeColor="text1"/>
          <w:sz w:val="24"/>
          <w:szCs w:val="24"/>
        </w:rPr>
        <w:t>physical assurance</w:t>
      </w:r>
      <w:r w:rsidRPr="00A03ABE">
        <w:rPr>
          <w:rFonts w:asciiTheme="majorBidi" w:hAnsiTheme="majorBidi" w:cstheme="majorBidi"/>
          <w:color w:val="000000" w:themeColor="text1"/>
          <w:sz w:val="24"/>
          <w:szCs w:val="24"/>
        </w:rPr>
        <w:t xml:space="preserve"> should be used: online discovery and configuration, visible experience centres, scheduled test drives, local parts inventory, mobile service and clear escalation routes. This localization does not dilute the world brand, but makes the brand appear realistic within local institutional and end consumer context.</w:t>
      </w:r>
    </w:p>
    <w:p w14:paraId="43445FA6" w14:textId="35E9ED0A" w:rsidR="000548DC" w:rsidRPr="00A03ABE" w:rsidRDefault="00AE578A" w:rsidP="00CA48AA">
      <w:pPr>
        <w:pStyle w:val="BodyText"/>
        <w:spacing w:line="360" w:lineRule="auto"/>
        <w:jc w:val="both"/>
        <w:rPr>
          <w:rFonts w:asciiTheme="majorBidi" w:hAnsiTheme="majorBidi" w:cstheme="majorBidi"/>
          <w:sz w:val="24"/>
          <w:szCs w:val="24"/>
        </w:rPr>
      </w:pPr>
      <w:r w:rsidRPr="00A03ABE">
        <w:rPr>
          <w:rFonts w:asciiTheme="majorBidi" w:hAnsiTheme="majorBidi" w:cstheme="majorBidi"/>
          <w:sz w:val="24"/>
          <w:szCs w:val="24"/>
        </w:rPr>
        <w:t xml:space="preserve">A customer in Jakarta would be able to configure online using </w:t>
      </w:r>
      <w:r w:rsidR="007B490B" w:rsidRPr="00A03ABE">
        <w:rPr>
          <w:rFonts w:asciiTheme="majorBidi" w:hAnsiTheme="majorBidi" w:cstheme="majorBidi"/>
          <w:sz w:val="24"/>
          <w:szCs w:val="24"/>
        </w:rPr>
        <w:t xml:space="preserve">the </w:t>
      </w:r>
      <w:r w:rsidRPr="00A03ABE">
        <w:rPr>
          <w:rFonts w:asciiTheme="majorBidi" w:hAnsiTheme="majorBidi" w:cstheme="majorBidi"/>
          <w:sz w:val="24"/>
          <w:szCs w:val="24"/>
        </w:rPr>
        <w:t>Tesla international interface but be provided with local privacy and warranty information, local financing, home-charging installations and mobile-service support. This isolates the factors that produce global brand consistency and the ones that minimize the risk of local adoption</w:t>
      </w:r>
      <w:r w:rsidR="007B490B" w:rsidRPr="00A03ABE">
        <w:rPr>
          <w:rFonts w:asciiTheme="majorBidi" w:hAnsiTheme="majorBidi" w:cstheme="majorBidi"/>
          <w:sz w:val="24"/>
          <w:szCs w:val="24"/>
        </w:rPr>
        <w:t>,</w:t>
      </w:r>
      <w:r w:rsidRPr="00A03ABE">
        <w:rPr>
          <w:rFonts w:asciiTheme="majorBidi" w:hAnsiTheme="majorBidi" w:cstheme="majorBidi"/>
          <w:sz w:val="24"/>
          <w:szCs w:val="24"/>
        </w:rPr>
        <w:t xml:space="preserve"> particularly when the purchase intention is influenced by charging access and service confidence (Maghfiroh et al., 2021; Damanik et al., 2025).</w:t>
      </w:r>
    </w:p>
    <w:p w14:paraId="31162D43" w14:textId="7FFF64B8" w:rsidR="00845429" w:rsidRPr="00A03ABE" w:rsidRDefault="00046FCB" w:rsidP="00046FCB">
      <w:pPr>
        <w:pStyle w:val="Heading3"/>
      </w:pPr>
      <w:bookmarkStart w:id="7" w:name="_Toc237559440"/>
      <w:r w:rsidRPr="00A03ABE">
        <w:t>3.2 Market attractiveness as per Dunning’s</w:t>
      </w:r>
      <w:r w:rsidR="004B1BD0" w:rsidRPr="00A03ABE">
        <w:t xml:space="preserve"> OLI synthesis</w:t>
      </w:r>
      <w:bookmarkEnd w:id="7"/>
    </w:p>
    <w:p w14:paraId="53E60AF5" w14:textId="5202F370" w:rsidR="00046FCB" w:rsidRPr="00A03ABE" w:rsidRDefault="00EE0D11" w:rsidP="00EE0D11">
      <w:pPr>
        <w:spacing w:line="360" w:lineRule="auto"/>
        <w:rPr>
          <w:rFonts w:asciiTheme="majorBidi" w:hAnsiTheme="majorBidi" w:cstheme="majorBidi"/>
          <w:sz w:val="24"/>
          <w:szCs w:val="24"/>
        </w:rPr>
      </w:pPr>
      <w:r w:rsidRPr="00A03ABE">
        <w:rPr>
          <w:rFonts w:asciiTheme="majorBidi" w:hAnsiTheme="majorBidi" w:cstheme="majorBidi"/>
          <w:sz w:val="24"/>
          <w:szCs w:val="24"/>
        </w:rPr>
        <w:t>Dunning's OLI framework, enables to evaluate why companies</w:t>
      </w:r>
      <w:r w:rsidR="001A4A1F" w:rsidRPr="00A03ABE">
        <w:rPr>
          <w:rFonts w:asciiTheme="majorBidi" w:hAnsiTheme="majorBidi" w:cstheme="majorBidi"/>
          <w:sz w:val="24"/>
          <w:szCs w:val="24"/>
        </w:rPr>
        <w:t xml:space="preserve"> prefer foreign direct investment (FDI) over exporting and </w:t>
      </w:r>
      <w:r w:rsidRPr="00A03ABE">
        <w:rPr>
          <w:rFonts w:asciiTheme="majorBidi" w:hAnsiTheme="majorBidi" w:cstheme="majorBidi"/>
          <w:sz w:val="24"/>
          <w:szCs w:val="24"/>
        </w:rPr>
        <w:t xml:space="preserve">licensing. The model explains three key benefits for foreign </w:t>
      </w:r>
      <w:r w:rsidR="00E23D8E" w:rsidRPr="00A03ABE">
        <w:rPr>
          <w:rFonts w:asciiTheme="majorBidi" w:hAnsiTheme="majorBidi" w:cstheme="majorBidi"/>
          <w:sz w:val="24"/>
          <w:szCs w:val="24"/>
        </w:rPr>
        <w:t>investment</w:t>
      </w:r>
      <w:r w:rsidRPr="00A03ABE">
        <w:rPr>
          <w:rFonts w:asciiTheme="majorBidi" w:hAnsiTheme="majorBidi" w:cstheme="majorBidi"/>
          <w:sz w:val="24"/>
          <w:szCs w:val="24"/>
        </w:rPr>
        <w:t xml:space="preserve"> namely Location</w:t>
      </w:r>
      <w:r w:rsidR="001A4A1F" w:rsidRPr="00A03ABE">
        <w:rPr>
          <w:rFonts w:asciiTheme="majorBidi" w:hAnsiTheme="majorBidi" w:cstheme="majorBidi"/>
          <w:sz w:val="24"/>
          <w:szCs w:val="24"/>
        </w:rPr>
        <w:t xml:space="preserve"> (a country's attraction), Ownership (firm-specific assets, including technology or </w:t>
      </w:r>
      <w:r w:rsidR="001A4A1F" w:rsidRPr="00A03ABE">
        <w:rPr>
          <w:rFonts w:asciiTheme="majorBidi" w:hAnsiTheme="majorBidi" w:cstheme="majorBidi"/>
          <w:sz w:val="24"/>
          <w:szCs w:val="24"/>
        </w:rPr>
        <w:lastRenderedPageBreak/>
        <w:t>a brand), and Internalization (the benefits of managing operations rather than outsourcing them)</w:t>
      </w:r>
      <w:r w:rsidRPr="00A03ABE">
        <w:rPr>
          <w:rFonts w:asciiTheme="majorBidi" w:hAnsiTheme="majorBidi" w:cstheme="majorBidi"/>
          <w:sz w:val="24"/>
          <w:szCs w:val="24"/>
        </w:rPr>
        <w:t xml:space="preserve"> (Sharmiladevi,</w:t>
      </w:r>
      <w:r w:rsidR="00BF6433" w:rsidRPr="00A03ABE">
        <w:rPr>
          <w:rFonts w:asciiTheme="majorBidi" w:hAnsiTheme="majorBidi" w:cstheme="majorBidi"/>
          <w:sz w:val="24"/>
          <w:szCs w:val="24"/>
        </w:rPr>
        <w:t xml:space="preserve"> </w:t>
      </w:r>
      <w:r w:rsidRPr="00A03ABE">
        <w:rPr>
          <w:rFonts w:asciiTheme="majorBidi" w:hAnsiTheme="majorBidi" w:cstheme="majorBidi"/>
          <w:sz w:val="24"/>
          <w:szCs w:val="24"/>
        </w:rPr>
        <w:t>2017)</w:t>
      </w:r>
      <w:r w:rsidR="001A4A1F" w:rsidRPr="00A03ABE">
        <w:rPr>
          <w:rFonts w:asciiTheme="majorBidi" w:hAnsiTheme="majorBidi" w:cstheme="majorBidi"/>
          <w:sz w:val="24"/>
          <w:szCs w:val="24"/>
        </w:rPr>
        <w:t xml:space="preserve">. </w:t>
      </w:r>
    </w:p>
    <w:p w14:paraId="3AD32188" w14:textId="77777777" w:rsidR="000548DC" w:rsidRPr="00A03ABE" w:rsidRDefault="004B1BD0" w:rsidP="00194DBE">
      <w:pPr>
        <w:rPr>
          <w:rFonts w:ascii="Times New Roman" w:hAnsi="Times New Roman" w:cs="Times New Roman"/>
          <w:b/>
          <w:sz w:val="24"/>
          <w:szCs w:val="24"/>
          <w:u w:val="single"/>
        </w:rPr>
      </w:pPr>
      <w:r w:rsidRPr="00A03ABE">
        <w:rPr>
          <w:rFonts w:ascii="Times New Roman" w:hAnsi="Times New Roman" w:cs="Times New Roman"/>
          <w:b/>
          <w:sz w:val="24"/>
          <w:szCs w:val="24"/>
          <w:u w:val="single"/>
        </w:rPr>
        <w:t>Ownership advantages</w:t>
      </w:r>
    </w:p>
    <w:p w14:paraId="77883DA6" w14:textId="521A1A36" w:rsidR="007723AE" w:rsidRPr="00A03ABE" w:rsidRDefault="007723AE" w:rsidP="007723AE">
      <w:pPr>
        <w:pStyle w:val="BodyText"/>
        <w:spacing w:line="360" w:lineRule="auto"/>
        <w:jc w:val="both"/>
        <w:rPr>
          <w:rFonts w:asciiTheme="majorBidi" w:hAnsiTheme="majorBidi" w:cstheme="majorBidi"/>
          <w:color w:val="000000" w:themeColor="text1"/>
          <w:sz w:val="24"/>
          <w:szCs w:val="24"/>
        </w:rPr>
      </w:pPr>
      <w:r w:rsidRPr="007723AE">
        <w:rPr>
          <w:rFonts w:asciiTheme="majorBidi" w:hAnsiTheme="majorBidi" w:cstheme="majorBidi"/>
          <w:color w:val="000000" w:themeColor="text1"/>
          <w:sz w:val="24"/>
          <w:szCs w:val="24"/>
        </w:rPr>
        <w:t>Tesla's ownership features include a global brand name, electric-vehicle tech, battery technology, proprietary software, OTA, fleet-learning, charging experience, and a B2C model</w:t>
      </w:r>
      <w:r>
        <w:rPr>
          <w:rFonts w:asciiTheme="majorBidi" w:hAnsiTheme="majorBidi" w:cstheme="majorBidi"/>
          <w:color w:val="000000" w:themeColor="text1"/>
          <w:sz w:val="24"/>
          <w:szCs w:val="24"/>
        </w:rPr>
        <w:t>,</w:t>
      </w:r>
      <w:r w:rsidRPr="007723AE">
        <w:rPr>
          <w:rFonts w:asciiTheme="majorBidi" w:hAnsiTheme="majorBidi" w:cstheme="majorBidi"/>
          <w:color w:val="000000" w:themeColor="text1"/>
          <w:sz w:val="24"/>
          <w:szCs w:val="24"/>
        </w:rPr>
        <w:t xml:space="preserve"> which are expected to give it an edge in the Indonesian market. The assets themselves are specific to the company and allow Tesla to offer a product that differentiates it from its competitors, </w:t>
      </w:r>
      <w:r w:rsidR="00E23D8E" w:rsidRPr="007723AE">
        <w:rPr>
          <w:rFonts w:asciiTheme="majorBidi" w:hAnsiTheme="majorBidi" w:cstheme="majorBidi"/>
          <w:color w:val="000000" w:themeColor="text1"/>
          <w:sz w:val="24"/>
          <w:szCs w:val="24"/>
        </w:rPr>
        <w:t>maintains</w:t>
      </w:r>
      <w:r w:rsidRPr="007723AE">
        <w:rPr>
          <w:rFonts w:asciiTheme="majorBidi" w:hAnsiTheme="majorBidi" w:cstheme="majorBidi"/>
          <w:color w:val="000000" w:themeColor="text1"/>
          <w:sz w:val="24"/>
          <w:szCs w:val="24"/>
        </w:rPr>
        <w:t xml:space="preserve"> quality control and customer satisfaction, </w:t>
      </w:r>
      <w:r w:rsidR="00E23D8E" w:rsidRPr="007723AE">
        <w:rPr>
          <w:rFonts w:asciiTheme="majorBidi" w:hAnsiTheme="majorBidi" w:cstheme="majorBidi"/>
          <w:color w:val="000000" w:themeColor="text1"/>
          <w:sz w:val="24"/>
          <w:szCs w:val="24"/>
        </w:rPr>
        <w:t>reduces</w:t>
      </w:r>
      <w:r w:rsidRPr="007723AE">
        <w:rPr>
          <w:rFonts w:asciiTheme="majorBidi" w:hAnsiTheme="majorBidi" w:cstheme="majorBidi"/>
          <w:color w:val="000000" w:themeColor="text1"/>
          <w:sz w:val="24"/>
          <w:szCs w:val="24"/>
        </w:rPr>
        <w:t xml:space="preserve"> the need for intermediaries, and </w:t>
      </w:r>
      <w:proofErr w:type="gramStart"/>
      <w:r w:rsidRPr="007723AE">
        <w:rPr>
          <w:rFonts w:asciiTheme="majorBidi" w:hAnsiTheme="majorBidi" w:cstheme="majorBidi"/>
          <w:color w:val="000000" w:themeColor="text1"/>
          <w:sz w:val="24"/>
          <w:szCs w:val="24"/>
        </w:rPr>
        <w:t>share</w:t>
      </w:r>
      <w:proofErr w:type="gramEnd"/>
      <w:r w:rsidRPr="007723AE">
        <w:rPr>
          <w:rFonts w:asciiTheme="majorBidi" w:hAnsiTheme="majorBidi" w:cstheme="majorBidi"/>
          <w:color w:val="000000" w:themeColor="text1"/>
          <w:sz w:val="24"/>
          <w:szCs w:val="24"/>
        </w:rPr>
        <w:t xml:space="preserve"> </w:t>
      </w:r>
      <w:r w:rsidR="00E23D8E" w:rsidRPr="007723AE">
        <w:rPr>
          <w:rFonts w:asciiTheme="majorBidi" w:hAnsiTheme="majorBidi" w:cstheme="majorBidi"/>
          <w:color w:val="000000" w:themeColor="text1"/>
          <w:sz w:val="24"/>
          <w:szCs w:val="24"/>
        </w:rPr>
        <w:t>technological</w:t>
      </w:r>
      <w:r w:rsidRPr="007723AE">
        <w:rPr>
          <w:rFonts w:asciiTheme="majorBidi" w:hAnsiTheme="majorBidi" w:cstheme="majorBidi"/>
          <w:color w:val="000000" w:themeColor="text1"/>
          <w:sz w:val="24"/>
          <w:szCs w:val="24"/>
        </w:rPr>
        <w:t xml:space="preserve"> knowledge across various markets</w:t>
      </w:r>
      <w:r>
        <w:rPr>
          <w:rFonts w:asciiTheme="majorBidi" w:hAnsiTheme="majorBidi" w:cstheme="majorBidi"/>
          <w:color w:val="000000" w:themeColor="text1"/>
          <w:sz w:val="24"/>
          <w:szCs w:val="24"/>
        </w:rPr>
        <w:t xml:space="preserve"> </w:t>
      </w:r>
      <w:r w:rsidRPr="00A03ABE">
        <w:rPr>
          <w:rFonts w:asciiTheme="majorBidi" w:hAnsiTheme="majorBidi" w:cstheme="majorBidi"/>
          <w:color w:val="000000" w:themeColor="text1"/>
          <w:sz w:val="24"/>
          <w:szCs w:val="24"/>
        </w:rPr>
        <w:t>(Cantwell and Narula, 2001; Lang et al., 2021)</w:t>
      </w:r>
      <w:r w:rsidRPr="007723AE">
        <w:rPr>
          <w:rFonts w:asciiTheme="majorBidi" w:hAnsiTheme="majorBidi" w:cstheme="majorBidi"/>
          <w:color w:val="000000" w:themeColor="text1"/>
          <w:sz w:val="24"/>
          <w:szCs w:val="24"/>
        </w:rPr>
        <w:t>. Its software and data features generate ongoing learning effects as vehicle performance and customer usage data can be used to enhance products and services at scale</w:t>
      </w:r>
      <w:r>
        <w:rPr>
          <w:rFonts w:asciiTheme="majorBidi" w:hAnsiTheme="majorBidi" w:cstheme="majorBidi"/>
          <w:color w:val="000000" w:themeColor="text1"/>
          <w:sz w:val="24"/>
          <w:szCs w:val="24"/>
        </w:rPr>
        <w:t>,</w:t>
      </w:r>
      <w:r w:rsidRPr="007723AE">
        <w:rPr>
          <w:rFonts w:asciiTheme="majorBidi" w:hAnsiTheme="majorBidi" w:cstheme="majorBidi"/>
          <w:color w:val="000000" w:themeColor="text1"/>
          <w:sz w:val="24"/>
          <w:szCs w:val="24"/>
        </w:rPr>
        <w:t xml:space="preserve"> and its brand reputation can help build consumer trust among technology- and premium EV buyers. Without Tesla's stated plans of a dedicated investment </w:t>
      </w:r>
      <w:r>
        <w:rPr>
          <w:rFonts w:asciiTheme="majorBidi" w:hAnsiTheme="majorBidi" w:cstheme="majorBidi"/>
          <w:color w:val="000000" w:themeColor="text1"/>
          <w:sz w:val="24"/>
          <w:szCs w:val="24"/>
        </w:rPr>
        <w:t>in</w:t>
      </w:r>
      <w:r w:rsidRPr="007723AE">
        <w:rPr>
          <w:rFonts w:asciiTheme="majorBidi" w:hAnsiTheme="majorBidi" w:cstheme="majorBidi"/>
          <w:color w:val="000000" w:themeColor="text1"/>
          <w:sz w:val="24"/>
          <w:szCs w:val="24"/>
        </w:rPr>
        <w:t xml:space="preserve"> local production for the Model S or X at this time, the advantages these benefits bring </w:t>
      </w:r>
      <w:r>
        <w:rPr>
          <w:rFonts w:asciiTheme="majorBidi" w:hAnsiTheme="majorBidi" w:cstheme="majorBidi"/>
          <w:color w:val="000000" w:themeColor="text1"/>
          <w:sz w:val="24"/>
          <w:szCs w:val="24"/>
        </w:rPr>
        <w:t>make</w:t>
      </w:r>
      <w:r w:rsidRPr="007723AE">
        <w:rPr>
          <w:rFonts w:asciiTheme="majorBidi" w:hAnsiTheme="majorBidi" w:cstheme="majorBidi"/>
          <w:color w:val="000000" w:themeColor="text1"/>
          <w:sz w:val="24"/>
          <w:szCs w:val="24"/>
        </w:rPr>
        <w:t xml:space="preserve"> them the ideal platform to enter the market sustainably, position themselves as premium products, differentiate themselves from other competitors</w:t>
      </w:r>
      <w:r>
        <w:rPr>
          <w:rFonts w:asciiTheme="majorBidi" w:hAnsiTheme="majorBidi" w:cstheme="majorBidi"/>
          <w:color w:val="000000" w:themeColor="text1"/>
          <w:sz w:val="24"/>
          <w:szCs w:val="24"/>
        </w:rPr>
        <w:t>,</w:t>
      </w:r>
      <w:r w:rsidRPr="007723AE">
        <w:rPr>
          <w:rFonts w:asciiTheme="majorBidi" w:hAnsiTheme="majorBidi" w:cstheme="majorBidi"/>
          <w:color w:val="000000" w:themeColor="text1"/>
          <w:sz w:val="24"/>
          <w:szCs w:val="24"/>
        </w:rPr>
        <w:t xml:space="preserve"> and expand their business in the future.</w:t>
      </w:r>
    </w:p>
    <w:p w14:paraId="11ADEA57" w14:textId="77777777" w:rsidR="000548DC" w:rsidRPr="00A03ABE" w:rsidRDefault="004B1BD0" w:rsidP="00194DBE">
      <w:pPr>
        <w:rPr>
          <w:rFonts w:ascii="Times New Roman" w:hAnsi="Times New Roman" w:cs="Times New Roman"/>
          <w:b/>
          <w:sz w:val="24"/>
          <w:szCs w:val="24"/>
          <w:u w:val="single"/>
        </w:rPr>
      </w:pPr>
      <w:r w:rsidRPr="00A03ABE">
        <w:rPr>
          <w:rFonts w:ascii="Times New Roman" w:hAnsi="Times New Roman" w:cs="Times New Roman"/>
          <w:b/>
          <w:sz w:val="24"/>
          <w:szCs w:val="24"/>
          <w:u w:val="single"/>
        </w:rPr>
        <w:t>Location advantages</w:t>
      </w:r>
    </w:p>
    <w:p w14:paraId="5803C2AD" w14:textId="77777777" w:rsidR="008F7368" w:rsidRPr="00A03ABE" w:rsidRDefault="008F7368"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The advantages of </w:t>
      </w:r>
      <w:r w:rsidR="0044486B" w:rsidRPr="00A03ABE">
        <w:rPr>
          <w:rFonts w:asciiTheme="majorBidi" w:hAnsiTheme="majorBidi" w:cstheme="majorBidi"/>
          <w:color w:val="000000" w:themeColor="text1"/>
          <w:sz w:val="24"/>
          <w:szCs w:val="24"/>
        </w:rPr>
        <w:t>Indonesia's</w:t>
      </w:r>
      <w:r w:rsidRPr="00A03ABE">
        <w:rPr>
          <w:rFonts w:asciiTheme="majorBidi" w:hAnsiTheme="majorBidi" w:cstheme="majorBidi"/>
          <w:color w:val="000000" w:themeColor="text1"/>
          <w:sz w:val="24"/>
          <w:szCs w:val="24"/>
        </w:rPr>
        <w:t xml:space="preserve"> location are economic size, emerging EV demand, urban demand centers, expanding charging networks, government policy commitment to electrification, nickel and battery investment, and it might have access to a larger ASEAN market. The disadvantageous location factors consist of low per-capita income, financial and currency risk, local-content pressure, carbon-intensive grid, archipelagic service cost</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w:t>
      </w:r>
      <w:r w:rsidR="006526E8" w:rsidRPr="00A03ABE">
        <w:rPr>
          <w:rFonts w:asciiTheme="majorBidi" w:hAnsiTheme="majorBidi" w:cstheme="majorBidi"/>
          <w:color w:val="000000" w:themeColor="text1"/>
          <w:sz w:val="24"/>
          <w:szCs w:val="24"/>
        </w:rPr>
        <w:t>strong incumbent</w:t>
      </w:r>
      <w:r w:rsidR="00165777" w:rsidRPr="00A03ABE">
        <w:rPr>
          <w:rFonts w:asciiTheme="majorBidi" w:hAnsiTheme="majorBidi" w:cstheme="majorBidi"/>
          <w:color w:val="000000" w:themeColor="text1"/>
          <w:sz w:val="24"/>
          <w:szCs w:val="24"/>
        </w:rPr>
        <w:t xml:space="preserve"> (Rogalska, 2020)</w:t>
      </w:r>
      <w:r w:rsidRPr="00A03ABE">
        <w:rPr>
          <w:rFonts w:asciiTheme="majorBidi" w:hAnsiTheme="majorBidi" w:cstheme="majorBidi"/>
          <w:color w:val="000000" w:themeColor="text1"/>
          <w:sz w:val="24"/>
          <w:szCs w:val="24"/>
        </w:rPr>
        <w:t>. The net location case supports formal penetration into a market but not irreversible production when entering a market.</w:t>
      </w:r>
    </w:p>
    <w:p w14:paraId="23505418" w14:textId="77777777" w:rsidR="000548DC" w:rsidRPr="00A03ABE" w:rsidRDefault="004B1BD0" w:rsidP="00194DBE">
      <w:pPr>
        <w:rPr>
          <w:rFonts w:ascii="Times New Roman" w:hAnsi="Times New Roman" w:cs="Times New Roman"/>
          <w:b/>
          <w:sz w:val="24"/>
          <w:szCs w:val="24"/>
          <w:u w:val="single"/>
        </w:rPr>
      </w:pPr>
      <w:r w:rsidRPr="00A03ABE">
        <w:rPr>
          <w:rFonts w:ascii="Times New Roman" w:hAnsi="Times New Roman" w:cs="Times New Roman"/>
          <w:b/>
          <w:sz w:val="24"/>
          <w:szCs w:val="24"/>
          <w:u w:val="single"/>
        </w:rPr>
        <w:t>Internalisation advantages</w:t>
      </w:r>
    </w:p>
    <w:p w14:paraId="5BB6F01D" w14:textId="6F65AB40" w:rsidR="00845429" w:rsidRPr="00A03ABE" w:rsidRDefault="007723AE" w:rsidP="007723AE">
      <w:pPr>
        <w:pStyle w:val="BodyText"/>
        <w:spacing w:line="360" w:lineRule="auto"/>
        <w:jc w:val="both"/>
        <w:rPr>
          <w:rFonts w:asciiTheme="majorBidi" w:hAnsiTheme="majorBidi" w:cstheme="majorBidi"/>
          <w:color w:val="000000" w:themeColor="text1"/>
          <w:sz w:val="24"/>
          <w:szCs w:val="24"/>
        </w:rPr>
      </w:pPr>
      <w:r w:rsidRPr="007723AE">
        <w:rPr>
          <w:rFonts w:asciiTheme="majorBidi" w:hAnsiTheme="majorBidi" w:cstheme="majorBidi"/>
          <w:color w:val="000000" w:themeColor="text1"/>
          <w:sz w:val="24"/>
          <w:szCs w:val="24"/>
        </w:rPr>
        <w:t>Tesla possesses strong internalisation advantages because retaining direct control over its core technologies, software, customer data, pricing, service standards, and brand experience reduces the risks associated with outsourcing strategically important activities. By centralizing production in major facilities such as Shanghai, California, Berlin</w:t>
      </w:r>
      <w:r>
        <w:rPr>
          <w:rFonts w:asciiTheme="majorBidi" w:hAnsiTheme="majorBidi" w:cstheme="majorBidi"/>
          <w:color w:val="000000" w:themeColor="text1"/>
          <w:sz w:val="24"/>
          <w:szCs w:val="24"/>
        </w:rPr>
        <w:t>,</w:t>
      </w:r>
      <w:r w:rsidRPr="007723AE">
        <w:rPr>
          <w:rFonts w:asciiTheme="majorBidi" w:hAnsiTheme="majorBidi" w:cstheme="majorBidi"/>
          <w:color w:val="000000" w:themeColor="text1"/>
          <w:sz w:val="24"/>
          <w:szCs w:val="24"/>
        </w:rPr>
        <w:t xml:space="preserve"> and Texas, Tesla can reap economies of scale, reduce production variations, maintain technological secrets, and sell technology to the world. For Indonesia, it's a strategy that allows the company to </w:t>
      </w:r>
      <w:r w:rsidR="0095106F">
        <w:rPr>
          <w:rFonts w:asciiTheme="majorBidi" w:hAnsiTheme="majorBidi" w:cstheme="majorBidi"/>
          <w:color w:val="000000" w:themeColor="text1"/>
          <w:sz w:val="24"/>
          <w:szCs w:val="24"/>
        </w:rPr>
        <w:t xml:space="preserve">enter </w:t>
      </w:r>
      <w:r w:rsidRPr="007723AE">
        <w:rPr>
          <w:rFonts w:asciiTheme="majorBidi" w:hAnsiTheme="majorBidi" w:cstheme="majorBidi"/>
          <w:color w:val="000000" w:themeColor="text1"/>
          <w:sz w:val="24"/>
          <w:szCs w:val="24"/>
        </w:rPr>
        <w:t>the market with its current global assembly plant without having to invest in a local plant with related expenses, while still owning the customer-facing, tech-heavy side of the business. Other functions such as property development, logistics, financing, insurance, connection to utilities</w:t>
      </w:r>
      <w:r>
        <w:rPr>
          <w:rFonts w:asciiTheme="majorBidi" w:hAnsiTheme="majorBidi" w:cstheme="majorBidi"/>
          <w:color w:val="000000" w:themeColor="text1"/>
          <w:sz w:val="24"/>
          <w:szCs w:val="24"/>
        </w:rPr>
        <w:t>,</w:t>
      </w:r>
      <w:r w:rsidRPr="007723AE">
        <w:rPr>
          <w:rFonts w:asciiTheme="majorBidi" w:hAnsiTheme="majorBidi" w:cstheme="majorBidi"/>
          <w:color w:val="000000" w:themeColor="text1"/>
          <w:sz w:val="24"/>
          <w:szCs w:val="24"/>
        </w:rPr>
        <w:t xml:space="preserve"> or selected charging infrastructure can be outsourced </w:t>
      </w:r>
      <w:r w:rsidRPr="007723AE">
        <w:rPr>
          <w:rFonts w:asciiTheme="majorBidi" w:hAnsiTheme="majorBidi" w:cstheme="majorBidi"/>
          <w:color w:val="000000" w:themeColor="text1"/>
          <w:sz w:val="24"/>
          <w:szCs w:val="24"/>
        </w:rPr>
        <w:lastRenderedPageBreak/>
        <w:t>to the well-managed local partner</w:t>
      </w:r>
      <w:r w:rsidR="0095106F">
        <w:rPr>
          <w:rFonts w:asciiTheme="majorBidi" w:hAnsiTheme="majorBidi" w:cstheme="majorBidi"/>
          <w:color w:val="000000" w:themeColor="text1"/>
          <w:sz w:val="24"/>
          <w:szCs w:val="24"/>
        </w:rPr>
        <w:t>,</w:t>
      </w:r>
      <w:r w:rsidRPr="007723AE">
        <w:rPr>
          <w:rFonts w:asciiTheme="majorBidi" w:hAnsiTheme="majorBidi" w:cstheme="majorBidi"/>
          <w:color w:val="000000" w:themeColor="text1"/>
          <w:sz w:val="24"/>
          <w:szCs w:val="24"/>
        </w:rPr>
        <w:t xml:space="preserve"> and market adaptation can happen without compromising any strategic control (Beatriz et al., 2020; Brouthers et al., 2022).</w:t>
      </w:r>
    </w:p>
    <w:p w14:paraId="142668BF" w14:textId="4CC4B4C3" w:rsidR="00845429" w:rsidRPr="00A03ABE" w:rsidRDefault="004B1BD0" w:rsidP="00CA48AA">
      <w:pPr>
        <w:pStyle w:val="TableCaption"/>
        <w:keepNext/>
        <w:spacing w:after="80" w:line="360" w:lineRule="auto"/>
        <w:jc w:val="both"/>
        <w:rPr>
          <w:rFonts w:asciiTheme="majorBidi" w:hAnsiTheme="majorBidi" w:cstheme="majorBidi"/>
          <w:color w:val="000000" w:themeColor="text1"/>
          <w:sz w:val="24"/>
          <w:szCs w:val="24"/>
        </w:rPr>
      </w:pPr>
      <w:r w:rsidRPr="00A03ABE">
        <w:rPr>
          <w:rFonts w:asciiTheme="majorBidi" w:eastAsia="Calibri" w:hAnsiTheme="majorBidi" w:cstheme="majorBidi"/>
          <w:b/>
          <w:color w:val="000000" w:themeColor="text1"/>
          <w:sz w:val="24"/>
          <w:szCs w:val="24"/>
        </w:rPr>
        <w:t xml:space="preserve">Table </w:t>
      </w:r>
      <w:r w:rsidR="00DC7F56" w:rsidRPr="00A03ABE">
        <w:rPr>
          <w:rFonts w:asciiTheme="majorBidi" w:eastAsia="Calibri" w:hAnsiTheme="majorBidi" w:cstheme="majorBidi"/>
          <w:b/>
          <w:color w:val="000000" w:themeColor="text1"/>
          <w:sz w:val="24"/>
          <w:szCs w:val="24"/>
        </w:rPr>
        <w:t>3</w:t>
      </w:r>
      <w:r w:rsidRPr="00A03ABE">
        <w:rPr>
          <w:rFonts w:asciiTheme="majorBidi" w:eastAsia="Calibri" w:hAnsiTheme="majorBidi" w:cstheme="majorBidi"/>
          <w:b/>
          <w:color w:val="000000" w:themeColor="text1"/>
          <w:sz w:val="24"/>
          <w:szCs w:val="24"/>
        </w:rPr>
        <w:t>. Dunning OLI synthesis for Tesla’s entry into Indonesia</w:t>
      </w:r>
    </w:p>
    <w:p w14:paraId="6ACFD84D" w14:textId="62C7ECC1" w:rsidR="00845429" w:rsidRPr="00A03ABE" w:rsidRDefault="0095106F" w:rsidP="00CA48AA">
      <w:pPr>
        <w:spacing w:after="20" w:line="360" w:lineRule="auto"/>
        <w:jc w:val="both"/>
        <w:rPr>
          <w:rFonts w:asciiTheme="majorBidi" w:hAnsiTheme="majorBidi" w:cstheme="majorBidi"/>
          <w:color w:val="000000" w:themeColor="text1"/>
          <w:sz w:val="24"/>
          <w:szCs w:val="24"/>
        </w:rPr>
      </w:pPr>
      <w:r w:rsidRPr="0095106F">
        <w:rPr>
          <w:rFonts w:asciiTheme="majorBidi" w:hAnsiTheme="majorBidi" w:cstheme="majorBidi"/>
          <w:noProof/>
          <w:color w:val="000000" w:themeColor="text1"/>
          <w:sz w:val="24"/>
          <w:szCs w:val="24"/>
        </w:rPr>
        <w:drawing>
          <wp:inline distT="0" distB="0" distL="0" distR="0" wp14:anchorId="2AD28AF2" wp14:editId="5174D0AB">
            <wp:extent cx="6007735" cy="4048760"/>
            <wp:effectExtent l="0" t="0" r="0" b="8890"/>
            <wp:docPr id="995404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04258" name=""/>
                    <pic:cNvPicPr/>
                  </pic:nvPicPr>
                  <pic:blipFill>
                    <a:blip r:embed="rId18"/>
                    <a:stretch>
                      <a:fillRect/>
                    </a:stretch>
                  </pic:blipFill>
                  <pic:spPr>
                    <a:xfrm>
                      <a:off x="0" y="0"/>
                      <a:ext cx="6007735" cy="4048760"/>
                    </a:xfrm>
                    <a:prstGeom prst="rect">
                      <a:avLst/>
                    </a:prstGeom>
                  </pic:spPr>
                </pic:pic>
              </a:graphicData>
            </a:graphic>
          </wp:inline>
        </w:drawing>
      </w:r>
    </w:p>
    <w:p w14:paraId="341C05FD" w14:textId="15D09197" w:rsidR="001B4B1D" w:rsidRPr="00A03ABE" w:rsidRDefault="001B4B1D" w:rsidP="008D6F47">
      <w:pPr>
        <w:pStyle w:val="BodyText"/>
        <w:jc w:val="center"/>
        <w:rPr>
          <w:i/>
          <w:sz w:val="18"/>
        </w:rPr>
      </w:pPr>
      <w:r w:rsidRPr="00A03ABE">
        <w:rPr>
          <w:i/>
          <w:sz w:val="18"/>
        </w:rPr>
        <w:t>Source: Author’s analysis based on Sharmiladevi (2017), Cantwell and Narula (2001), Rogalska (2020), and Beatriz et al. (2020).</w:t>
      </w:r>
    </w:p>
    <w:p w14:paraId="42A9F510" w14:textId="0E56D452" w:rsidR="00845429" w:rsidRPr="00A03ABE" w:rsidRDefault="004B1BD0" w:rsidP="00046FCB">
      <w:pPr>
        <w:pStyle w:val="Heading2"/>
        <w:numPr>
          <w:ilvl w:val="0"/>
          <w:numId w:val="11"/>
        </w:numPr>
      </w:pPr>
      <w:bookmarkStart w:id="8" w:name="_Toc237559441"/>
      <w:r w:rsidRPr="00A03ABE">
        <w:t>Entry mode strategy and strategic synthesis</w:t>
      </w:r>
      <w:bookmarkEnd w:id="8"/>
      <w:r w:rsidR="00827732" w:rsidRPr="00A03ABE">
        <w:t xml:space="preserve">  </w:t>
      </w:r>
    </w:p>
    <w:p w14:paraId="0D2B40A8" w14:textId="77777777" w:rsidR="00845429" w:rsidRPr="00A03ABE" w:rsidRDefault="004B1BD0" w:rsidP="00046FCB">
      <w:pPr>
        <w:pStyle w:val="Heading3"/>
      </w:pPr>
      <w:bookmarkStart w:id="9" w:name="_Toc237559442"/>
      <w:r w:rsidRPr="00A03ABE">
        <w:t>4.1 Historical pattern</w:t>
      </w:r>
      <w:bookmarkEnd w:id="9"/>
    </w:p>
    <w:p w14:paraId="543B5353" w14:textId="453BC441" w:rsidR="00827732" w:rsidRPr="00A03ABE" w:rsidRDefault="00827732" w:rsidP="00827732">
      <w:pPr>
        <w:spacing w:line="360" w:lineRule="auto"/>
        <w:jc w:val="both"/>
        <w:rPr>
          <w:rFonts w:asciiTheme="majorBidi" w:hAnsiTheme="majorBidi" w:cstheme="majorBidi"/>
          <w:sz w:val="24"/>
          <w:szCs w:val="24"/>
        </w:rPr>
      </w:pPr>
      <w:r w:rsidRPr="00A03ABE">
        <w:rPr>
          <w:rFonts w:asciiTheme="majorBidi" w:hAnsiTheme="majorBidi" w:cstheme="majorBidi"/>
          <w:sz w:val="24"/>
          <w:szCs w:val="24"/>
        </w:rPr>
        <w:t>The high-control entry is the predominant expansion pattern in Tesla. Market-development research can support the fact that the firm has placed its emphasis on direct customer relationships, software, charging</w:t>
      </w:r>
      <w:r w:rsidR="004C05AE" w:rsidRPr="00A03ABE">
        <w:rPr>
          <w:rFonts w:asciiTheme="majorBidi" w:hAnsiTheme="majorBidi" w:cstheme="majorBidi"/>
          <w:sz w:val="24"/>
          <w:szCs w:val="24"/>
        </w:rPr>
        <w:t>,</w:t>
      </w:r>
      <w:r w:rsidRPr="00A03ABE">
        <w:rPr>
          <w:rFonts w:asciiTheme="majorBidi" w:hAnsiTheme="majorBidi" w:cstheme="majorBidi"/>
          <w:sz w:val="24"/>
          <w:szCs w:val="24"/>
        </w:rPr>
        <w:t xml:space="preserve"> and integrated product architecture as its sources of differentiation, whereas the major manufacturing commitments have been founded on the consideration of scale and ecosy</w:t>
      </w:r>
      <w:r w:rsidR="00BF6433" w:rsidRPr="00A03ABE">
        <w:rPr>
          <w:rFonts w:asciiTheme="majorBidi" w:hAnsiTheme="majorBidi" w:cstheme="majorBidi"/>
          <w:sz w:val="24"/>
          <w:szCs w:val="24"/>
        </w:rPr>
        <w:t xml:space="preserve">stem development (Calle et al., </w:t>
      </w:r>
      <w:r w:rsidRPr="00A03ABE">
        <w:rPr>
          <w:rFonts w:asciiTheme="majorBidi" w:hAnsiTheme="majorBidi" w:cstheme="majorBidi"/>
          <w:sz w:val="24"/>
          <w:szCs w:val="24"/>
        </w:rPr>
        <w:t>2021). Indonesia is a prospective and not yet completely developed Tesla market, and its first strategic relationship can be established in terms of market access, batteries</w:t>
      </w:r>
      <w:r w:rsidR="004C05AE" w:rsidRPr="00A03ABE">
        <w:rPr>
          <w:rFonts w:asciiTheme="majorBidi" w:hAnsiTheme="majorBidi" w:cstheme="majorBidi"/>
          <w:sz w:val="24"/>
          <w:szCs w:val="24"/>
        </w:rPr>
        <w:t>,</w:t>
      </w:r>
      <w:r w:rsidRPr="00A03ABE">
        <w:rPr>
          <w:rFonts w:asciiTheme="majorBidi" w:hAnsiTheme="majorBidi" w:cstheme="majorBidi"/>
          <w:sz w:val="24"/>
          <w:szCs w:val="24"/>
        </w:rPr>
        <w:t xml:space="preserve"> or chosen supply-chain operations (Vahlne and Johanson, 2017).</w:t>
      </w:r>
    </w:p>
    <w:p w14:paraId="1B1E9AFF" w14:textId="2DEE5FA9" w:rsidR="000548DC" w:rsidRPr="00A03ABE" w:rsidRDefault="00827732" w:rsidP="00827732">
      <w:pPr>
        <w:spacing w:line="360" w:lineRule="auto"/>
        <w:jc w:val="both"/>
        <w:rPr>
          <w:rFonts w:asciiTheme="majorBidi" w:hAnsiTheme="majorBidi" w:cstheme="majorBidi"/>
          <w:sz w:val="24"/>
          <w:szCs w:val="24"/>
        </w:rPr>
      </w:pPr>
      <w:r w:rsidRPr="00A03ABE">
        <w:rPr>
          <w:rFonts w:asciiTheme="majorBidi" w:hAnsiTheme="majorBidi" w:cstheme="majorBidi"/>
          <w:sz w:val="24"/>
          <w:szCs w:val="24"/>
        </w:rPr>
        <w:t xml:space="preserve">The globalization of Tesla can also be used to suggest that the investment is to be scaled according to the market potential. The final </w:t>
      </w:r>
      <w:r w:rsidR="004C05AE" w:rsidRPr="00A03ABE">
        <w:rPr>
          <w:rFonts w:asciiTheme="majorBidi" w:hAnsiTheme="majorBidi" w:cstheme="majorBidi"/>
          <w:sz w:val="24"/>
          <w:szCs w:val="24"/>
        </w:rPr>
        <w:t>destination</w:t>
      </w:r>
      <w:r w:rsidRPr="00A03ABE">
        <w:rPr>
          <w:rFonts w:asciiTheme="majorBidi" w:hAnsiTheme="majorBidi" w:cstheme="majorBidi"/>
          <w:sz w:val="24"/>
          <w:szCs w:val="24"/>
        </w:rPr>
        <w:t xml:space="preserve"> is China: the new Gigafactory Shanghai has already over 950,000 capacity of the Model 3/Y per year, the largest vehicle-manufacturing plant of Tesla outside the United States. An equally high-control approach was pursued as Tesla established Gigafactory Berlin-Brandenburg, its initial European plant, having more than 375,000 vehicles of Model Y installed capacity per year. Tesla</w:t>
      </w:r>
      <w:r w:rsidR="004C05AE" w:rsidRPr="00A03ABE">
        <w:rPr>
          <w:rFonts w:asciiTheme="majorBidi" w:hAnsiTheme="majorBidi" w:cstheme="majorBidi"/>
          <w:sz w:val="24"/>
          <w:szCs w:val="24"/>
        </w:rPr>
        <w:t>,</w:t>
      </w:r>
      <w:r w:rsidRPr="00A03ABE">
        <w:rPr>
          <w:rFonts w:asciiTheme="majorBidi" w:hAnsiTheme="majorBidi" w:cstheme="majorBidi"/>
          <w:sz w:val="24"/>
          <w:szCs w:val="24"/>
        </w:rPr>
        <w:t xml:space="preserve"> on the other hand initially entered European markets, </w:t>
      </w:r>
      <w:r w:rsidRPr="00A03ABE">
        <w:rPr>
          <w:rFonts w:asciiTheme="majorBidi" w:hAnsiTheme="majorBidi" w:cstheme="majorBidi"/>
          <w:sz w:val="24"/>
          <w:szCs w:val="24"/>
        </w:rPr>
        <w:lastRenderedPageBreak/>
        <w:t>such as Norway, through vehicle and charging infrastructure deliveries; the first European Model S deliveries to Norway started in August 2013</w:t>
      </w:r>
      <w:r w:rsidR="004C05AE" w:rsidRPr="00A03ABE">
        <w:rPr>
          <w:rFonts w:asciiTheme="majorBidi" w:hAnsiTheme="majorBidi" w:cstheme="majorBidi"/>
          <w:sz w:val="24"/>
          <w:szCs w:val="24"/>
        </w:rPr>
        <w:t>,</w:t>
      </w:r>
      <w:r w:rsidRPr="00A03ABE">
        <w:rPr>
          <w:rFonts w:asciiTheme="majorBidi" w:hAnsiTheme="majorBidi" w:cstheme="majorBidi"/>
          <w:sz w:val="24"/>
          <w:szCs w:val="24"/>
        </w:rPr>
        <w:t xml:space="preserve"> and Tesla had developed Supercharger routes throughout Norway and its European neighbours. The above instances demonstrate that Tesla does not commit the same amount of assets in </w:t>
      </w:r>
      <w:r w:rsidR="00E23D8E" w:rsidRPr="00A03ABE">
        <w:rPr>
          <w:rFonts w:asciiTheme="majorBidi" w:hAnsiTheme="majorBidi" w:cstheme="majorBidi"/>
          <w:sz w:val="24"/>
          <w:szCs w:val="24"/>
        </w:rPr>
        <w:t>all</w:t>
      </w:r>
      <w:r w:rsidRPr="00A03ABE">
        <w:rPr>
          <w:rFonts w:asciiTheme="majorBidi" w:hAnsiTheme="majorBidi" w:cstheme="majorBidi"/>
          <w:sz w:val="24"/>
          <w:szCs w:val="24"/>
        </w:rPr>
        <w:t xml:space="preserve"> the countries. Manufacturing follows the market scale after the regionality and economics of operation have become irreversible </w:t>
      </w:r>
      <w:r w:rsidR="004C05AE" w:rsidRPr="00A03ABE">
        <w:rPr>
          <w:rFonts w:asciiTheme="majorBidi" w:hAnsiTheme="majorBidi" w:cstheme="majorBidi"/>
          <w:sz w:val="24"/>
          <w:szCs w:val="24"/>
        </w:rPr>
        <w:t>investments;</w:t>
      </w:r>
      <w:r w:rsidRPr="00A03ABE">
        <w:rPr>
          <w:rFonts w:asciiTheme="majorBidi" w:hAnsiTheme="majorBidi" w:cstheme="majorBidi"/>
          <w:sz w:val="24"/>
          <w:szCs w:val="24"/>
        </w:rPr>
        <w:t xml:space="preserve"> otherwise</w:t>
      </w:r>
      <w:r w:rsidR="004C05AE" w:rsidRPr="00A03ABE">
        <w:rPr>
          <w:rFonts w:asciiTheme="majorBidi" w:hAnsiTheme="majorBidi" w:cstheme="majorBidi"/>
          <w:sz w:val="24"/>
          <w:szCs w:val="24"/>
        </w:rPr>
        <w:t>,</w:t>
      </w:r>
      <w:r w:rsidRPr="00A03ABE">
        <w:rPr>
          <w:rFonts w:asciiTheme="majorBidi" w:hAnsiTheme="majorBidi" w:cstheme="majorBidi"/>
          <w:sz w:val="24"/>
          <w:szCs w:val="24"/>
        </w:rPr>
        <w:t xml:space="preserve"> Tesla can establish </w:t>
      </w:r>
      <w:r w:rsidR="00194DBE" w:rsidRPr="00A03ABE">
        <w:rPr>
          <w:rFonts w:asciiTheme="majorBidi" w:hAnsiTheme="majorBidi" w:cstheme="majorBidi"/>
          <w:sz w:val="24"/>
          <w:szCs w:val="24"/>
        </w:rPr>
        <w:t>a controlled sale</w:t>
      </w:r>
      <w:r w:rsidRPr="00A03ABE">
        <w:rPr>
          <w:rFonts w:asciiTheme="majorBidi" w:hAnsiTheme="majorBidi" w:cstheme="majorBidi"/>
          <w:sz w:val="24"/>
          <w:szCs w:val="24"/>
        </w:rPr>
        <w:t>, service</w:t>
      </w:r>
      <w:r w:rsidR="004C05AE" w:rsidRPr="00A03ABE">
        <w:rPr>
          <w:rFonts w:asciiTheme="majorBidi" w:hAnsiTheme="majorBidi" w:cstheme="majorBidi"/>
          <w:sz w:val="24"/>
          <w:szCs w:val="24"/>
        </w:rPr>
        <w:t>,</w:t>
      </w:r>
      <w:r w:rsidRPr="00A03ABE">
        <w:rPr>
          <w:rFonts w:asciiTheme="majorBidi" w:hAnsiTheme="majorBidi" w:cstheme="majorBidi"/>
          <w:sz w:val="24"/>
          <w:szCs w:val="24"/>
        </w:rPr>
        <w:t xml:space="preserve"> and charging operation to start with.</w:t>
      </w:r>
    </w:p>
    <w:p w14:paraId="32CD7831" w14:textId="414DE319" w:rsidR="00E36815" w:rsidRPr="00A03ABE" w:rsidRDefault="00E36815" w:rsidP="00E36815">
      <w:pPr>
        <w:spacing w:line="360" w:lineRule="auto"/>
        <w:jc w:val="center"/>
        <w:rPr>
          <w:rFonts w:asciiTheme="majorBidi" w:hAnsiTheme="majorBidi" w:cstheme="majorBidi"/>
          <w:sz w:val="24"/>
          <w:szCs w:val="24"/>
        </w:rPr>
      </w:pPr>
      <w:r w:rsidRPr="00A03ABE">
        <w:rPr>
          <w:rFonts w:asciiTheme="majorBidi" w:hAnsiTheme="majorBidi" w:cstheme="majorBidi"/>
          <w:noProof/>
          <w:sz w:val="24"/>
          <w:szCs w:val="24"/>
        </w:rPr>
        <w:drawing>
          <wp:inline distT="0" distB="0" distL="0" distR="0" wp14:anchorId="640E0461" wp14:editId="2D27EDBA">
            <wp:extent cx="5062197" cy="3327400"/>
            <wp:effectExtent l="0" t="0" r="5715" b="6350"/>
            <wp:docPr id="627381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381181" name=""/>
                    <pic:cNvPicPr/>
                  </pic:nvPicPr>
                  <pic:blipFill>
                    <a:blip r:embed="rId19"/>
                    <a:stretch>
                      <a:fillRect/>
                    </a:stretch>
                  </pic:blipFill>
                  <pic:spPr>
                    <a:xfrm>
                      <a:off x="0" y="0"/>
                      <a:ext cx="5065583" cy="3329626"/>
                    </a:xfrm>
                    <a:prstGeom prst="rect">
                      <a:avLst/>
                    </a:prstGeom>
                  </pic:spPr>
                </pic:pic>
              </a:graphicData>
            </a:graphic>
          </wp:inline>
        </w:drawing>
      </w:r>
    </w:p>
    <w:p w14:paraId="002CF6DE" w14:textId="7F9D4B71" w:rsidR="000548DC" w:rsidRPr="00A03ABE" w:rsidRDefault="004B1BD0" w:rsidP="008D6F47">
      <w:pPr>
        <w:pStyle w:val="BodyText"/>
        <w:jc w:val="center"/>
        <w:rPr>
          <w:rFonts w:asciiTheme="majorBidi" w:hAnsiTheme="majorBidi" w:cstheme="majorBidi"/>
          <w:i/>
          <w:sz w:val="24"/>
          <w:szCs w:val="24"/>
        </w:rPr>
      </w:pPr>
      <w:r w:rsidRPr="00A03ABE">
        <w:rPr>
          <w:rFonts w:asciiTheme="majorBidi" w:hAnsiTheme="majorBidi" w:cstheme="majorBidi"/>
          <w:i/>
          <w:sz w:val="24"/>
          <w:szCs w:val="24"/>
        </w:rPr>
        <w:t xml:space="preserve">Figure </w:t>
      </w:r>
      <w:r w:rsidR="00CD7268" w:rsidRPr="00A03ABE">
        <w:rPr>
          <w:rFonts w:asciiTheme="majorBidi" w:hAnsiTheme="majorBidi" w:cstheme="majorBidi"/>
          <w:i/>
          <w:sz w:val="24"/>
          <w:szCs w:val="24"/>
        </w:rPr>
        <w:t>5</w:t>
      </w:r>
      <w:r w:rsidRPr="00A03ABE">
        <w:rPr>
          <w:rFonts w:asciiTheme="majorBidi" w:hAnsiTheme="majorBidi" w:cstheme="majorBidi"/>
          <w:i/>
          <w:sz w:val="24"/>
          <w:szCs w:val="24"/>
        </w:rPr>
        <w:t>. Selected Tesla international operating examples and Indonesia entry lesson</w:t>
      </w:r>
    </w:p>
    <w:p w14:paraId="50641AEC" w14:textId="38B4460B" w:rsidR="008D6F47" w:rsidRPr="00A03ABE" w:rsidRDefault="008D6F47" w:rsidP="008D6F47">
      <w:pPr>
        <w:pStyle w:val="BodyText"/>
        <w:jc w:val="center"/>
        <w:rPr>
          <w:i/>
          <w:sz w:val="18"/>
        </w:rPr>
      </w:pPr>
      <w:r w:rsidRPr="00A03ABE">
        <w:rPr>
          <w:i/>
          <w:sz w:val="18"/>
        </w:rPr>
        <w:t>Source: Self-Created</w:t>
      </w:r>
    </w:p>
    <w:p w14:paraId="58074809" w14:textId="77777777" w:rsidR="000548DC"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Suitability of Tesla’s historical entry approach for Indonesia</w:t>
      </w:r>
    </w:p>
    <w:p w14:paraId="2A63739D" w14:textId="5CD459CB" w:rsidR="00845429" w:rsidRPr="00A03ABE" w:rsidRDefault="00827732" w:rsidP="00827732">
      <w:pPr>
        <w:spacing w:line="360" w:lineRule="auto"/>
        <w:jc w:val="both"/>
        <w:rPr>
          <w:rFonts w:asciiTheme="majorBidi" w:hAnsiTheme="majorBidi" w:cstheme="majorBidi"/>
          <w:sz w:val="24"/>
          <w:szCs w:val="24"/>
        </w:rPr>
      </w:pPr>
      <w:r w:rsidRPr="00A03ABE">
        <w:rPr>
          <w:rFonts w:asciiTheme="majorBidi" w:hAnsiTheme="majorBidi" w:cstheme="majorBidi"/>
          <w:sz w:val="24"/>
          <w:szCs w:val="24"/>
        </w:rPr>
        <w:t>The case in Indonesia of parallel-import channel proves otherwise. High mark-ups, unverified servicing</w:t>
      </w:r>
      <w:r w:rsidR="004C05AE" w:rsidRPr="00A03ABE">
        <w:rPr>
          <w:rFonts w:asciiTheme="majorBidi" w:hAnsiTheme="majorBidi" w:cstheme="majorBidi"/>
          <w:sz w:val="24"/>
          <w:szCs w:val="24"/>
        </w:rPr>
        <w:t>,</w:t>
      </w:r>
      <w:r w:rsidRPr="00A03ABE">
        <w:rPr>
          <w:rFonts w:asciiTheme="majorBidi" w:hAnsiTheme="majorBidi" w:cstheme="majorBidi"/>
          <w:sz w:val="24"/>
          <w:szCs w:val="24"/>
        </w:rPr>
        <w:t xml:space="preserve"> and absence of a built-in charging and data system are undermining </w:t>
      </w:r>
      <w:r w:rsidR="004C05AE" w:rsidRPr="00A03ABE">
        <w:rPr>
          <w:rFonts w:asciiTheme="majorBidi" w:hAnsiTheme="majorBidi" w:cstheme="majorBidi"/>
          <w:sz w:val="24"/>
          <w:szCs w:val="24"/>
        </w:rPr>
        <w:t>aspects</w:t>
      </w:r>
      <w:r w:rsidRPr="00A03ABE">
        <w:rPr>
          <w:rFonts w:asciiTheme="majorBidi" w:hAnsiTheme="majorBidi" w:cstheme="majorBidi"/>
          <w:sz w:val="24"/>
          <w:szCs w:val="24"/>
        </w:rPr>
        <w:t xml:space="preserve"> of </w:t>
      </w:r>
      <w:r w:rsidR="004C05AE" w:rsidRPr="00A03ABE">
        <w:rPr>
          <w:rFonts w:asciiTheme="majorBidi" w:hAnsiTheme="majorBidi" w:cstheme="majorBidi"/>
          <w:sz w:val="24"/>
          <w:szCs w:val="24"/>
        </w:rPr>
        <w:t xml:space="preserve">the </w:t>
      </w:r>
      <w:r w:rsidRPr="00A03ABE">
        <w:rPr>
          <w:rFonts w:asciiTheme="majorBidi" w:hAnsiTheme="majorBidi" w:cstheme="majorBidi"/>
          <w:sz w:val="24"/>
          <w:szCs w:val="24"/>
        </w:rPr>
        <w:t>Tesla ownership proposition. Tesla should therefore not give up on its decision on control but rather modify the amount and time of loyalty to the situation in Indonesia (Chen et al., 2019). The China, Germany</w:t>
      </w:r>
      <w:r w:rsidR="004C05AE" w:rsidRPr="00A03ABE">
        <w:rPr>
          <w:rFonts w:asciiTheme="majorBidi" w:hAnsiTheme="majorBidi" w:cstheme="majorBidi"/>
          <w:sz w:val="24"/>
          <w:szCs w:val="24"/>
        </w:rPr>
        <w:t>,</w:t>
      </w:r>
      <w:r w:rsidRPr="00A03ABE">
        <w:rPr>
          <w:rFonts w:asciiTheme="majorBidi" w:hAnsiTheme="majorBidi" w:cstheme="majorBidi"/>
          <w:sz w:val="24"/>
          <w:szCs w:val="24"/>
        </w:rPr>
        <w:t xml:space="preserve"> and Norway experience indicates that initially Indonesia ought to be similar to the controlled market-access model as opposed to </w:t>
      </w:r>
      <w:r w:rsidR="004C05AE" w:rsidRPr="00A03ABE">
        <w:rPr>
          <w:rFonts w:asciiTheme="majorBidi" w:hAnsiTheme="majorBidi" w:cstheme="majorBidi"/>
          <w:sz w:val="24"/>
          <w:szCs w:val="24"/>
        </w:rPr>
        <w:t xml:space="preserve">the </w:t>
      </w:r>
      <w:r w:rsidRPr="00A03ABE">
        <w:rPr>
          <w:rFonts w:asciiTheme="majorBidi" w:hAnsiTheme="majorBidi" w:cstheme="majorBidi"/>
          <w:sz w:val="24"/>
          <w:szCs w:val="24"/>
        </w:rPr>
        <w:t>Shanghai or Berlin manufacturing model</w:t>
      </w:r>
      <w:r w:rsidR="004C05AE" w:rsidRPr="00A03ABE">
        <w:rPr>
          <w:rFonts w:asciiTheme="majorBidi" w:hAnsiTheme="majorBidi" w:cstheme="majorBidi"/>
          <w:sz w:val="24"/>
          <w:szCs w:val="24"/>
        </w:rPr>
        <w:t>,</w:t>
      </w:r>
      <w:r w:rsidRPr="00A03ABE">
        <w:rPr>
          <w:rFonts w:asciiTheme="majorBidi" w:hAnsiTheme="majorBidi" w:cstheme="majorBidi"/>
          <w:sz w:val="24"/>
          <w:szCs w:val="24"/>
        </w:rPr>
        <w:t xml:space="preserve"> and further localisation should be considered only when the demand and performance in its operations are proven.</w:t>
      </w:r>
    </w:p>
    <w:p w14:paraId="445716F1" w14:textId="77777777" w:rsidR="00845429" w:rsidRPr="00A03ABE" w:rsidRDefault="004B1BD0" w:rsidP="00046FCB">
      <w:pPr>
        <w:pStyle w:val="Heading3"/>
      </w:pPr>
      <w:bookmarkStart w:id="10" w:name="_Toc237559443"/>
      <w:r w:rsidRPr="00A03ABE">
        <w:t>4.2 Strategic fit and justification</w:t>
      </w:r>
      <w:bookmarkEnd w:id="10"/>
    </w:p>
    <w:p w14:paraId="5C17EB46" w14:textId="77777777" w:rsidR="000548DC"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Comparative evaluation of entry-mode alternatives</w:t>
      </w:r>
    </w:p>
    <w:p w14:paraId="1CA9C076" w14:textId="2F2F6B69" w:rsidR="008F7368" w:rsidRPr="00A03ABE" w:rsidRDefault="008F7368"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There are five modes, namely, independent distributor, wholly owned CBU sales subsidiary, joint venture, contract/SKD/CKD assembly</w:t>
      </w:r>
      <w:r w:rsidR="006526E8" w:rsidRPr="00A03ABE">
        <w:rPr>
          <w:rFonts w:asciiTheme="majorBidi" w:hAnsiTheme="majorBidi" w:cstheme="majorBidi"/>
          <w:color w:val="000000" w:themeColor="text1"/>
          <w:sz w:val="24"/>
          <w:szCs w:val="24"/>
        </w:rPr>
        <w:t>,</w:t>
      </w:r>
      <w:r w:rsidR="00A03ABE" w:rsidRPr="00A03ABE">
        <w:rPr>
          <w:rFonts w:asciiTheme="majorBidi" w:hAnsiTheme="majorBidi" w:cstheme="majorBidi"/>
          <w:color w:val="000000" w:themeColor="text1"/>
          <w:sz w:val="24"/>
          <w:szCs w:val="24"/>
        </w:rPr>
        <w:t xml:space="preserve"> and wholly owned factory</w:t>
      </w:r>
      <w:r w:rsidRPr="00A03ABE">
        <w:rPr>
          <w:rFonts w:asciiTheme="majorBidi" w:hAnsiTheme="majorBidi" w:cstheme="majorBidi"/>
          <w:color w:val="000000" w:themeColor="text1"/>
          <w:sz w:val="24"/>
          <w:szCs w:val="24"/>
        </w:rPr>
        <w:t xml:space="preserve"> </w:t>
      </w:r>
      <w:r w:rsidR="00165777" w:rsidRPr="00A03ABE">
        <w:rPr>
          <w:rFonts w:asciiTheme="majorBidi" w:hAnsiTheme="majorBidi" w:cstheme="majorBidi"/>
          <w:color w:val="000000" w:themeColor="text1"/>
          <w:sz w:val="24"/>
          <w:szCs w:val="24"/>
        </w:rPr>
        <w:t>(Vinhas and Heide, 2015)</w:t>
      </w:r>
      <w:r w:rsidRPr="00A03ABE">
        <w:rPr>
          <w:rFonts w:asciiTheme="majorBidi" w:hAnsiTheme="majorBidi" w:cstheme="majorBidi"/>
          <w:color w:val="000000" w:themeColor="text1"/>
          <w:sz w:val="24"/>
          <w:szCs w:val="24"/>
        </w:rPr>
        <w:t xml:space="preserve">. </w:t>
      </w:r>
      <w:r w:rsidR="006F72F1" w:rsidRPr="00A03ABE">
        <w:rPr>
          <w:rFonts w:asciiTheme="majorBidi" w:hAnsiTheme="majorBidi" w:cstheme="majorBidi"/>
          <w:color w:val="000000" w:themeColor="text1"/>
          <w:sz w:val="24"/>
          <w:szCs w:val="24"/>
        </w:rPr>
        <w:t xml:space="preserve">The Suitability, Acceptability, and Feasibility (SAF) framework was used to compare the five entry </w:t>
      </w:r>
      <w:r w:rsidR="006F72F1" w:rsidRPr="00A03ABE">
        <w:rPr>
          <w:rFonts w:asciiTheme="majorBidi" w:hAnsiTheme="majorBidi" w:cstheme="majorBidi"/>
          <w:color w:val="000000" w:themeColor="text1"/>
          <w:sz w:val="24"/>
          <w:szCs w:val="24"/>
        </w:rPr>
        <w:lastRenderedPageBreak/>
        <w:t>mode possibilities. From low control and investment (distributor) to high control and investment (wholly owned factory), they were examined in terms of strategic fit, possible risk and reward, and the resources and capabilities required. The most practical entry strategy could be designed and matched to the ownership, location, and internalization characteristics that the company had previously identified thanks to this methodical, criteria-based study.</w:t>
      </w:r>
    </w:p>
    <w:p w14:paraId="668DEA28" w14:textId="56F6E15B" w:rsidR="00845429" w:rsidRPr="00A03ABE" w:rsidRDefault="00845429" w:rsidP="00CA48AA">
      <w:pPr>
        <w:pStyle w:val="BodyText"/>
        <w:spacing w:line="360" w:lineRule="auto"/>
        <w:jc w:val="both"/>
        <w:rPr>
          <w:rFonts w:asciiTheme="majorBidi" w:hAnsiTheme="majorBidi" w:cstheme="majorBidi"/>
          <w:color w:val="000000" w:themeColor="text1"/>
          <w:sz w:val="24"/>
          <w:szCs w:val="24"/>
        </w:rPr>
      </w:pPr>
    </w:p>
    <w:p w14:paraId="6D5CF9FD" w14:textId="1FF0E13A" w:rsidR="00845429" w:rsidRPr="00A03ABE" w:rsidRDefault="004B1BD0" w:rsidP="00CA48AA">
      <w:pPr>
        <w:pStyle w:val="TableCaption"/>
        <w:keepNext/>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b/>
          <w:sz w:val="24"/>
          <w:szCs w:val="24"/>
        </w:rPr>
        <w:t xml:space="preserve">Table </w:t>
      </w:r>
      <w:r w:rsidR="00C16214" w:rsidRPr="00A03ABE">
        <w:rPr>
          <w:rFonts w:asciiTheme="majorBidi" w:hAnsiTheme="majorBidi" w:cstheme="majorBidi"/>
          <w:b/>
          <w:sz w:val="24"/>
          <w:szCs w:val="24"/>
        </w:rPr>
        <w:t>4</w:t>
      </w:r>
      <w:r w:rsidRPr="00A03ABE">
        <w:rPr>
          <w:rFonts w:asciiTheme="majorBidi" w:hAnsiTheme="majorBidi" w:cstheme="majorBidi"/>
          <w:b/>
          <w:sz w:val="24"/>
          <w:szCs w:val="24"/>
        </w:rPr>
        <w:t>. SAF evaluation of entry-mode alternatives for Tesla Indonesia</w:t>
      </w:r>
    </w:p>
    <w:tbl>
      <w:tblPr>
        <w:tblStyle w:val="GridTable4-Accent1"/>
        <w:tblW w:w="0" w:type="auto"/>
        <w:tblLook w:val="04A0" w:firstRow="1" w:lastRow="0" w:firstColumn="1" w:lastColumn="0" w:noHBand="0" w:noVBand="1"/>
      </w:tblPr>
      <w:tblGrid>
        <w:gridCol w:w="1726"/>
        <w:gridCol w:w="1749"/>
        <w:gridCol w:w="2046"/>
        <w:gridCol w:w="1792"/>
        <w:gridCol w:w="2138"/>
      </w:tblGrid>
      <w:tr w:rsidR="00E76593" w:rsidRPr="00A03ABE" w14:paraId="63C5F4B9" w14:textId="77777777" w:rsidTr="00E765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968F1C" w14:textId="77777777" w:rsidR="00E76593" w:rsidRPr="00A03ABE" w:rsidRDefault="00E76593" w:rsidP="00E76593">
            <w:pPr>
              <w:spacing w:after="2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Mode</w:t>
            </w:r>
          </w:p>
        </w:tc>
        <w:tc>
          <w:tcPr>
            <w:tcW w:w="0" w:type="auto"/>
            <w:hideMark/>
          </w:tcPr>
          <w:p w14:paraId="31FCE383" w14:textId="77777777" w:rsidR="00E76593" w:rsidRPr="00A03ABE" w:rsidRDefault="00E76593" w:rsidP="00E76593">
            <w:pPr>
              <w:spacing w:after="20"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Suitability</w:t>
            </w:r>
          </w:p>
        </w:tc>
        <w:tc>
          <w:tcPr>
            <w:tcW w:w="0" w:type="auto"/>
            <w:hideMark/>
          </w:tcPr>
          <w:p w14:paraId="4DB0F739" w14:textId="77777777" w:rsidR="00E76593" w:rsidRPr="00A03ABE" w:rsidRDefault="00E76593" w:rsidP="00E76593">
            <w:pPr>
              <w:spacing w:after="20"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Acceptability</w:t>
            </w:r>
          </w:p>
        </w:tc>
        <w:tc>
          <w:tcPr>
            <w:tcW w:w="0" w:type="auto"/>
            <w:hideMark/>
          </w:tcPr>
          <w:p w14:paraId="19092F5C" w14:textId="77777777" w:rsidR="00E76593" w:rsidRPr="00A03ABE" w:rsidRDefault="00E76593" w:rsidP="00E76593">
            <w:pPr>
              <w:spacing w:after="20"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Feasibility</w:t>
            </w:r>
          </w:p>
        </w:tc>
        <w:tc>
          <w:tcPr>
            <w:tcW w:w="0" w:type="auto"/>
            <w:hideMark/>
          </w:tcPr>
          <w:p w14:paraId="106A943F" w14:textId="77777777" w:rsidR="00E76593" w:rsidRPr="00A03ABE" w:rsidRDefault="00E76593" w:rsidP="00E76593">
            <w:pPr>
              <w:spacing w:after="20"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Recommendation</w:t>
            </w:r>
          </w:p>
        </w:tc>
      </w:tr>
      <w:tr w:rsidR="00E76593" w:rsidRPr="00A03ABE" w14:paraId="5FA322E3" w14:textId="77777777" w:rsidTr="00E7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4A541E" w14:textId="77777777" w:rsidR="00E76593" w:rsidRPr="00A03ABE" w:rsidRDefault="00E76593" w:rsidP="00E76593">
            <w:pPr>
              <w:spacing w:after="2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Independent distributor</w:t>
            </w:r>
          </w:p>
        </w:tc>
        <w:tc>
          <w:tcPr>
            <w:tcW w:w="0" w:type="auto"/>
            <w:hideMark/>
          </w:tcPr>
          <w:p w14:paraId="0A89E6DB"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Low – weak control over brand, data and service.</w:t>
            </w:r>
          </w:p>
        </w:tc>
        <w:tc>
          <w:tcPr>
            <w:tcW w:w="0" w:type="auto"/>
            <w:hideMark/>
          </w:tcPr>
          <w:p w14:paraId="676A1EDF"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Medium – low investment, but reputational risk.</w:t>
            </w:r>
          </w:p>
        </w:tc>
        <w:tc>
          <w:tcPr>
            <w:tcW w:w="0" w:type="auto"/>
            <w:hideMark/>
          </w:tcPr>
          <w:p w14:paraId="6D2F3D81"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High – easy to establish.</w:t>
            </w:r>
          </w:p>
        </w:tc>
        <w:tc>
          <w:tcPr>
            <w:tcW w:w="0" w:type="auto"/>
            <w:hideMark/>
          </w:tcPr>
          <w:p w14:paraId="48577EAA"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Not Recommended</w:t>
            </w:r>
          </w:p>
        </w:tc>
      </w:tr>
      <w:tr w:rsidR="00E76593" w:rsidRPr="00A03ABE" w14:paraId="5E19CB35" w14:textId="77777777" w:rsidTr="00E76593">
        <w:tc>
          <w:tcPr>
            <w:cnfStyle w:val="001000000000" w:firstRow="0" w:lastRow="0" w:firstColumn="1" w:lastColumn="0" w:oddVBand="0" w:evenVBand="0" w:oddHBand="0" w:evenHBand="0" w:firstRowFirstColumn="0" w:firstRowLastColumn="0" w:lastRowFirstColumn="0" w:lastRowLastColumn="0"/>
            <w:tcW w:w="0" w:type="auto"/>
            <w:hideMark/>
          </w:tcPr>
          <w:p w14:paraId="107E4438" w14:textId="77777777" w:rsidR="00E76593" w:rsidRPr="00A03ABE" w:rsidRDefault="00E76593" w:rsidP="00E76593">
            <w:pPr>
              <w:spacing w:after="2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Wholly owned CBU subsidiary</w:t>
            </w:r>
          </w:p>
        </w:tc>
        <w:tc>
          <w:tcPr>
            <w:tcW w:w="0" w:type="auto"/>
            <w:hideMark/>
          </w:tcPr>
          <w:p w14:paraId="570BE572" w14:textId="77777777" w:rsidR="00E76593" w:rsidRPr="00A03ABE" w:rsidRDefault="00E76593" w:rsidP="00E76593">
            <w:pPr>
              <w:spacing w:after="20"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High – strong control with local learning.</w:t>
            </w:r>
          </w:p>
        </w:tc>
        <w:tc>
          <w:tcPr>
            <w:tcW w:w="0" w:type="auto"/>
            <w:hideMark/>
          </w:tcPr>
          <w:p w14:paraId="7E6E1CBA" w14:textId="77777777" w:rsidR="00E76593" w:rsidRPr="00A03ABE" w:rsidRDefault="00E76593" w:rsidP="00E76593">
            <w:pPr>
              <w:spacing w:after="20"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High – moderate and reversible commitment.</w:t>
            </w:r>
          </w:p>
        </w:tc>
        <w:tc>
          <w:tcPr>
            <w:tcW w:w="0" w:type="auto"/>
            <w:hideMark/>
          </w:tcPr>
          <w:p w14:paraId="6151155D" w14:textId="77777777" w:rsidR="00E76593" w:rsidRPr="00A03ABE" w:rsidRDefault="00E76593" w:rsidP="00E76593">
            <w:pPr>
              <w:spacing w:after="20"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High – practical through local operations and partners.</w:t>
            </w:r>
          </w:p>
        </w:tc>
        <w:tc>
          <w:tcPr>
            <w:tcW w:w="0" w:type="auto"/>
            <w:hideMark/>
          </w:tcPr>
          <w:p w14:paraId="7EAD6C1F" w14:textId="77777777" w:rsidR="00E76593" w:rsidRPr="00A03ABE" w:rsidRDefault="00E76593" w:rsidP="00E76593">
            <w:pPr>
              <w:spacing w:after="20"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Recommended</w:t>
            </w:r>
          </w:p>
        </w:tc>
      </w:tr>
      <w:tr w:rsidR="00E76593" w:rsidRPr="00A03ABE" w14:paraId="0E5DBEB3" w14:textId="77777777" w:rsidTr="00E7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95AA77" w14:textId="77777777" w:rsidR="00E76593" w:rsidRPr="00A03ABE" w:rsidRDefault="00E76593" w:rsidP="00E76593">
            <w:pPr>
              <w:spacing w:after="2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Broad joint venture</w:t>
            </w:r>
          </w:p>
        </w:tc>
        <w:tc>
          <w:tcPr>
            <w:tcW w:w="0" w:type="auto"/>
            <w:hideMark/>
          </w:tcPr>
          <w:p w14:paraId="6EB95485"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Medium – improves local access but reduces control.</w:t>
            </w:r>
          </w:p>
        </w:tc>
        <w:tc>
          <w:tcPr>
            <w:tcW w:w="0" w:type="auto"/>
            <w:hideMark/>
          </w:tcPr>
          <w:p w14:paraId="56EC627C"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Medium – shares risk but raises IP and partner concerns.</w:t>
            </w:r>
          </w:p>
        </w:tc>
        <w:tc>
          <w:tcPr>
            <w:tcW w:w="0" w:type="auto"/>
            <w:hideMark/>
          </w:tcPr>
          <w:p w14:paraId="458B05BD"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Medium – depends on partner quality.</w:t>
            </w:r>
          </w:p>
        </w:tc>
        <w:tc>
          <w:tcPr>
            <w:tcW w:w="0" w:type="auto"/>
            <w:hideMark/>
          </w:tcPr>
          <w:p w14:paraId="01680393"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Not Recommended</w:t>
            </w:r>
          </w:p>
        </w:tc>
      </w:tr>
      <w:tr w:rsidR="00E76593" w:rsidRPr="00A03ABE" w14:paraId="49BF7AEB" w14:textId="77777777" w:rsidTr="00E76593">
        <w:tc>
          <w:tcPr>
            <w:cnfStyle w:val="001000000000" w:firstRow="0" w:lastRow="0" w:firstColumn="1" w:lastColumn="0" w:oddVBand="0" w:evenVBand="0" w:oddHBand="0" w:evenHBand="0" w:firstRowFirstColumn="0" w:firstRowLastColumn="0" w:lastRowFirstColumn="0" w:lastRowLastColumn="0"/>
            <w:tcW w:w="0" w:type="auto"/>
            <w:hideMark/>
          </w:tcPr>
          <w:p w14:paraId="3D699785" w14:textId="77777777" w:rsidR="00E76593" w:rsidRPr="00A03ABE" w:rsidRDefault="00E76593" w:rsidP="00E76593">
            <w:pPr>
              <w:spacing w:after="2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SKD/CKD assembly</w:t>
            </w:r>
          </w:p>
        </w:tc>
        <w:tc>
          <w:tcPr>
            <w:tcW w:w="0" w:type="auto"/>
            <w:hideMark/>
          </w:tcPr>
          <w:p w14:paraId="16E69B07" w14:textId="77777777" w:rsidR="00E76593" w:rsidRPr="00A03ABE" w:rsidRDefault="00E76593" w:rsidP="00E76593">
            <w:pPr>
              <w:spacing w:after="20"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High if demand is proven.</w:t>
            </w:r>
          </w:p>
        </w:tc>
        <w:tc>
          <w:tcPr>
            <w:tcW w:w="0" w:type="auto"/>
            <w:hideMark/>
          </w:tcPr>
          <w:p w14:paraId="27D62546" w14:textId="77777777" w:rsidR="00E76593" w:rsidRPr="00A03ABE" w:rsidRDefault="00E76593" w:rsidP="00E76593">
            <w:pPr>
              <w:spacing w:after="20"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Medium–High – viable if incentives justify costs.</w:t>
            </w:r>
          </w:p>
        </w:tc>
        <w:tc>
          <w:tcPr>
            <w:tcW w:w="0" w:type="auto"/>
            <w:hideMark/>
          </w:tcPr>
          <w:p w14:paraId="5D60BE14" w14:textId="77777777" w:rsidR="00E76593" w:rsidRPr="00A03ABE" w:rsidRDefault="00E76593" w:rsidP="00E76593">
            <w:pPr>
              <w:spacing w:after="20"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Medium – depends on volume and suppliers.</w:t>
            </w:r>
          </w:p>
        </w:tc>
        <w:tc>
          <w:tcPr>
            <w:tcW w:w="0" w:type="auto"/>
            <w:hideMark/>
          </w:tcPr>
          <w:p w14:paraId="6368E253" w14:textId="77777777" w:rsidR="00E76593" w:rsidRPr="00A03ABE" w:rsidRDefault="00E76593" w:rsidP="00E76593">
            <w:pPr>
              <w:spacing w:after="20"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Conditionally Recommended</w:t>
            </w:r>
          </w:p>
        </w:tc>
      </w:tr>
      <w:tr w:rsidR="00E76593" w:rsidRPr="00A03ABE" w14:paraId="5A85DB50" w14:textId="77777777" w:rsidTr="00E765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DB715F" w14:textId="77777777" w:rsidR="00E76593" w:rsidRPr="00A03ABE" w:rsidRDefault="00E76593" w:rsidP="00E76593">
            <w:pPr>
              <w:spacing w:after="2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Wholly owned factory</w:t>
            </w:r>
          </w:p>
        </w:tc>
        <w:tc>
          <w:tcPr>
            <w:tcW w:w="0" w:type="auto"/>
            <w:hideMark/>
          </w:tcPr>
          <w:p w14:paraId="6A9927D8"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Low–Medium – premature at current scale.</w:t>
            </w:r>
          </w:p>
        </w:tc>
        <w:tc>
          <w:tcPr>
            <w:tcW w:w="0" w:type="auto"/>
            <w:hideMark/>
          </w:tcPr>
          <w:p w14:paraId="109A7D9C"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Low – high sunk-cost and demand risk.</w:t>
            </w:r>
          </w:p>
        </w:tc>
        <w:tc>
          <w:tcPr>
            <w:tcW w:w="0" w:type="auto"/>
            <w:hideMark/>
          </w:tcPr>
          <w:p w14:paraId="11D191FB"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Medium–Low – requires strong volume and supply base.</w:t>
            </w:r>
          </w:p>
        </w:tc>
        <w:tc>
          <w:tcPr>
            <w:tcW w:w="0" w:type="auto"/>
            <w:hideMark/>
          </w:tcPr>
          <w:p w14:paraId="2FDA0886" w14:textId="77777777" w:rsidR="00E76593" w:rsidRPr="00A03ABE" w:rsidRDefault="00E76593" w:rsidP="00E76593">
            <w:pPr>
              <w:spacing w:after="20"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Not Recommended at Present</w:t>
            </w:r>
          </w:p>
        </w:tc>
      </w:tr>
    </w:tbl>
    <w:p w14:paraId="2E4A9C65" w14:textId="77777777" w:rsidR="00845429" w:rsidRPr="00A03ABE" w:rsidRDefault="00845429" w:rsidP="00CA48AA">
      <w:pPr>
        <w:spacing w:after="20" w:line="360" w:lineRule="auto"/>
        <w:jc w:val="both"/>
        <w:rPr>
          <w:rFonts w:asciiTheme="majorBidi" w:hAnsiTheme="majorBidi" w:cstheme="majorBidi"/>
          <w:color w:val="000000" w:themeColor="text1"/>
          <w:sz w:val="24"/>
          <w:szCs w:val="24"/>
        </w:rPr>
      </w:pPr>
    </w:p>
    <w:p w14:paraId="5E75C9FB" w14:textId="77777777" w:rsidR="001B4B1D" w:rsidRPr="00A03ABE" w:rsidRDefault="001B4B1D" w:rsidP="008D6F47">
      <w:pPr>
        <w:pStyle w:val="BodyText"/>
        <w:jc w:val="center"/>
        <w:rPr>
          <w:i/>
          <w:sz w:val="18"/>
        </w:rPr>
      </w:pPr>
      <w:r w:rsidRPr="00A03ABE">
        <w:rPr>
          <w:i/>
          <w:sz w:val="18"/>
        </w:rPr>
        <w:t>Source: Author’s evaluation based on the preceding OLI analysis and entry-mode literature (Chen et al., 2019; Brouthers et al., 2022).</w:t>
      </w:r>
    </w:p>
    <w:p w14:paraId="7F5E8C34" w14:textId="0AB264A2" w:rsidR="00E70B80" w:rsidRPr="00A03ABE" w:rsidRDefault="005C0D44" w:rsidP="00414A5A">
      <w:pPr>
        <w:spacing w:after="2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The strategy for SAF is most readily identified in the wholly owned CBU subsidiary as it provides the greatest strategic fit, stakeholder acceptance</w:t>
      </w:r>
      <w:r w:rsidR="001B4B1D"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feasibility of operation. If commitment localization is to be desired for a higher level of commitment, then the degree of uncertainty </w:t>
      </w:r>
      <w:r w:rsidR="00414A5A" w:rsidRPr="00A03ABE">
        <w:rPr>
          <w:rFonts w:asciiTheme="majorBidi" w:hAnsiTheme="majorBidi" w:cstheme="majorBidi"/>
          <w:color w:val="000000" w:themeColor="text1"/>
          <w:sz w:val="24"/>
          <w:szCs w:val="24"/>
        </w:rPr>
        <w:t>about</w:t>
      </w:r>
      <w:r w:rsidRPr="00A03ABE">
        <w:rPr>
          <w:rFonts w:asciiTheme="majorBidi" w:hAnsiTheme="majorBidi" w:cstheme="majorBidi"/>
          <w:color w:val="000000" w:themeColor="text1"/>
          <w:sz w:val="24"/>
          <w:szCs w:val="24"/>
        </w:rPr>
        <w:t xml:space="preserve"> </w:t>
      </w:r>
      <w:r w:rsidRPr="00A03ABE">
        <w:rPr>
          <w:rFonts w:asciiTheme="majorBidi" w:hAnsiTheme="majorBidi" w:cstheme="majorBidi"/>
          <w:color w:val="000000" w:themeColor="text1"/>
          <w:sz w:val="24"/>
          <w:szCs w:val="24"/>
        </w:rPr>
        <w:lastRenderedPageBreak/>
        <w:t xml:space="preserve">demand, margin, service, proof of service, and policy should be reduced, and a fully owned factory </w:t>
      </w:r>
      <w:r w:rsidR="007B490B" w:rsidRPr="00A03ABE">
        <w:rPr>
          <w:rFonts w:asciiTheme="majorBidi" w:hAnsiTheme="majorBidi" w:cstheme="majorBidi"/>
          <w:color w:val="000000" w:themeColor="text1"/>
          <w:sz w:val="24"/>
          <w:szCs w:val="24"/>
        </w:rPr>
        <w:t>should only be considered as a long-term option</w:t>
      </w:r>
      <w:r w:rsidRPr="00A03ABE">
        <w:rPr>
          <w:rFonts w:asciiTheme="majorBidi" w:hAnsiTheme="majorBidi" w:cstheme="majorBidi"/>
          <w:color w:val="000000" w:themeColor="text1"/>
          <w:sz w:val="24"/>
          <w:szCs w:val="24"/>
        </w:rPr>
        <w:t>, not a condition to enter</w:t>
      </w:r>
      <w:r w:rsidR="00414A5A" w:rsidRPr="00A03ABE">
        <w:rPr>
          <w:rFonts w:asciiTheme="majorBidi" w:hAnsiTheme="majorBidi" w:cstheme="majorBidi"/>
          <w:color w:val="000000" w:themeColor="text1"/>
          <w:sz w:val="24"/>
          <w:szCs w:val="24"/>
        </w:rPr>
        <w:t xml:space="preserve"> (Wuttke, 2021)</w:t>
      </w:r>
      <w:r w:rsidRPr="00A03ABE">
        <w:rPr>
          <w:rFonts w:asciiTheme="majorBidi" w:hAnsiTheme="majorBidi" w:cstheme="majorBidi"/>
          <w:color w:val="000000" w:themeColor="text1"/>
          <w:sz w:val="24"/>
          <w:szCs w:val="24"/>
        </w:rPr>
        <w:t>.</w:t>
      </w:r>
    </w:p>
    <w:p w14:paraId="6935ABF6" w14:textId="1224A49B" w:rsidR="00845429" w:rsidRPr="00A03ABE" w:rsidRDefault="00565E65" w:rsidP="00565E65">
      <w:pPr>
        <w:spacing w:line="360" w:lineRule="auto"/>
        <w:jc w:val="center"/>
        <w:rPr>
          <w:rFonts w:asciiTheme="majorBidi" w:hAnsiTheme="majorBidi" w:cstheme="majorBidi"/>
          <w:color w:val="000000" w:themeColor="text1"/>
          <w:sz w:val="24"/>
          <w:szCs w:val="24"/>
        </w:rPr>
      </w:pPr>
      <w:r w:rsidRPr="00A03ABE">
        <w:rPr>
          <w:rFonts w:asciiTheme="majorBidi" w:hAnsiTheme="majorBidi" w:cstheme="majorBidi"/>
          <w:noProof/>
          <w:color w:val="000000" w:themeColor="text1"/>
          <w:sz w:val="24"/>
          <w:szCs w:val="24"/>
        </w:rPr>
        <w:drawing>
          <wp:inline distT="0" distB="0" distL="0" distR="0" wp14:anchorId="22CB817D" wp14:editId="101DDD91">
            <wp:extent cx="5264150" cy="4124325"/>
            <wp:effectExtent l="0" t="0" r="0" b="9525"/>
            <wp:docPr id="117419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9729" name=""/>
                    <pic:cNvPicPr/>
                  </pic:nvPicPr>
                  <pic:blipFill>
                    <a:blip r:embed="rId20"/>
                    <a:stretch>
                      <a:fillRect/>
                    </a:stretch>
                  </pic:blipFill>
                  <pic:spPr>
                    <a:xfrm>
                      <a:off x="0" y="0"/>
                      <a:ext cx="5264422" cy="4124538"/>
                    </a:xfrm>
                    <a:prstGeom prst="rect">
                      <a:avLst/>
                    </a:prstGeom>
                  </pic:spPr>
                </pic:pic>
              </a:graphicData>
            </a:graphic>
          </wp:inline>
        </w:drawing>
      </w:r>
    </w:p>
    <w:p w14:paraId="4B12ECFC" w14:textId="690CE801" w:rsidR="00845429" w:rsidRPr="00A03ABE" w:rsidRDefault="004B1BD0" w:rsidP="00CA48AA">
      <w:pPr>
        <w:pStyle w:val="FigureCaption"/>
        <w:spacing w:after="120" w:line="360" w:lineRule="auto"/>
        <w:jc w:val="center"/>
        <w:rPr>
          <w:rFonts w:asciiTheme="majorBidi" w:eastAsia="Calibri" w:hAnsiTheme="majorBidi" w:cstheme="majorBidi"/>
          <w:i/>
          <w:color w:val="000000" w:themeColor="text1"/>
          <w:sz w:val="24"/>
          <w:szCs w:val="24"/>
        </w:rPr>
      </w:pPr>
      <w:r w:rsidRPr="00A03ABE">
        <w:rPr>
          <w:rFonts w:asciiTheme="majorBidi" w:eastAsia="Calibri" w:hAnsiTheme="majorBidi" w:cstheme="majorBidi"/>
          <w:i/>
          <w:color w:val="000000" w:themeColor="text1"/>
          <w:sz w:val="24"/>
          <w:szCs w:val="24"/>
        </w:rPr>
        <w:t xml:space="preserve">Figure </w:t>
      </w:r>
      <w:r w:rsidR="00CD7268" w:rsidRPr="00A03ABE">
        <w:rPr>
          <w:rFonts w:asciiTheme="majorBidi" w:eastAsia="Calibri" w:hAnsiTheme="majorBidi" w:cstheme="majorBidi"/>
          <w:i/>
          <w:color w:val="000000" w:themeColor="text1"/>
          <w:sz w:val="24"/>
          <w:szCs w:val="24"/>
        </w:rPr>
        <w:t>6</w:t>
      </w:r>
      <w:r w:rsidRPr="00A03ABE">
        <w:rPr>
          <w:rFonts w:asciiTheme="majorBidi" w:eastAsia="Calibri" w:hAnsiTheme="majorBidi" w:cstheme="majorBidi"/>
          <w:i/>
          <w:color w:val="000000" w:themeColor="text1"/>
          <w:sz w:val="24"/>
          <w:szCs w:val="24"/>
        </w:rPr>
        <w:t xml:space="preserve">. </w:t>
      </w:r>
      <w:r w:rsidR="00CD7268" w:rsidRPr="00A03ABE">
        <w:rPr>
          <w:rFonts w:asciiTheme="majorBidi" w:eastAsia="Calibri" w:hAnsiTheme="majorBidi" w:cstheme="majorBidi"/>
          <w:i/>
          <w:color w:val="000000" w:themeColor="text1"/>
          <w:sz w:val="24"/>
          <w:szCs w:val="24"/>
        </w:rPr>
        <w:t xml:space="preserve">Selected </w:t>
      </w:r>
      <w:r w:rsidRPr="00A03ABE">
        <w:rPr>
          <w:rFonts w:asciiTheme="majorBidi" w:eastAsia="Calibri" w:hAnsiTheme="majorBidi" w:cstheme="majorBidi"/>
          <w:i/>
          <w:color w:val="000000" w:themeColor="text1"/>
          <w:sz w:val="24"/>
          <w:szCs w:val="24"/>
        </w:rPr>
        <w:t>market-entry roadmap for Tesla Indonesia</w:t>
      </w:r>
    </w:p>
    <w:p w14:paraId="0217E468" w14:textId="77777777" w:rsidR="008D6F47" w:rsidRPr="00A03ABE" w:rsidRDefault="008D6F47" w:rsidP="008D6F47">
      <w:pPr>
        <w:pStyle w:val="BodyText"/>
        <w:jc w:val="center"/>
        <w:rPr>
          <w:i/>
          <w:sz w:val="18"/>
        </w:rPr>
      </w:pPr>
      <w:r w:rsidRPr="00A03ABE">
        <w:rPr>
          <w:i/>
          <w:sz w:val="18"/>
        </w:rPr>
        <w:t>Source: Self-Created</w:t>
      </w:r>
    </w:p>
    <w:p w14:paraId="2F2D5923" w14:textId="77777777" w:rsidR="008D6F47" w:rsidRPr="00A03ABE" w:rsidRDefault="008D6F47" w:rsidP="00CA48AA">
      <w:pPr>
        <w:pStyle w:val="FigureCaption"/>
        <w:spacing w:after="120" w:line="360" w:lineRule="auto"/>
        <w:jc w:val="center"/>
        <w:rPr>
          <w:rFonts w:asciiTheme="majorBidi" w:eastAsia="Calibri" w:hAnsiTheme="majorBidi" w:cstheme="majorBidi"/>
          <w:i/>
          <w:color w:val="000000" w:themeColor="text1"/>
          <w:sz w:val="24"/>
          <w:szCs w:val="24"/>
        </w:rPr>
      </w:pPr>
    </w:p>
    <w:p w14:paraId="301A599D" w14:textId="05455355" w:rsidR="00E70B80" w:rsidRPr="00A03ABE" w:rsidRDefault="004C5A3B" w:rsidP="00414A5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It is a blueprint that will allow Tesla to expand into Indonesia cautiously and strategically, expand its activities upon verifying the market indicators, and finally enter long-term production only when the demand, profitability, service</w:t>
      </w:r>
      <w:r w:rsidR="00CD3445"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policy conditions have been fully fulfilled</w:t>
      </w:r>
      <w:r w:rsidR="00414A5A" w:rsidRPr="00A03ABE">
        <w:rPr>
          <w:rFonts w:asciiTheme="majorBidi" w:hAnsiTheme="majorBidi" w:cstheme="majorBidi"/>
          <w:color w:val="000000" w:themeColor="text1"/>
          <w:sz w:val="24"/>
          <w:szCs w:val="24"/>
        </w:rPr>
        <w:t xml:space="preserve"> (Hakam and Jumayla, 2024)</w:t>
      </w:r>
      <w:r w:rsidRPr="00A03ABE">
        <w:rPr>
          <w:rFonts w:asciiTheme="majorBidi" w:hAnsiTheme="majorBidi" w:cstheme="majorBidi"/>
          <w:color w:val="000000" w:themeColor="text1"/>
          <w:sz w:val="24"/>
          <w:szCs w:val="24"/>
        </w:rPr>
        <w:t>.</w:t>
      </w:r>
    </w:p>
    <w:p w14:paraId="1032F290" w14:textId="4BDF6C8F" w:rsidR="00C16214" w:rsidRPr="00A03ABE" w:rsidRDefault="00C16214" w:rsidP="00C16214">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The broad strategic alliance would provide better access to politics, property conversion, and market acumen, but conflict between partners, data limits, and technology leakage would be difficult to protect. Recent research shows that businesses are shifting to the incorporation of traditional ownership models with agreements, platforms</w:t>
      </w:r>
      <w:r w:rsidR="001B4B1D"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ecosystems, and governance design becomes pertinent in contrast with a straightforward wholly-owned-versus-joint-venture choice (Brouthers et al., 2022). Joint venture should then be limited to ring-fenced assets - to those charging corridors in the future, or renewable-energy sites, or an operation in the future assembly - on which control rights, data access</w:t>
      </w:r>
      <w:r w:rsidR="001B4B1D"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exit terms are transparent.</w:t>
      </w:r>
    </w:p>
    <w:p w14:paraId="006A19E5" w14:textId="100A7E2E" w:rsidR="00BF6433" w:rsidRPr="00A03ABE" w:rsidRDefault="00C16214" w:rsidP="00C16214">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lastRenderedPageBreak/>
        <w:t xml:space="preserve">A wholly owned factory provides the greatest level of </w:t>
      </w:r>
      <w:r w:rsidR="00E23D8E" w:rsidRPr="00A03ABE">
        <w:rPr>
          <w:rFonts w:asciiTheme="majorBidi" w:hAnsiTheme="majorBidi" w:cstheme="majorBidi"/>
          <w:color w:val="000000" w:themeColor="text1"/>
          <w:sz w:val="24"/>
          <w:szCs w:val="24"/>
        </w:rPr>
        <w:t>control and</w:t>
      </w:r>
      <w:r w:rsidRPr="00A03ABE">
        <w:rPr>
          <w:rFonts w:asciiTheme="majorBidi" w:hAnsiTheme="majorBidi" w:cstheme="majorBidi"/>
          <w:color w:val="000000" w:themeColor="text1"/>
          <w:sz w:val="24"/>
          <w:szCs w:val="24"/>
        </w:rPr>
        <w:t xml:space="preserve"> is capable of fully exploiting the benefits of localisation, but it also presents the greatest financial and operational risk. </w:t>
      </w:r>
      <w:r w:rsidR="00BF6433" w:rsidRPr="00A03ABE">
        <w:rPr>
          <w:rFonts w:asciiTheme="majorBidi" w:hAnsiTheme="majorBidi" w:cstheme="majorBidi"/>
          <w:color w:val="000000" w:themeColor="text1"/>
          <w:sz w:val="24"/>
          <w:szCs w:val="24"/>
        </w:rPr>
        <w:t>The EV market in Indonesia is expanding, but the possibility of Tesla hitting its target premium market and future price elasticity is unknown. Regional capacity and stiff localised competition may compel a cut in prices before a new plant attains an efficient scale (Hu et al., 2019).</w:t>
      </w:r>
    </w:p>
    <w:p w14:paraId="01700A16" w14:textId="67B20CE4" w:rsidR="00BF6433" w:rsidRPr="00A03ABE" w:rsidRDefault="00BF6433" w:rsidP="00BF6433">
      <w:pPr>
        <w:pStyle w:val="BodyText"/>
        <w:spacing w:line="360" w:lineRule="auto"/>
        <w:jc w:val="both"/>
        <w:rPr>
          <w:rFonts w:asciiTheme="majorBidi" w:hAnsiTheme="majorBidi" w:cstheme="majorBidi"/>
          <w:b/>
          <w:bCs/>
          <w:color w:val="000000" w:themeColor="text1"/>
          <w:sz w:val="24"/>
          <w:szCs w:val="24"/>
        </w:rPr>
      </w:pPr>
      <w:r w:rsidRPr="00A03ABE">
        <w:rPr>
          <w:rFonts w:asciiTheme="majorBidi" w:hAnsiTheme="majorBidi" w:cstheme="majorBidi"/>
          <w:b/>
          <w:bCs/>
          <w:color w:val="000000" w:themeColor="text1"/>
          <w:sz w:val="24"/>
          <w:szCs w:val="24"/>
        </w:rPr>
        <w:t xml:space="preserve">Table </w:t>
      </w:r>
      <w:r w:rsidR="00C16214" w:rsidRPr="00A03ABE">
        <w:rPr>
          <w:rFonts w:asciiTheme="majorBidi" w:hAnsiTheme="majorBidi" w:cstheme="majorBidi"/>
          <w:b/>
          <w:bCs/>
          <w:color w:val="000000" w:themeColor="text1"/>
          <w:sz w:val="24"/>
          <w:szCs w:val="24"/>
        </w:rPr>
        <w:t>5</w:t>
      </w:r>
      <w:r w:rsidRPr="00A03ABE">
        <w:rPr>
          <w:rFonts w:asciiTheme="majorBidi" w:hAnsiTheme="majorBidi" w:cstheme="majorBidi"/>
          <w:b/>
          <w:bCs/>
          <w:color w:val="000000" w:themeColor="text1"/>
          <w:sz w:val="24"/>
          <w:szCs w:val="24"/>
        </w:rPr>
        <w:t xml:space="preserve">: Strategic justification for a wholly owned CBU subsidiary in Indonesia </w:t>
      </w:r>
    </w:p>
    <w:tbl>
      <w:tblPr>
        <w:tblStyle w:val="PlainTable1"/>
        <w:tblW w:w="0" w:type="auto"/>
        <w:tblLook w:val="04A0" w:firstRow="1" w:lastRow="0" w:firstColumn="1" w:lastColumn="0" w:noHBand="0" w:noVBand="1"/>
      </w:tblPr>
      <w:tblGrid>
        <w:gridCol w:w="2043"/>
        <w:gridCol w:w="3122"/>
        <w:gridCol w:w="4286"/>
      </w:tblGrid>
      <w:tr w:rsidR="00BF6433" w:rsidRPr="00A03ABE" w14:paraId="33258969" w14:textId="77777777" w:rsidTr="00F817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4F81BD" w:themeFill="accent1"/>
            <w:hideMark/>
          </w:tcPr>
          <w:p w14:paraId="423FA1B2" w14:textId="77777777" w:rsidR="00BF6433" w:rsidRPr="00A03ABE" w:rsidRDefault="00BF6433" w:rsidP="00F817D1">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Factor</w:t>
            </w:r>
          </w:p>
        </w:tc>
        <w:tc>
          <w:tcPr>
            <w:tcW w:w="0" w:type="auto"/>
            <w:shd w:val="clear" w:color="auto" w:fill="4F81BD" w:themeFill="accent1"/>
            <w:hideMark/>
          </w:tcPr>
          <w:p w14:paraId="1E2AF561" w14:textId="77777777" w:rsidR="00BF6433" w:rsidRPr="00A03ABE" w:rsidRDefault="00BF6433" w:rsidP="00F817D1">
            <w:pPr>
              <w:pStyle w:val="BodyText"/>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Evidence / Risk</w:t>
            </w:r>
          </w:p>
        </w:tc>
        <w:tc>
          <w:tcPr>
            <w:tcW w:w="0" w:type="auto"/>
            <w:shd w:val="clear" w:color="auto" w:fill="4F81BD" w:themeFill="accent1"/>
            <w:hideMark/>
          </w:tcPr>
          <w:p w14:paraId="71144EF2" w14:textId="77777777" w:rsidR="00BF6433" w:rsidRPr="00A03ABE" w:rsidRDefault="00BF6433" w:rsidP="00F817D1">
            <w:pPr>
              <w:pStyle w:val="BodyText"/>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Justification for Wholly Owned CBU Subsidiary</w:t>
            </w:r>
          </w:p>
        </w:tc>
      </w:tr>
      <w:tr w:rsidR="00BF6433" w:rsidRPr="00A03ABE" w14:paraId="5FAD97E7" w14:textId="77777777" w:rsidTr="00F817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153F69" w14:textId="77777777" w:rsidR="00BF6433" w:rsidRPr="00A03ABE" w:rsidRDefault="00BF6433" w:rsidP="00F817D1">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Political &amp; regulatory risk</w:t>
            </w:r>
          </w:p>
        </w:tc>
        <w:tc>
          <w:tcPr>
            <w:tcW w:w="0" w:type="auto"/>
            <w:hideMark/>
          </w:tcPr>
          <w:p w14:paraId="442E76D0" w14:textId="77777777" w:rsidR="00BF6433" w:rsidRPr="00A03ABE" w:rsidRDefault="00BF6433" w:rsidP="00F817D1">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Tariffs, local-content rules and EV incentives may change.</w:t>
            </w:r>
          </w:p>
        </w:tc>
        <w:tc>
          <w:tcPr>
            <w:tcW w:w="0" w:type="auto"/>
            <w:hideMark/>
          </w:tcPr>
          <w:p w14:paraId="4590D0F8" w14:textId="77777777" w:rsidR="00BF6433" w:rsidRPr="00A03ABE" w:rsidRDefault="00BF6433" w:rsidP="00F817D1">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A local Tesla-owned entity enables direct regulatory compliance while avoiding immediate manufacturing commitment.</w:t>
            </w:r>
          </w:p>
        </w:tc>
      </w:tr>
      <w:tr w:rsidR="00BF6433" w:rsidRPr="00A03ABE" w14:paraId="503BD473" w14:textId="77777777" w:rsidTr="00F817D1">
        <w:tc>
          <w:tcPr>
            <w:cnfStyle w:val="001000000000" w:firstRow="0" w:lastRow="0" w:firstColumn="1" w:lastColumn="0" w:oddVBand="0" w:evenVBand="0" w:oddHBand="0" w:evenHBand="0" w:firstRowFirstColumn="0" w:firstRowLastColumn="0" w:lastRowFirstColumn="0" w:lastRowLastColumn="0"/>
            <w:tcW w:w="0" w:type="auto"/>
            <w:hideMark/>
          </w:tcPr>
          <w:p w14:paraId="21A962A5" w14:textId="77777777" w:rsidR="00BF6433" w:rsidRPr="00A03ABE" w:rsidRDefault="00BF6433" w:rsidP="00F817D1">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Financial &amp; resource commitment</w:t>
            </w:r>
          </w:p>
        </w:tc>
        <w:tc>
          <w:tcPr>
            <w:tcW w:w="0" w:type="auto"/>
            <w:hideMark/>
          </w:tcPr>
          <w:p w14:paraId="7A3A12BA" w14:textId="77777777" w:rsidR="00BF6433" w:rsidRPr="00A03ABE" w:rsidRDefault="00BF6433" w:rsidP="00F817D1">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Indonesian demand and margins remain uncertain; a factory creates high sunk costs.</w:t>
            </w:r>
          </w:p>
        </w:tc>
        <w:tc>
          <w:tcPr>
            <w:tcW w:w="0" w:type="auto"/>
            <w:hideMark/>
          </w:tcPr>
          <w:p w14:paraId="20ED7204" w14:textId="77777777" w:rsidR="00BF6433" w:rsidRPr="00A03ABE" w:rsidRDefault="00BF6433" w:rsidP="00F817D1">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A CBU subsidiary requires lower and more reversible investment while allowing Tesla to test demand.</w:t>
            </w:r>
          </w:p>
        </w:tc>
      </w:tr>
      <w:tr w:rsidR="00BF6433" w:rsidRPr="00A03ABE" w14:paraId="7FF9E062" w14:textId="77777777" w:rsidTr="00F817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52272E" w14:textId="77777777" w:rsidR="00BF6433" w:rsidRPr="00A03ABE" w:rsidRDefault="00BF6433" w:rsidP="00F817D1">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Operational risk</w:t>
            </w:r>
          </w:p>
        </w:tc>
        <w:tc>
          <w:tcPr>
            <w:tcW w:w="0" w:type="auto"/>
            <w:hideMark/>
          </w:tcPr>
          <w:p w14:paraId="44B5DCAA" w14:textId="77777777" w:rsidR="00BF6433" w:rsidRPr="00A03ABE" w:rsidRDefault="00BF6433" w:rsidP="00F817D1">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Service, logistics and charging are challenging across Indonesia.</w:t>
            </w:r>
          </w:p>
        </w:tc>
        <w:tc>
          <w:tcPr>
            <w:tcW w:w="0" w:type="auto"/>
            <w:hideMark/>
          </w:tcPr>
          <w:p w14:paraId="0FDF2E24" w14:textId="77777777" w:rsidR="00BF6433" w:rsidRPr="00A03ABE" w:rsidRDefault="00BF6433" w:rsidP="00F817D1">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Tesla retains control of service, warranty and charging while using selected local partners for supporting activities.</w:t>
            </w:r>
          </w:p>
        </w:tc>
      </w:tr>
      <w:tr w:rsidR="00BF6433" w:rsidRPr="00A03ABE" w14:paraId="2FA94C73" w14:textId="77777777" w:rsidTr="00F817D1">
        <w:tc>
          <w:tcPr>
            <w:cnfStyle w:val="001000000000" w:firstRow="0" w:lastRow="0" w:firstColumn="1" w:lastColumn="0" w:oddVBand="0" w:evenVBand="0" w:oddHBand="0" w:evenHBand="0" w:firstRowFirstColumn="0" w:firstRowLastColumn="0" w:lastRowFirstColumn="0" w:lastRowLastColumn="0"/>
            <w:tcW w:w="0" w:type="auto"/>
            <w:hideMark/>
          </w:tcPr>
          <w:p w14:paraId="3022107B" w14:textId="77777777" w:rsidR="00BF6433" w:rsidRPr="00A03ABE" w:rsidRDefault="00BF6433" w:rsidP="00F817D1">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Control vs flexibility</w:t>
            </w:r>
          </w:p>
        </w:tc>
        <w:tc>
          <w:tcPr>
            <w:tcW w:w="0" w:type="auto"/>
            <w:hideMark/>
          </w:tcPr>
          <w:p w14:paraId="25DF0259" w14:textId="77777777" w:rsidR="00BF6433" w:rsidRPr="00A03ABE" w:rsidRDefault="00BF6433" w:rsidP="00F817D1">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Tesla must protect software, data, brand and customer experience while adapting locally.</w:t>
            </w:r>
          </w:p>
        </w:tc>
        <w:tc>
          <w:tcPr>
            <w:tcW w:w="0" w:type="auto"/>
            <w:hideMark/>
          </w:tcPr>
          <w:p w14:paraId="7769C4A1" w14:textId="77777777" w:rsidR="00BF6433" w:rsidRPr="00A03ABE" w:rsidRDefault="00BF6433" w:rsidP="00F817D1">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Full ownership maintains strategic control while permitting local adaptation in finance, service and compliance.</w:t>
            </w:r>
          </w:p>
        </w:tc>
      </w:tr>
      <w:tr w:rsidR="00BF6433" w:rsidRPr="00A03ABE" w14:paraId="5B756FD0" w14:textId="77777777" w:rsidTr="00F817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E6AA47" w14:textId="77777777" w:rsidR="00BF6433" w:rsidRPr="00A03ABE" w:rsidRDefault="00BF6433" w:rsidP="00F817D1">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Long-term strategic fit</w:t>
            </w:r>
          </w:p>
        </w:tc>
        <w:tc>
          <w:tcPr>
            <w:tcW w:w="0" w:type="auto"/>
            <w:hideMark/>
          </w:tcPr>
          <w:p w14:paraId="081F18BF" w14:textId="77777777" w:rsidR="00BF6433" w:rsidRPr="00A03ABE" w:rsidRDefault="00BF6433" w:rsidP="00F817D1">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Indonesia offers growing EV demand and battery potential, but scale is not yet proven.</w:t>
            </w:r>
          </w:p>
        </w:tc>
        <w:tc>
          <w:tcPr>
            <w:tcW w:w="0" w:type="auto"/>
            <w:hideMark/>
          </w:tcPr>
          <w:p w14:paraId="2C051EA5" w14:textId="4C0D652C" w:rsidR="00BF6433" w:rsidRPr="00A03ABE" w:rsidRDefault="00BF6433" w:rsidP="00F817D1">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The subsidiary provides market learning and creates the option for deeper </w:t>
            </w:r>
            <w:r w:rsidR="00A03ABE" w:rsidRPr="00A03ABE">
              <w:rPr>
                <w:rFonts w:asciiTheme="majorBidi" w:hAnsiTheme="majorBidi" w:cstheme="majorBidi"/>
                <w:color w:val="000000" w:themeColor="text1"/>
                <w:sz w:val="24"/>
                <w:szCs w:val="24"/>
              </w:rPr>
              <w:t>localization</w:t>
            </w:r>
            <w:r w:rsidRPr="00A03ABE">
              <w:rPr>
                <w:rFonts w:asciiTheme="majorBidi" w:hAnsiTheme="majorBidi" w:cstheme="majorBidi"/>
                <w:color w:val="000000" w:themeColor="text1"/>
                <w:sz w:val="24"/>
                <w:szCs w:val="24"/>
              </w:rPr>
              <w:t xml:space="preserve"> only when commercial conditions justify it.</w:t>
            </w:r>
          </w:p>
        </w:tc>
      </w:tr>
    </w:tbl>
    <w:p w14:paraId="250CFB22" w14:textId="77777777" w:rsidR="001B4B1D" w:rsidRPr="00A03ABE" w:rsidRDefault="001B4B1D" w:rsidP="001B4B1D">
      <w:pPr>
        <w:pStyle w:val="BodyText"/>
        <w:rPr>
          <w:i/>
          <w:sz w:val="18"/>
        </w:rPr>
      </w:pPr>
    </w:p>
    <w:p w14:paraId="5381E038" w14:textId="4F9F159D" w:rsidR="00845429" w:rsidRPr="00A03ABE" w:rsidRDefault="001B4B1D" w:rsidP="008D6F47">
      <w:pPr>
        <w:pStyle w:val="BodyText"/>
        <w:jc w:val="center"/>
        <w:rPr>
          <w:i/>
          <w:sz w:val="18"/>
        </w:rPr>
      </w:pPr>
      <w:r w:rsidRPr="00A03ABE">
        <w:rPr>
          <w:i/>
          <w:sz w:val="18"/>
        </w:rPr>
        <w:t>Source: Author’s synthesis based on IEA (2026), Lazuardy et al. (2024), Damanik et al. (2024, 2025), and Brouthers et al. (2022).</w:t>
      </w:r>
    </w:p>
    <w:p w14:paraId="7D60C273" w14:textId="0637F5E7" w:rsidR="00DF1E57" w:rsidRPr="00A03ABE" w:rsidRDefault="00DF1E57" w:rsidP="001B4B1D">
      <w:pPr>
        <w:pStyle w:val="BodyText"/>
        <w:spacing w:line="360" w:lineRule="auto"/>
        <w:jc w:val="both"/>
        <w:rPr>
          <w:rFonts w:asciiTheme="majorBidi" w:hAnsiTheme="majorBidi" w:cstheme="majorBidi"/>
          <w:color w:val="000000" w:themeColor="text1"/>
          <w:sz w:val="24"/>
          <w:szCs w:val="24"/>
        </w:rPr>
      </w:pPr>
    </w:p>
    <w:p w14:paraId="47E1A90F" w14:textId="77777777" w:rsidR="00DF1E57" w:rsidRPr="00A03ABE" w:rsidRDefault="00DF1E57" w:rsidP="008D6F47">
      <w:pPr>
        <w:pStyle w:val="Heading2"/>
        <w:numPr>
          <w:ilvl w:val="0"/>
          <w:numId w:val="11"/>
        </w:numPr>
      </w:pPr>
      <w:bookmarkStart w:id="11" w:name="_Toc237559444"/>
      <w:r w:rsidRPr="00A03ABE">
        <w:t>Recommendations</w:t>
      </w:r>
      <w:bookmarkEnd w:id="11"/>
    </w:p>
    <w:p w14:paraId="371F82A3" w14:textId="37EEA709" w:rsidR="00DF1E57" w:rsidRPr="00A03ABE" w:rsidRDefault="00DF1E57" w:rsidP="00A03ABE">
      <w:pPr>
        <w:pStyle w:val="BodyText"/>
        <w:numPr>
          <w:ilvl w:val="0"/>
          <w:numId w:val="14"/>
        </w:numPr>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b/>
          <w:bCs/>
          <w:color w:val="000000" w:themeColor="text1"/>
          <w:sz w:val="24"/>
          <w:szCs w:val="24"/>
        </w:rPr>
        <w:t>Establish a wholly owned CBU subsidiary:</w:t>
      </w:r>
      <w:r w:rsidRPr="00A03ABE">
        <w:rPr>
          <w:rFonts w:asciiTheme="majorBidi" w:hAnsiTheme="majorBidi" w:cstheme="majorBidi"/>
          <w:color w:val="000000" w:themeColor="text1"/>
          <w:sz w:val="24"/>
          <w:szCs w:val="24"/>
        </w:rPr>
        <w:t xml:space="preserve"> </w:t>
      </w:r>
      <w:r w:rsidR="007723AE">
        <w:rPr>
          <w:rFonts w:asciiTheme="majorBidi" w:hAnsiTheme="majorBidi" w:cstheme="majorBidi"/>
          <w:color w:val="000000" w:themeColor="text1"/>
          <w:sz w:val="24"/>
          <w:szCs w:val="24"/>
        </w:rPr>
        <w:t>To</w:t>
      </w:r>
      <w:r w:rsidR="00A03ABE" w:rsidRPr="00A03ABE">
        <w:rPr>
          <w:rFonts w:asciiTheme="majorBidi" w:hAnsiTheme="majorBidi" w:cstheme="majorBidi"/>
          <w:color w:val="000000" w:themeColor="text1"/>
          <w:sz w:val="24"/>
          <w:szCs w:val="24"/>
        </w:rPr>
        <w:t xml:space="preserve"> </w:t>
      </w:r>
      <w:r w:rsidR="007723AE">
        <w:rPr>
          <w:rFonts w:asciiTheme="majorBidi" w:hAnsiTheme="majorBidi" w:cstheme="majorBidi"/>
          <w:color w:val="000000" w:themeColor="text1"/>
          <w:sz w:val="24"/>
          <w:szCs w:val="24"/>
        </w:rPr>
        <w:t>guarantee</w:t>
      </w:r>
      <w:r w:rsidR="00A03ABE" w:rsidRPr="00A03ABE">
        <w:rPr>
          <w:rFonts w:asciiTheme="majorBidi" w:hAnsiTheme="majorBidi" w:cstheme="majorBidi"/>
          <w:color w:val="000000" w:themeColor="text1"/>
          <w:sz w:val="24"/>
          <w:szCs w:val="24"/>
        </w:rPr>
        <w:t xml:space="preserve"> complete strategic autonomy for brand equity, dynamic pricing, proprietary customer telemetry, and warranty execution, Tesla had to establish a company-owned sales, service, and customer-support ecosystem in </w:t>
      </w:r>
      <w:r w:rsidR="00A03ABE" w:rsidRPr="00A03ABE">
        <w:rPr>
          <w:rFonts w:asciiTheme="majorBidi" w:hAnsiTheme="majorBidi" w:cstheme="majorBidi"/>
          <w:color w:val="000000" w:themeColor="text1"/>
          <w:sz w:val="24"/>
          <w:szCs w:val="24"/>
        </w:rPr>
        <w:lastRenderedPageBreak/>
        <w:t>Indonesia. By eschewing third-party distributors and the conventio</w:t>
      </w:r>
      <w:r w:rsidR="00A03ABE">
        <w:rPr>
          <w:rFonts w:asciiTheme="majorBidi" w:hAnsiTheme="majorBidi" w:cstheme="majorBidi"/>
          <w:color w:val="000000" w:themeColor="text1"/>
          <w:sz w:val="24"/>
          <w:szCs w:val="24"/>
        </w:rPr>
        <w:t xml:space="preserve">nal dealership channel, Tesla will be </w:t>
      </w:r>
      <w:r w:rsidR="00A03ABE" w:rsidRPr="00A03ABE">
        <w:rPr>
          <w:rFonts w:asciiTheme="majorBidi" w:hAnsiTheme="majorBidi" w:cstheme="majorBidi"/>
          <w:color w:val="000000" w:themeColor="text1"/>
          <w:sz w:val="24"/>
          <w:szCs w:val="24"/>
        </w:rPr>
        <w:t xml:space="preserve">able to manage margin leakage, </w:t>
      </w:r>
      <w:r w:rsidR="007723AE">
        <w:rPr>
          <w:rFonts w:asciiTheme="majorBidi" w:hAnsiTheme="majorBidi" w:cstheme="majorBidi"/>
          <w:color w:val="000000" w:themeColor="text1"/>
          <w:sz w:val="24"/>
          <w:szCs w:val="24"/>
        </w:rPr>
        <w:t>guarantee</w:t>
      </w:r>
      <w:r w:rsidR="00A03ABE" w:rsidRPr="00A03ABE">
        <w:rPr>
          <w:rFonts w:asciiTheme="majorBidi" w:hAnsiTheme="majorBidi" w:cstheme="majorBidi"/>
          <w:color w:val="000000" w:themeColor="text1"/>
          <w:sz w:val="24"/>
          <w:szCs w:val="24"/>
        </w:rPr>
        <w:t xml:space="preserve"> consistent service across the globe, and establish an unmediated direct-to-consumer (D2C) feedback loop to facilitate market penetration. Additionally, this would strengthen Tesla's customer relationships, enhance data-driven decision-making procedures, and offer a consistent experience with the Indonesian market positioning as a worldwide brand. </w:t>
      </w:r>
    </w:p>
    <w:p w14:paraId="4EE3670E" w14:textId="27661F4C" w:rsidR="00DF1E57" w:rsidRPr="00A03ABE" w:rsidRDefault="00DF1E57" w:rsidP="00A03ABE">
      <w:pPr>
        <w:pStyle w:val="BodyText"/>
        <w:numPr>
          <w:ilvl w:val="0"/>
          <w:numId w:val="14"/>
        </w:numPr>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b/>
          <w:bCs/>
          <w:color w:val="000000" w:themeColor="text1"/>
          <w:sz w:val="24"/>
          <w:szCs w:val="24"/>
        </w:rPr>
        <w:t>Adopt a gradual localisation strategy:</w:t>
      </w:r>
      <w:r w:rsidRPr="00A03ABE">
        <w:rPr>
          <w:rFonts w:asciiTheme="majorBidi" w:hAnsiTheme="majorBidi" w:cstheme="majorBidi"/>
          <w:color w:val="000000" w:themeColor="text1"/>
          <w:sz w:val="24"/>
          <w:szCs w:val="24"/>
        </w:rPr>
        <w:t xml:space="preserve"> </w:t>
      </w:r>
      <w:r w:rsidR="00A03ABE" w:rsidRPr="00A03ABE">
        <w:rPr>
          <w:rFonts w:asciiTheme="majorBidi" w:hAnsiTheme="majorBidi" w:cstheme="majorBidi"/>
          <w:color w:val="000000" w:themeColor="text1"/>
          <w:sz w:val="24"/>
          <w:szCs w:val="24"/>
        </w:rPr>
        <w:t xml:space="preserve">A clear and sustainable business case based on sales quantities, local government incentives, supplier capacity, and overall operational economics should be demonstrated before considering the deployment of SKD/CKD assembly and localization. Tesla may lower initial capital risks, evaluate local demand, establish local supplier relationships, and gradually increase local value creation using a phased localization strategy. </w:t>
      </w:r>
    </w:p>
    <w:p w14:paraId="04F554A3" w14:textId="490679C9" w:rsidR="00DF1E57" w:rsidRPr="00A03ABE" w:rsidRDefault="00DF1E57" w:rsidP="00A03ABE">
      <w:pPr>
        <w:pStyle w:val="BodyText"/>
        <w:numPr>
          <w:ilvl w:val="0"/>
          <w:numId w:val="14"/>
        </w:numPr>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b/>
          <w:bCs/>
          <w:color w:val="000000" w:themeColor="text1"/>
          <w:sz w:val="24"/>
          <w:szCs w:val="24"/>
        </w:rPr>
        <w:t>Target major demand hubs:</w:t>
      </w:r>
      <w:r w:rsidR="008D6F47" w:rsidRPr="00A03ABE">
        <w:rPr>
          <w:rFonts w:asciiTheme="majorBidi" w:hAnsiTheme="majorBidi" w:cstheme="majorBidi"/>
          <w:color w:val="000000" w:themeColor="text1"/>
          <w:sz w:val="24"/>
          <w:szCs w:val="24"/>
        </w:rPr>
        <w:t xml:space="preserve"> </w:t>
      </w:r>
      <w:r w:rsidR="00A03ABE" w:rsidRPr="00A03ABE">
        <w:rPr>
          <w:rFonts w:asciiTheme="majorBidi" w:hAnsiTheme="majorBidi" w:cstheme="majorBidi"/>
          <w:color w:val="000000" w:themeColor="text1"/>
          <w:sz w:val="24"/>
          <w:szCs w:val="24"/>
        </w:rPr>
        <w:t>The Java-Bali region is where Tesla can reach a higher percentage of affluent customers, a higher concentration of urban infrastructure, and a growing demand for electric vehicles, thus the initial activities should be concentrated there. By using this regional approach, Tesla would be able to minimize its initial operational and distribution costs while establishing its brand in the most lucrative markets. Additionally, it would facilitate greater access to logistics networks, qualified service technicians, charging stations, and tech-savvy customers</w:t>
      </w:r>
    </w:p>
    <w:p w14:paraId="52BCAECE" w14:textId="012D78D0" w:rsidR="00DF1E57" w:rsidRDefault="00DF1E57" w:rsidP="00DF1E57">
      <w:pPr>
        <w:pStyle w:val="BodyText"/>
        <w:numPr>
          <w:ilvl w:val="0"/>
          <w:numId w:val="14"/>
        </w:numPr>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b/>
          <w:bCs/>
          <w:color w:val="000000" w:themeColor="text1"/>
          <w:sz w:val="24"/>
          <w:szCs w:val="24"/>
        </w:rPr>
        <w:t>Develop charging and services:</w:t>
      </w:r>
      <w:r w:rsidRPr="00A03ABE">
        <w:rPr>
          <w:rFonts w:asciiTheme="majorBidi" w:hAnsiTheme="majorBidi" w:cstheme="majorBidi"/>
          <w:color w:val="000000" w:themeColor="text1"/>
          <w:sz w:val="24"/>
          <w:szCs w:val="24"/>
        </w:rPr>
        <w:t xml:space="preserve"> Tesla must combine the choices of Supercharger sites with destination-charging connections, home-charger installation and service assistance, and stable mobile/service services to ease the apprehension of customer acceptance.</w:t>
      </w:r>
    </w:p>
    <w:p w14:paraId="48806AAD" w14:textId="4FBE5349" w:rsidR="0012592D" w:rsidRDefault="0012592D" w:rsidP="0012592D">
      <w:pPr>
        <w:pStyle w:val="BodyText"/>
        <w:spacing w:line="360" w:lineRule="auto"/>
        <w:ind w:left="360"/>
        <w:jc w:val="both"/>
        <w:rPr>
          <w:rFonts w:asciiTheme="majorBidi" w:hAnsiTheme="majorBidi" w:cstheme="majorBidi"/>
          <w:b/>
          <w:bCs/>
          <w:color w:val="000000" w:themeColor="text1"/>
          <w:sz w:val="24"/>
          <w:szCs w:val="24"/>
        </w:rPr>
      </w:pPr>
    </w:p>
    <w:p w14:paraId="5CAFE033" w14:textId="77777777" w:rsidR="0012592D" w:rsidRPr="00A03ABE" w:rsidRDefault="0012592D" w:rsidP="0012592D">
      <w:pPr>
        <w:pStyle w:val="Heading2"/>
        <w:numPr>
          <w:ilvl w:val="0"/>
          <w:numId w:val="11"/>
        </w:numPr>
      </w:pPr>
      <w:bookmarkStart w:id="12" w:name="_Toc237559445"/>
      <w:r w:rsidRPr="00A03ABE">
        <w:t>Conclusion</w:t>
      </w:r>
      <w:bookmarkEnd w:id="12"/>
    </w:p>
    <w:p w14:paraId="6238F6CB" w14:textId="77777777" w:rsidR="0012592D" w:rsidRPr="00A03ABE" w:rsidRDefault="0012592D" w:rsidP="0012592D">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Indonesia has growth potential for Tesla, but the market environment is not yet worth investing at the Gigafactory level. Location benefits of Indonesia are strengthened by increasing economic development, BEV adoption and demand concentration in Java, and expanding charging infrastructure and the emerging battery ecosystem. Affordability limits, financing and currency exposure, local-content requirements, a power grid that is carbon-intensive, archipelagic service costs, and high Chinese competition heighten risk, though. A gradual introduction is also encouraged in the SAF framework. Therefore, Tesla must relocate to Indonesia as a formal wholly owned CBU sales and service subsidiary but postpone assembly or full production until the demands, margins, policy stability, and localisation economics are proven.</w:t>
      </w:r>
    </w:p>
    <w:p w14:paraId="538DF81A" w14:textId="77777777" w:rsidR="0012592D" w:rsidRPr="00A03ABE" w:rsidRDefault="0012592D" w:rsidP="0012592D">
      <w:pPr>
        <w:pStyle w:val="BodyText"/>
        <w:spacing w:line="360" w:lineRule="auto"/>
        <w:ind w:left="360"/>
        <w:jc w:val="both"/>
        <w:rPr>
          <w:rFonts w:asciiTheme="majorBidi" w:hAnsiTheme="majorBidi" w:cstheme="majorBidi"/>
          <w:color w:val="000000" w:themeColor="text1"/>
          <w:sz w:val="24"/>
          <w:szCs w:val="24"/>
        </w:rPr>
      </w:pPr>
    </w:p>
    <w:p w14:paraId="2C4CC66B" w14:textId="0C68C16F" w:rsidR="00194DBE" w:rsidRPr="00A03ABE" w:rsidRDefault="00194DBE" w:rsidP="00FC1576">
      <w:pPr>
        <w:pStyle w:val="BodyText"/>
        <w:spacing w:line="360" w:lineRule="auto"/>
        <w:jc w:val="both"/>
        <w:rPr>
          <w:rFonts w:asciiTheme="majorBidi" w:hAnsiTheme="majorBidi" w:cstheme="majorBidi"/>
          <w:color w:val="000000" w:themeColor="text1"/>
          <w:sz w:val="24"/>
          <w:szCs w:val="24"/>
        </w:rPr>
      </w:pPr>
    </w:p>
    <w:p w14:paraId="40025305" w14:textId="77777777" w:rsidR="00E70B80" w:rsidRPr="00A03ABE" w:rsidRDefault="00E70B80" w:rsidP="00CA48AA">
      <w:pPr>
        <w:pStyle w:val="BodyText"/>
        <w:spacing w:line="360" w:lineRule="auto"/>
        <w:jc w:val="both"/>
        <w:rPr>
          <w:rFonts w:asciiTheme="majorBidi" w:hAnsiTheme="majorBidi" w:cstheme="majorBidi"/>
          <w:color w:val="000000" w:themeColor="text1"/>
          <w:sz w:val="24"/>
          <w:szCs w:val="24"/>
        </w:rPr>
      </w:pPr>
    </w:p>
    <w:p w14:paraId="56D26B97" w14:textId="2ABD3F6B" w:rsidR="00845429" w:rsidRPr="00A03ABE" w:rsidRDefault="004B1BD0" w:rsidP="00046FCB">
      <w:pPr>
        <w:pStyle w:val="Heading1"/>
      </w:pPr>
      <w:bookmarkStart w:id="13" w:name="_Toc237559446"/>
      <w:r w:rsidRPr="00A03ABE">
        <w:t>Section 2: Reflective Account</w:t>
      </w:r>
      <w:bookmarkEnd w:id="13"/>
    </w:p>
    <w:p w14:paraId="6176544C" w14:textId="11F414E7" w:rsidR="00845429" w:rsidRPr="00A03ABE" w:rsidRDefault="004B1BD0" w:rsidP="00046FCB">
      <w:pPr>
        <w:pStyle w:val="Heading2"/>
      </w:pPr>
      <w:r w:rsidRPr="00A03ABE">
        <w:t xml:space="preserve"> </w:t>
      </w:r>
      <w:bookmarkStart w:id="14" w:name="_Toc237559447"/>
      <w:r w:rsidRPr="00A03ABE">
        <w:t>Reflective account using Gibbs’ reflective cycle</w:t>
      </w:r>
      <w:bookmarkEnd w:id="14"/>
    </w:p>
    <w:p w14:paraId="138CDCA7" w14:textId="2DEE6151" w:rsidR="00845429" w:rsidRPr="00A03ABE" w:rsidRDefault="00087F89"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I examined the assignment according to the six-step reflective cycle applied in official higher-education reflective writing to investigate the way the assignment was researched, analysed</w:t>
      </w:r>
      <w:r w:rsidR="00CD3445"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turned into a market-entry recommendation (Ezezika and Johnston, 2023). The cycle also helped me to forget the description of the things that have already been done by contemplating my assumptions, the quality of the process</w:t>
      </w:r>
      <w:r w:rsidR="00057AF3"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the difference that I could make in further work in </w:t>
      </w:r>
      <w:r w:rsidR="006526E8" w:rsidRPr="00A03ABE">
        <w:rPr>
          <w:rFonts w:asciiTheme="majorBidi" w:hAnsiTheme="majorBidi" w:cstheme="majorBidi"/>
          <w:color w:val="000000" w:themeColor="text1"/>
          <w:sz w:val="24"/>
          <w:szCs w:val="24"/>
        </w:rPr>
        <w:t>international business</w:t>
      </w:r>
      <w:r w:rsidRPr="00A03ABE">
        <w:rPr>
          <w:rFonts w:asciiTheme="majorBidi" w:hAnsiTheme="majorBidi" w:cstheme="majorBidi"/>
          <w:color w:val="000000" w:themeColor="text1"/>
          <w:sz w:val="24"/>
          <w:szCs w:val="24"/>
        </w:rPr>
        <w:t>.</w:t>
      </w:r>
    </w:p>
    <w:p w14:paraId="1DF99B82" w14:textId="596C4DD8" w:rsidR="00845429"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Description</w:t>
      </w:r>
    </w:p>
    <w:p w14:paraId="320D9474" w14:textId="30DD7580" w:rsidR="00845429" w:rsidRPr="00A03ABE" w:rsidRDefault="00087F89" w:rsidP="004C5A3B">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I began to paraphrase the brief with an evidence problem. The first one was to prove the fact that Indonesia met the conditions of no substantial Tesla operational presence </w:t>
      </w:r>
      <w:r w:rsidR="006526E8" w:rsidRPr="00A03ABE">
        <w:rPr>
          <w:rFonts w:asciiTheme="majorBidi" w:hAnsiTheme="majorBidi" w:cstheme="majorBidi"/>
          <w:color w:val="000000" w:themeColor="text1"/>
          <w:sz w:val="24"/>
          <w:szCs w:val="24"/>
        </w:rPr>
        <w:t>as of</w:t>
      </w:r>
      <w:r w:rsidRPr="00A03ABE">
        <w:rPr>
          <w:rFonts w:asciiTheme="majorBidi" w:hAnsiTheme="majorBidi" w:cstheme="majorBidi"/>
          <w:color w:val="000000" w:themeColor="text1"/>
          <w:sz w:val="24"/>
          <w:szCs w:val="24"/>
        </w:rPr>
        <w:t xml:space="preserve"> 1 June 2026. To represent a subsidiary, official store, service centre, charging network, production facility</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or formal launch, I determined a major presence. The location directory of Tesla did not show Indonesia, though searching by name revealed the importation of Tesla vehicles privately. This distinction assisted me in proving the case without saying that there is no Tesla car in the country</w:t>
      </w:r>
      <w:r w:rsidR="004C5A3B" w:rsidRPr="00A03ABE">
        <w:rPr>
          <w:rFonts w:asciiTheme="majorBidi" w:hAnsiTheme="majorBidi" w:cstheme="majorBidi"/>
          <w:color w:val="000000" w:themeColor="text1"/>
          <w:sz w:val="24"/>
          <w:szCs w:val="24"/>
        </w:rPr>
        <w:t xml:space="preserve"> </w:t>
      </w:r>
      <w:r w:rsidR="00551DBC" w:rsidRPr="00A03ABE">
        <w:rPr>
          <w:rFonts w:asciiTheme="majorBidi" w:hAnsiTheme="majorBidi" w:cstheme="majorBidi"/>
          <w:color w:val="000000" w:themeColor="text1"/>
          <w:sz w:val="24"/>
          <w:szCs w:val="24"/>
        </w:rPr>
        <w:t>(Li, 2023)</w:t>
      </w:r>
      <w:r w:rsidRPr="00A03ABE">
        <w:rPr>
          <w:rFonts w:asciiTheme="majorBidi" w:hAnsiTheme="majorBidi" w:cstheme="majorBidi"/>
          <w:color w:val="000000" w:themeColor="text1"/>
          <w:sz w:val="24"/>
          <w:szCs w:val="24"/>
        </w:rPr>
        <w:t>. Four selected current reports or web sources were used to keep only date-sensitive macroeconomic, market-status</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charging indicators. I used the cut-off in </w:t>
      </w:r>
      <w:r w:rsidR="00161062" w:rsidRPr="00A03ABE">
        <w:rPr>
          <w:rFonts w:asciiTheme="majorBidi" w:hAnsiTheme="majorBidi" w:cstheme="majorBidi"/>
          <w:color w:val="000000" w:themeColor="text1"/>
          <w:sz w:val="24"/>
          <w:szCs w:val="24"/>
        </w:rPr>
        <w:t>consistent</w:t>
      </w:r>
      <w:r w:rsidRPr="00A03ABE">
        <w:rPr>
          <w:rFonts w:asciiTheme="majorBidi" w:hAnsiTheme="majorBidi" w:cstheme="majorBidi"/>
          <w:color w:val="000000" w:themeColor="text1"/>
          <w:sz w:val="24"/>
          <w:szCs w:val="24"/>
        </w:rPr>
        <w:t xml:space="preserve"> fashion and </w:t>
      </w:r>
      <w:r w:rsidR="00E23D8E" w:rsidRPr="00A03ABE">
        <w:rPr>
          <w:rFonts w:asciiTheme="majorBidi" w:hAnsiTheme="majorBidi" w:cstheme="majorBidi"/>
          <w:color w:val="000000" w:themeColor="text1"/>
          <w:sz w:val="24"/>
          <w:szCs w:val="24"/>
        </w:rPr>
        <w:t>theoretical</w:t>
      </w:r>
      <w:r w:rsidRPr="00A03ABE">
        <w:rPr>
          <w:rFonts w:asciiTheme="majorBidi" w:hAnsiTheme="majorBidi" w:cstheme="majorBidi"/>
          <w:color w:val="000000" w:themeColor="text1"/>
          <w:sz w:val="24"/>
          <w:szCs w:val="24"/>
        </w:rPr>
        <w:t xml:space="preserve"> literature to relate evidence to a decision as opposed to generating a general country profile.</w:t>
      </w:r>
    </w:p>
    <w:p w14:paraId="4E04E588" w14:textId="64D519A8" w:rsidR="00845429"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Feelings</w:t>
      </w:r>
    </w:p>
    <w:p w14:paraId="2CE65F82" w14:textId="63F780DE" w:rsidR="00845429" w:rsidRPr="00A03ABE" w:rsidRDefault="00087F89"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My initial expectations were that Indonesia has a big population, an abundance </w:t>
      </w:r>
      <w:r w:rsidR="006526E8" w:rsidRPr="00A03ABE">
        <w:rPr>
          <w:rFonts w:asciiTheme="majorBidi" w:hAnsiTheme="majorBidi" w:cstheme="majorBidi"/>
          <w:color w:val="000000" w:themeColor="text1"/>
          <w:sz w:val="24"/>
          <w:szCs w:val="24"/>
        </w:rPr>
        <w:t>of</w:t>
      </w:r>
      <w:r w:rsidRPr="00A03ABE">
        <w:rPr>
          <w:rFonts w:asciiTheme="majorBidi" w:hAnsiTheme="majorBidi" w:cstheme="majorBidi"/>
          <w:color w:val="000000" w:themeColor="text1"/>
          <w:sz w:val="24"/>
          <w:szCs w:val="24"/>
        </w:rPr>
        <w:t xml:space="preserve"> nickel reserves</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the sales of EVs are increasing to allow an aggressive and immediate entry. This posed a threat of confirmation bias. I was less confident since I discovered that the purchasing power was limited, the models were comparatively priced Chinese vehicles</w:t>
      </w:r>
      <w:r w:rsidR="00057AF3"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promotions were gradually offsetting the home production. The other area of confusion </w:t>
      </w:r>
      <w:r w:rsidR="006019C9" w:rsidRPr="00A03ABE">
        <w:rPr>
          <w:rFonts w:asciiTheme="majorBidi" w:hAnsiTheme="majorBidi" w:cstheme="majorBidi"/>
          <w:color w:val="000000" w:themeColor="text1"/>
          <w:sz w:val="24"/>
          <w:szCs w:val="24"/>
        </w:rPr>
        <w:t>that</w:t>
      </w:r>
      <w:r w:rsidRPr="00A03ABE">
        <w:rPr>
          <w:rFonts w:asciiTheme="majorBidi" w:hAnsiTheme="majorBidi" w:cstheme="majorBidi"/>
          <w:color w:val="000000" w:themeColor="text1"/>
          <w:sz w:val="24"/>
          <w:szCs w:val="24"/>
        </w:rPr>
        <w:t xml:space="preserve"> I experienced was the fact that terms within the legal sources were in Indonesian. Instead of hiding such uncertainty, I made homologation, tax eligibility</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w:t>
      </w:r>
      <w:r w:rsidR="00947047" w:rsidRPr="00A03ABE">
        <w:rPr>
          <w:rFonts w:asciiTheme="majorBidi" w:hAnsiTheme="majorBidi" w:cstheme="majorBidi"/>
          <w:color w:val="000000" w:themeColor="text1"/>
          <w:sz w:val="24"/>
          <w:szCs w:val="24"/>
        </w:rPr>
        <w:t xml:space="preserve">the </w:t>
      </w:r>
      <w:r w:rsidRPr="00A03ABE">
        <w:rPr>
          <w:rFonts w:asciiTheme="majorBidi" w:hAnsiTheme="majorBidi" w:cstheme="majorBidi"/>
          <w:color w:val="000000" w:themeColor="text1"/>
          <w:sz w:val="24"/>
          <w:szCs w:val="24"/>
        </w:rPr>
        <w:t xml:space="preserve">design of digital retail </w:t>
      </w:r>
      <w:proofErr w:type="gramStart"/>
      <w:r w:rsidRPr="00A03ABE">
        <w:rPr>
          <w:rFonts w:asciiTheme="majorBidi" w:hAnsiTheme="majorBidi" w:cstheme="majorBidi"/>
          <w:color w:val="000000" w:themeColor="text1"/>
          <w:sz w:val="24"/>
          <w:szCs w:val="24"/>
        </w:rPr>
        <w:t>one</w:t>
      </w:r>
      <w:proofErr w:type="gramEnd"/>
      <w:r w:rsidRPr="00A03ABE">
        <w:rPr>
          <w:rFonts w:asciiTheme="majorBidi" w:hAnsiTheme="majorBidi" w:cstheme="majorBidi"/>
          <w:color w:val="000000" w:themeColor="text1"/>
          <w:sz w:val="24"/>
          <w:szCs w:val="24"/>
        </w:rPr>
        <w:t xml:space="preserve"> of the problems to be resolved in domestic legislation before opening.</w:t>
      </w:r>
    </w:p>
    <w:p w14:paraId="1CEAD48C" w14:textId="40AF46DF" w:rsidR="00845429"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Evaluation</w:t>
      </w:r>
    </w:p>
    <w:p w14:paraId="77E8BBEC" w14:textId="77777777" w:rsidR="00087F89" w:rsidRPr="00A03ABE" w:rsidRDefault="00087F89"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Another issue was to determine the amount of visual evidence to be used. My initial idea was to make use of numerous country indicators, which would have made the report appear like a descriptive PESTEL report. I have selected the charts that have only changed the </w:t>
      </w:r>
      <w:r w:rsidR="006526E8" w:rsidRPr="00A03ABE">
        <w:rPr>
          <w:rFonts w:asciiTheme="majorBidi" w:hAnsiTheme="majorBidi" w:cstheme="majorBidi"/>
          <w:color w:val="000000" w:themeColor="text1"/>
          <w:sz w:val="24"/>
          <w:szCs w:val="24"/>
        </w:rPr>
        <w:t>entry decision</w:t>
      </w:r>
      <w:r w:rsidRPr="00A03ABE">
        <w:rPr>
          <w:rFonts w:asciiTheme="majorBidi" w:hAnsiTheme="majorBidi" w:cstheme="majorBidi"/>
          <w:color w:val="000000" w:themeColor="text1"/>
          <w:sz w:val="24"/>
          <w:szCs w:val="24"/>
        </w:rPr>
        <w:t xml:space="preserve">: </w:t>
      </w:r>
      <w:r w:rsidRPr="00A03ABE">
        <w:rPr>
          <w:rFonts w:asciiTheme="majorBidi" w:hAnsiTheme="majorBidi" w:cstheme="majorBidi"/>
          <w:color w:val="000000" w:themeColor="text1"/>
          <w:sz w:val="24"/>
          <w:szCs w:val="24"/>
        </w:rPr>
        <w:lastRenderedPageBreak/>
        <w:t xml:space="preserve">the competitive BEV structure, charging growth and the staged commitment roadmap. This helped it become more apparent and helped me to remember that the visual material was meant to help provide an argument rather than to adorn the document. I also compared calculations, </w:t>
      </w:r>
      <w:proofErr w:type="gramStart"/>
      <w:r w:rsidRPr="00A03ABE">
        <w:rPr>
          <w:rFonts w:asciiTheme="majorBidi" w:hAnsiTheme="majorBidi" w:cstheme="majorBidi"/>
          <w:color w:val="000000" w:themeColor="text1"/>
          <w:sz w:val="24"/>
          <w:szCs w:val="24"/>
        </w:rPr>
        <w:t>in particular</w:t>
      </w:r>
      <w:proofErr w:type="gramEnd"/>
      <w:r w:rsidRPr="00A03ABE">
        <w:rPr>
          <w:rFonts w:asciiTheme="majorBidi" w:hAnsiTheme="majorBidi" w:cstheme="majorBidi"/>
          <w:color w:val="000000" w:themeColor="text1"/>
          <w:sz w:val="24"/>
          <w:szCs w:val="24"/>
        </w:rPr>
        <w:t xml:space="preserve"> the April 2026 BEV share, with the given wholesale denominator.</w:t>
      </w:r>
    </w:p>
    <w:p w14:paraId="367E4E5C" w14:textId="19410CD1" w:rsidR="00087F89" w:rsidRPr="00A03ABE" w:rsidRDefault="00087F89"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The most powerful element of the procedure was source hierarchy and date control. The claims of the promotion market could not become the major evidence due to the official statistics</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the Tesla filings could be helpful to realize what activities really lead to the value creation in the world. More accuracy was also </w:t>
      </w:r>
      <w:r w:rsidR="00161062" w:rsidRPr="00A03ABE">
        <w:rPr>
          <w:rFonts w:asciiTheme="majorBidi" w:hAnsiTheme="majorBidi" w:cstheme="majorBidi"/>
          <w:color w:val="000000" w:themeColor="text1"/>
          <w:sz w:val="24"/>
          <w:szCs w:val="24"/>
        </w:rPr>
        <w:t>contribute</w:t>
      </w:r>
      <w:r w:rsidR="00161062">
        <w:rPr>
          <w:rFonts w:asciiTheme="majorBidi" w:hAnsiTheme="majorBidi" w:cstheme="majorBidi"/>
          <w:color w:val="000000" w:themeColor="text1"/>
          <w:sz w:val="24"/>
          <w:szCs w:val="24"/>
        </w:rPr>
        <w:t xml:space="preserve"> </w:t>
      </w:r>
      <w:r w:rsidRPr="00A03ABE">
        <w:rPr>
          <w:rFonts w:asciiTheme="majorBidi" w:hAnsiTheme="majorBidi" w:cstheme="majorBidi"/>
          <w:color w:val="000000" w:themeColor="text1"/>
          <w:sz w:val="24"/>
          <w:szCs w:val="24"/>
        </w:rPr>
        <w:t xml:space="preserve">by the fact that the small business of BEV wholesales was in comparison with the vehicle market in general. This was done by comparing the indicators via the decision tables and </w:t>
      </w:r>
      <w:r w:rsidR="00161062" w:rsidRPr="00A03ABE">
        <w:rPr>
          <w:rFonts w:asciiTheme="majorBidi" w:hAnsiTheme="majorBidi" w:cstheme="majorBidi"/>
          <w:color w:val="000000" w:themeColor="text1"/>
          <w:sz w:val="24"/>
          <w:szCs w:val="24"/>
        </w:rPr>
        <w:t>charts and</w:t>
      </w:r>
      <w:r w:rsidRPr="00A03ABE">
        <w:rPr>
          <w:rFonts w:asciiTheme="majorBidi" w:hAnsiTheme="majorBidi" w:cstheme="majorBidi"/>
          <w:color w:val="000000" w:themeColor="text1"/>
          <w:sz w:val="24"/>
          <w:szCs w:val="24"/>
        </w:rPr>
        <w:t xml:space="preserve"> making the final decision traceable.</w:t>
      </w:r>
    </w:p>
    <w:p w14:paraId="2691028E" w14:textId="77777777" w:rsidR="00845429" w:rsidRPr="00A03ABE" w:rsidRDefault="00087F89" w:rsidP="00CA48AA">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It was a liability that there were different periods available of market statistics: some annual, others year-to-date or </w:t>
      </w:r>
      <w:r w:rsidR="006526E8" w:rsidRPr="00A03ABE">
        <w:rPr>
          <w:rFonts w:asciiTheme="majorBidi" w:hAnsiTheme="majorBidi" w:cstheme="majorBidi"/>
          <w:color w:val="000000" w:themeColor="text1"/>
          <w:sz w:val="24"/>
          <w:szCs w:val="24"/>
        </w:rPr>
        <w:t>point-to-point</w:t>
      </w:r>
      <w:r w:rsidRPr="00A03ABE">
        <w:rPr>
          <w:rFonts w:asciiTheme="majorBidi" w:hAnsiTheme="majorBidi" w:cstheme="majorBidi"/>
          <w:color w:val="000000" w:themeColor="text1"/>
          <w:sz w:val="24"/>
          <w:szCs w:val="24"/>
        </w:rPr>
        <w:t xml:space="preserve"> measures. I have not converted these to an unjustified sales forecast</w:t>
      </w:r>
      <w:r w:rsidR="006526E8"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but I have used them as pointers to direction and readiness to the market. The unavailability of Tesla-specific Indonesian demand data was the other weakness. I thus did not create a sales objective or factory breakeven volume. The phased recommendation indicates this gap in evidence and employs quantifiable operating gates to produce improved information following entry.</w:t>
      </w:r>
    </w:p>
    <w:p w14:paraId="241BC0FA" w14:textId="6D164E08" w:rsidR="00845429"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Analysis</w:t>
      </w:r>
    </w:p>
    <w:p w14:paraId="52436B71" w14:textId="4BD082BB" w:rsidR="00F311C9" w:rsidRPr="00A03ABE" w:rsidRDefault="00F311C9" w:rsidP="00F311C9">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My impressions of the stuff were changed by the course theories. The integration-responsiveness perspective revealed that integration-based centralised software and </w:t>
      </w:r>
      <w:r w:rsidR="007B490B" w:rsidRPr="00A03ABE">
        <w:rPr>
          <w:rFonts w:asciiTheme="majorBidi" w:hAnsiTheme="majorBidi" w:cstheme="majorBidi"/>
          <w:color w:val="000000" w:themeColor="text1"/>
          <w:sz w:val="24"/>
          <w:szCs w:val="24"/>
        </w:rPr>
        <w:t xml:space="preserve">the </w:t>
      </w:r>
      <w:r w:rsidRPr="00A03ABE">
        <w:rPr>
          <w:rFonts w:asciiTheme="majorBidi" w:hAnsiTheme="majorBidi" w:cstheme="majorBidi"/>
          <w:color w:val="000000" w:themeColor="text1"/>
          <w:sz w:val="24"/>
          <w:szCs w:val="24"/>
        </w:rPr>
        <w:t xml:space="preserve">brand of Tesla do not need the whole set of activities to be situated within the home country; compliance, financing, service, and charging can be established locally, but the proprietary platform is integrated. The </w:t>
      </w:r>
      <w:r w:rsidR="007B490B" w:rsidRPr="00A03ABE">
        <w:rPr>
          <w:rFonts w:asciiTheme="majorBidi" w:hAnsiTheme="majorBidi" w:cstheme="majorBidi"/>
          <w:color w:val="000000" w:themeColor="text1"/>
          <w:sz w:val="24"/>
          <w:szCs w:val="24"/>
        </w:rPr>
        <w:t>then-existing</w:t>
      </w:r>
      <w:r w:rsidRPr="00A03ABE">
        <w:rPr>
          <w:rFonts w:asciiTheme="majorBidi" w:hAnsiTheme="majorBidi" w:cstheme="majorBidi"/>
          <w:color w:val="000000" w:themeColor="text1"/>
          <w:sz w:val="24"/>
          <w:szCs w:val="24"/>
        </w:rPr>
        <w:t xml:space="preserve"> OLI perspective showed that the benefit of ownership is not enjoyed by all sites: high prices and poor product-market fit </w:t>
      </w:r>
      <w:r w:rsidR="00C8537B" w:rsidRPr="00A03ABE">
        <w:rPr>
          <w:rFonts w:asciiTheme="majorBidi" w:hAnsiTheme="majorBidi" w:cstheme="majorBidi"/>
          <w:color w:val="000000" w:themeColor="text1"/>
          <w:sz w:val="24"/>
          <w:szCs w:val="24"/>
        </w:rPr>
        <w:t>might reduce their portability. Trade</w:t>
      </w:r>
      <w:r w:rsidRPr="00A03ABE">
        <w:rPr>
          <w:rFonts w:asciiTheme="majorBidi" w:hAnsiTheme="majorBidi" w:cstheme="majorBidi"/>
          <w:color w:val="000000" w:themeColor="text1"/>
          <w:sz w:val="24"/>
          <w:szCs w:val="24"/>
        </w:rPr>
        <w:t xml:space="preserve">-offs were explained by entry-mode theory. </w:t>
      </w:r>
    </w:p>
    <w:p w14:paraId="08EE4B0E" w14:textId="3CB3E1E8" w:rsidR="00087F89" w:rsidRPr="00A03ABE" w:rsidRDefault="004C5A3B" w:rsidP="004C5A3B">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Increased conduct, service, and data risk and minimized capital risk </w:t>
      </w:r>
      <w:r w:rsidR="00373F9B" w:rsidRPr="00A03ABE">
        <w:rPr>
          <w:rFonts w:asciiTheme="majorBidi" w:hAnsiTheme="majorBidi" w:cstheme="majorBidi"/>
          <w:color w:val="000000" w:themeColor="text1"/>
          <w:sz w:val="24"/>
          <w:szCs w:val="24"/>
        </w:rPr>
        <w:t>were</w:t>
      </w:r>
      <w:r w:rsidRPr="00A03ABE">
        <w:rPr>
          <w:rFonts w:asciiTheme="majorBidi" w:hAnsiTheme="majorBidi" w:cstheme="majorBidi"/>
          <w:color w:val="000000" w:themeColor="text1"/>
          <w:sz w:val="24"/>
          <w:szCs w:val="24"/>
        </w:rPr>
        <w:t xml:space="preserve"> achieved with an independent distributor. One of the factories reduced tariff risk and augmented sunk-cost and demand risk. The most just at the time was not to enter or not to enter but to make a sequence that would allow one to remain in control as the information is purchased. </w:t>
      </w:r>
    </w:p>
    <w:p w14:paraId="38C21527" w14:textId="1E6C5FF7" w:rsidR="00845429"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Conclusion</w:t>
      </w:r>
    </w:p>
    <w:p w14:paraId="08B2546F" w14:textId="155447B5" w:rsidR="00845429" w:rsidRPr="00A03ABE" w:rsidRDefault="004C5A3B" w:rsidP="004C5A3B">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The </w:t>
      </w:r>
      <w:r w:rsidR="00E23D8E" w:rsidRPr="00A03ABE">
        <w:rPr>
          <w:rFonts w:asciiTheme="majorBidi" w:hAnsiTheme="majorBidi" w:cstheme="majorBidi"/>
          <w:color w:val="000000" w:themeColor="text1"/>
          <w:sz w:val="24"/>
          <w:szCs w:val="24"/>
        </w:rPr>
        <w:t>big lesson</w:t>
      </w:r>
      <w:r w:rsidRPr="00A03ABE">
        <w:rPr>
          <w:rFonts w:asciiTheme="majorBidi" w:hAnsiTheme="majorBidi" w:cstheme="majorBidi"/>
          <w:color w:val="000000" w:themeColor="text1"/>
          <w:sz w:val="24"/>
          <w:szCs w:val="24"/>
        </w:rPr>
        <w:t xml:space="preserve"> was that market attractiveness is quite different </w:t>
      </w:r>
      <w:r w:rsidR="00373F9B" w:rsidRPr="00A03ABE">
        <w:rPr>
          <w:rFonts w:asciiTheme="majorBidi" w:hAnsiTheme="majorBidi" w:cstheme="majorBidi"/>
          <w:color w:val="000000" w:themeColor="text1"/>
          <w:sz w:val="24"/>
          <w:szCs w:val="24"/>
        </w:rPr>
        <w:t>from</w:t>
      </w:r>
      <w:r w:rsidRPr="00A03ABE">
        <w:rPr>
          <w:rFonts w:asciiTheme="majorBidi" w:hAnsiTheme="majorBidi" w:cstheme="majorBidi"/>
          <w:color w:val="000000" w:themeColor="text1"/>
          <w:sz w:val="24"/>
          <w:szCs w:val="24"/>
        </w:rPr>
        <w:t xml:space="preserve"> investment attractiveness. Indonesia can be attractive in terms of official sales and service and at the same time not conducive to immediate manufacturing. I also discovered that high-category development does not eliminate price, infrastructure</w:t>
      </w:r>
      <w:r w:rsidR="00373F9B"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competition. A good </w:t>
      </w:r>
      <w:r w:rsidR="00E23D8E" w:rsidRPr="00A03ABE">
        <w:rPr>
          <w:rFonts w:asciiTheme="majorBidi" w:hAnsiTheme="majorBidi" w:cstheme="majorBidi"/>
          <w:color w:val="000000" w:themeColor="text1"/>
          <w:sz w:val="24"/>
          <w:szCs w:val="24"/>
        </w:rPr>
        <w:t>international business</w:t>
      </w:r>
      <w:r w:rsidRPr="00A03ABE">
        <w:rPr>
          <w:rFonts w:asciiTheme="majorBidi" w:hAnsiTheme="majorBidi" w:cstheme="majorBidi"/>
          <w:color w:val="000000" w:themeColor="text1"/>
          <w:sz w:val="24"/>
          <w:szCs w:val="24"/>
        </w:rPr>
        <w:t xml:space="preserve"> suggestion should indicate </w:t>
      </w:r>
      <w:r w:rsidRPr="00A03ABE">
        <w:rPr>
          <w:rFonts w:asciiTheme="majorBidi" w:hAnsiTheme="majorBidi" w:cstheme="majorBidi"/>
          <w:color w:val="000000" w:themeColor="text1"/>
          <w:sz w:val="24"/>
          <w:szCs w:val="24"/>
        </w:rPr>
        <w:lastRenderedPageBreak/>
        <w:t>what the company ought to possess, what it might collaborate with, what evidence is absent, and what indicators in the future ought to modify the ruling.</w:t>
      </w:r>
    </w:p>
    <w:p w14:paraId="2BCF9C4C" w14:textId="79CD70EC" w:rsidR="004C5A3B" w:rsidRPr="00A03ABE" w:rsidRDefault="004B1BD0" w:rsidP="00046FCB">
      <w:pPr>
        <w:rPr>
          <w:rFonts w:ascii="Times New Roman" w:hAnsi="Times New Roman" w:cs="Times New Roman"/>
          <w:b/>
          <w:sz w:val="24"/>
          <w:szCs w:val="24"/>
          <w:u w:val="single"/>
        </w:rPr>
      </w:pPr>
      <w:r w:rsidRPr="00A03ABE">
        <w:rPr>
          <w:rFonts w:ascii="Times New Roman" w:hAnsi="Times New Roman" w:cs="Times New Roman"/>
          <w:b/>
          <w:sz w:val="24"/>
          <w:szCs w:val="24"/>
          <w:u w:val="single"/>
        </w:rPr>
        <w:t>Action plan</w:t>
      </w:r>
    </w:p>
    <w:p w14:paraId="72979B89" w14:textId="13C330FD" w:rsidR="00947047" w:rsidRPr="00A03ABE" w:rsidRDefault="00C16214" w:rsidP="004C5A3B">
      <w:pPr>
        <w:pStyle w:val="BodyText"/>
        <w:spacing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I shall also indicate the eligibility, the </w:t>
      </w:r>
      <w:r w:rsidR="001B4B1D" w:rsidRPr="00A03ABE">
        <w:rPr>
          <w:rFonts w:asciiTheme="majorBidi" w:hAnsiTheme="majorBidi" w:cstheme="majorBidi"/>
          <w:color w:val="000000" w:themeColor="text1"/>
          <w:sz w:val="24"/>
          <w:szCs w:val="24"/>
        </w:rPr>
        <w:t>cut-off</w:t>
      </w:r>
      <w:r w:rsidRPr="00A03ABE">
        <w:rPr>
          <w:rFonts w:asciiTheme="majorBidi" w:hAnsiTheme="majorBidi" w:cstheme="majorBidi"/>
          <w:color w:val="000000" w:themeColor="text1"/>
          <w:sz w:val="24"/>
          <w:szCs w:val="24"/>
        </w:rPr>
        <w:t xml:space="preserve"> of the evidence</w:t>
      </w:r>
      <w:r w:rsidR="001B4B1D" w:rsidRPr="00A03ABE">
        <w:rPr>
          <w:rFonts w:asciiTheme="majorBidi" w:hAnsiTheme="majorBidi" w:cstheme="majorBidi"/>
          <w:color w:val="000000" w:themeColor="text1"/>
          <w:sz w:val="24"/>
          <w:szCs w:val="24"/>
        </w:rPr>
        <w:t>,</w:t>
      </w:r>
      <w:r w:rsidRPr="00A03ABE">
        <w:rPr>
          <w:rFonts w:asciiTheme="majorBidi" w:hAnsiTheme="majorBidi" w:cstheme="majorBidi"/>
          <w:color w:val="000000" w:themeColor="text1"/>
          <w:sz w:val="24"/>
          <w:szCs w:val="24"/>
        </w:rPr>
        <w:t xml:space="preserve"> and other technicalities in subsequent searches. I will have a register of claims and evidence on the way, and I will have a register of opposing figures and use the same denominators. I will suggest a sort of test of prejudice, a test of the best argument, at least according to me. In matters of </w:t>
      </w:r>
      <w:r w:rsidR="001B4B1D" w:rsidRPr="00A03ABE">
        <w:rPr>
          <w:rFonts w:asciiTheme="majorBidi" w:hAnsiTheme="majorBidi" w:cstheme="majorBidi"/>
          <w:color w:val="000000" w:themeColor="text1"/>
          <w:sz w:val="24"/>
          <w:szCs w:val="24"/>
        </w:rPr>
        <w:t>law</w:t>
      </w:r>
      <w:r w:rsidRPr="00A03ABE">
        <w:rPr>
          <w:rFonts w:asciiTheme="majorBidi" w:hAnsiTheme="majorBidi" w:cstheme="majorBidi"/>
          <w:color w:val="000000" w:themeColor="text1"/>
          <w:sz w:val="24"/>
          <w:szCs w:val="24"/>
        </w:rPr>
        <w:t xml:space="preserve"> and regulation, I will differentiate between the issues and questions set down, as per the established requirements, and questions I will discuss with the professionals. I will also gate </w:t>
      </w:r>
      <w:r w:rsidR="001B4B1D" w:rsidRPr="00A03ABE">
        <w:rPr>
          <w:rFonts w:asciiTheme="majorBidi" w:hAnsiTheme="majorBidi" w:cstheme="majorBidi"/>
          <w:color w:val="000000" w:themeColor="text1"/>
          <w:sz w:val="24"/>
          <w:szCs w:val="24"/>
        </w:rPr>
        <w:t>decisions</w:t>
      </w:r>
      <w:r w:rsidRPr="00A03ABE">
        <w:rPr>
          <w:rFonts w:asciiTheme="majorBidi" w:hAnsiTheme="majorBidi" w:cstheme="majorBidi"/>
          <w:color w:val="000000" w:themeColor="text1"/>
          <w:sz w:val="24"/>
          <w:szCs w:val="24"/>
        </w:rPr>
        <w:t xml:space="preserve"> before I write the conclusion; it will be followed by recommendations to evidence, risk ownership and follow-up.</w:t>
      </w:r>
    </w:p>
    <w:p w14:paraId="7BAB4295" w14:textId="77777777" w:rsidR="00947047" w:rsidRPr="00A03ABE" w:rsidRDefault="00947047" w:rsidP="005C0D44">
      <w:pPr>
        <w:pStyle w:val="BodyText"/>
        <w:spacing w:line="360" w:lineRule="auto"/>
        <w:jc w:val="both"/>
        <w:rPr>
          <w:rFonts w:asciiTheme="majorBidi" w:hAnsiTheme="majorBidi" w:cstheme="majorBidi"/>
          <w:color w:val="000000" w:themeColor="text1"/>
          <w:sz w:val="24"/>
          <w:szCs w:val="24"/>
        </w:rPr>
      </w:pPr>
    </w:p>
    <w:p w14:paraId="3E7B3FFC" w14:textId="61D64DA0" w:rsidR="00A42AF2" w:rsidRPr="00A03ABE" w:rsidRDefault="00A42AF2">
      <w:pPr>
        <w:spacing w:after="200"/>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br w:type="page"/>
      </w:r>
    </w:p>
    <w:p w14:paraId="756CEC0E" w14:textId="77777777" w:rsidR="00947047" w:rsidRPr="00A03ABE" w:rsidRDefault="00947047" w:rsidP="00046FCB">
      <w:pPr>
        <w:pStyle w:val="Heading1"/>
      </w:pPr>
    </w:p>
    <w:p w14:paraId="356E2C69" w14:textId="40C9E539" w:rsidR="00414A5A" w:rsidRPr="00A03ABE" w:rsidRDefault="004B1BD0" w:rsidP="00414A5A">
      <w:pPr>
        <w:pStyle w:val="Heading1"/>
      </w:pPr>
      <w:bookmarkStart w:id="15" w:name="_Toc237559448"/>
      <w:r w:rsidRPr="00A03ABE">
        <w:t>Reference List</w:t>
      </w:r>
      <w:bookmarkEnd w:id="15"/>
    </w:p>
    <w:p w14:paraId="5EAA9A26" w14:textId="77777777" w:rsidR="00414A5A" w:rsidRPr="00A03ABE" w:rsidRDefault="00414A5A" w:rsidP="00CA48AA">
      <w:pPr>
        <w:spacing w:after="80" w:line="360" w:lineRule="auto"/>
        <w:jc w:val="both"/>
        <w:rPr>
          <w:rFonts w:asciiTheme="majorBidi" w:hAnsiTheme="majorBidi" w:cstheme="majorBidi"/>
          <w:sz w:val="24"/>
          <w:szCs w:val="24"/>
        </w:rPr>
      </w:pPr>
      <w:r w:rsidRPr="00A03ABE">
        <w:rPr>
          <w:rFonts w:asciiTheme="majorBidi" w:hAnsiTheme="majorBidi" w:cstheme="majorBidi"/>
          <w:sz w:val="24"/>
          <w:szCs w:val="24"/>
        </w:rPr>
        <w:t xml:space="preserve">Bartlett, C.A. and Ghoshal, S. (1989) </w:t>
      </w:r>
      <w:r w:rsidRPr="00A03ABE">
        <w:rPr>
          <w:rFonts w:asciiTheme="majorBidi" w:hAnsiTheme="majorBidi" w:cstheme="majorBidi"/>
          <w:i/>
          <w:sz w:val="24"/>
          <w:szCs w:val="24"/>
        </w:rPr>
        <w:t>Managing Across Borders</w:t>
      </w:r>
      <w:r w:rsidRPr="00A03ABE">
        <w:rPr>
          <w:rFonts w:asciiTheme="majorBidi" w:hAnsiTheme="majorBidi" w:cstheme="majorBidi"/>
          <w:sz w:val="24"/>
          <w:szCs w:val="24"/>
        </w:rPr>
        <w:t>: The Transnational Solution. Boston, MA: Harvard Business School Press.</w:t>
      </w:r>
    </w:p>
    <w:p w14:paraId="51E8941F"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Beatriz, B. da C.C., Floriani, D. and Amal, M. (2020). The OLI paradigm as a comprehensive model of FDI determinants: A sub-national approach. </w:t>
      </w:r>
      <w:r w:rsidRPr="00A03ABE">
        <w:rPr>
          <w:rFonts w:asciiTheme="majorBidi" w:hAnsiTheme="majorBidi" w:cstheme="majorBidi"/>
          <w:i/>
          <w:iCs/>
          <w:color w:val="000000" w:themeColor="text1"/>
          <w:sz w:val="24"/>
          <w:szCs w:val="24"/>
        </w:rPr>
        <w:t>International Journal of Emerging Markets</w:t>
      </w:r>
      <w:r w:rsidRPr="00A03ABE">
        <w:rPr>
          <w:rFonts w:asciiTheme="majorBidi" w:hAnsiTheme="majorBidi" w:cstheme="majorBidi"/>
          <w:color w:val="000000" w:themeColor="text1"/>
          <w:sz w:val="24"/>
          <w:szCs w:val="24"/>
        </w:rPr>
        <w:t>, [online] 17(1), pp.145–176. doi:10.1108/IJOEM-07-2019-0517.</w:t>
      </w:r>
    </w:p>
    <w:p w14:paraId="62874DD0"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Benito, G.R.G., Cuervo-Cazurra, A., Mudambi, R., Pedersen, T. and Tallman, S. (2022) 'The future of global strategy', </w:t>
      </w:r>
      <w:r w:rsidRPr="00A03ABE">
        <w:rPr>
          <w:rFonts w:asciiTheme="majorBidi" w:hAnsiTheme="majorBidi" w:cstheme="majorBidi"/>
          <w:i/>
          <w:color w:val="000000" w:themeColor="text1"/>
          <w:sz w:val="24"/>
          <w:szCs w:val="24"/>
        </w:rPr>
        <w:t>Global Strategy Journal,</w:t>
      </w:r>
      <w:r w:rsidRPr="00A03ABE">
        <w:rPr>
          <w:rFonts w:asciiTheme="majorBidi" w:hAnsiTheme="majorBidi" w:cstheme="majorBidi"/>
          <w:color w:val="000000" w:themeColor="text1"/>
          <w:sz w:val="24"/>
          <w:szCs w:val="24"/>
        </w:rPr>
        <w:t xml:space="preserve"> 12(3), pp. 421-450. doi: 10.1002/gsj.1464.</w:t>
      </w:r>
    </w:p>
    <w:p w14:paraId="7BC11B9F"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Brouthers, K.D., Chen, L., Li, S. and Shaheer, N. (2022) 'Charting new courses to enter foreign markets: Conceptualization, theoretical framework, and research directions on non-traditional entry modes', </w:t>
      </w:r>
      <w:r w:rsidRPr="00A03ABE">
        <w:rPr>
          <w:rFonts w:asciiTheme="majorBidi" w:hAnsiTheme="majorBidi" w:cstheme="majorBidi"/>
          <w:i/>
          <w:color w:val="000000" w:themeColor="text1"/>
          <w:sz w:val="24"/>
          <w:szCs w:val="24"/>
        </w:rPr>
        <w:t>Journal of International Business Studies</w:t>
      </w:r>
      <w:r w:rsidRPr="00A03ABE">
        <w:rPr>
          <w:rFonts w:asciiTheme="majorBidi" w:hAnsiTheme="majorBidi" w:cstheme="majorBidi"/>
          <w:color w:val="000000" w:themeColor="text1"/>
          <w:sz w:val="24"/>
          <w:szCs w:val="24"/>
        </w:rPr>
        <w:t>, 53(9), pp. 2088-2115. doi: 10.1057/s41267-022-00521-x.</w:t>
      </w:r>
    </w:p>
    <w:p w14:paraId="3A4D94A7" w14:textId="0455E629"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Calle, A., Freije, I. and Oyarbide, A. (2021). Digital product–service innovation and sustainability: A multiple-case study in the capital goods industry. </w:t>
      </w:r>
      <w:r w:rsidRPr="00A03ABE">
        <w:rPr>
          <w:rFonts w:asciiTheme="majorBidi" w:hAnsiTheme="majorBidi" w:cstheme="majorBidi"/>
          <w:i/>
          <w:iCs/>
          <w:color w:val="000000" w:themeColor="text1"/>
          <w:sz w:val="24"/>
          <w:szCs w:val="24"/>
        </w:rPr>
        <w:t>Sustainability</w:t>
      </w:r>
      <w:r w:rsidRPr="00A03ABE">
        <w:rPr>
          <w:rFonts w:asciiTheme="majorBidi" w:hAnsiTheme="majorBidi" w:cstheme="majorBidi"/>
          <w:color w:val="000000" w:themeColor="text1"/>
          <w:sz w:val="24"/>
          <w:szCs w:val="24"/>
        </w:rPr>
        <w:t xml:space="preserve">, [online] 13(11), </w:t>
      </w:r>
      <w:r w:rsidR="008D6F47" w:rsidRPr="00A03ABE">
        <w:rPr>
          <w:rFonts w:asciiTheme="majorBidi" w:hAnsiTheme="majorBidi" w:cstheme="majorBidi"/>
          <w:color w:val="000000" w:themeColor="text1"/>
          <w:sz w:val="24"/>
          <w:szCs w:val="24"/>
        </w:rPr>
        <w:t>p</w:t>
      </w:r>
      <w:r w:rsidRPr="00A03ABE">
        <w:rPr>
          <w:rFonts w:asciiTheme="majorBidi" w:hAnsiTheme="majorBidi" w:cstheme="majorBidi"/>
          <w:color w:val="000000" w:themeColor="text1"/>
          <w:sz w:val="24"/>
          <w:szCs w:val="24"/>
        </w:rPr>
        <w:t>p.6342. doi:10.3390/su13116342.</w:t>
      </w:r>
    </w:p>
    <w:p w14:paraId="4D4CA81A"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Cantwell, J. and Narula, R. (2001) 'The eclectic paradigm in the global economy', </w:t>
      </w:r>
      <w:r w:rsidRPr="00A03ABE">
        <w:rPr>
          <w:rFonts w:asciiTheme="majorBidi" w:hAnsiTheme="majorBidi" w:cstheme="majorBidi"/>
          <w:i/>
          <w:color w:val="000000" w:themeColor="text1"/>
          <w:sz w:val="24"/>
          <w:szCs w:val="24"/>
        </w:rPr>
        <w:t>International Journal of the Economics of Busines</w:t>
      </w:r>
      <w:r w:rsidRPr="00A03ABE">
        <w:rPr>
          <w:rFonts w:asciiTheme="majorBidi" w:hAnsiTheme="majorBidi" w:cstheme="majorBidi"/>
          <w:color w:val="000000" w:themeColor="text1"/>
          <w:sz w:val="24"/>
          <w:szCs w:val="24"/>
        </w:rPr>
        <w:t>s, 8(2), pp. 155-172. doi: 10.1080/13571510110051504.</w:t>
      </w:r>
    </w:p>
    <w:p w14:paraId="10D9DAB2" w14:textId="61CE4506"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Charo, C., Boothman, S.G. and Graham, J. D (2025). The rise and recent decline of Tesla’s share of the U.S. Electric vehicle market. </w:t>
      </w:r>
      <w:r w:rsidRPr="00A03ABE">
        <w:rPr>
          <w:rFonts w:asciiTheme="majorBidi" w:hAnsiTheme="majorBidi" w:cstheme="majorBidi"/>
          <w:i/>
          <w:iCs/>
          <w:color w:val="000000" w:themeColor="text1"/>
          <w:sz w:val="24"/>
          <w:szCs w:val="24"/>
        </w:rPr>
        <w:t>World Electric Vehicle Journal</w:t>
      </w:r>
      <w:r w:rsidRPr="00A03ABE">
        <w:rPr>
          <w:rFonts w:asciiTheme="majorBidi" w:hAnsiTheme="majorBidi" w:cstheme="majorBidi"/>
          <w:color w:val="000000" w:themeColor="text1"/>
          <w:sz w:val="24"/>
          <w:szCs w:val="24"/>
        </w:rPr>
        <w:t xml:space="preserve">, [online] 16(2), </w:t>
      </w:r>
      <w:r w:rsidR="008D6F47" w:rsidRPr="00A03ABE">
        <w:rPr>
          <w:rFonts w:asciiTheme="majorBidi" w:hAnsiTheme="majorBidi" w:cstheme="majorBidi"/>
          <w:color w:val="000000" w:themeColor="text1"/>
          <w:sz w:val="24"/>
          <w:szCs w:val="24"/>
        </w:rPr>
        <w:t>p</w:t>
      </w:r>
      <w:r w:rsidRPr="00A03ABE">
        <w:rPr>
          <w:rFonts w:asciiTheme="majorBidi" w:hAnsiTheme="majorBidi" w:cstheme="majorBidi"/>
          <w:color w:val="000000" w:themeColor="text1"/>
          <w:sz w:val="24"/>
          <w:szCs w:val="24"/>
        </w:rPr>
        <w:t>p.90. doi:10.3390/wevj16020090.</w:t>
      </w:r>
    </w:p>
    <w:p w14:paraId="10A78BB3"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Chen, Y., Chowdhury, S.D. and Donada, C. (2019) 'Mirroring hypothesis and integrality: Evidence from Tesla Motors', </w:t>
      </w:r>
      <w:r w:rsidRPr="00A03ABE">
        <w:rPr>
          <w:rFonts w:asciiTheme="majorBidi" w:hAnsiTheme="majorBidi" w:cstheme="majorBidi"/>
          <w:i/>
          <w:color w:val="000000" w:themeColor="text1"/>
          <w:sz w:val="24"/>
          <w:szCs w:val="24"/>
        </w:rPr>
        <w:t>Journal of Engineering and Technology Management</w:t>
      </w:r>
      <w:r w:rsidRPr="00A03ABE">
        <w:rPr>
          <w:rFonts w:asciiTheme="majorBidi" w:hAnsiTheme="majorBidi" w:cstheme="majorBidi"/>
          <w:color w:val="000000" w:themeColor="text1"/>
          <w:sz w:val="24"/>
          <w:szCs w:val="24"/>
        </w:rPr>
        <w:t>, 54, pp. 41-55. doi: 10.1016/j.jengtecman.2019.09.001.</w:t>
      </w:r>
    </w:p>
    <w:p w14:paraId="06A70BE0" w14:textId="476C1478"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Damanik, N., Octavia, R.C. and Hakam, D.F. (2024) 'Powering Indonesia's future: Reviewing the road to electric vehicles through infrastructure, policy, and economic growth', </w:t>
      </w:r>
      <w:r w:rsidRPr="00A03ABE">
        <w:rPr>
          <w:rFonts w:asciiTheme="majorBidi" w:hAnsiTheme="majorBidi" w:cstheme="majorBidi"/>
          <w:i/>
          <w:color w:val="000000" w:themeColor="text1"/>
          <w:sz w:val="24"/>
          <w:szCs w:val="24"/>
        </w:rPr>
        <w:t>Energies</w:t>
      </w:r>
      <w:r w:rsidRPr="00A03ABE">
        <w:rPr>
          <w:rFonts w:asciiTheme="majorBidi" w:hAnsiTheme="majorBidi" w:cstheme="majorBidi"/>
          <w:color w:val="000000" w:themeColor="text1"/>
          <w:sz w:val="24"/>
          <w:szCs w:val="24"/>
        </w:rPr>
        <w:t xml:space="preserve">, 17(24), </w:t>
      </w:r>
      <w:r w:rsidR="008D6F47" w:rsidRPr="00A03ABE">
        <w:rPr>
          <w:rFonts w:asciiTheme="majorBidi" w:hAnsiTheme="majorBidi" w:cstheme="majorBidi"/>
          <w:color w:val="000000" w:themeColor="text1"/>
          <w:sz w:val="24"/>
          <w:szCs w:val="24"/>
        </w:rPr>
        <w:t xml:space="preserve">pp. </w:t>
      </w:r>
      <w:r w:rsidRPr="00A03ABE">
        <w:rPr>
          <w:rFonts w:asciiTheme="majorBidi" w:hAnsiTheme="majorBidi" w:cstheme="majorBidi"/>
          <w:color w:val="000000" w:themeColor="text1"/>
          <w:sz w:val="24"/>
          <w:szCs w:val="24"/>
        </w:rPr>
        <w:t>6408. doi: 10.3390/en17246408.</w:t>
      </w:r>
    </w:p>
    <w:p w14:paraId="517F4C8B" w14:textId="09BE2DF3"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Damanik, N., Saraswani, R., Hakam, D.F. and Mentari, D.M. (2025) 'A comprehensive analysis of the economic implications, challenges, and opportunities of electric vehicle adoption in Indonesia', </w:t>
      </w:r>
      <w:r w:rsidRPr="00A03ABE">
        <w:rPr>
          <w:rFonts w:asciiTheme="majorBidi" w:hAnsiTheme="majorBidi" w:cstheme="majorBidi"/>
          <w:i/>
          <w:color w:val="000000" w:themeColor="text1"/>
          <w:sz w:val="24"/>
          <w:szCs w:val="24"/>
        </w:rPr>
        <w:t>Energies</w:t>
      </w:r>
      <w:r w:rsidRPr="00A03ABE">
        <w:rPr>
          <w:rFonts w:asciiTheme="majorBidi" w:hAnsiTheme="majorBidi" w:cstheme="majorBidi"/>
          <w:color w:val="000000" w:themeColor="text1"/>
          <w:sz w:val="24"/>
          <w:szCs w:val="24"/>
        </w:rPr>
        <w:t>, 18(6</w:t>
      </w:r>
      <w:r w:rsidR="00A03ABE" w:rsidRPr="00A03ABE">
        <w:rPr>
          <w:rFonts w:asciiTheme="majorBidi" w:hAnsiTheme="majorBidi" w:cstheme="majorBidi"/>
          <w:color w:val="000000" w:themeColor="text1"/>
          <w:sz w:val="24"/>
          <w:szCs w:val="24"/>
        </w:rPr>
        <w:t>), pp.</w:t>
      </w:r>
      <w:r w:rsidRPr="00A03ABE">
        <w:rPr>
          <w:rFonts w:asciiTheme="majorBidi" w:hAnsiTheme="majorBidi" w:cstheme="majorBidi"/>
          <w:color w:val="000000" w:themeColor="text1"/>
          <w:sz w:val="24"/>
          <w:szCs w:val="24"/>
        </w:rPr>
        <w:t xml:space="preserve"> 1384. doi: 10.3390/en18061384.</w:t>
      </w:r>
    </w:p>
    <w:p w14:paraId="1BA844DE"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Ezezika, O. and Johnston, N. (2023) 'Development and implementation of a reflective writing assignment for undergraduate students in a large public health biology course', </w:t>
      </w:r>
      <w:r w:rsidRPr="00A03ABE">
        <w:rPr>
          <w:rFonts w:asciiTheme="majorBidi" w:hAnsiTheme="majorBidi" w:cstheme="majorBidi"/>
          <w:i/>
          <w:color w:val="000000" w:themeColor="text1"/>
          <w:sz w:val="24"/>
          <w:szCs w:val="24"/>
        </w:rPr>
        <w:t>Pedagogy in Health Promotion</w:t>
      </w:r>
      <w:r w:rsidRPr="00A03ABE">
        <w:rPr>
          <w:rFonts w:asciiTheme="majorBidi" w:hAnsiTheme="majorBidi" w:cstheme="majorBidi"/>
          <w:color w:val="000000" w:themeColor="text1"/>
          <w:sz w:val="24"/>
          <w:szCs w:val="24"/>
        </w:rPr>
        <w:t>, 9(2), pp. 101-115. doi: 10.1177/23733799211069993.</w:t>
      </w:r>
    </w:p>
    <w:p w14:paraId="2166C05B" w14:textId="75188AE8"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lastRenderedPageBreak/>
        <w:t xml:space="preserve">Febransyah, A. (2021) 'Predicting purchase intention towards battery electric vehicles: A case of Indonesian market', </w:t>
      </w:r>
      <w:r w:rsidRPr="00A03ABE">
        <w:rPr>
          <w:rFonts w:asciiTheme="majorBidi" w:hAnsiTheme="majorBidi" w:cstheme="majorBidi"/>
          <w:i/>
          <w:color w:val="000000" w:themeColor="text1"/>
          <w:sz w:val="24"/>
          <w:szCs w:val="24"/>
        </w:rPr>
        <w:t>World Electric Vehicle Journal</w:t>
      </w:r>
      <w:r w:rsidRPr="00A03ABE">
        <w:rPr>
          <w:rFonts w:asciiTheme="majorBidi" w:hAnsiTheme="majorBidi" w:cstheme="majorBidi"/>
          <w:color w:val="000000" w:themeColor="text1"/>
          <w:sz w:val="24"/>
          <w:szCs w:val="24"/>
        </w:rPr>
        <w:t xml:space="preserve">, 12(4), </w:t>
      </w:r>
      <w:r w:rsidR="008D6F47" w:rsidRPr="00A03ABE">
        <w:rPr>
          <w:rFonts w:asciiTheme="majorBidi" w:hAnsiTheme="majorBidi" w:cstheme="majorBidi"/>
          <w:color w:val="000000" w:themeColor="text1"/>
          <w:sz w:val="24"/>
          <w:szCs w:val="24"/>
        </w:rPr>
        <w:t xml:space="preserve">pp. </w:t>
      </w:r>
      <w:r w:rsidRPr="00A03ABE">
        <w:rPr>
          <w:rFonts w:asciiTheme="majorBidi" w:hAnsiTheme="majorBidi" w:cstheme="majorBidi"/>
          <w:color w:val="000000" w:themeColor="text1"/>
          <w:sz w:val="24"/>
          <w:szCs w:val="24"/>
        </w:rPr>
        <w:t>240. doi: 10.3390/wevj12040240.</w:t>
      </w:r>
    </w:p>
    <w:p w14:paraId="7DEE3660"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Guild, J. (2023) 'When will Tesla make a move in Indonesia?', East Asia Forum, 10 October. Available at: https://eastasiaforum.org/2023/10/10/when-will-tesla-make-a-move-in-indonesia/ (Accessed: 5 August 2026).</w:t>
      </w:r>
    </w:p>
    <w:p w14:paraId="36A9007B" w14:textId="7F16101F"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Hakam, D.F. and Jumayla, S. (2024) 'Electric vehicle adoption in Indonesia: Lessons learned from developed and developing coun</w:t>
      </w:r>
      <w:r w:rsidR="008D6F47" w:rsidRPr="00A03ABE">
        <w:rPr>
          <w:rFonts w:asciiTheme="majorBidi" w:hAnsiTheme="majorBidi" w:cstheme="majorBidi"/>
          <w:color w:val="000000" w:themeColor="text1"/>
          <w:sz w:val="24"/>
          <w:szCs w:val="24"/>
        </w:rPr>
        <w:t xml:space="preserve">tries', Sustainable Futures, 8, pp. </w:t>
      </w:r>
      <w:r w:rsidRPr="00A03ABE">
        <w:rPr>
          <w:rFonts w:asciiTheme="majorBidi" w:hAnsiTheme="majorBidi" w:cstheme="majorBidi"/>
          <w:color w:val="000000" w:themeColor="text1"/>
          <w:sz w:val="24"/>
          <w:szCs w:val="24"/>
        </w:rPr>
        <w:t>100348. doi: 10.1016/j.sftr.2024.100348.</w:t>
      </w:r>
    </w:p>
    <w:p w14:paraId="0C842F0D" w14:textId="77777777" w:rsidR="00414A5A" w:rsidRPr="00A03ABE" w:rsidRDefault="00414A5A" w:rsidP="00CD3445">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Han, J. (2021). How does Tesla Motors achieve competitive advantage in the global automobile industry?. </w:t>
      </w:r>
      <w:r w:rsidRPr="00A03ABE">
        <w:rPr>
          <w:rFonts w:asciiTheme="majorBidi" w:hAnsiTheme="majorBidi" w:cstheme="majorBidi"/>
          <w:i/>
          <w:color w:val="000000" w:themeColor="text1"/>
          <w:sz w:val="24"/>
          <w:szCs w:val="24"/>
        </w:rPr>
        <w:t>Journal of Next-generation Convergence Information Services Technology</w:t>
      </w:r>
      <w:r w:rsidRPr="00A03ABE">
        <w:rPr>
          <w:rFonts w:asciiTheme="majorBidi" w:hAnsiTheme="majorBidi" w:cstheme="majorBidi"/>
          <w:color w:val="000000" w:themeColor="text1"/>
          <w:sz w:val="24"/>
          <w:szCs w:val="24"/>
        </w:rPr>
        <w:t xml:space="preserve"> Vol, 10(5), pp.573-582.</w:t>
      </w:r>
    </w:p>
    <w:p w14:paraId="460DBA53" w14:textId="63D092D1"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Handrea, Ruly Bayu Sitanggang, Muhammad Muslih Mafruddin, Oksa Prasetyawan, Kensianesi Kensianesi, Istiqomah Istiqomah, Nur Cahyo and Fefria Tanbar (2023). Initial location selection of electric vehicles charging infrastructure in urban city through clustering algorithm. </w:t>
      </w:r>
      <w:r w:rsidRPr="00A03ABE">
        <w:rPr>
          <w:rFonts w:asciiTheme="majorBidi" w:hAnsiTheme="majorBidi" w:cstheme="majorBidi"/>
          <w:i/>
          <w:iCs/>
          <w:color w:val="000000" w:themeColor="text1"/>
          <w:sz w:val="24"/>
          <w:szCs w:val="24"/>
        </w:rPr>
        <w:t>International Journal of Power Electronics and Drive Systems/International Journal of Electrical and Computer Engineering</w:t>
      </w:r>
      <w:r w:rsidRPr="00A03ABE">
        <w:rPr>
          <w:rFonts w:asciiTheme="majorBidi" w:hAnsiTheme="majorBidi" w:cstheme="majorBidi"/>
          <w:color w:val="000000" w:themeColor="text1"/>
          <w:sz w:val="24"/>
          <w:szCs w:val="24"/>
        </w:rPr>
        <w:t>, 13(3), pp.3266–3266. doi:10.11591/</w:t>
      </w:r>
      <w:r w:rsidR="008D6F47" w:rsidRPr="00A03ABE">
        <w:rPr>
          <w:rFonts w:asciiTheme="majorBidi" w:hAnsiTheme="majorBidi" w:cstheme="majorBidi"/>
          <w:color w:val="000000" w:themeColor="text1"/>
          <w:sz w:val="24"/>
          <w:szCs w:val="24"/>
        </w:rPr>
        <w:t xml:space="preserve">ijece. v13i3, pp. </w:t>
      </w:r>
      <w:r w:rsidRPr="00A03ABE">
        <w:rPr>
          <w:rFonts w:asciiTheme="majorBidi" w:hAnsiTheme="majorBidi" w:cstheme="majorBidi"/>
          <w:color w:val="000000" w:themeColor="text1"/>
          <w:sz w:val="24"/>
          <w:szCs w:val="24"/>
        </w:rPr>
        <w:t>3266-3280.</w:t>
      </w:r>
    </w:p>
    <w:p w14:paraId="17B1C943" w14:textId="3480E0C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Hu, S., Liu, S., Li, D. and Lin, Y. (2019). How does regional innovation capacity affect the green growth performance? Empirical evidence from China. </w:t>
      </w:r>
      <w:r w:rsidRPr="00A03ABE">
        <w:rPr>
          <w:rFonts w:asciiTheme="majorBidi" w:hAnsiTheme="majorBidi" w:cstheme="majorBidi"/>
          <w:i/>
          <w:iCs/>
          <w:color w:val="000000" w:themeColor="text1"/>
          <w:sz w:val="24"/>
          <w:szCs w:val="24"/>
        </w:rPr>
        <w:t>Sustainability</w:t>
      </w:r>
      <w:r w:rsidRPr="00A03ABE">
        <w:rPr>
          <w:rFonts w:asciiTheme="majorBidi" w:hAnsiTheme="majorBidi" w:cstheme="majorBidi"/>
          <w:color w:val="000000" w:themeColor="text1"/>
          <w:sz w:val="24"/>
          <w:szCs w:val="24"/>
        </w:rPr>
        <w:t>, [online] 11(18), p</w:t>
      </w:r>
      <w:r w:rsidR="008D6F47" w:rsidRPr="00A03ABE">
        <w:rPr>
          <w:rFonts w:asciiTheme="majorBidi" w:hAnsiTheme="majorBidi" w:cstheme="majorBidi"/>
          <w:color w:val="000000" w:themeColor="text1"/>
          <w:sz w:val="24"/>
          <w:szCs w:val="24"/>
        </w:rPr>
        <w:t>p</w:t>
      </w:r>
      <w:r w:rsidRPr="00A03ABE">
        <w:rPr>
          <w:rFonts w:asciiTheme="majorBidi" w:hAnsiTheme="majorBidi" w:cstheme="majorBidi"/>
          <w:color w:val="000000" w:themeColor="text1"/>
          <w:sz w:val="24"/>
          <w:szCs w:val="24"/>
        </w:rPr>
        <w:t>.5084. doi:10.3390/su11185084.</w:t>
      </w:r>
    </w:p>
    <w:p w14:paraId="1A82D148"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International Energy Agency (IEA) (2026) 'Trends in electric cars', Global EV Outlook 2026. Available at: https://www.iea.org/reports/global-ev-outlook-2026/trends-in-electric-cars (Accessed: 26 July 2026).</w:t>
      </w:r>
    </w:p>
    <w:p w14:paraId="27A364A4"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Jakarta Globe (2026) 'PLN ensures power supply, charging stations for Eid holidays', 14 March. Available at: https://jakartaglobe.id/special-updates/pln-ensures-power-supply-charging-stations-for-eid-holidays (Accessed: 5 August 2026).</w:t>
      </w:r>
    </w:p>
    <w:p w14:paraId="4258A4DF" w14:textId="77777777" w:rsidR="00414A5A" w:rsidRPr="00A03ABE" w:rsidRDefault="00414A5A" w:rsidP="003F443C">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Lang, J.W., Reber, B. and Aldori, H. (2021). How Tesla created advantages in the EV automotive paradigm, through an integrated business model of value capture and value creation</w:t>
      </w:r>
      <w:r w:rsidRPr="00A03ABE">
        <w:rPr>
          <w:rFonts w:asciiTheme="majorBidi" w:hAnsiTheme="majorBidi" w:cstheme="majorBidi"/>
          <w:i/>
          <w:color w:val="000000" w:themeColor="text1"/>
          <w:sz w:val="24"/>
          <w:szCs w:val="24"/>
        </w:rPr>
        <w:t>. Business &amp; Management Studies: An International Journal</w:t>
      </w:r>
      <w:r w:rsidRPr="00A03ABE">
        <w:rPr>
          <w:rFonts w:asciiTheme="majorBidi" w:hAnsiTheme="majorBidi" w:cstheme="majorBidi"/>
          <w:color w:val="000000" w:themeColor="text1"/>
          <w:sz w:val="24"/>
          <w:szCs w:val="24"/>
        </w:rPr>
        <w:t>, 9(1), pp.385-404.</w:t>
      </w:r>
    </w:p>
    <w:p w14:paraId="5DB9C8D1" w14:textId="61AA8366"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Lazuardy, A., Nurcahyo, R., Kristiningrum, E., Ma'aram, A., Farizal, Aqmarina, S.N. and Rajabi, M.F. (2024) 'Technological, environmental, economic, and regulation barriers to electric vehicle adoption: Evidence from Indonesia', </w:t>
      </w:r>
      <w:r w:rsidRPr="00A03ABE">
        <w:rPr>
          <w:rFonts w:asciiTheme="majorBidi" w:hAnsiTheme="majorBidi" w:cstheme="majorBidi"/>
          <w:i/>
          <w:color w:val="000000" w:themeColor="text1"/>
          <w:sz w:val="24"/>
          <w:szCs w:val="24"/>
        </w:rPr>
        <w:t>World Electric Vehicle Journal</w:t>
      </w:r>
      <w:r w:rsidRPr="00A03ABE">
        <w:rPr>
          <w:rFonts w:asciiTheme="majorBidi" w:hAnsiTheme="majorBidi" w:cstheme="majorBidi"/>
          <w:color w:val="000000" w:themeColor="text1"/>
          <w:sz w:val="24"/>
          <w:szCs w:val="24"/>
        </w:rPr>
        <w:t xml:space="preserve">, 15(9), </w:t>
      </w:r>
      <w:r w:rsidR="008D6F47" w:rsidRPr="00A03ABE">
        <w:rPr>
          <w:rFonts w:asciiTheme="majorBidi" w:hAnsiTheme="majorBidi" w:cstheme="majorBidi"/>
          <w:color w:val="000000" w:themeColor="text1"/>
          <w:sz w:val="24"/>
          <w:szCs w:val="24"/>
        </w:rPr>
        <w:t>pp.</w:t>
      </w:r>
      <w:r w:rsidRPr="00A03ABE">
        <w:rPr>
          <w:rFonts w:asciiTheme="majorBidi" w:hAnsiTheme="majorBidi" w:cstheme="majorBidi"/>
          <w:color w:val="000000" w:themeColor="text1"/>
          <w:sz w:val="24"/>
          <w:szCs w:val="24"/>
        </w:rPr>
        <w:t>422. doi: 10.3390/wevj15090422.</w:t>
      </w:r>
    </w:p>
    <w:p w14:paraId="3B59D08B"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Li, H. (2023). Based on the Strategic Research and Analysis of Tesla. </w:t>
      </w:r>
      <w:r w:rsidRPr="00A03ABE">
        <w:rPr>
          <w:rFonts w:asciiTheme="majorBidi" w:hAnsiTheme="majorBidi" w:cstheme="majorBidi"/>
          <w:i/>
          <w:iCs/>
          <w:color w:val="000000" w:themeColor="text1"/>
          <w:sz w:val="24"/>
          <w:szCs w:val="24"/>
        </w:rPr>
        <w:t>Highlights in Business, Economics and Management</w:t>
      </w:r>
      <w:r w:rsidRPr="00A03ABE">
        <w:rPr>
          <w:rFonts w:asciiTheme="majorBidi" w:hAnsiTheme="majorBidi" w:cstheme="majorBidi"/>
          <w:color w:val="000000" w:themeColor="text1"/>
          <w:sz w:val="24"/>
          <w:szCs w:val="24"/>
        </w:rPr>
        <w:t>, 23, pp.1138–1146. doi:10.54097/t0qbn123.</w:t>
      </w:r>
    </w:p>
    <w:p w14:paraId="7FA23D6F"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lastRenderedPageBreak/>
        <w:t xml:space="preserve">Long, Z., Axsen, J., Miller, I. and Kormos, C. (2019) 'What does Tesla mean to car buyers? Exploring the role of automotive brand in perceptions of battery electric vehicles', </w:t>
      </w:r>
      <w:r w:rsidRPr="00A03ABE">
        <w:rPr>
          <w:rFonts w:asciiTheme="majorBidi" w:hAnsiTheme="majorBidi" w:cstheme="majorBidi"/>
          <w:i/>
          <w:color w:val="000000" w:themeColor="text1"/>
          <w:sz w:val="24"/>
          <w:szCs w:val="24"/>
        </w:rPr>
        <w:t>Transportation Research Part A: Policy and Practice</w:t>
      </w:r>
      <w:r w:rsidRPr="00A03ABE">
        <w:rPr>
          <w:rFonts w:asciiTheme="majorBidi" w:hAnsiTheme="majorBidi" w:cstheme="majorBidi"/>
          <w:color w:val="000000" w:themeColor="text1"/>
          <w:sz w:val="24"/>
          <w:szCs w:val="24"/>
        </w:rPr>
        <w:t>, 129, pp. 185-204. doi: 10.1016/j.tra.2019.08.006.</w:t>
      </w:r>
    </w:p>
    <w:p w14:paraId="0E1BBC78" w14:textId="63F03E3C"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Maghfiroh, M.F.N., Pandyaswargo, A.H. and Onoda, H. (2021) 'Current readiness status of electric vehicles in Indonesia: Multistakeholder perceptions', </w:t>
      </w:r>
      <w:r w:rsidRPr="00A03ABE">
        <w:rPr>
          <w:rFonts w:asciiTheme="majorBidi" w:hAnsiTheme="majorBidi" w:cstheme="majorBidi"/>
          <w:i/>
          <w:color w:val="000000" w:themeColor="text1"/>
          <w:sz w:val="24"/>
          <w:szCs w:val="24"/>
        </w:rPr>
        <w:t>Sustainability,</w:t>
      </w:r>
      <w:r w:rsidRPr="00A03ABE">
        <w:rPr>
          <w:rFonts w:asciiTheme="majorBidi" w:hAnsiTheme="majorBidi" w:cstheme="majorBidi"/>
          <w:color w:val="000000" w:themeColor="text1"/>
          <w:sz w:val="24"/>
          <w:szCs w:val="24"/>
        </w:rPr>
        <w:t xml:space="preserve"> 13(23</w:t>
      </w:r>
      <w:r w:rsidR="008D6F47" w:rsidRPr="00A03ABE">
        <w:rPr>
          <w:rFonts w:asciiTheme="majorBidi" w:hAnsiTheme="majorBidi" w:cstheme="majorBidi"/>
          <w:color w:val="000000" w:themeColor="text1"/>
          <w:sz w:val="24"/>
          <w:szCs w:val="24"/>
        </w:rPr>
        <w:t>), pp.</w:t>
      </w:r>
      <w:r w:rsidRPr="00A03ABE">
        <w:rPr>
          <w:rFonts w:asciiTheme="majorBidi" w:hAnsiTheme="majorBidi" w:cstheme="majorBidi"/>
          <w:color w:val="000000" w:themeColor="text1"/>
          <w:sz w:val="24"/>
          <w:szCs w:val="24"/>
        </w:rPr>
        <w:t>13177. doi: 10.3390/su132313177.</w:t>
      </w:r>
    </w:p>
    <w:p w14:paraId="591A05DC"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Moller Larsen, M., Birkinshaw, J., Zhou, Y.M. and Benito, G.R.G. (2023) 'Complexity and multinationals', </w:t>
      </w:r>
      <w:r w:rsidRPr="00A03ABE">
        <w:rPr>
          <w:rFonts w:asciiTheme="majorBidi" w:hAnsiTheme="majorBidi" w:cstheme="majorBidi"/>
          <w:i/>
          <w:color w:val="000000" w:themeColor="text1"/>
          <w:sz w:val="24"/>
          <w:szCs w:val="24"/>
        </w:rPr>
        <w:t>Global Strategy Journal</w:t>
      </w:r>
      <w:r w:rsidRPr="00A03ABE">
        <w:rPr>
          <w:rFonts w:asciiTheme="majorBidi" w:hAnsiTheme="majorBidi" w:cstheme="majorBidi"/>
          <w:color w:val="000000" w:themeColor="text1"/>
          <w:sz w:val="24"/>
          <w:szCs w:val="24"/>
        </w:rPr>
        <w:t>, 13(3), pp. 535-551. doi: 10.1002/gsj.1493.</w:t>
      </w:r>
    </w:p>
    <w:p w14:paraId="565FA096"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Nielsen, L. and Hestermeyer, H.P. (2014). The legality of local content measures under WTO law. </w:t>
      </w:r>
      <w:r w:rsidRPr="00A03ABE">
        <w:rPr>
          <w:rFonts w:asciiTheme="majorBidi" w:hAnsiTheme="majorBidi" w:cstheme="majorBidi"/>
          <w:i/>
          <w:iCs/>
          <w:color w:val="000000" w:themeColor="text1"/>
          <w:sz w:val="24"/>
          <w:szCs w:val="24"/>
        </w:rPr>
        <w:t>Journal of World Trade</w:t>
      </w:r>
      <w:r w:rsidRPr="00A03ABE">
        <w:rPr>
          <w:rFonts w:asciiTheme="majorBidi" w:hAnsiTheme="majorBidi" w:cstheme="majorBidi"/>
          <w:color w:val="000000" w:themeColor="text1"/>
          <w:sz w:val="24"/>
          <w:szCs w:val="24"/>
        </w:rPr>
        <w:t>, 48(Issue 3), pp.553–591. doi:10.54648/trad2014019.</w:t>
      </w:r>
    </w:p>
    <w:p w14:paraId="2DA08843"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Pirmana, V., Alisjahbana, A.S., Yusuf, A.A., Hoekstra, R. and Tukker, A. (2023) 'Economic and environmental impact of electric vehicles production in Indonesia', </w:t>
      </w:r>
      <w:r w:rsidRPr="00A03ABE">
        <w:rPr>
          <w:rFonts w:asciiTheme="majorBidi" w:hAnsiTheme="majorBidi" w:cstheme="majorBidi"/>
          <w:i/>
          <w:color w:val="000000" w:themeColor="text1"/>
          <w:sz w:val="24"/>
          <w:szCs w:val="24"/>
        </w:rPr>
        <w:t>Clean Technologies and Environmental Policy</w:t>
      </w:r>
      <w:r w:rsidRPr="00A03ABE">
        <w:rPr>
          <w:rFonts w:asciiTheme="majorBidi" w:hAnsiTheme="majorBidi" w:cstheme="majorBidi"/>
          <w:color w:val="000000" w:themeColor="text1"/>
          <w:sz w:val="24"/>
          <w:szCs w:val="24"/>
        </w:rPr>
        <w:t>, 25, pp. 1871-1885. doi: 10.1007/s10098-023-02475-6.</w:t>
      </w:r>
    </w:p>
    <w:p w14:paraId="02985027"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Rogalska, I. (2020). Perception of location factors by entrepreneurs and representatives of business environment institutions. </w:t>
      </w:r>
      <w:r w:rsidRPr="00A03ABE">
        <w:rPr>
          <w:rFonts w:asciiTheme="majorBidi" w:hAnsiTheme="majorBidi" w:cstheme="majorBidi"/>
          <w:i/>
          <w:iCs/>
          <w:color w:val="000000" w:themeColor="text1"/>
          <w:sz w:val="24"/>
          <w:szCs w:val="24"/>
        </w:rPr>
        <w:t>EUROPEAN RESEARCH STUDIES JOURNAL</w:t>
      </w:r>
      <w:r w:rsidRPr="00A03ABE">
        <w:rPr>
          <w:rFonts w:asciiTheme="majorBidi" w:hAnsiTheme="majorBidi" w:cstheme="majorBidi"/>
          <w:color w:val="000000" w:themeColor="text1"/>
          <w:sz w:val="24"/>
          <w:szCs w:val="24"/>
        </w:rPr>
        <w:t>, XXIII(Special Issue 1), pp.600–613. doi:10.35808/ersj/1780.</w:t>
      </w:r>
    </w:p>
    <w:p w14:paraId="2847AB88" w14:textId="2713BEE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Sasongko, T.W., Ciptomulyono, U., Wirjodirdjo, B. and Prastawa, A. (2024) 'Identification of electric vehicle adoption and production factors based on an ecosystem perspective in Indonesia', </w:t>
      </w:r>
      <w:r w:rsidRPr="00A03ABE">
        <w:rPr>
          <w:rFonts w:asciiTheme="majorBidi" w:hAnsiTheme="majorBidi" w:cstheme="majorBidi"/>
          <w:i/>
          <w:color w:val="000000" w:themeColor="text1"/>
          <w:sz w:val="24"/>
          <w:szCs w:val="24"/>
        </w:rPr>
        <w:t>Cogent Business &amp; Management</w:t>
      </w:r>
      <w:r w:rsidRPr="00A03ABE">
        <w:rPr>
          <w:rFonts w:asciiTheme="majorBidi" w:hAnsiTheme="majorBidi" w:cstheme="majorBidi"/>
          <w:color w:val="000000" w:themeColor="text1"/>
          <w:sz w:val="24"/>
          <w:szCs w:val="24"/>
        </w:rPr>
        <w:t>, 11(1</w:t>
      </w:r>
      <w:r w:rsidR="00A03ABE" w:rsidRPr="00A03ABE">
        <w:rPr>
          <w:rFonts w:asciiTheme="majorBidi" w:hAnsiTheme="majorBidi" w:cstheme="majorBidi"/>
          <w:color w:val="000000" w:themeColor="text1"/>
          <w:sz w:val="24"/>
          <w:szCs w:val="24"/>
        </w:rPr>
        <w:t>), pp.</w:t>
      </w:r>
      <w:r w:rsidR="008D6F47" w:rsidRPr="00A03ABE">
        <w:rPr>
          <w:rFonts w:asciiTheme="majorBidi" w:hAnsiTheme="majorBidi" w:cstheme="majorBidi"/>
          <w:color w:val="000000" w:themeColor="text1"/>
          <w:sz w:val="24"/>
          <w:szCs w:val="24"/>
        </w:rPr>
        <w:t xml:space="preserve"> </w:t>
      </w:r>
      <w:r w:rsidRPr="00A03ABE">
        <w:rPr>
          <w:rFonts w:asciiTheme="majorBidi" w:hAnsiTheme="majorBidi" w:cstheme="majorBidi"/>
          <w:color w:val="000000" w:themeColor="text1"/>
          <w:sz w:val="24"/>
          <w:szCs w:val="24"/>
        </w:rPr>
        <w:t xml:space="preserve"> 2332497. doi: 10.1080/23311975.2024.2332497.</w:t>
      </w:r>
    </w:p>
    <w:p w14:paraId="608C3F32" w14:textId="77777777" w:rsidR="00414A5A" w:rsidRPr="00A03ABE" w:rsidRDefault="00414A5A" w:rsidP="003F443C">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Sharmiladevi, J.C. (2017). Understanding Dunning's OLI paradigm. </w:t>
      </w:r>
      <w:r w:rsidRPr="00A03ABE">
        <w:rPr>
          <w:rFonts w:asciiTheme="majorBidi" w:hAnsiTheme="majorBidi" w:cstheme="majorBidi"/>
          <w:i/>
          <w:color w:val="000000" w:themeColor="text1"/>
          <w:sz w:val="24"/>
          <w:szCs w:val="24"/>
        </w:rPr>
        <w:t>Indian Journal of Commerce and Management Studies</w:t>
      </w:r>
      <w:r w:rsidRPr="00A03ABE">
        <w:rPr>
          <w:rFonts w:asciiTheme="majorBidi" w:hAnsiTheme="majorBidi" w:cstheme="majorBidi"/>
          <w:color w:val="000000" w:themeColor="text1"/>
          <w:sz w:val="24"/>
          <w:szCs w:val="24"/>
        </w:rPr>
        <w:t>, 8(3), pp.47.</w:t>
      </w:r>
    </w:p>
    <w:p w14:paraId="7F615A3F"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Syailendra, M.R., Lie, G. and Sudiro, A. (2024) 'Personal data protection law in Indonesia: Challenges and opportunities', Indonesia Law Review, 14(2), pp. 56-72. doi: 10.15742/ilrev.v14n2.4.</w:t>
      </w:r>
    </w:p>
    <w:p w14:paraId="54D0111B"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Teece, D.J. (2018) 'Tesla and the reshaping of the auto industry', </w:t>
      </w:r>
      <w:r w:rsidRPr="00A03ABE">
        <w:rPr>
          <w:rFonts w:asciiTheme="majorBidi" w:hAnsiTheme="majorBidi" w:cstheme="majorBidi"/>
          <w:i/>
          <w:color w:val="000000" w:themeColor="text1"/>
          <w:sz w:val="24"/>
          <w:szCs w:val="24"/>
        </w:rPr>
        <w:t>Management and Organization Review</w:t>
      </w:r>
      <w:r w:rsidRPr="00A03ABE">
        <w:rPr>
          <w:rFonts w:asciiTheme="majorBidi" w:hAnsiTheme="majorBidi" w:cstheme="majorBidi"/>
          <w:color w:val="000000" w:themeColor="text1"/>
          <w:sz w:val="24"/>
          <w:szCs w:val="24"/>
        </w:rPr>
        <w:t>, 14(3), pp. 501-512. doi: 10.1017/mor.2018.33.</w:t>
      </w:r>
    </w:p>
    <w:p w14:paraId="4D2D1A24" w14:textId="1A4C9CA5" w:rsidR="00414A5A" w:rsidRPr="00A03ABE" w:rsidRDefault="00414A5A" w:rsidP="00414A5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Tesla, Inc. (2026) </w:t>
      </w:r>
      <w:r w:rsidRPr="00A03ABE">
        <w:rPr>
          <w:rFonts w:asciiTheme="majorBidi" w:hAnsiTheme="majorBidi" w:cstheme="majorBidi"/>
          <w:i/>
          <w:iCs/>
          <w:color w:val="000000" w:themeColor="text1"/>
          <w:sz w:val="24"/>
          <w:szCs w:val="24"/>
        </w:rPr>
        <w:t>Annual Report on Form 10-K for the year ended 31 December 2025</w:t>
      </w:r>
      <w:r w:rsidRPr="00A03ABE">
        <w:rPr>
          <w:rFonts w:asciiTheme="majorBidi" w:hAnsiTheme="majorBidi" w:cstheme="majorBidi"/>
          <w:color w:val="000000" w:themeColor="text1"/>
          <w:sz w:val="24"/>
          <w:szCs w:val="24"/>
        </w:rPr>
        <w:t xml:space="preserve">. Available at: </w:t>
      </w:r>
      <w:hyperlink r:id="rId21" w:tgtFrame="_new" w:history="1">
        <w:r w:rsidRPr="00A03ABE">
          <w:rPr>
            <w:rStyle w:val="Hyperlink"/>
            <w:rFonts w:asciiTheme="majorBidi" w:hAnsiTheme="majorBidi" w:cstheme="majorBidi"/>
            <w:sz w:val="24"/>
            <w:szCs w:val="24"/>
          </w:rPr>
          <w:t>https://www.sec.gov/Archives/edgar/data/1318605/000162828026003952/tsla-20251231.htm</w:t>
        </w:r>
      </w:hyperlink>
      <w:r w:rsidR="008D6F47" w:rsidRPr="00A03ABE">
        <w:rPr>
          <w:rFonts w:asciiTheme="majorBidi" w:hAnsiTheme="majorBidi" w:cstheme="majorBidi"/>
          <w:color w:val="000000" w:themeColor="text1"/>
          <w:sz w:val="24"/>
          <w:szCs w:val="24"/>
        </w:rPr>
        <w:t xml:space="preserve"> (Accessed: 12</w:t>
      </w:r>
      <w:r w:rsidRPr="00A03ABE">
        <w:rPr>
          <w:rFonts w:asciiTheme="majorBidi" w:hAnsiTheme="majorBidi" w:cstheme="majorBidi"/>
          <w:color w:val="000000" w:themeColor="text1"/>
          <w:sz w:val="24"/>
          <w:szCs w:val="24"/>
        </w:rPr>
        <w:t xml:space="preserve"> August 2026).</w:t>
      </w:r>
    </w:p>
    <w:p w14:paraId="5650AF0B"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 xml:space="preserve">Thomas, V.J. and Maine, E. (2019) 'Market entry strategies for electric vehicle start-ups in the automotive industry - Lessons from Tesla Motors', </w:t>
      </w:r>
      <w:r w:rsidRPr="00A03ABE">
        <w:rPr>
          <w:rFonts w:asciiTheme="majorBidi" w:hAnsiTheme="majorBidi" w:cstheme="majorBidi"/>
          <w:i/>
          <w:color w:val="000000" w:themeColor="text1"/>
          <w:sz w:val="24"/>
          <w:szCs w:val="24"/>
        </w:rPr>
        <w:t>Journal of Cleaner Production</w:t>
      </w:r>
      <w:r w:rsidRPr="00A03ABE">
        <w:rPr>
          <w:rFonts w:asciiTheme="majorBidi" w:hAnsiTheme="majorBidi" w:cstheme="majorBidi"/>
          <w:color w:val="000000" w:themeColor="text1"/>
          <w:sz w:val="24"/>
          <w:szCs w:val="24"/>
        </w:rPr>
        <w:t>, 235, pp. 653-663. doi: 10.1016/j.jclepro.2019.06.284.</w:t>
      </w:r>
    </w:p>
    <w:p w14:paraId="70581C46"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lastRenderedPageBreak/>
        <w:t xml:space="preserve">Vahlne, J.-E. and Johanson, J. (2017) 'From internationalization to evolution: The Uppsala model at 40 years', </w:t>
      </w:r>
      <w:r w:rsidRPr="00A03ABE">
        <w:rPr>
          <w:rFonts w:asciiTheme="majorBidi" w:hAnsiTheme="majorBidi" w:cstheme="majorBidi"/>
          <w:i/>
          <w:color w:val="000000" w:themeColor="text1"/>
          <w:sz w:val="24"/>
          <w:szCs w:val="24"/>
        </w:rPr>
        <w:t>Journal of International Business Studies</w:t>
      </w:r>
      <w:r w:rsidRPr="00A03ABE">
        <w:rPr>
          <w:rFonts w:asciiTheme="majorBidi" w:hAnsiTheme="majorBidi" w:cstheme="majorBidi"/>
          <w:color w:val="000000" w:themeColor="text1"/>
          <w:sz w:val="24"/>
          <w:szCs w:val="24"/>
        </w:rPr>
        <w:t>, 48(9), pp. 1087-1102. doi: 10.1057/s41267-017-0107-7.</w:t>
      </w:r>
    </w:p>
    <w:p w14:paraId="7F419D1E"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Vinhas, A. and Heide, J.B. (2015). Forms of competition and outcomes in dual distribution channels: The distributor’s perspective. </w:t>
      </w:r>
      <w:r w:rsidRPr="00A03ABE">
        <w:rPr>
          <w:rFonts w:asciiTheme="majorBidi" w:hAnsiTheme="majorBidi" w:cstheme="majorBidi"/>
          <w:i/>
          <w:iCs/>
          <w:color w:val="000000" w:themeColor="text1"/>
          <w:sz w:val="24"/>
          <w:szCs w:val="24"/>
        </w:rPr>
        <w:t>Marketing Science</w:t>
      </w:r>
      <w:r w:rsidRPr="00A03ABE">
        <w:rPr>
          <w:rFonts w:asciiTheme="majorBidi" w:hAnsiTheme="majorBidi" w:cstheme="majorBidi"/>
          <w:color w:val="000000" w:themeColor="text1"/>
          <w:sz w:val="24"/>
          <w:szCs w:val="24"/>
        </w:rPr>
        <w:t>, 34(1), pp.160–175. doi:10.1287/mksc.2014.0880.</w:t>
      </w:r>
    </w:p>
    <w:p w14:paraId="13357320"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World Bank (2026) 'Indonesia | Data'. Available at: https://data.worldbank.org/country/indonesia (Accessed: 2 August 2026).</w:t>
      </w:r>
    </w:p>
    <w:p w14:paraId="048E4368" w14:textId="77777777" w:rsidR="00414A5A" w:rsidRPr="00A03ABE"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Wuttke, T. (2021). </w:t>
      </w:r>
      <w:r w:rsidRPr="00A03ABE">
        <w:rPr>
          <w:rFonts w:asciiTheme="majorBidi" w:hAnsiTheme="majorBidi" w:cstheme="majorBidi"/>
          <w:i/>
          <w:iCs/>
          <w:color w:val="000000" w:themeColor="text1"/>
          <w:sz w:val="24"/>
          <w:szCs w:val="24"/>
        </w:rPr>
        <w:t>The automotive industry in developing countries and its contribution to economic development (CAE working paper)</w:t>
      </w:r>
      <w:r w:rsidRPr="00A03ABE">
        <w:rPr>
          <w:rFonts w:asciiTheme="majorBidi" w:hAnsiTheme="majorBidi" w:cstheme="majorBidi"/>
          <w:color w:val="000000" w:themeColor="text1"/>
          <w:sz w:val="24"/>
          <w:szCs w:val="24"/>
        </w:rPr>
        <w:t>. [online] </w:t>
      </w:r>
      <w:r w:rsidRPr="00A03ABE">
        <w:rPr>
          <w:rFonts w:asciiTheme="majorBidi" w:hAnsiTheme="majorBidi" w:cstheme="majorBidi"/>
          <w:i/>
          <w:iCs/>
          <w:color w:val="000000" w:themeColor="text1"/>
          <w:sz w:val="24"/>
          <w:szCs w:val="24"/>
        </w:rPr>
        <w:t>ResearchGate</w:t>
      </w:r>
      <w:r w:rsidRPr="00A03ABE">
        <w:rPr>
          <w:rFonts w:asciiTheme="majorBidi" w:hAnsiTheme="majorBidi" w:cstheme="majorBidi"/>
          <w:color w:val="000000" w:themeColor="text1"/>
          <w:sz w:val="24"/>
          <w:szCs w:val="24"/>
        </w:rPr>
        <w:t>. doi:10.13140/RG.2.2.11419.34085.</w:t>
      </w:r>
    </w:p>
    <w:p w14:paraId="60BCA9C5" w14:textId="571A08DA" w:rsidR="00414A5A" w:rsidRDefault="00414A5A" w:rsidP="00CA48AA">
      <w:pPr>
        <w:spacing w:after="80" w:line="360" w:lineRule="auto"/>
        <w:jc w:val="both"/>
        <w:rPr>
          <w:rFonts w:asciiTheme="majorBidi" w:hAnsiTheme="majorBidi" w:cstheme="majorBidi"/>
          <w:color w:val="000000" w:themeColor="text1"/>
          <w:sz w:val="24"/>
          <w:szCs w:val="24"/>
        </w:rPr>
      </w:pPr>
      <w:r w:rsidRPr="00A03ABE">
        <w:rPr>
          <w:rFonts w:asciiTheme="majorBidi" w:hAnsiTheme="majorBidi" w:cstheme="majorBidi"/>
          <w:color w:val="000000" w:themeColor="text1"/>
          <w:sz w:val="24"/>
          <w:szCs w:val="24"/>
        </w:rPr>
        <w:t>Yan, J. (2024). </w:t>
      </w:r>
      <w:r w:rsidRPr="00A03ABE">
        <w:rPr>
          <w:rFonts w:asciiTheme="majorBidi" w:hAnsiTheme="majorBidi" w:cstheme="majorBidi"/>
          <w:i/>
          <w:iCs/>
          <w:color w:val="000000" w:themeColor="text1"/>
          <w:sz w:val="24"/>
          <w:szCs w:val="24"/>
        </w:rPr>
        <w:t>From Tesla’s price strategy to reflect the overall industry trends of electric vehicles in China</w:t>
      </w:r>
      <w:r w:rsidRPr="00A03ABE">
        <w:rPr>
          <w:rFonts w:asciiTheme="majorBidi" w:hAnsiTheme="majorBidi" w:cstheme="majorBidi"/>
          <w:color w:val="000000" w:themeColor="text1"/>
          <w:sz w:val="24"/>
          <w:szCs w:val="24"/>
        </w:rPr>
        <w:t>. [online] </w:t>
      </w:r>
      <w:r w:rsidRPr="00A03ABE">
        <w:rPr>
          <w:rFonts w:asciiTheme="majorBidi" w:hAnsiTheme="majorBidi" w:cstheme="majorBidi"/>
          <w:i/>
          <w:iCs/>
          <w:color w:val="000000" w:themeColor="text1"/>
          <w:sz w:val="24"/>
          <w:szCs w:val="24"/>
        </w:rPr>
        <w:t>ResearchGate</w:t>
      </w:r>
      <w:r w:rsidRPr="00A03ABE">
        <w:rPr>
          <w:rFonts w:asciiTheme="majorBidi" w:hAnsiTheme="majorBidi" w:cstheme="majorBidi"/>
          <w:color w:val="000000" w:themeColor="text1"/>
          <w:sz w:val="24"/>
          <w:szCs w:val="24"/>
        </w:rPr>
        <w:t xml:space="preserve">. Darcy &amp; Roy Press Co. Ltd. Available at: </w:t>
      </w:r>
      <w:hyperlink r:id="rId22" w:history="1">
        <w:r w:rsidRPr="00A03ABE">
          <w:rPr>
            <w:rStyle w:val="Hyperlink"/>
            <w:rFonts w:asciiTheme="majorBidi" w:hAnsiTheme="majorBidi" w:cstheme="majorBidi"/>
            <w:sz w:val="24"/>
            <w:szCs w:val="24"/>
          </w:rPr>
          <w:t>https://www.researchgate.net/publication/377739749_From_Tesla</w:t>
        </w:r>
      </w:hyperlink>
      <w:r w:rsidRPr="00A03ABE">
        <w:rPr>
          <w:rFonts w:asciiTheme="majorBidi" w:hAnsiTheme="majorBidi" w:cstheme="majorBidi"/>
          <w:color w:val="000000" w:themeColor="text1"/>
          <w:sz w:val="24"/>
          <w:szCs w:val="24"/>
        </w:rPr>
        <w:t>.</w:t>
      </w:r>
      <w:r w:rsidR="008D6F47" w:rsidRPr="00A03ABE">
        <w:rPr>
          <w:rFonts w:asciiTheme="majorBidi" w:hAnsiTheme="majorBidi" w:cstheme="majorBidi"/>
          <w:color w:val="000000" w:themeColor="text1"/>
          <w:sz w:val="24"/>
          <w:szCs w:val="24"/>
        </w:rPr>
        <w:t xml:space="preserve"> (Accessed: 11 August 2026).</w:t>
      </w:r>
    </w:p>
    <w:sectPr w:rsidR="00414A5A" w:rsidSect="00034616">
      <w:footerReference w:type="default" r:id="rId23"/>
      <w:pgSz w:w="11909" w:h="16834"/>
      <w:pgMar w:top="1037" w:right="1224" w:bottom="1037" w:left="1224" w:header="432" w:footer="50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C1334" w14:textId="77777777" w:rsidR="009A1184" w:rsidRDefault="009A1184">
      <w:pPr>
        <w:spacing w:after="0" w:line="240" w:lineRule="auto"/>
      </w:pPr>
      <w:r>
        <w:separator/>
      </w:r>
    </w:p>
  </w:endnote>
  <w:endnote w:type="continuationSeparator" w:id="0">
    <w:p w14:paraId="369A6949" w14:textId="77777777" w:rsidR="009A1184" w:rsidRDefault="009A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E9C11" w14:textId="278236FB" w:rsidR="00845429" w:rsidRPr="00E70B80" w:rsidRDefault="004B1BD0">
    <w:pPr>
      <w:pStyle w:val="Footer"/>
      <w:jc w:val="center"/>
      <w:rPr>
        <w:rFonts w:asciiTheme="majorBidi" w:hAnsiTheme="majorBidi" w:cstheme="majorBidi"/>
        <w:sz w:val="24"/>
        <w:szCs w:val="24"/>
      </w:rPr>
    </w:pPr>
    <w:r w:rsidRPr="00E70B80">
      <w:rPr>
        <w:rFonts w:asciiTheme="majorBidi" w:hAnsiTheme="majorBidi" w:cstheme="majorBidi"/>
        <w:color w:val="5A5A5A"/>
        <w:sz w:val="24"/>
        <w:szCs w:val="24"/>
      </w:rPr>
      <w:fldChar w:fldCharType="begin"/>
    </w:r>
    <w:r w:rsidRPr="00E70B80">
      <w:rPr>
        <w:rFonts w:asciiTheme="majorBidi" w:hAnsiTheme="majorBidi" w:cstheme="majorBidi"/>
        <w:color w:val="5A5A5A"/>
        <w:sz w:val="24"/>
        <w:szCs w:val="24"/>
      </w:rPr>
      <w:instrText xml:space="preserve"> PAGE </w:instrText>
    </w:r>
    <w:r w:rsidRPr="00E70B80">
      <w:rPr>
        <w:rFonts w:asciiTheme="majorBidi" w:hAnsiTheme="majorBidi" w:cstheme="majorBidi"/>
        <w:color w:val="5A5A5A"/>
        <w:sz w:val="24"/>
        <w:szCs w:val="24"/>
      </w:rPr>
      <w:fldChar w:fldCharType="separate"/>
    </w:r>
    <w:r w:rsidR="0012592D">
      <w:rPr>
        <w:rFonts w:asciiTheme="majorBidi" w:hAnsiTheme="majorBidi" w:cstheme="majorBidi"/>
        <w:noProof/>
        <w:color w:val="5A5A5A"/>
        <w:sz w:val="24"/>
        <w:szCs w:val="24"/>
      </w:rPr>
      <w:t>5</w:t>
    </w:r>
    <w:r w:rsidRPr="00E70B80">
      <w:rPr>
        <w:rFonts w:asciiTheme="majorBidi" w:hAnsiTheme="majorBidi" w:cstheme="majorBidi"/>
        <w:color w:val="5A5A5A"/>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20998" w14:textId="77777777" w:rsidR="009A1184" w:rsidRDefault="009A1184">
      <w:pPr>
        <w:spacing w:after="0" w:line="240" w:lineRule="auto"/>
      </w:pPr>
      <w:r>
        <w:separator/>
      </w:r>
    </w:p>
  </w:footnote>
  <w:footnote w:type="continuationSeparator" w:id="0">
    <w:p w14:paraId="728C9CFE" w14:textId="77777777" w:rsidR="009A1184" w:rsidRDefault="009A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E50462"/>
    <w:multiLevelType w:val="hybridMultilevel"/>
    <w:tmpl w:val="BE183E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B705F28"/>
    <w:multiLevelType w:val="multilevel"/>
    <w:tmpl w:val="8ACE890A"/>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25375831"/>
    <w:multiLevelType w:val="multilevel"/>
    <w:tmpl w:val="8ACE890A"/>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44DD05FC"/>
    <w:multiLevelType w:val="multilevel"/>
    <w:tmpl w:val="9F4A6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D75C5A"/>
    <w:multiLevelType w:val="hybridMultilevel"/>
    <w:tmpl w:val="80F6EB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CE52C19"/>
    <w:multiLevelType w:val="hybridMultilevel"/>
    <w:tmpl w:val="E1AE7F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5295794">
    <w:abstractNumId w:val="8"/>
  </w:num>
  <w:num w:numId="2" w16cid:durableId="687560429">
    <w:abstractNumId w:val="6"/>
  </w:num>
  <w:num w:numId="3" w16cid:durableId="1206138184">
    <w:abstractNumId w:val="5"/>
  </w:num>
  <w:num w:numId="4" w16cid:durableId="1821118646">
    <w:abstractNumId w:val="4"/>
  </w:num>
  <w:num w:numId="5" w16cid:durableId="67190479">
    <w:abstractNumId w:val="7"/>
  </w:num>
  <w:num w:numId="6" w16cid:durableId="1739742617">
    <w:abstractNumId w:val="3"/>
  </w:num>
  <w:num w:numId="7" w16cid:durableId="423036936">
    <w:abstractNumId w:val="2"/>
  </w:num>
  <w:num w:numId="8" w16cid:durableId="613705937">
    <w:abstractNumId w:val="1"/>
  </w:num>
  <w:num w:numId="9" w16cid:durableId="288320477">
    <w:abstractNumId w:val="0"/>
  </w:num>
  <w:num w:numId="10" w16cid:durableId="1776172527">
    <w:abstractNumId w:val="9"/>
  </w:num>
  <w:num w:numId="11" w16cid:durableId="1212576579">
    <w:abstractNumId w:val="10"/>
  </w:num>
  <w:num w:numId="12" w16cid:durableId="1265115332">
    <w:abstractNumId w:val="14"/>
  </w:num>
  <w:num w:numId="13" w16cid:durableId="234707938">
    <w:abstractNumId w:val="11"/>
  </w:num>
  <w:num w:numId="14" w16cid:durableId="83847632">
    <w:abstractNumId w:val="13"/>
  </w:num>
  <w:num w:numId="15" w16cid:durableId="4975757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616"/>
    <w:rsid w:val="00034B46"/>
    <w:rsid w:val="00046FCB"/>
    <w:rsid w:val="000548DC"/>
    <w:rsid w:val="00054936"/>
    <w:rsid w:val="00057AF3"/>
    <w:rsid w:val="0006063C"/>
    <w:rsid w:val="000701A4"/>
    <w:rsid w:val="00087F89"/>
    <w:rsid w:val="00106662"/>
    <w:rsid w:val="0012592D"/>
    <w:rsid w:val="00126CA1"/>
    <w:rsid w:val="0015074B"/>
    <w:rsid w:val="00161062"/>
    <w:rsid w:val="0016486E"/>
    <w:rsid w:val="00165777"/>
    <w:rsid w:val="00194DBE"/>
    <w:rsid w:val="00197DE4"/>
    <w:rsid w:val="001A4A1F"/>
    <w:rsid w:val="001B4B1D"/>
    <w:rsid w:val="001D4FD8"/>
    <w:rsid w:val="001E70FA"/>
    <w:rsid w:val="00214E24"/>
    <w:rsid w:val="0022520F"/>
    <w:rsid w:val="0025142E"/>
    <w:rsid w:val="0029639D"/>
    <w:rsid w:val="00313C8A"/>
    <w:rsid w:val="00326F90"/>
    <w:rsid w:val="0034341D"/>
    <w:rsid w:val="00373F9B"/>
    <w:rsid w:val="003A118A"/>
    <w:rsid w:val="003B1EC9"/>
    <w:rsid w:val="003F443C"/>
    <w:rsid w:val="00411C34"/>
    <w:rsid w:val="00414A5A"/>
    <w:rsid w:val="00417679"/>
    <w:rsid w:val="0044486B"/>
    <w:rsid w:val="004602C3"/>
    <w:rsid w:val="0048453D"/>
    <w:rsid w:val="00496DD1"/>
    <w:rsid w:val="00497ED0"/>
    <w:rsid w:val="004B1BD0"/>
    <w:rsid w:val="004B49FF"/>
    <w:rsid w:val="004C05AE"/>
    <w:rsid w:val="004C5A3B"/>
    <w:rsid w:val="004D4E29"/>
    <w:rsid w:val="004E3C4C"/>
    <w:rsid w:val="0052532D"/>
    <w:rsid w:val="00525CA7"/>
    <w:rsid w:val="00551DBC"/>
    <w:rsid w:val="00565E65"/>
    <w:rsid w:val="005A3BA0"/>
    <w:rsid w:val="005B171D"/>
    <w:rsid w:val="005C0D44"/>
    <w:rsid w:val="005E1F56"/>
    <w:rsid w:val="006018F7"/>
    <w:rsid w:val="006019C9"/>
    <w:rsid w:val="00603BB0"/>
    <w:rsid w:val="006526E8"/>
    <w:rsid w:val="006718BB"/>
    <w:rsid w:val="006C65A1"/>
    <w:rsid w:val="006E4D7B"/>
    <w:rsid w:val="006E593E"/>
    <w:rsid w:val="006F72F1"/>
    <w:rsid w:val="00724D35"/>
    <w:rsid w:val="007256A9"/>
    <w:rsid w:val="00734200"/>
    <w:rsid w:val="0076438E"/>
    <w:rsid w:val="007723AE"/>
    <w:rsid w:val="007B490B"/>
    <w:rsid w:val="007F22B6"/>
    <w:rsid w:val="00827732"/>
    <w:rsid w:val="00845429"/>
    <w:rsid w:val="008D2049"/>
    <w:rsid w:val="008D6F47"/>
    <w:rsid w:val="008F7368"/>
    <w:rsid w:val="00905892"/>
    <w:rsid w:val="00911921"/>
    <w:rsid w:val="00944CCC"/>
    <w:rsid w:val="00947047"/>
    <w:rsid w:val="0095106F"/>
    <w:rsid w:val="00952E2D"/>
    <w:rsid w:val="00981C50"/>
    <w:rsid w:val="00995C67"/>
    <w:rsid w:val="009A1184"/>
    <w:rsid w:val="009B3FE6"/>
    <w:rsid w:val="009C0D1B"/>
    <w:rsid w:val="009C7B8E"/>
    <w:rsid w:val="009D3533"/>
    <w:rsid w:val="00A03ABE"/>
    <w:rsid w:val="00A31C60"/>
    <w:rsid w:val="00A42AF2"/>
    <w:rsid w:val="00A44D7D"/>
    <w:rsid w:val="00A53C5B"/>
    <w:rsid w:val="00A6343D"/>
    <w:rsid w:val="00AA1D8D"/>
    <w:rsid w:val="00AA74B4"/>
    <w:rsid w:val="00AB6FE6"/>
    <w:rsid w:val="00AC2BD9"/>
    <w:rsid w:val="00AE578A"/>
    <w:rsid w:val="00B303D6"/>
    <w:rsid w:val="00B47730"/>
    <w:rsid w:val="00BA314C"/>
    <w:rsid w:val="00BA4D2C"/>
    <w:rsid w:val="00BB0D3C"/>
    <w:rsid w:val="00BF19AC"/>
    <w:rsid w:val="00BF6433"/>
    <w:rsid w:val="00BF6C19"/>
    <w:rsid w:val="00C16214"/>
    <w:rsid w:val="00C541CD"/>
    <w:rsid w:val="00C73D1F"/>
    <w:rsid w:val="00C82D97"/>
    <w:rsid w:val="00C8537B"/>
    <w:rsid w:val="00C85E07"/>
    <w:rsid w:val="00C92690"/>
    <w:rsid w:val="00CA48AA"/>
    <w:rsid w:val="00CB0664"/>
    <w:rsid w:val="00CB5C2E"/>
    <w:rsid w:val="00CD3445"/>
    <w:rsid w:val="00CD7268"/>
    <w:rsid w:val="00D001A1"/>
    <w:rsid w:val="00D13FB8"/>
    <w:rsid w:val="00D3457B"/>
    <w:rsid w:val="00D4285C"/>
    <w:rsid w:val="00D56288"/>
    <w:rsid w:val="00D63CE7"/>
    <w:rsid w:val="00D718B5"/>
    <w:rsid w:val="00D93266"/>
    <w:rsid w:val="00DA5A90"/>
    <w:rsid w:val="00DC14DC"/>
    <w:rsid w:val="00DC7F56"/>
    <w:rsid w:val="00DD1C01"/>
    <w:rsid w:val="00DD286A"/>
    <w:rsid w:val="00DF1E57"/>
    <w:rsid w:val="00DF4295"/>
    <w:rsid w:val="00E10AE5"/>
    <w:rsid w:val="00E23D8E"/>
    <w:rsid w:val="00E36815"/>
    <w:rsid w:val="00E44A70"/>
    <w:rsid w:val="00E70B80"/>
    <w:rsid w:val="00E76593"/>
    <w:rsid w:val="00EE0D11"/>
    <w:rsid w:val="00F311C9"/>
    <w:rsid w:val="00F43E1B"/>
    <w:rsid w:val="00F8416E"/>
    <w:rsid w:val="00FB1EB7"/>
    <w:rsid w:val="00FC1576"/>
    <w:rsid w:val="00FC693F"/>
    <w:rsid w:val="00FD6461"/>
    <w:rsid w:val="00FF3A1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A4FB900"/>
  <w14:defaultImageDpi w14:val="330"/>
  <w15:docId w15:val="{7104237A-B4D4-4B8D-93A5-4DB1ADFE7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Calibri" w:eastAsia="Calibri" w:hAnsi="Calibri"/>
      <w:sz w:val="21"/>
    </w:rPr>
  </w:style>
  <w:style w:type="paragraph" w:styleId="Heading1">
    <w:name w:val="heading 1"/>
    <w:basedOn w:val="Normal"/>
    <w:next w:val="Normal"/>
    <w:link w:val="Heading1Char"/>
    <w:uiPriority w:val="9"/>
    <w:qFormat/>
    <w:rsid w:val="00046FCB"/>
    <w:pPr>
      <w:keepNext/>
      <w:keepLines/>
      <w:spacing w:before="20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046FCB"/>
    <w:pPr>
      <w:keepNext/>
      <w:keepLines/>
      <w:spacing w:before="160" w:after="80"/>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046FCB"/>
    <w:pPr>
      <w:keepNext/>
      <w:keepLines/>
      <w:spacing w:before="120" w:after="60"/>
      <w:outlineLvl w:val="2"/>
    </w:pPr>
    <w:rPr>
      <w:rFonts w:ascii="Times New Roman" w:eastAsiaTheme="majorEastAsia" w:hAnsi="Times New Roman" w:cstheme="majorBidi"/>
      <w:b/>
      <w:bCs/>
      <w:i/>
      <w:color w:val="000000" w:themeColor="text1"/>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046FCB"/>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046FCB"/>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046FCB"/>
    <w:rPr>
      <w:rFonts w:ascii="Times New Roman" w:eastAsiaTheme="majorEastAsia" w:hAnsi="Times New Roman" w:cstheme="majorBidi"/>
      <w:b/>
      <w:bCs/>
      <w:i/>
      <w:color w:val="000000" w:themeColor="tex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style>
  <w:style w:type="paragraph" w:customStyle="1" w:styleId="TableCaption">
    <w:name w:val="Table Caption"/>
  </w:style>
  <w:style w:type="paragraph" w:customStyle="1" w:styleId="SourceNote">
    <w:name w:val="Source Note"/>
  </w:style>
  <w:style w:type="paragraph" w:styleId="TOC1">
    <w:name w:val="toc 1"/>
    <w:basedOn w:val="Normal"/>
    <w:next w:val="Normal"/>
    <w:autoRedefine/>
    <w:uiPriority w:val="39"/>
    <w:unhideWhenUsed/>
    <w:rsid w:val="004602C3"/>
    <w:pPr>
      <w:spacing w:after="100"/>
    </w:pPr>
  </w:style>
  <w:style w:type="paragraph" w:styleId="TOC2">
    <w:name w:val="toc 2"/>
    <w:basedOn w:val="Normal"/>
    <w:next w:val="Normal"/>
    <w:autoRedefine/>
    <w:uiPriority w:val="39"/>
    <w:unhideWhenUsed/>
    <w:rsid w:val="004602C3"/>
    <w:pPr>
      <w:spacing w:after="100"/>
      <w:ind w:left="210"/>
    </w:pPr>
  </w:style>
  <w:style w:type="character" w:styleId="Hyperlink">
    <w:name w:val="Hyperlink"/>
    <w:basedOn w:val="DefaultParagraphFont"/>
    <w:uiPriority w:val="99"/>
    <w:unhideWhenUsed/>
    <w:rsid w:val="004602C3"/>
    <w:rPr>
      <w:color w:val="0000FF" w:themeColor="hyperlink"/>
      <w:u w:val="single"/>
    </w:rPr>
  </w:style>
  <w:style w:type="table" w:styleId="PlainTable1">
    <w:name w:val="Plain Table 1"/>
    <w:basedOn w:val="TableNormal"/>
    <w:uiPriority w:val="99"/>
    <w:rsid w:val="00CD726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054936"/>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UnresolvedMention1">
    <w:name w:val="Unresolved Mention1"/>
    <w:basedOn w:val="DefaultParagraphFont"/>
    <w:uiPriority w:val="99"/>
    <w:semiHidden/>
    <w:unhideWhenUsed/>
    <w:rsid w:val="00AA74B4"/>
    <w:rPr>
      <w:color w:val="605E5C"/>
      <w:shd w:val="clear" w:color="auto" w:fill="E1DFDD"/>
    </w:rPr>
  </w:style>
  <w:style w:type="character" w:customStyle="1" w:styleId="UnresolvedMention2">
    <w:name w:val="Unresolved Mention2"/>
    <w:basedOn w:val="DefaultParagraphFont"/>
    <w:uiPriority w:val="99"/>
    <w:semiHidden/>
    <w:unhideWhenUsed/>
    <w:rsid w:val="00414A5A"/>
    <w:rPr>
      <w:color w:val="605E5C"/>
      <w:shd w:val="clear" w:color="auto" w:fill="E1DFDD"/>
    </w:rPr>
  </w:style>
  <w:style w:type="paragraph" w:styleId="TOC3">
    <w:name w:val="toc 3"/>
    <w:basedOn w:val="Normal"/>
    <w:next w:val="Normal"/>
    <w:autoRedefine/>
    <w:uiPriority w:val="39"/>
    <w:unhideWhenUsed/>
    <w:rsid w:val="008D6F47"/>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36782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s://www.sec.gov/Archives/edgar/data/1318605/000162828026003952/tsla-20251231.htm?utm_source=chatgpt.com"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manticscholar.org/"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hyperlink" Target="https://quillbot.com/"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image" Target="media/image4.png"/><Relationship Id="rId22" Type="http://schemas.openxmlformats.org/officeDocument/2006/relationships/hyperlink" Target="https://www.researchgate.net/publication/377739749_From_Tes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73BD0A-9D8B-4EEC-963F-01C9380ED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7610</Words>
  <Characters>43383</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50892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salim</dc:creator>
  <cp:keywords/>
  <dc:description/>
  <cp:lastModifiedBy>muhammed salim</cp:lastModifiedBy>
  <cp:revision>2</cp:revision>
  <dcterms:created xsi:type="dcterms:W3CDTF">2026-08-14T08:12:00Z</dcterms:created>
  <dcterms:modified xsi:type="dcterms:W3CDTF">2026-08-14T08:12:00Z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aabbef94-54aa-4503-aaa6-3c33875fa877</vt:lpwstr>
  </property>
</Properties>
</file>