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D3D1B" w14:textId="77777777" w:rsidR="007856A7" w:rsidRPr="00B15203" w:rsidRDefault="007856A7"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39C46681" w14:textId="77777777" w:rsidR="00CA24F1" w:rsidRPr="00B15203" w:rsidRDefault="00CA24F1"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307C5F15" w14:textId="77777777" w:rsidR="00CA24F1" w:rsidRPr="00DC7300" w:rsidRDefault="00CA24F1" w:rsidP="00B15203">
      <w:pPr>
        <w:tabs>
          <w:tab w:val="left" w:pos="3090"/>
        </w:tabs>
        <w:spacing w:after="0" w:line="240" w:lineRule="auto"/>
        <w:contextualSpacing/>
        <w:jc w:val="center"/>
        <w:rPr>
          <w:rFonts w:ascii="Times New Roman" w:hAnsi="Times New Roman" w:cs="Times New Roman"/>
          <w:b/>
          <w:bCs/>
          <w:sz w:val="24"/>
          <w:szCs w:val="24"/>
          <w:shd w:val="clear" w:color="auto" w:fill="FFFFFF"/>
          <w:lang w:val="en-GB"/>
        </w:rPr>
      </w:pPr>
    </w:p>
    <w:p w14:paraId="5105A3E2" w14:textId="77777777" w:rsidR="00B15203" w:rsidRDefault="00B15203"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51088357" w14:textId="77777777" w:rsidR="00B15203" w:rsidRDefault="00B15203"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6FB7436E" w14:textId="77777777" w:rsidR="00B15203" w:rsidRDefault="00B15203"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53249FAE" w14:textId="77777777" w:rsidR="00B15203" w:rsidRPr="00B15203" w:rsidRDefault="00B15203"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116E043C" w14:textId="77777777" w:rsidR="007856A7" w:rsidRPr="00B15203" w:rsidRDefault="007856A7"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417E1DEE" w14:textId="20BAA7EE" w:rsidR="007856A7" w:rsidRPr="00DC7300" w:rsidRDefault="00DC7300" w:rsidP="00B15203">
      <w:pPr>
        <w:tabs>
          <w:tab w:val="left" w:pos="3090"/>
        </w:tabs>
        <w:spacing w:after="0" w:line="240" w:lineRule="auto"/>
        <w:contextualSpacing/>
        <w:jc w:val="center"/>
        <w:rPr>
          <w:rFonts w:ascii="Times New Roman" w:hAnsi="Times New Roman" w:cs="Times New Roman"/>
          <w:b/>
          <w:bCs/>
          <w:sz w:val="40"/>
          <w:szCs w:val="40"/>
          <w:shd w:val="clear" w:color="auto" w:fill="FFFFFF"/>
          <w:lang w:val="en-GB"/>
        </w:rPr>
      </w:pPr>
      <w:r w:rsidRPr="00DC7300">
        <w:rPr>
          <w:b/>
          <w:bCs/>
          <w:sz w:val="40"/>
          <w:szCs w:val="40"/>
        </w:rPr>
        <w:t>Case Study: The Seacrest Lodge</w:t>
      </w:r>
    </w:p>
    <w:p w14:paraId="1E4F18B1" w14:textId="77777777" w:rsidR="007856A7" w:rsidRPr="00DC7300" w:rsidRDefault="007856A7" w:rsidP="00B15203">
      <w:pPr>
        <w:tabs>
          <w:tab w:val="left" w:pos="3090"/>
        </w:tabs>
        <w:spacing w:after="0" w:line="240" w:lineRule="auto"/>
        <w:contextualSpacing/>
        <w:jc w:val="center"/>
        <w:rPr>
          <w:rFonts w:ascii="Times New Roman" w:hAnsi="Times New Roman" w:cs="Times New Roman"/>
          <w:b/>
          <w:bCs/>
          <w:sz w:val="24"/>
          <w:szCs w:val="24"/>
          <w:shd w:val="clear" w:color="auto" w:fill="FFFFFF"/>
          <w:lang w:val="en-GB"/>
        </w:rPr>
      </w:pPr>
    </w:p>
    <w:p w14:paraId="656FA876" w14:textId="77777777" w:rsidR="00B15203" w:rsidRDefault="00B15203"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69EE583E" w14:textId="77777777" w:rsidR="00B15203" w:rsidRDefault="00B15203"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08ACB589" w14:textId="77777777" w:rsidR="00B15203" w:rsidRDefault="00B15203"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41D246CD" w14:textId="77777777" w:rsidR="00B15203" w:rsidRPr="00B15203" w:rsidRDefault="00B15203"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5B7300FC" w14:textId="77777777" w:rsidR="007856A7" w:rsidRPr="00B15203" w:rsidRDefault="007856A7" w:rsidP="00B15203">
      <w:pPr>
        <w:tabs>
          <w:tab w:val="left" w:pos="3090"/>
        </w:tabs>
        <w:spacing w:after="0" w:line="240" w:lineRule="auto"/>
        <w:contextualSpacing/>
        <w:jc w:val="center"/>
        <w:rPr>
          <w:rFonts w:ascii="Times New Roman" w:hAnsi="Times New Roman" w:cs="Times New Roman"/>
          <w:sz w:val="24"/>
          <w:szCs w:val="24"/>
          <w:shd w:val="clear" w:color="auto" w:fill="FFFFFF"/>
          <w:lang w:val="en-GB"/>
        </w:rPr>
      </w:pPr>
    </w:p>
    <w:p w14:paraId="66CE85D7" w14:textId="77777777" w:rsidR="00C84F38" w:rsidRPr="00C84F38" w:rsidRDefault="00C84F38" w:rsidP="00C84F38">
      <w:pPr>
        <w:spacing w:line="240" w:lineRule="auto"/>
        <w:rPr>
          <w:rFonts w:ascii="Times New Roman" w:eastAsiaTheme="minorEastAsia" w:hAnsi="Times New Roman" w:cs="Times New Roman"/>
          <w:sz w:val="24"/>
          <w:szCs w:val="24"/>
          <w:lang w:eastAsia="zh-CN"/>
        </w:rPr>
      </w:pPr>
      <w:r w:rsidRPr="00C84F38">
        <w:rPr>
          <w:rFonts w:ascii="Times New Roman" w:eastAsiaTheme="minorEastAsia" w:hAnsi="Times New Roman" w:cs="Times New Roman"/>
          <w:sz w:val="24"/>
          <w:szCs w:val="24"/>
          <w:lang w:eastAsia="zh-CN"/>
        </w:rPr>
        <w:t>Student’s Name: Stefano Di Guida</w:t>
      </w:r>
    </w:p>
    <w:p w14:paraId="1BF1751E" w14:textId="77777777" w:rsidR="00C84F38" w:rsidRPr="00C84F38" w:rsidRDefault="00C84F38" w:rsidP="00C84F38">
      <w:pPr>
        <w:spacing w:line="240" w:lineRule="auto"/>
        <w:rPr>
          <w:rFonts w:ascii="Times New Roman" w:eastAsiaTheme="minorEastAsia" w:hAnsi="Times New Roman" w:cs="Times New Roman"/>
          <w:sz w:val="24"/>
          <w:szCs w:val="24"/>
          <w:lang w:eastAsia="zh-CN"/>
        </w:rPr>
      </w:pPr>
    </w:p>
    <w:p w14:paraId="1926C031" w14:textId="77777777" w:rsidR="00C84F38" w:rsidRPr="00C84F38" w:rsidRDefault="00C84F38" w:rsidP="00C84F38">
      <w:pPr>
        <w:spacing w:line="240" w:lineRule="auto"/>
        <w:rPr>
          <w:rFonts w:ascii="Times New Roman" w:eastAsiaTheme="minorEastAsia" w:hAnsi="Times New Roman" w:cs="Times New Roman"/>
          <w:sz w:val="24"/>
          <w:szCs w:val="24"/>
          <w:lang w:eastAsia="zh-CN"/>
        </w:rPr>
      </w:pPr>
      <w:r w:rsidRPr="00C84F38">
        <w:rPr>
          <w:rFonts w:ascii="Times New Roman" w:eastAsiaTheme="minorEastAsia" w:hAnsi="Times New Roman" w:cs="Times New Roman"/>
          <w:sz w:val="24"/>
          <w:szCs w:val="24"/>
          <w:lang w:eastAsia="zh-CN"/>
        </w:rPr>
        <w:t>Student’s ID: 2207147</w:t>
      </w:r>
    </w:p>
    <w:p w14:paraId="7EA7C56E" w14:textId="77777777" w:rsidR="00C84F38" w:rsidRPr="00C84F38" w:rsidRDefault="00C84F38" w:rsidP="00C84F38">
      <w:pPr>
        <w:spacing w:line="240" w:lineRule="auto"/>
        <w:rPr>
          <w:rFonts w:ascii="Times New Roman" w:eastAsiaTheme="minorEastAsia" w:hAnsi="Times New Roman" w:cs="Times New Roman"/>
          <w:sz w:val="24"/>
          <w:szCs w:val="24"/>
          <w:lang w:eastAsia="zh-CN"/>
        </w:rPr>
      </w:pPr>
    </w:p>
    <w:p w14:paraId="054DFE8E" w14:textId="77777777" w:rsidR="00C84F38" w:rsidRPr="00C84F38" w:rsidRDefault="00C84F38" w:rsidP="00C84F38">
      <w:pPr>
        <w:spacing w:line="240" w:lineRule="auto"/>
        <w:rPr>
          <w:rFonts w:ascii="Times New Roman" w:eastAsiaTheme="minorEastAsia" w:hAnsi="Times New Roman" w:cs="Times New Roman"/>
          <w:sz w:val="24"/>
          <w:szCs w:val="24"/>
          <w:lang w:eastAsia="zh-CN"/>
        </w:rPr>
      </w:pPr>
      <w:r w:rsidRPr="00C84F38">
        <w:rPr>
          <w:rFonts w:ascii="Times New Roman" w:eastAsiaTheme="minorEastAsia" w:hAnsi="Times New Roman" w:cs="Times New Roman"/>
          <w:sz w:val="24"/>
          <w:szCs w:val="24"/>
          <w:lang w:eastAsia="zh-CN"/>
        </w:rPr>
        <w:t>The module title: BMIH5007</w:t>
      </w:r>
    </w:p>
    <w:p w14:paraId="1C2B4F27" w14:textId="77777777" w:rsidR="00C84F38" w:rsidRPr="00C84F38" w:rsidRDefault="00C84F38" w:rsidP="00C84F38">
      <w:pPr>
        <w:spacing w:line="240" w:lineRule="auto"/>
        <w:rPr>
          <w:rFonts w:ascii="Times New Roman" w:eastAsiaTheme="minorEastAsia" w:hAnsi="Times New Roman" w:cs="Times New Roman"/>
          <w:sz w:val="24"/>
          <w:szCs w:val="24"/>
          <w:lang w:eastAsia="zh-CN"/>
        </w:rPr>
      </w:pPr>
    </w:p>
    <w:p w14:paraId="44883C2C" w14:textId="77777777" w:rsidR="00C84F38" w:rsidRPr="00C84F38" w:rsidRDefault="00C84F38" w:rsidP="00C84F38">
      <w:pPr>
        <w:spacing w:line="240" w:lineRule="auto"/>
        <w:rPr>
          <w:rFonts w:ascii="Times New Roman" w:eastAsiaTheme="minorEastAsia" w:hAnsi="Times New Roman" w:cs="Times New Roman"/>
          <w:sz w:val="24"/>
          <w:szCs w:val="24"/>
          <w:lang w:eastAsia="zh-CN"/>
        </w:rPr>
      </w:pPr>
      <w:r w:rsidRPr="00C84F38">
        <w:rPr>
          <w:rFonts w:ascii="Times New Roman" w:eastAsiaTheme="minorEastAsia" w:hAnsi="Times New Roman" w:cs="Times New Roman"/>
          <w:sz w:val="24"/>
          <w:szCs w:val="24"/>
          <w:lang w:eastAsia="zh-CN"/>
        </w:rPr>
        <w:t>Lecturer’s Name: Tristan Hawkins</w:t>
      </w:r>
    </w:p>
    <w:p w14:paraId="397935E2" w14:textId="77777777" w:rsidR="00C84F38" w:rsidRPr="00C84F38" w:rsidRDefault="00C84F38" w:rsidP="00C84F38">
      <w:pPr>
        <w:spacing w:line="240" w:lineRule="auto"/>
        <w:rPr>
          <w:rFonts w:ascii="Times New Roman" w:eastAsiaTheme="minorEastAsia" w:hAnsi="Times New Roman" w:cs="Times New Roman"/>
          <w:sz w:val="24"/>
          <w:szCs w:val="24"/>
          <w:lang w:eastAsia="zh-CN"/>
        </w:rPr>
      </w:pPr>
    </w:p>
    <w:p w14:paraId="7A14E708" w14:textId="3CA613A0" w:rsidR="00C84F38" w:rsidRPr="00C84F38" w:rsidRDefault="00C84F38" w:rsidP="00C84F38">
      <w:pPr>
        <w:spacing w:line="240" w:lineRule="auto"/>
        <w:rPr>
          <w:rFonts w:ascii="Times New Roman" w:eastAsiaTheme="minorEastAsia" w:hAnsi="Times New Roman" w:cs="Times New Roman"/>
          <w:sz w:val="24"/>
          <w:szCs w:val="24"/>
          <w:lang w:eastAsia="zh-CN"/>
        </w:rPr>
      </w:pPr>
    </w:p>
    <w:p w14:paraId="1AE88B1F" w14:textId="34FDAC40" w:rsidR="00CA24F1" w:rsidRPr="00B15203" w:rsidRDefault="00CA24F1" w:rsidP="00B15203">
      <w:pPr>
        <w:spacing w:after="0" w:line="240" w:lineRule="auto"/>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br w:type="page"/>
      </w:r>
    </w:p>
    <w:p w14:paraId="00F1A2CD" w14:textId="64DCF982" w:rsidR="00CA24F1" w:rsidRDefault="00CA24F1" w:rsidP="00B15203">
      <w:pPr>
        <w:spacing w:after="0" w:line="240" w:lineRule="auto"/>
        <w:contextualSpacing/>
        <w:jc w:val="center"/>
        <w:rPr>
          <w:rFonts w:ascii="Times New Roman" w:hAnsi="Times New Roman" w:cs="Times New Roman"/>
          <w:sz w:val="24"/>
          <w:szCs w:val="24"/>
          <w:lang w:val="en-GB"/>
        </w:rPr>
      </w:pPr>
    </w:p>
    <w:p w14:paraId="254E6C8D" w14:textId="77777777" w:rsidR="0070134E" w:rsidRPr="00CA24F1" w:rsidRDefault="0070134E" w:rsidP="00B15203">
      <w:pPr>
        <w:spacing w:after="0" w:line="240" w:lineRule="auto"/>
        <w:contextualSpacing/>
        <w:jc w:val="center"/>
        <w:rPr>
          <w:rFonts w:ascii="Times New Roman" w:hAnsi="Times New Roman" w:cs="Times New Roman"/>
          <w:sz w:val="24"/>
          <w:szCs w:val="24"/>
          <w:lang w:val="en-GB"/>
        </w:rPr>
      </w:pPr>
    </w:p>
    <w:p w14:paraId="50FF3949" w14:textId="77777777" w:rsidR="00CA24F1" w:rsidRPr="004C7BF4" w:rsidRDefault="00CA24F1" w:rsidP="00B15203">
      <w:pPr>
        <w:spacing w:after="0" w:line="240" w:lineRule="auto"/>
        <w:contextualSpacing/>
        <w:jc w:val="center"/>
        <w:rPr>
          <w:rFonts w:ascii="Times New Roman" w:hAnsi="Times New Roman" w:cs="Times New Roman"/>
          <w:b/>
          <w:bCs/>
          <w:sz w:val="24"/>
          <w:szCs w:val="24"/>
          <w:lang w:val="en-GB"/>
        </w:rPr>
      </w:pPr>
      <w:r w:rsidRPr="004C7BF4">
        <w:rPr>
          <w:rFonts w:ascii="Times New Roman" w:hAnsi="Times New Roman" w:cs="Times New Roman"/>
          <w:b/>
          <w:bCs/>
          <w:sz w:val="24"/>
          <w:szCs w:val="24"/>
          <w:lang w:val="en-GB"/>
        </w:rPr>
        <w:t>Introduction</w:t>
      </w:r>
    </w:p>
    <w:p w14:paraId="6A4582CE" w14:textId="77777777" w:rsidR="00CA24F1" w:rsidRDefault="00CA24F1" w:rsidP="00B15203">
      <w:pPr>
        <w:spacing w:after="0" w:line="240" w:lineRule="auto"/>
        <w:ind w:firstLine="720"/>
        <w:contextualSpacing/>
        <w:rPr>
          <w:rFonts w:ascii="Times New Roman" w:hAnsi="Times New Roman" w:cs="Times New Roman"/>
          <w:sz w:val="24"/>
          <w:szCs w:val="24"/>
          <w:lang w:val="en-GB"/>
        </w:rPr>
      </w:pPr>
      <w:r w:rsidRPr="00CA24F1">
        <w:rPr>
          <w:rFonts w:ascii="Times New Roman" w:hAnsi="Times New Roman" w:cs="Times New Roman"/>
          <w:sz w:val="24"/>
          <w:szCs w:val="24"/>
          <w:lang w:val="en-GB"/>
        </w:rPr>
        <w:t>The Seacrest Lodge, located near a serene bay, has a reputation for its superb location and complete facilities like a restaurant, a bar, and an event hall.</w:t>
      </w:r>
      <w:r w:rsidRPr="00CA24F1">
        <w:rPr>
          <w:rFonts w:ascii="Times New Roman" w:hAnsi="Times New Roman" w:cs="Times New Roman"/>
          <w:b/>
          <w:bCs/>
          <w:sz w:val="24"/>
          <w:szCs w:val="24"/>
          <w:lang w:val="en-GB"/>
        </w:rPr>
        <w:t xml:space="preserve"> </w:t>
      </w:r>
      <w:r w:rsidRPr="00CA24F1">
        <w:rPr>
          <w:rFonts w:ascii="Times New Roman" w:hAnsi="Times New Roman" w:cs="Times New Roman"/>
          <w:sz w:val="24"/>
          <w:szCs w:val="24"/>
          <w:lang w:val="en-GB"/>
        </w:rPr>
        <w:t>Once a place to find relaxation and pleasure, the lodge now witnesses hard times of diminishing revenues, reduced occupancy rates, and unsatisfied visitors (The Sea Crest, n.d.). In the wake of such obstacles, this report is written to exercise the strategies designed to bring about the company’s turnaround. With a thorough examination of the current condition of the lodge and market dynamics, this evaluation attempts to determine the possibility of improving the financial stability of the lodge and rebuilding its prestigious reputation as a top-notch vacation choice.</w:t>
      </w:r>
    </w:p>
    <w:p w14:paraId="07B8039D" w14:textId="77777777" w:rsidR="00CA24F1" w:rsidRDefault="00CA24F1" w:rsidP="00B15203">
      <w:pPr>
        <w:spacing w:after="0" w:line="240" w:lineRule="auto"/>
        <w:contextualSpacing/>
        <w:jc w:val="center"/>
        <w:rPr>
          <w:rFonts w:ascii="Times New Roman" w:hAnsi="Times New Roman" w:cs="Times New Roman"/>
          <w:b/>
          <w:bCs/>
          <w:sz w:val="24"/>
          <w:szCs w:val="24"/>
          <w:lang w:val="en-GB"/>
        </w:rPr>
      </w:pPr>
      <w:r w:rsidRPr="004C7BF4">
        <w:rPr>
          <w:rFonts w:ascii="Times New Roman" w:hAnsi="Times New Roman" w:cs="Times New Roman"/>
          <w:b/>
          <w:bCs/>
          <w:sz w:val="24"/>
          <w:szCs w:val="24"/>
          <w:lang w:val="en-GB"/>
        </w:rPr>
        <w:t>Market Analysis</w:t>
      </w:r>
    </w:p>
    <w:p w14:paraId="396F4B4B" w14:textId="77777777" w:rsidR="00CA24F1" w:rsidRPr="00CA24F1" w:rsidRDefault="00CA24F1" w:rsidP="00B15203">
      <w:pPr>
        <w:spacing w:after="0" w:line="240" w:lineRule="auto"/>
        <w:ind w:firstLine="720"/>
        <w:contextualSpacing/>
        <w:rPr>
          <w:rFonts w:ascii="Times New Roman" w:hAnsi="Times New Roman" w:cs="Times New Roman"/>
          <w:sz w:val="24"/>
          <w:szCs w:val="24"/>
          <w:lang w:val="en-GB"/>
        </w:rPr>
      </w:pPr>
      <w:r w:rsidRPr="00CA24F1">
        <w:rPr>
          <w:rFonts w:ascii="Times New Roman" w:hAnsi="Times New Roman" w:cs="Times New Roman"/>
          <w:sz w:val="24"/>
          <w:szCs w:val="24"/>
          <w:lang w:val="en-GB"/>
        </w:rPr>
        <w:t>Regarding the competitive environment analyses for coastal resorts, the main competitors surrounding the Seacrest Lodge are Azure Sands, Harborview Retreat, and Ocean Breeze Inn. The Azure Sands Resort, famed for its modern architecture and elaborate spa departments, is a tourist destination for consumers who look for a modern and luxurious seashore getaway. Harborview Retreat stands out thanks to its eco-tourism and sustainable practices, which have become a strong draw for environmentally conscious travellers. However, the Ocean Breeze Inn also provides reasonably priced accommodation and leisure activities for families to suit diverse needs. (Seacrest Hotel, n.d.) Such other competitors rack up a severe enmity towards the Seacrest Lodge, as they all target different market segments and divert probable clients away from the lodge services.</w:t>
      </w:r>
    </w:p>
    <w:p w14:paraId="7DA84AFE" w14:textId="77777777" w:rsidR="00CA24F1" w:rsidRPr="00CA24F1" w:rsidRDefault="00CA24F1" w:rsidP="00B15203">
      <w:pPr>
        <w:spacing w:after="0" w:line="240" w:lineRule="auto"/>
        <w:ind w:firstLine="720"/>
        <w:contextualSpacing/>
        <w:rPr>
          <w:rFonts w:ascii="Times New Roman" w:hAnsi="Times New Roman" w:cs="Times New Roman"/>
          <w:sz w:val="24"/>
          <w:szCs w:val="24"/>
          <w:lang w:val="en-GB"/>
        </w:rPr>
      </w:pPr>
      <w:r w:rsidRPr="00CA24F1">
        <w:rPr>
          <w:rFonts w:ascii="Times New Roman" w:hAnsi="Times New Roman" w:cs="Times New Roman"/>
          <w:sz w:val="24"/>
          <w:szCs w:val="24"/>
          <w:lang w:val="en-GB"/>
        </w:rPr>
        <w:t>Customers' ever-changing preferences and travel patterns have been a noticeable game changer for the hospitality industry, especially in coastal resorts. There is a significant gravitation towards exploratory travel, where guests expect not classic services but authentic and immersive experiences (The Sea Crest, n.d.). Besides, green accommodation and activities have enjoyed growing popularity due to tourists' awareness of environmental sustainability. In addition, there is a considerable upsurge in the preference for personalised and hand-tailored travel services, such that guests expect vacation plans that harmonise with their interests and tastes for exploring the world. Besides, new kinds of tourists, such as digital nomads, have made room and internet services among the needed amenities in global tourism and among those who combine business and holiday.</w:t>
      </w:r>
    </w:p>
    <w:p w14:paraId="3C51EECE" w14:textId="77777777" w:rsidR="00CA24F1" w:rsidRDefault="00CA24F1" w:rsidP="00B15203">
      <w:pPr>
        <w:spacing w:after="0" w:line="240" w:lineRule="auto"/>
        <w:ind w:firstLine="720"/>
        <w:contextualSpacing/>
        <w:rPr>
          <w:rFonts w:ascii="Times New Roman" w:hAnsi="Times New Roman" w:cs="Times New Roman"/>
          <w:sz w:val="24"/>
          <w:szCs w:val="24"/>
          <w:lang w:val="en-GB"/>
        </w:rPr>
      </w:pPr>
      <w:r w:rsidRPr="00CA24F1">
        <w:rPr>
          <w:rFonts w:ascii="Times New Roman" w:hAnsi="Times New Roman" w:cs="Times New Roman"/>
          <w:sz w:val="24"/>
          <w:szCs w:val="24"/>
          <w:lang w:val="en-GB"/>
        </w:rPr>
        <w:t>Customer feedback gives Seacrest Lodge a frontline understanding of customers' specific reservations. Patrons frequently complain that the amenities are old-fashioned, service quality varies greatly, and there are too few recreational activities. Due to the lack of such concessions as spas and fitness centres traditionally considered "standard" in other seaside hotels (Martín-Rios and Ciobanu, 2019), many guests leave the hotel feeling unsatisfied. Meanwhile, reoccurring complaints about cleanliness standards and maintenance issues underscore the need to improve operational efficiency and facility upkeep (</w:t>
      </w:r>
      <w:proofErr w:type="spellStart"/>
      <w:r w:rsidRPr="00CA24F1">
        <w:rPr>
          <w:rFonts w:ascii="Times New Roman" w:hAnsi="Times New Roman" w:cs="Times New Roman"/>
          <w:sz w:val="24"/>
          <w:szCs w:val="24"/>
          <w:lang w:val="en-GB"/>
        </w:rPr>
        <w:t>Mucharreira</w:t>
      </w:r>
      <w:proofErr w:type="spellEnd"/>
      <w:r w:rsidRPr="00CA24F1">
        <w:rPr>
          <w:rFonts w:ascii="Times New Roman" w:hAnsi="Times New Roman" w:cs="Times New Roman"/>
          <w:sz w:val="24"/>
          <w:szCs w:val="24"/>
          <w:lang w:val="en-GB"/>
        </w:rPr>
        <w:t xml:space="preserve"> et al., 2019). The guests are also dissatisfied with a shortage of dining alternatives and plain food, which should be a matter of concern for improving the overall guest interaction.</w:t>
      </w:r>
    </w:p>
    <w:p w14:paraId="360DFF14" w14:textId="77777777" w:rsidR="004C7BF4" w:rsidRDefault="004C7BF4" w:rsidP="00B15203">
      <w:pPr>
        <w:spacing w:after="0" w:line="240" w:lineRule="auto"/>
        <w:ind w:firstLine="720"/>
        <w:contextualSpacing/>
        <w:rPr>
          <w:rFonts w:ascii="Times New Roman" w:hAnsi="Times New Roman" w:cs="Times New Roman"/>
          <w:sz w:val="24"/>
          <w:szCs w:val="24"/>
          <w:lang w:val="en-GB"/>
        </w:rPr>
      </w:pPr>
    </w:p>
    <w:p w14:paraId="51DB82E2" w14:textId="77777777" w:rsidR="004C7BF4" w:rsidRPr="00CA24F1" w:rsidRDefault="004C7BF4" w:rsidP="00B15203">
      <w:pPr>
        <w:spacing w:after="0" w:line="240" w:lineRule="auto"/>
        <w:ind w:firstLine="720"/>
        <w:contextualSpacing/>
        <w:rPr>
          <w:rFonts w:ascii="Times New Roman" w:hAnsi="Times New Roman" w:cs="Times New Roman"/>
          <w:sz w:val="24"/>
          <w:szCs w:val="24"/>
          <w:lang w:val="en-GB"/>
        </w:rPr>
      </w:pPr>
    </w:p>
    <w:p w14:paraId="2E432A7B" w14:textId="77777777" w:rsidR="00CA24F1" w:rsidRDefault="00CA24F1" w:rsidP="00B15203">
      <w:pPr>
        <w:spacing w:after="0" w:line="240" w:lineRule="auto"/>
        <w:contextualSpacing/>
        <w:jc w:val="center"/>
        <w:rPr>
          <w:rFonts w:ascii="Times New Roman" w:hAnsi="Times New Roman" w:cs="Times New Roman"/>
          <w:b/>
          <w:bCs/>
          <w:sz w:val="24"/>
          <w:szCs w:val="24"/>
          <w:lang w:val="en-GB"/>
        </w:rPr>
      </w:pPr>
      <w:r w:rsidRPr="004C7BF4">
        <w:rPr>
          <w:rFonts w:ascii="Times New Roman" w:hAnsi="Times New Roman" w:cs="Times New Roman"/>
          <w:b/>
          <w:bCs/>
          <w:sz w:val="24"/>
          <w:szCs w:val="24"/>
          <w:lang w:val="en-GB"/>
        </w:rPr>
        <w:t>Financial Analysis</w:t>
      </w:r>
    </w:p>
    <w:p w14:paraId="61C17BC3" w14:textId="77777777" w:rsidR="00CA24F1" w:rsidRPr="00CA24F1" w:rsidRDefault="00CA24F1" w:rsidP="00B15203">
      <w:pPr>
        <w:spacing w:after="0" w:line="240" w:lineRule="auto"/>
        <w:ind w:firstLine="720"/>
        <w:contextualSpacing/>
        <w:rPr>
          <w:rFonts w:ascii="Times New Roman" w:hAnsi="Times New Roman" w:cs="Times New Roman"/>
          <w:sz w:val="24"/>
          <w:szCs w:val="24"/>
          <w:lang w:val="en-GB"/>
        </w:rPr>
      </w:pPr>
      <w:r w:rsidRPr="00CA24F1">
        <w:rPr>
          <w:rFonts w:ascii="Times New Roman" w:hAnsi="Times New Roman" w:cs="Times New Roman"/>
          <w:sz w:val="24"/>
          <w:szCs w:val="24"/>
          <w:lang w:val="en-GB"/>
        </w:rPr>
        <w:t xml:space="preserve">By looking at the income statement and balance sheet data for the past three years, Seacrest Lodge has apparent problems. The revenue has dropped gradually from £1,200,000 in </w:t>
      </w:r>
      <w:r w:rsidRPr="00CA24F1">
        <w:rPr>
          <w:rFonts w:ascii="Times New Roman" w:hAnsi="Times New Roman" w:cs="Times New Roman"/>
          <w:sz w:val="24"/>
          <w:szCs w:val="24"/>
          <w:lang w:val="en-GB"/>
        </w:rPr>
        <w:lastRenderedPageBreak/>
        <w:t>2021 to £950,000 in 2023, and the net income has dipped significantly and turned negative in 2023, suggesting an operational loss. For the asset side of the balance sheet, total assets dropped from £2,150,000 in 2021 to £1,850,000 in 2023, while the liability side remains relatively stable. This implies losing the value of the lodge's assets and declining financial health.</w:t>
      </w:r>
    </w:p>
    <w:p w14:paraId="38E547CD" w14:textId="53C10359" w:rsidR="00952240" w:rsidRPr="00B15203" w:rsidRDefault="00CA24F1" w:rsidP="00B15203">
      <w:pPr>
        <w:spacing w:after="0" w:line="240" w:lineRule="auto"/>
        <w:ind w:firstLine="720"/>
        <w:contextualSpacing/>
        <w:rPr>
          <w:rFonts w:ascii="Times New Roman" w:hAnsi="Times New Roman" w:cs="Times New Roman"/>
          <w:sz w:val="24"/>
          <w:szCs w:val="24"/>
          <w:lang w:val="en-GB"/>
        </w:rPr>
      </w:pPr>
      <w:r w:rsidRPr="00CA24F1">
        <w:rPr>
          <w:rFonts w:ascii="Times New Roman" w:hAnsi="Times New Roman" w:cs="Times New Roman"/>
          <w:sz w:val="24"/>
          <w:szCs w:val="24"/>
          <w:lang w:val="en-GB"/>
        </w:rPr>
        <w:t>Gross profit margin = {(</w:t>
      </w:r>
      <w:r w:rsidRPr="00B15203">
        <w:rPr>
          <w:rFonts w:ascii="Times New Roman" w:hAnsi="Times New Roman" w:cs="Times New Roman"/>
          <w:sz w:val="24"/>
          <w:szCs w:val="24"/>
          <w:lang w:val="en-GB"/>
        </w:rPr>
        <w:t>revenue-cost of goods sold)/revenue</w:t>
      </w:r>
      <w:r w:rsidRPr="00CA24F1">
        <w:rPr>
          <w:rFonts w:ascii="Times New Roman" w:hAnsi="Times New Roman" w:cs="Times New Roman"/>
          <w:sz w:val="24"/>
          <w:szCs w:val="24"/>
          <w:lang w:val="en-GB"/>
        </w:rPr>
        <w:t>} x 100%</w:t>
      </w:r>
      <w:r w:rsidR="00B15203" w:rsidRPr="00B15203">
        <w:rPr>
          <w:rFonts w:ascii="Times New Roman" w:hAnsi="Times New Roman" w:cs="Times New Roman"/>
          <w:sz w:val="24"/>
          <w:szCs w:val="24"/>
          <w:lang w:val="en-GB"/>
        </w:rPr>
        <w:t>.</w:t>
      </w:r>
    </w:p>
    <w:p w14:paraId="2998BEC8" w14:textId="6994D31B" w:rsidR="00CA24F1" w:rsidRPr="00B15203" w:rsidRDefault="00CA24F1" w:rsidP="00B15203">
      <w:pPr>
        <w:spacing w:after="0" w:line="240" w:lineRule="auto"/>
        <w:contextualSpacing/>
        <w:rPr>
          <w:rFonts w:ascii="Times New Roman" w:hAnsi="Times New Roman" w:cs="Times New Roman"/>
          <w:sz w:val="24"/>
          <w:szCs w:val="24"/>
          <w:lang w:val="en-GB"/>
        </w:rPr>
      </w:pPr>
      <w:r w:rsidRPr="00B15203">
        <w:rPr>
          <w:rFonts w:ascii="Times New Roman" w:hAnsi="Times New Roman" w:cs="Times New Roman"/>
          <w:b/>
          <w:bCs/>
          <w:sz w:val="24"/>
          <w:szCs w:val="24"/>
          <w:lang w:val="en-GB"/>
        </w:rPr>
        <w:t>Table 1:</w:t>
      </w:r>
      <w:r w:rsidRPr="00B15203">
        <w:rPr>
          <w:rFonts w:ascii="Times New Roman" w:hAnsi="Times New Roman" w:cs="Times New Roman"/>
          <w:sz w:val="24"/>
          <w:szCs w:val="24"/>
          <w:lang w:val="en-GB"/>
        </w:rPr>
        <w:t xml:space="preserve"> Gross Profit Margin</w:t>
      </w:r>
    </w:p>
    <w:tbl>
      <w:tblPr>
        <w:tblStyle w:val="TableGrid"/>
        <w:tblW w:w="0" w:type="auto"/>
        <w:tblLook w:val="04A0" w:firstRow="1" w:lastRow="0" w:firstColumn="1" w:lastColumn="0" w:noHBand="0" w:noVBand="1"/>
      </w:tblPr>
      <w:tblGrid>
        <w:gridCol w:w="1705"/>
        <w:gridCol w:w="7645"/>
      </w:tblGrid>
      <w:tr w:rsidR="00B15203" w:rsidRPr="00B15203" w14:paraId="413C85F6" w14:textId="77777777" w:rsidTr="009E384A">
        <w:tc>
          <w:tcPr>
            <w:tcW w:w="1705" w:type="dxa"/>
          </w:tcPr>
          <w:p w14:paraId="4F005179"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Year</w:t>
            </w:r>
          </w:p>
        </w:tc>
        <w:tc>
          <w:tcPr>
            <w:tcW w:w="7645" w:type="dxa"/>
          </w:tcPr>
          <w:p w14:paraId="5A426C2B"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Calculation</w:t>
            </w:r>
          </w:p>
        </w:tc>
      </w:tr>
      <w:tr w:rsidR="00B15203" w:rsidRPr="00B15203" w14:paraId="527BCCD9" w14:textId="77777777" w:rsidTr="009E384A">
        <w:tc>
          <w:tcPr>
            <w:tcW w:w="1705" w:type="dxa"/>
          </w:tcPr>
          <w:p w14:paraId="49EC0E20"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2021</w:t>
            </w:r>
          </w:p>
        </w:tc>
        <w:tc>
          <w:tcPr>
            <w:tcW w:w="7645" w:type="dxa"/>
          </w:tcPr>
          <w:p w14:paraId="7FE6C0B5" w14:textId="333FC2D5"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(£1,200,000 - £900,000) / £1,200,000 = 25%</w:t>
            </w:r>
          </w:p>
        </w:tc>
      </w:tr>
      <w:tr w:rsidR="00B15203" w:rsidRPr="00B15203" w14:paraId="037B1FD5" w14:textId="77777777" w:rsidTr="009E384A">
        <w:tc>
          <w:tcPr>
            <w:tcW w:w="1705" w:type="dxa"/>
          </w:tcPr>
          <w:p w14:paraId="726E8CA7"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2022</w:t>
            </w:r>
          </w:p>
        </w:tc>
        <w:tc>
          <w:tcPr>
            <w:tcW w:w="7645" w:type="dxa"/>
          </w:tcPr>
          <w:p w14:paraId="1616CB1F"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£150,000 (£1,100,000 - £950,000) / £1,100,000 = 13.64%</w:t>
            </w:r>
          </w:p>
        </w:tc>
      </w:tr>
      <w:tr w:rsidR="00772DF1" w:rsidRPr="00B15203" w14:paraId="63193030" w14:textId="77777777" w:rsidTr="009E384A">
        <w:tc>
          <w:tcPr>
            <w:tcW w:w="1705" w:type="dxa"/>
          </w:tcPr>
          <w:p w14:paraId="2580F15E"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2023</w:t>
            </w:r>
          </w:p>
        </w:tc>
        <w:tc>
          <w:tcPr>
            <w:tcW w:w="7645" w:type="dxa"/>
          </w:tcPr>
          <w:p w14:paraId="5EB86575"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(£950,000 - £1,100,000) / £950,000 = -15.79%</w:t>
            </w:r>
          </w:p>
        </w:tc>
      </w:tr>
    </w:tbl>
    <w:p w14:paraId="585A96D9" w14:textId="77777777" w:rsidR="00952240" w:rsidRPr="00B15203" w:rsidRDefault="00952240" w:rsidP="00B15203">
      <w:pPr>
        <w:spacing w:after="0" w:line="240" w:lineRule="auto"/>
        <w:contextualSpacing/>
        <w:rPr>
          <w:rFonts w:ascii="Times New Roman" w:hAnsi="Times New Roman" w:cs="Times New Roman"/>
          <w:sz w:val="24"/>
          <w:szCs w:val="24"/>
          <w:lang w:val="en-GB"/>
        </w:rPr>
      </w:pPr>
    </w:p>
    <w:p w14:paraId="2659F4E0" w14:textId="77777777" w:rsidR="00952240" w:rsidRPr="00B15203" w:rsidRDefault="00CB5E41"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The </w:t>
      </w:r>
      <w:r w:rsidR="0022636E" w:rsidRPr="00B15203">
        <w:rPr>
          <w:rFonts w:ascii="Times New Roman" w:hAnsi="Times New Roman" w:cs="Times New Roman"/>
          <w:sz w:val="24"/>
          <w:szCs w:val="24"/>
          <w:lang w:val="en-GB"/>
        </w:rPr>
        <w:t>gross profit margin has been declining, indicating decreasing profitability and potential issues with cost management.</w:t>
      </w:r>
    </w:p>
    <w:p w14:paraId="6D79669A" w14:textId="7193F23D" w:rsidR="00952240" w:rsidRPr="00B15203" w:rsidRDefault="00CB5E41"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ROA= (</w:t>
      </w:r>
      <w:r w:rsidR="00CA24F1" w:rsidRPr="00B15203">
        <w:rPr>
          <w:rFonts w:ascii="Times New Roman" w:hAnsi="Times New Roman" w:cs="Times New Roman"/>
          <w:sz w:val="24"/>
          <w:szCs w:val="24"/>
          <w:lang w:val="en-GB"/>
        </w:rPr>
        <w:t>net income/total assets</w:t>
      </w:r>
      <w:r w:rsidRPr="00B15203">
        <w:rPr>
          <w:rFonts w:ascii="Times New Roman" w:hAnsi="Times New Roman" w:cs="Times New Roman"/>
          <w:sz w:val="24"/>
          <w:szCs w:val="24"/>
          <w:lang w:val="en-GB"/>
        </w:rPr>
        <w:t>) x 100%</w:t>
      </w:r>
      <w:r w:rsidR="001E647E" w:rsidRPr="00B15203">
        <w:rPr>
          <w:rFonts w:ascii="Times New Roman" w:hAnsi="Times New Roman" w:cs="Times New Roman"/>
          <w:sz w:val="24"/>
          <w:szCs w:val="24"/>
          <w:lang w:val="en-GB"/>
        </w:rPr>
        <w:t xml:space="preserve"> (Seal, Garrison, and Noreen, 2008)</w:t>
      </w:r>
      <w:r w:rsidR="00B15203" w:rsidRPr="00B15203">
        <w:rPr>
          <w:rFonts w:ascii="Times New Roman" w:hAnsi="Times New Roman" w:cs="Times New Roman"/>
          <w:sz w:val="24"/>
          <w:szCs w:val="24"/>
          <w:lang w:val="en-GB"/>
        </w:rPr>
        <w:t>.</w:t>
      </w:r>
    </w:p>
    <w:p w14:paraId="6D88C47C" w14:textId="7E0D1E58" w:rsidR="00CA24F1" w:rsidRPr="00B15203" w:rsidRDefault="00CA24F1" w:rsidP="00B15203">
      <w:pPr>
        <w:spacing w:after="0" w:line="240" w:lineRule="auto"/>
        <w:contextualSpacing/>
        <w:rPr>
          <w:rFonts w:ascii="Times New Roman" w:hAnsi="Times New Roman" w:cs="Times New Roman"/>
          <w:sz w:val="24"/>
          <w:szCs w:val="24"/>
          <w:lang w:val="en-GB"/>
        </w:rPr>
      </w:pPr>
      <w:r w:rsidRPr="00B15203">
        <w:rPr>
          <w:rFonts w:ascii="Times New Roman" w:hAnsi="Times New Roman" w:cs="Times New Roman"/>
          <w:b/>
          <w:bCs/>
          <w:sz w:val="24"/>
          <w:szCs w:val="24"/>
          <w:lang w:val="en-GB"/>
        </w:rPr>
        <w:t>Table 2:</w:t>
      </w:r>
      <w:r w:rsidRPr="00B15203">
        <w:rPr>
          <w:rFonts w:ascii="Times New Roman" w:hAnsi="Times New Roman" w:cs="Times New Roman"/>
          <w:sz w:val="24"/>
          <w:szCs w:val="24"/>
          <w:lang w:val="en-GB"/>
        </w:rPr>
        <w:t xml:space="preserve"> Return on Assets</w:t>
      </w:r>
    </w:p>
    <w:tbl>
      <w:tblPr>
        <w:tblStyle w:val="TableGrid"/>
        <w:tblW w:w="0" w:type="auto"/>
        <w:tblLook w:val="04A0" w:firstRow="1" w:lastRow="0" w:firstColumn="1" w:lastColumn="0" w:noHBand="0" w:noVBand="1"/>
      </w:tblPr>
      <w:tblGrid>
        <w:gridCol w:w="1435"/>
        <w:gridCol w:w="7915"/>
      </w:tblGrid>
      <w:tr w:rsidR="00B15203" w:rsidRPr="00B15203" w14:paraId="5E8CDAE3" w14:textId="77777777" w:rsidTr="009E384A">
        <w:tc>
          <w:tcPr>
            <w:tcW w:w="1435" w:type="dxa"/>
          </w:tcPr>
          <w:p w14:paraId="65621C73"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Year</w:t>
            </w:r>
          </w:p>
        </w:tc>
        <w:tc>
          <w:tcPr>
            <w:tcW w:w="7915" w:type="dxa"/>
          </w:tcPr>
          <w:p w14:paraId="7FEA6760"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Calculation </w:t>
            </w:r>
          </w:p>
        </w:tc>
      </w:tr>
      <w:tr w:rsidR="00B15203" w:rsidRPr="00B15203" w14:paraId="18BB1588" w14:textId="77777777" w:rsidTr="009E384A">
        <w:tc>
          <w:tcPr>
            <w:tcW w:w="1435" w:type="dxa"/>
          </w:tcPr>
          <w:p w14:paraId="5CB630F9"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2021</w:t>
            </w:r>
          </w:p>
        </w:tc>
        <w:tc>
          <w:tcPr>
            <w:tcW w:w="7915" w:type="dxa"/>
          </w:tcPr>
          <w:p w14:paraId="0AEF4873" w14:textId="5852072F"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(£300,000 / £2,150,000) x 100% = 13.95%</w:t>
            </w:r>
          </w:p>
        </w:tc>
      </w:tr>
      <w:tr w:rsidR="00B15203" w:rsidRPr="00B15203" w14:paraId="1F9A1848" w14:textId="77777777" w:rsidTr="009E384A">
        <w:tc>
          <w:tcPr>
            <w:tcW w:w="1435" w:type="dxa"/>
          </w:tcPr>
          <w:p w14:paraId="5C35CD42"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2022</w:t>
            </w:r>
          </w:p>
        </w:tc>
        <w:tc>
          <w:tcPr>
            <w:tcW w:w="7915" w:type="dxa"/>
          </w:tcPr>
          <w:p w14:paraId="66B74334" w14:textId="5DEA8198"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(£150,000 / £2,120,000) x 100% = 7.08%</w:t>
            </w:r>
          </w:p>
        </w:tc>
      </w:tr>
      <w:tr w:rsidR="00772DF1" w:rsidRPr="00B15203" w14:paraId="1B9956C6" w14:textId="77777777" w:rsidTr="009E384A">
        <w:tc>
          <w:tcPr>
            <w:tcW w:w="1435" w:type="dxa"/>
          </w:tcPr>
          <w:p w14:paraId="75A23554"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2023</w:t>
            </w:r>
          </w:p>
        </w:tc>
        <w:tc>
          <w:tcPr>
            <w:tcW w:w="7915" w:type="dxa"/>
          </w:tcPr>
          <w:p w14:paraId="688D9BA7" w14:textId="6205CBCC"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(-£150,000 / £1,850,000) x 100% = -8.11%</w:t>
            </w:r>
          </w:p>
        </w:tc>
      </w:tr>
    </w:tbl>
    <w:p w14:paraId="64A29C21" w14:textId="77777777" w:rsidR="000C3630" w:rsidRPr="00B15203" w:rsidRDefault="000C3630" w:rsidP="00B15203">
      <w:pPr>
        <w:spacing w:after="0" w:line="240" w:lineRule="auto"/>
        <w:contextualSpacing/>
        <w:rPr>
          <w:rFonts w:ascii="Times New Roman" w:hAnsi="Times New Roman" w:cs="Times New Roman"/>
          <w:sz w:val="24"/>
          <w:szCs w:val="24"/>
          <w:lang w:val="en-GB"/>
        </w:rPr>
      </w:pPr>
    </w:p>
    <w:p w14:paraId="4D4C92A7" w14:textId="77777777" w:rsidR="00952240" w:rsidRPr="00B15203" w:rsidRDefault="00CB5E41"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ROA has been decreasing, indicating a diminishing ability to generate profits from assets.</w:t>
      </w:r>
    </w:p>
    <w:p w14:paraId="3CFA3B2F" w14:textId="0EA8821B" w:rsidR="00952240" w:rsidRPr="00B15203" w:rsidRDefault="00CB5E41"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Current ratio =</w:t>
      </w:r>
      <w:r w:rsidR="00CA24F1" w:rsidRPr="00B15203">
        <w:rPr>
          <w:rFonts w:ascii="Times New Roman" w:hAnsi="Times New Roman" w:cs="Times New Roman"/>
          <w:sz w:val="24"/>
          <w:szCs w:val="24"/>
          <w:lang w:val="en-GB"/>
        </w:rPr>
        <w:t xml:space="preserve"> c</w:t>
      </w:r>
      <w:r w:rsidRPr="00B15203">
        <w:rPr>
          <w:rFonts w:ascii="Times New Roman" w:hAnsi="Times New Roman" w:cs="Times New Roman"/>
          <w:sz w:val="24"/>
          <w:szCs w:val="24"/>
          <w:lang w:val="en-GB"/>
        </w:rPr>
        <w:t>urrent assets/current liabilities</w:t>
      </w:r>
      <w:r w:rsidR="001E647E" w:rsidRPr="00B15203">
        <w:rPr>
          <w:rFonts w:ascii="Times New Roman" w:hAnsi="Times New Roman" w:cs="Times New Roman"/>
          <w:sz w:val="24"/>
          <w:szCs w:val="24"/>
          <w:lang w:val="en-GB"/>
        </w:rPr>
        <w:t xml:space="preserve"> (</w:t>
      </w:r>
      <w:proofErr w:type="spellStart"/>
      <w:r w:rsidR="001E647E" w:rsidRPr="00B15203">
        <w:rPr>
          <w:rFonts w:ascii="Times New Roman" w:hAnsi="Times New Roman" w:cs="Times New Roman"/>
          <w:sz w:val="24"/>
          <w:szCs w:val="24"/>
          <w:lang w:val="en-GB"/>
        </w:rPr>
        <w:t>Atrill</w:t>
      </w:r>
      <w:proofErr w:type="spellEnd"/>
      <w:r w:rsidR="001E647E" w:rsidRPr="00B15203">
        <w:rPr>
          <w:rFonts w:ascii="Times New Roman" w:hAnsi="Times New Roman" w:cs="Times New Roman"/>
          <w:sz w:val="24"/>
          <w:szCs w:val="24"/>
          <w:lang w:val="en-GB"/>
        </w:rPr>
        <w:t xml:space="preserve"> and McLaney, 2021)</w:t>
      </w:r>
      <w:r w:rsidR="00B15203" w:rsidRPr="00B15203">
        <w:rPr>
          <w:rFonts w:ascii="Times New Roman" w:hAnsi="Times New Roman" w:cs="Times New Roman"/>
          <w:sz w:val="24"/>
          <w:szCs w:val="24"/>
          <w:lang w:val="en-GB"/>
        </w:rPr>
        <w:t>.</w:t>
      </w:r>
    </w:p>
    <w:p w14:paraId="32E7168F" w14:textId="445B8A4C" w:rsidR="00CA24F1" w:rsidRPr="00B15203" w:rsidRDefault="00CA24F1" w:rsidP="00B15203">
      <w:pPr>
        <w:spacing w:after="0" w:line="240" w:lineRule="auto"/>
        <w:contextualSpacing/>
        <w:rPr>
          <w:rFonts w:ascii="Times New Roman" w:hAnsi="Times New Roman" w:cs="Times New Roman"/>
          <w:sz w:val="24"/>
          <w:szCs w:val="24"/>
          <w:lang w:val="en-GB"/>
        </w:rPr>
      </w:pPr>
      <w:r w:rsidRPr="00B15203">
        <w:rPr>
          <w:rFonts w:ascii="Times New Roman" w:hAnsi="Times New Roman" w:cs="Times New Roman"/>
          <w:b/>
          <w:bCs/>
          <w:sz w:val="24"/>
          <w:szCs w:val="24"/>
          <w:lang w:val="en-GB"/>
        </w:rPr>
        <w:t>Table 3:</w:t>
      </w:r>
      <w:r w:rsidRPr="00B15203">
        <w:rPr>
          <w:rFonts w:ascii="Times New Roman" w:hAnsi="Times New Roman" w:cs="Times New Roman"/>
          <w:sz w:val="24"/>
          <w:szCs w:val="24"/>
          <w:lang w:val="en-GB"/>
        </w:rPr>
        <w:t xml:space="preserve"> Current Ratio</w:t>
      </w:r>
    </w:p>
    <w:tbl>
      <w:tblPr>
        <w:tblStyle w:val="TableGrid"/>
        <w:tblW w:w="0" w:type="auto"/>
        <w:tblLook w:val="04A0" w:firstRow="1" w:lastRow="0" w:firstColumn="1" w:lastColumn="0" w:noHBand="0" w:noVBand="1"/>
      </w:tblPr>
      <w:tblGrid>
        <w:gridCol w:w="1255"/>
        <w:gridCol w:w="8095"/>
      </w:tblGrid>
      <w:tr w:rsidR="00B15203" w:rsidRPr="00B15203" w14:paraId="1A4024C7" w14:textId="77777777" w:rsidTr="009E384A">
        <w:tc>
          <w:tcPr>
            <w:tcW w:w="1255" w:type="dxa"/>
          </w:tcPr>
          <w:p w14:paraId="66BD5B54"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Year </w:t>
            </w:r>
          </w:p>
        </w:tc>
        <w:tc>
          <w:tcPr>
            <w:tcW w:w="8095" w:type="dxa"/>
          </w:tcPr>
          <w:p w14:paraId="09659CE1"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Calculation</w:t>
            </w:r>
          </w:p>
        </w:tc>
      </w:tr>
      <w:tr w:rsidR="00B15203" w:rsidRPr="00B15203" w14:paraId="3216A964" w14:textId="77777777" w:rsidTr="009E384A">
        <w:tc>
          <w:tcPr>
            <w:tcW w:w="1255" w:type="dxa"/>
          </w:tcPr>
          <w:p w14:paraId="29CFB33F"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2021</w:t>
            </w:r>
          </w:p>
        </w:tc>
        <w:tc>
          <w:tcPr>
            <w:tcW w:w="8095" w:type="dxa"/>
          </w:tcPr>
          <w:p w14:paraId="76DA5C5F" w14:textId="06D55C4E"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£180,000 / £30,000 = 6</w:t>
            </w:r>
          </w:p>
        </w:tc>
      </w:tr>
      <w:tr w:rsidR="00B15203" w:rsidRPr="00B15203" w14:paraId="78BD3F6B" w14:textId="77777777" w:rsidTr="009E384A">
        <w:tc>
          <w:tcPr>
            <w:tcW w:w="1255" w:type="dxa"/>
          </w:tcPr>
          <w:p w14:paraId="2A6D24FD"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2022</w:t>
            </w:r>
          </w:p>
        </w:tc>
        <w:tc>
          <w:tcPr>
            <w:tcW w:w="8095" w:type="dxa"/>
          </w:tcPr>
          <w:p w14:paraId="44F15100" w14:textId="4242D5E2"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£120,000 / £40,000 = 3</w:t>
            </w:r>
          </w:p>
        </w:tc>
      </w:tr>
      <w:tr w:rsidR="00772DF1" w:rsidRPr="00B15203" w14:paraId="26CEC596" w14:textId="77777777" w:rsidTr="009E384A">
        <w:tc>
          <w:tcPr>
            <w:tcW w:w="1255" w:type="dxa"/>
          </w:tcPr>
          <w:p w14:paraId="0F36E495"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2023</w:t>
            </w:r>
          </w:p>
        </w:tc>
        <w:tc>
          <w:tcPr>
            <w:tcW w:w="8095" w:type="dxa"/>
          </w:tcPr>
          <w:p w14:paraId="41EC7199" w14:textId="191405C3"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£50,000 / £50,000 = 1</w:t>
            </w:r>
          </w:p>
        </w:tc>
      </w:tr>
    </w:tbl>
    <w:p w14:paraId="657EDE83" w14:textId="77777777" w:rsidR="00952240" w:rsidRPr="00B15203" w:rsidRDefault="00952240" w:rsidP="00B15203">
      <w:pPr>
        <w:spacing w:after="0" w:line="240" w:lineRule="auto"/>
        <w:contextualSpacing/>
        <w:rPr>
          <w:rFonts w:ascii="Times New Roman" w:hAnsi="Times New Roman" w:cs="Times New Roman"/>
          <w:sz w:val="24"/>
          <w:szCs w:val="24"/>
          <w:lang w:val="en-GB"/>
        </w:rPr>
      </w:pPr>
    </w:p>
    <w:p w14:paraId="4F2B2B52" w14:textId="77777777" w:rsidR="00952240" w:rsidRPr="00B15203" w:rsidRDefault="00CB5E41"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T</w:t>
      </w:r>
      <w:r w:rsidR="0022636E" w:rsidRPr="00B15203">
        <w:rPr>
          <w:rFonts w:ascii="Times New Roman" w:hAnsi="Times New Roman" w:cs="Times New Roman"/>
          <w:sz w:val="24"/>
          <w:szCs w:val="24"/>
          <w:lang w:val="en-GB"/>
        </w:rPr>
        <w:t>he current ratio has decreased, indicating potential liquidity issues and difficulties meeting short-term obligations.</w:t>
      </w:r>
    </w:p>
    <w:p w14:paraId="49C09BCF" w14:textId="2F91FD20" w:rsidR="00952240" w:rsidRPr="00B15203" w:rsidRDefault="00CB5E41"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Profit margin</w:t>
      </w:r>
      <w:r w:rsidR="00CA24F1" w:rsidRPr="00B15203">
        <w:rPr>
          <w:rFonts w:ascii="Times New Roman" w:hAnsi="Times New Roman" w:cs="Times New Roman"/>
          <w:sz w:val="24"/>
          <w:szCs w:val="24"/>
          <w:lang w:val="en-GB"/>
        </w:rPr>
        <w:t xml:space="preserve"> </w:t>
      </w:r>
      <w:r w:rsidRPr="00B15203">
        <w:rPr>
          <w:rFonts w:ascii="Times New Roman" w:hAnsi="Times New Roman" w:cs="Times New Roman"/>
          <w:sz w:val="24"/>
          <w:szCs w:val="24"/>
          <w:lang w:val="en-GB"/>
        </w:rPr>
        <w:t>= (</w:t>
      </w:r>
      <w:r w:rsidR="00CA24F1" w:rsidRPr="00B15203">
        <w:rPr>
          <w:rFonts w:ascii="Times New Roman" w:hAnsi="Times New Roman" w:cs="Times New Roman"/>
          <w:sz w:val="24"/>
          <w:szCs w:val="24"/>
          <w:lang w:val="en-GB"/>
        </w:rPr>
        <w:t>net income/revenue</w:t>
      </w:r>
      <w:r w:rsidRPr="00B15203">
        <w:rPr>
          <w:rFonts w:ascii="Times New Roman" w:hAnsi="Times New Roman" w:cs="Times New Roman"/>
          <w:sz w:val="24"/>
          <w:szCs w:val="24"/>
          <w:lang w:val="en-GB"/>
        </w:rPr>
        <w:t>) x 100%</w:t>
      </w:r>
      <w:r w:rsidR="001E647E" w:rsidRPr="00B15203">
        <w:rPr>
          <w:rFonts w:ascii="Times New Roman" w:hAnsi="Times New Roman" w:cs="Times New Roman"/>
          <w:sz w:val="24"/>
          <w:szCs w:val="24"/>
          <w:lang w:val="en-GB"/>
        </w:rPr>
        <w:t xml:space="preserve"> (Walker, 2021)</w:t>
      </w:r>
      <w:r w:rsidR="00B15203" w:rsidRPr="00B15203">
        <w:rPr>
          <w:rFonts w:ascii="Times New Roman" w:hAnsi="Times New Roman" w:cs="Times New Roman"/>
          <w:sz w:val="24"/>
          <w:szCs w:val="24"/>
          <w:lang w:val="en-GB"/>
        </w:rPr>
        <w:t>.</w:t>
      </w:r>
    </w:p>
    <w:p w14:paraId="1560CC67" w14:textId="3E2BF72C" w:rsidR="00CA24F1" w:rsidRPr="00B15203" w:rsidRDefault="00CA24F1" w:rsidP="00B15203">
      <w:pPr>
        <w:spacing w:after="0" w:line="240" w:lineRule="auto"/>
        <w:contextualSpacing/>
        <w:rPr>
          <w:rFonts w:ascii="Times New Roman" w:hAnsi="Times New Roman" w:cs="Times New Roman"/>
          <w:sz w:val="24"/>
          <w:szCs w:val="24"/>
          <w:lang w:val="en-GB"/>
        </w:rPr>
      </w:pPr>
      <w:r w:rsidRPr="00B15203">
        <w:rPr>
          <w:rFonts w:ascii="Times New Roman" w:hAnsi="Times New Roman" w:cs="Times New Roman"/>
          <w:b/>
          <w:bCs/>
          <w:sz w:val="24"/>
          <w:szCs w:val="24"/>
          <w:lang w:val="en-GB"/>
        </w:rPr>
        <w:t>Table 4:</w:t>
      </w:r>
      <w:r w:rsidRPr="00B15203">
        <w:rPr>
          <w:rFonts w:ascii="Times New Roman" w:hAnsi="Times New Roman" w:cs="Times New Roman"/>
          <w:sz w:val="24"/>
          <w:szCs w:val="24"/>
          <w:lang w:val="en-GB"/>
        </w:rPr>
        <w:t xml:space="preserve"> Profit Margin</w:t>
      </w:r>
    </w:p>
    <w:tbl>
      <w:tblPr>
        <w:tblStyle w:val="TableGrid"/>
        <w:tblW w:w="0" w:type="auto"/>
        <w:tblLook w:val="04A0" w:firstRow="1" w:lastRow="0" w:firstColumn="1" w:lastColumn="0" w:noHBand="0" w:noVBand="1"/>
      </w:tblPr>
      <w:tblGrid>
        <w:gridCol w:w="715"/>
        <w:gridCol w:w="8635"/>
      </w:tblGrid>
      <w:tr w:rsidR="00B15203" w:rsidRPr="00B15203" w14:paraId="50552F91" w14:textId="77777777" w:rsidTr="009E384A">
        <w:tc>
          <w:tcPr>
            <w:tcW w:w="715" w:type="dxa"/>
          </w:tcPr>
          <w:p w14:paraId="7D262D83"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Year </w:t>
            </w:r>
          </w:p>
        </w:tc>
        <w:tc>
          <w:tcPr>
            <w:tcW w:w="8635" w:type="dxa"/>
          </w:tcPr>
          <w:p w14:paraId="3CACE836"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Calculation </w:t>
            </w:r>
          </w:p>
        </w:tc>
      </w:tr>
      <w:tr w:rsidR="00B15203" w:rsidRPr="00B15203" w14:paraId="763A1D61" w14:textId="77777777" w:rsidTr="009E384A">
        <w:tc>
          <w:tcPr>
            <w:tcW w:w="715" w:type="dxa"/>
          </w:tcPr>
          <w:p w14:paraId="6F0EA03F"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2021</w:t>
            </w:r>
          </w:p>
        </w:tc>
        <w:tc>
          <w:tcPr>
            <w:tcW w:w="8635" w:type="dxa"/>
          </w:tcPr>
          <w:p w14:paraId="20D06833" w14:textId="37B61CB7" w:rsidR="00952240" w:rsidRPr="00B15203" w:rsidRDefault="00CB5E41" w:rsidP="00B15203">
            <w:pPr>
              <w:contextualSpacing/>
              <w:rPr>
                <w:rFonts w:ascii="Times New Roman" w:hAnsi="Times New Roman" w:cs="Times New Roman"/>
                <w:sz w:val="24"/>
                <w:szCs w:val="24"/>
                <w:lang w:val="en-GB"/>
              </w:rPr>
            </w:pPr>
            <w:proofErr w:type="gramStart"/>
            <w:r w:rsidRPr="00B15203">
              <w:rPr>
                <w:rFonts w:ascii="Times New Roman" w:hAnsi="Times New Roman" w:cs="Times New Roman"/>
                <w:sz w:val="24"/>
                <w:szCs w:val="24"/>
                <w:lang w:val="en-GB"/>
              </w:rPr>
              <w:t>£(</w:t>
            </w:r>
            <w:proofErr w:type="gramEnd"/>
            <w:r w:rsidRPr="00B15203">
              <w:rPr>
                <w:rFonts w:ascii="Times New Roman" w:hAnsi="Times New Roman" w:cs="Times New Roman"/>
                <w:sz w:val="24"/>
                <w:szCs w:val="24"/>
                <w:lang w:val="en-GB"/>
              </w:rPr>
              <w:t>300,000 / £1,200,000) x 100%= 25%</w:t>
            </w:r>
          </w:p>
        </w:tc>
      </w:tr>
      <w:tr w:rsidR="00B15203" w:rsidRPr="00B15203" w14:paraId="2791CE7E" w14:textId="77777777" w:rsidTr="009E384A">
        <w:tc>
          <w:tcPr>
            <w:tcW w:w="715" w:type="dxa"/>
          </w:tcPr>
          <w:p w14:paraId="2E85FC90"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2022</w:t>
            </w:r>
          </w:p>
        </w:tc>
        <w:tc>
          <w:tcPr>
            <w:tcW w:w="8635" w:type="dxa"/>
          </w:tcPr>
          <w:p w14:paraId="07B78C66" w14:textId="60786821"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(£150,000 / £1,100,000) x 100% = 13.64%</w:t>
            </w:r>
          </w:p>
        </w:tc>
      </w:tr>
      <w:tr w:rsidR="00772DF1" w:rsidRPr="00B15203" w14:paraId="39541249" w14:textId="77777777" w:rsidTr="009E384A">
        <w:tc>
          <w:tcPr>
            <w:tcW w:w="715" w:type="dxa"/>
          </w:tcPr>
          <w:p w14:paraId="1FAB7C69"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2023</w:t>
            </w:r>
          </w:p>
        </w:tc>
        <w:tc>
          <w:tcPr>
            <w:tcW w:w="8635" w:type="dxa"/>
          </w:tcPr>
          <w:p w14:paraId="2B56BB16" w14:textId="063F970E"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(-£150,000 / £950,000) x 100% = -15.79%</w:t>
            </w:r>
          </w:p>
        </w:tc>
      </w:tr>
    </w:tbl>
    <w:p w14:paraId="694E4572" w14:textId="77777777" w:rsidR="00952240" w:rsidRPr="00B15203" w:rsidRDefault="00952240" w:rsidP="00B15203">
      <w:pPr>
        <w:spacing w:after="0" w:line="240" w:lineRule="auto"/>
        <w:contextualSpacing/>
        <w:rPr>
          <w:rFonts w:ascii="Times New Roman" w:hAnsi="Times New Roman" w:cs="Times New Roman"/>
          <w:sz w:val="24"/>
          <w:szCs w:val="24"/>
          <w:lang w:val="en-GB"/>
        </w:rPr>
      </w:pPr>
    </w:p>
    <w:p w14:paraId="77C2D32C"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The profit margin has been declining, indicating decreasing profitability relative to revenue.</w:t>
      </w:r>
    </w:p>
    <w:p w14:paraId="082C2F88"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Debt-to-equity ratio = total liability/total equity (</w:t>
      </w:r>
      <w:proofErr w:type="spellStart"/>
      <w:r w:rsidRPr="00B15203">
        <w:rPr>
          <w:rFonts w:ascii="Times New Roman" w:hAnsi="Times New Roman" w:cs="Times New Roman"/>
          <w:sz w:val="24"/>
          <w:szCs w:val="24"/>
          <w:lang w:val="en-GB"/>
        </w:rPr>
        <w:t>Dirman</w:t>
      </w:r>
      <w:proofErr w:type="spellEnd"/>
      <w:r w:rsidRPr="00B15203">
        <w:rPr>
          <w:rFonts w:ascii="Times New Roman" w:hAnsi="Times New Roman" w:cs="Times New Roman"/>
          <w:sz w:val="24"/>
          <w:szCs w:val="24"/>
          <w:lang w:val="en-GB"/>
        </w:rPr>
        <w:t>, 2020; Drury, 2013).</w:t>
      </w:r>
    </w:p>
    <w:p w14:paraId="4FB6871E" w14:textId="3DF7351B" w:rsidR="00952240" w:rsidRPr="00B15203" w:rsidRDefault="00CA24F1" w:rsidP="00B15203">
      <w:pPr>
        <w:spacing w:after="0" w:line="240" w:lineRule="auto"/>
        <w:contextualSpacing/>
        <w:rPr>
          <w:rFonts w:ascii="Times New Roman" w:hAnsi="Times New Roman" w:cs="Times New Roman"/>
          <w:sz w:val="24"/>
          <w:szCs w:val="24"/>
          <w:lang w:val="en-GB"/>
        </w:rPr>
      </w:pPr>
      <w:r w:rsidRPr="00B15203">
        <w:rPr>
          <w:rFonts w:ascii="Times New Roman" w:hAnsi="Times New Roman" w:cs="Times New Roman"/>
          <w:b/>
          <w:bCs/>
          <w:sz w:val="24"/>
          <w:szCs w:val="24"/>
          <w:lang w:val="en-GB"/>
        </w:rPr>
        <w:t>Table 5:</w:t>
      </w:r>
      <w:r w:rsidRPr="00B15203">
        <w:rPr>
          <w:rFonts w:ascii="Times New Roman" w:hAnsi="Times New Roman" w:cs="Times New Roman"/>
          <w:sz w:val="24"/>
          <w:szCs w:val="24"/>
          <w:lang w:val="en-GB"/>
        </w:rPr>
        <w:t xml:space="preserve"> Debt to Equity Ratio</w:t>
      </w:r>
    </w:p>
    <w:tbl>
      <w:tblPr>
        <w:tblStyle w:val="TableGrid"/>
        <w:tblW w:w="0" w:type="auto"/>
        <w:tblLook w:val="04A0" w:firstRow="1" w:lastRow="0" w:firstColumn="1" w:lastColumn="0" w:noHBand="0" w:noVBand="1"/>
      </w:tblPr>
      <w:tblGrid>
        <w:gridCol w:w="1345"/>
        <w:gridCol w:w="8005"/>
      </w:tblGrid>
      <w:tr w:rsidR="00B15203" w:rsidRPr="00B15203" w14:paraId="4777BFFE" w14:textId="77777777" w:rsidTr="009E384A">
        <w:tc>
          <w:tcPr>
            <w:tcW w:w="1345" w:type="dxa"/>
          </w:tcPr>
          <w:p w14:paraId="286A6F94"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Year </w:t>
            </w:r>
          </w:p>
        </w:tc>
        <w:tc>
          <w:tcPr>
            <w:tcW w:w="8005" w:type="dxa"/>
          </w:tcPr>
          <w:p w14:paraId="164746E7" w14:textId="26A8BE2B" w:rsidR="00952240" w:rsidRPr="00B15203" w:rsidRDefault="00CA24F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C</w:t>
            </w:r>
            <w:r w:rsidR="00CB5E41" w:rsidRPr="00B15203">
              <w:rPr>
                <w:rFonts w:ascii="Times New Roman" w:hAnsi="Times New Roman" w:cs="Times New Roman"/>
                <w:sz w:val="24"/>
                <w:szCs w:val="24"/>
                <w:lang w:val="en-GB"/>
              </w:rPr>
              <w:t>alculation</w:t>
            </w:r>
          </w:p>
        </w:tc>
      </w:tr>
      <w:tr w:rsidR="00B15203" w:rsidRPr="00B15203" w14:paraId="5FAC6231" w14:textId="77777777" w:rsidTr="009E384A">
        <w:tc>
          <w:tcPr>
            <w:tcW w:w="1345" w:type="dxa"/>
          </w:tcPr>
          <w:p w14:paraId="580D5654"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2021</w:t>
            </w:r>
          </w:p>
        </w:tc>
        <w:tc>
          <w:tcPr>
            <w:tcW w:w="8005" w:type="dxa"/>
          </w:tcPr>
          <w:p w14:paraId="12B5B34E"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£3,060,000 / £620,000 = 4.94</w:t>
            </w:r>
          </w:p>
        </w:tc>
      </w:tr>
      <w:tr w:rsidR="00B15203" w:rsidRPr="00B15203" w14:paraId="3625CA7F" w14:textId="77777777" w:rsidTr="009E384A">
        <w:tc>
          <w:tcPr>
            <w:tcW w:w="1345" w:type="dxa"/>
          </w:tcPr>
          <w:p w14:paraId="733FEE1B"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2022</w:t>
            </w:r>
          </w:p>
        </w:tc>
        <w:tc>
          <w:tcPr>
            <w:tcW w:w="8005" w:type="dxa"/>
          </w:tcPr>
          <w:p w14:paraId="769E68C2"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£3,080,000/ £580,000 = 5.31</w:t>
            </w:r>
          </w:p>
        </w:tc>
      </w:tr>
      <w:tr w:rsidR="00772DF1" w:rsidRPr="00B15203" w14:paraId="030F2F19" w14:textId="77777777" w:rsidTr="009E384A">
        <w:tc>
          <w:tcPr>
            <w:tcW w:w="1345" w:type="dxa"/>
          </w:tcPr>
          <w:p w14:paraId="62D632E4"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2023</w:t>
            </w:r>
          </w:p>
        </w:tc>
        <w:tc>
          <w:tcPr>
            <w:tcW w:w="8005" w:type="dxa"/>
          </w:tcPr>
          <w:p w14:paraId="4E6B3CFA"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£3,100,000 / £300,000 = 10.33</w:t>
            </w:r>
          </w:p>
        </w:tc>
      </w:tr>
    </w:tbl>
    <w:p w14:paraId="788E7140" w14:textId="77777777" w:rsidR="00952240" w:rsidRPr="00B15203" w:rsidRDefault="00952240" w:rsidP="00B15203">
      <w:pPr>
        <w:spacing w:after="0" w:line="240" w:lineRule="auto"/>
        <w:contextualSpacing/>
        <w:rPr>
          <w:rFonts w:ascii="Times New Roman" w:hAnsi="Times New Roman" w:cs="Times New Roman"/>
          <w:sz w:val="24"/>
          <w:szCs w:val="24"/>
          <w:lang w:val="en-GB"/>
        </w:rPr>
      </w:pPr>
    </w:p>
    <w:p w14:paraId="6C9AAA02"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lastRenderedPageBreak/>
        <w:t>The debt-to-equity ratio has been increasing, indicating a growing reliance on debt financing.</w:t>
      </w:r>
    </w:p>
    <w:p w14:paraId="047904F8" w14:textId="102CA490"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Asset turnover ratio = revenue/total assets (Seal, 2019).</w:t>
      </w:r>
    </w:p>
    <w:p w14:paraId="68D96D63" w14:textId="1808928E" w:rsidR="00CA24F1" w:rsidRPr="00B15203" w:rsidRDefault="00CA24F1" w:rsidP="00B15203">
      <w:pPr>
        <w:spacing w:after="0" w:line="240" w:lineRule="auto"/>
        <w:contextualSpacing/>
        <w:rPr>
          <w:rFonts w:ascii="Times New Roman" w:hAnsi="Times New Roman" w:cs="Times New Roman"/>
          <w:sz w:val="24"/>
          <w:szCs w:val="24"/>
          <w:lang w:val="en-GB"/>
        </w:rPr>
      </w:pPr>
      <w:r w:rsidRPr="00B15203">
        <w:rPr>
          <w:rFonts w:ascii="Times New Roman" w:hAnsi="Times New Roman" w:cs="Times New Roman"/>
          <w:b/>
          <w:bCs/>
          <w:sz w:val="24"/>
          <w:szCs w:val="24"/>
          <w:lang w:val="en-GB"/>
        </w:rPr>
        <w:t>Table 6:</w:t>
      </w:r>
      <w:r w:rsidRPr="00B15203">
        <w:rPr>
          <w:rFonts w:ascii="Times New Roman" w:hAnsi="Times New Roman" w:cs="Times New Roman"/>
          <w:sz w:val="24"/>
          <w:szCs w:val="24"/>
          <w:lang w:val="en-GB"/>
        </w:rPr>
        <w:t xml:space="preserve"> Asset Turnover Ratio</w:t>
      </w:r>
    </w:p>
    <w:tbl>
      <w:tblPr>
        <w:tblStyle w:val="TableGrid"/>
        <w:tblW w:w="0" w:type="auto"/>
        <w:tblLook w:val="04A0" w:firstRow="1" w:lastRow="0" w:firstColumn="1" w:lastColumn="0" w:noHBand="0" w:noVBand="1"/>
      </w:tblPr>
      <w:tblGrid>
        <w:gridCol w:w="805"/>
        <w:gridCol w:w="8545"/>
      </w:tblGrid>
      <w:tr w:rsidR="00B15203" w:rsidRPr="00B15203" w14:paraId="3D781FC9" w14:textId="77777777" w:rsidTr="009E384A">
        <w:tc>
          <w:tcPr>
            <w:tcW w:w="805" w:type="dxa"/>
          </w:tcPr>
          <w:p w14:paraId="7FF8E0E0"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Year </w:t>
            </w:r>
          </w:p>
        </w:tc>
        <w:tc>
          <w:tcPr>
            <w:tcW w:w="8545" w:type="dxa"/>
          </w:tcPr>
          <w:p w14:paraId="09D7F900"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Calculation</w:t>
            </w:r>
          </w:p>
        </w:tc>
      </w:tr>
      <w:tr w:rsidR="00B15203" w:rsidRPr="00B15203" w14:paraId="6314D97E" w14:textId="77777777" w:rsidTr="009E384A">
        <w:tc>
          <w:tcPr>
            <w:tcW w:w="805" w:type="dxa"/>
          </w:tcPr>
          <w:p w14:paraId="446830FE"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2021</w:t>
            </w:r>
          </w:p>
        </w:tc>
        <w:tc>
          <w:tcPr>
            <w:tcW w:w="8545" w:type="dxa"/>
          </w:tcPr>
          <w:p w14:paraId="7F1EFE75" w14:textId="1BEB19AB"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£1,200,000 / £2,150,000 = 0.56</w:t>
            </w:r>
          </w:p>
        </w:tc>
      </w:tr>
      <w:tr w:rsidR="00B15203" w:rsidRPr="00B15203" w14:paraId="4A6158CE" w14:textId="77777777" w:rsidTr="009E384A">
        <w:tc>
          <w:tcPr>
            <w:tcW w:w="805" w:type="dxa"/>
          </w:tcPr>
          <w:p w14:paraId="31E8B4E1"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2022</w:t>
            </w:r>
          </w:p>
        </w:tc>
        <w:tc>
          <w:tcPr>
            <w:tcW w:w="8545" w:type="dxa"/>
          </w:tcPr>
          <w:p w14:paraId="2B75343A" w14:textId="254484EC"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£1,100,000 / £2,120,000 = 0.52</w:t>
            </w:r>
          </w:p>
        </w:tc>
      </w:tr>
      <w:tr w:rsidR="00772DF1" w:rsidRPr="00B15203" w14:paraId="13C76C12" w14:textId="77777777" w:rsidTr="009E384A">
        <w:tc>
          <w:tcPr>
            <w:tcW w:w="805" w:type="dxa"/>
          </w:tcPr>
          <w:p w14:paraId="1398B878" w14:textId="77777777"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2023</w:t>
            </w:r>
          </w:p>
        </w:tc>
        <w:tc>
          <w:tcPr>
            <w:tcW w:w="8545" w:type="dxa"/>
          </w:tcPr>
          <w:p w14:paraId="71D50255" w14:textId="50AC165E" w:rsidR="00952240" w:rsidRPr="00B15203" w:rsidRDefault="00CB5E41" w:rsidP="00B15203">
            <w:pPr>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2023: £950,000 / £1,850,000 = 0.51</w:t>
            </w:r>
          </w:p>
        </w:tc>
      </w:tr>
    </w:tbl>
    <w:p w14:paraId="6489A54F" w14:textId="77777777" w:rsidR="00952240" w:rsidRPr="00B15203" w:rsidRDefault="00952240" w:rsidP="00B15203">
      <w:pPr>
        <w:spacing w:after="0" w:line="240" w:lineRule="auto"/>
        <w:contextualSpacing/>
        <w:rPr>
          <w:rFonts w:ascii="Times New Roman" w:hAnsi="Times New Roman" w:cs="Times New Roman"/>
          <w:sz w:val="24"/>
          <w:szCs w:val="24"/>
          <w:lang w:val="en-GB"/>
        </w:rPr>
      </w:pPr>
    </w:p>
    <w:p w14:paraId="23307CE7"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The asset turnover ratio has decreased, indicating a decreasing ability to generate revenue from assets.</w:t>
      </w:r>
    </w:p>
    <w:p w14:paraId="163467BD" w14:textId="77777777" w:rsidR="00B15203" w:rsidRPr="004C7BF4" w:rsidRDefault="00B15203" w:rsidP="00B15203">
      <w:pPr>
        <w:spacing w:after="0" w:line="240" w:lineRule="auto"/>
        <w:contextualSpacing/>
        <w:rPr>
          <w:rFonts w:ascii="Times New Roman" w:hAnsi="Times New Roman" w:cs="Times New Roman"/>
          <w:b/>
          <w:bCs/>
          <w:sz w:val="24"/>
          <w:szCs w:val="24"/>
          <w:lang w:val="en-GB"/>
        </w:rPr>
      </w:pPr>
      <w:r w:rsidRPr="004C7BF4">
        <w:rPr>
          <w:rFonts w:ascii="Times New Roman" w:hAnsi="Times New Roman" w:cs="Times New Roman"/>
          <w:b/>
          <w:bCs/>
          <w:i/>
          <w:iCs/>
          <w:sz w:val="24"/>
          <w:szCs w:val="24"/>
          <w:lang w:val="en-GB"/>
        </w:rPr>
        <w:t>Cause of Profitability Decline</w:t>
      </w:r>
    </w:p>
    <w:p w14:paraId="737C6B83"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The primary cause of the profitability decline for Seacrest Lodge is the result of several factors being involved, such as decreasing revenue and increasing costs. Real-world events and economic trends have significantly affected this decline. For example, a poor economic environment may include a recession or reduced spending on leisure travel in the tourism industry, which could affect the lodge's income (Wild, 2018). On the other hand, external factors like natural disasters, global health crises, or changes in travel plans because of geopolitical events can also impact the business (Evans, 2019). In addition, the fact that new, more modern resorts in the vicinity attract potential guests makes occupancy rates and average room rates decline, influencing profitability. All these external factors, in conjunction with internal operational problems, must have been instrumental in the issue of Seacrest Lodge's profitability.</w:t>
      </w:r>
    </w:p>
    <w:p w14:paraId="07358717" w14:textId="77777777" w:rsidR="00B15203" w:rsidRPr="004C7BF4" w:rsidRDefault="00B15203" w:rsidP="00B15203">
      <w:pPr>
        <w:spacing w:after="0" w:line="240" w:lineRule="auto"/>
        <w:contextualSpacing/>
        <w:rPr>
          <w:rFonts w:ascii="Times New Roman" w:hAnsi="Times New Roman" w:cs="Times New Roman"/>
          <w:b/>
          <w:bCs/>
          <w:sz w:val="24"/>
          <w:szCs w:val="24"/>
          <w:lang w:val="en-GB"/>
        </w:rPr>
      </w:pPr>
      <w:r w:rsidRPr="004C7BF4">
        <w:rPr>
          <w:rFonts w:ascii="Times New Roman" w:hAnsi="Times New Roman" w:cs="Times New Roman"/>
          <w:b/>
          <w:bCs/>
          <w:i/>
          <w:iCs/>
          <w:sz w:val="24"/>
          <w:szCs w:val="24"/>
          <w:lang w:val="en-GB"/>
        </w:rPr>
        <w:t>Expense Categories and Areas for Potential Cost Reduction</w:t>
      </w:r>
    </w:p>
    <w:p w14:paraId="2B8C32A2"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Understanding the major expense categories and target areas for cost reduction is vital for the effective financial planning of Seacrest Lodge. Commonly, major expense categories include labour, utilities, maintenance, marketing, and administrative costs. These areas can be examined to identify areas for streamlining operations, bargaining for the lowest prices, and implementing energy-sustainable measures (Jagels, 2007), eventually reducing costs without compromising service quality.</w:t>
      </w:r>
    </w:p>
    <w:p w14:paraId="3C7F29F3" w14:textId="77777777" w:rsidR="00B15203" w:rsidRPr="00DE3D90" w:rsidRDefault="00B15203" w:rsidP="00B15203">
      <w:pPr>
        <w:spacing w:after="0" w:line="240" w:lineRule="auto"/>
        <w:contextualSpacing/>
        <w:rPr>
          <w:rFonts w:ascii="Times New Roman" w:hAnsi="Times New Roman" w:cs="Times New Roman"/>
          <w:b/>
          <w:bCs/>
          <w:sz w:val="24"/>
          <w:szCs w:val="24"/>
          <w:lang w:val="en-GB"/>
        </w:rPr>
      </w:pPr>
      <w:r w:rsidRPr="00DE3D90">
        <w:rPr>
          <w:rFonts w:ascii="Times New Roman" w:hAnsi="Times New Roman" w:cs="Times New Roman"/>
          <w:b/>
          <w:bCs/>
          <w:i/>
          <w:iCs/>
          <w:sz w:val="24"/>
          <w:szCs w:val="24"/>
          <w:lang w:val="en-GB"/>
        </w:rPr>
        <w:t>Average Room Rate and Occupancy Rate Trends and Their Impact on Revenue</w:t>
      </w:r>
    </w:p>
    <w:p w14:paraId="7579127C"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Studying ARR and occupancy rate trends allows for the devising of effective revenue generation strategies. Constant drops over the past years in the revenue per available room and the average occupancy rates have called for complex management of the occupancy rates (Kamaluddin, Ishak, and Mohammed, 2019). Apart from drops in room rates, low occupancy might result from market issues or corporate strategy miscalculations. This is worrisome as it hurts the overall revenues of the hotel, underscoring the need for ideas to increase the occupancy rates and either stabilise or raise the average room rates to augment the revenues.</w:t>
      </w:r>
    </w:p>
    <w:p w14:paraId="40C71CA1" w14:textId="77777777" w:rsidR="00B15203" w:rsidRPr="00DE3D90" w:rsidRDefault="00B15203" w:rsidP="00B15203">
      <w:pPr>
        <w:spacing w:after="0" w:line="240" w:lineRule="auto"/>
        <w:contextualSpacing/>
        <w:rPr>
          <w:rFonts w:ascii="Times New Roman" w:hAnsi="Times New Roman" w:cs="Times New Roman"/>
          <w:b/>
          <w:bCs/>
          <w:sz w:val="24"/>
          <w:szCs w:val="24"/>
          <w:lang w:val="en-GB"/>
        </w:rPr>
      </w:pPr>
      <w:r w:rsidRPr="00DE3D90">
        <w:rPr>
          <w:rFonts w:ascii="Times New Roman" w:hAnsi="Times New Roman" w:cs="Times New Roman"/>
          <w:b/>
          <w:bCs/>
          <w:i/>
          <w:iCs/>
          <w:sz w:val="24"/>
          <w:szCs w:val="24"/>
          <w:lang w:val="en-GB"/>
        </w:rPr>
        <w:t>External Factors Like Real-World Events and Economic Conditions</w:t>
      </w:r>
    </w:p>
    <w:p w14:paraId="31A21073"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To explore external factors such as real situations and economic conditions, we must consider them due to their impact on Seacrest Lodge's financial results. Economic recessions and natural events, such as disasters and pandemics, lead to disrupted travel patterns, low consumer trust, and less leisure spending. In contrast, the final result means the demand for accommodations is lower (Morrison, 2022). Properly adjusting pricing strategies, marketing campaigns, and operational functionalities to counteract the effects of external factors becomes critical to ensuring financial stability and resilience in a market defined by inconsistent conditions.</w:t>
      </w:r>
    </w:p>
    <w:p w14:paraId="315DDBF4" w14:textId="77777777" w:rsidR="00B15203" w:rsidRPr="00DE3D90" w:rsidRDefault="00B15203" w:rsidP="00B15203">
      <w:pPr>
        <w:spacing w:after="0" w:line="240" w:lineRule="auto"/>
        <w:contextualSpacing/>
        <w:jc w:val="center"/>
        <w:rPr>
          <w:rFonts w:ascii="Times New Roman" w:hAnsi="Times New Roman" w:cs="Times New Roman"/>
          <w:b/>
          <w:bCs/>
          <w:sz w:val="24"/>
          <w:szCs w:val="24"/>
          <w:lang w:val="en-GB"/>
        </w:rPr>
      </w:pPr>
      <w:r w:rsidRPr="00DE3D90">
        <w:rPr>
          <w:rFonts w:ascii="Times New Roman" w:hAnsi="Times New Roman" w:cs="Times New Roman"/>
          <w:b/>
          <w:bCs/>
          <w:sz w:val="24"/>
          <w:szCs w:val="24"/>
          <w:lang w:val="en-GB"/>
        </w:rPr>
        <w:lastRenderedPageBreak/>
        <w:t>Turnaround Strategy</w:t>
      </w:r>
    </w:p>
    <w:p w14:paraId="78CBE0C0"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A proposed turnaround strategy based on the analysis of current challenges is presented here for The Seacrest Lodge. The strategy focuses on five key areas: revenue, cost management, customer service, facility improvement, and digital presence.</w:t>
      </w:r>
    </w:p>
    <w:p w14:paraId="407A2009"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Through the revenue mechanism, the lodge will adopt strategic pricing strategies with attractive packages to attract new customer segments while sustaining profitability. These marketing and promotional efforts will be escalated to achieve good target audience coverage through various channels, including social media, online advertising, and partnerships with travel agencies (</w:t>
      </w:r>
      <w:proofErr w:type="spellStart"/>
      <w:r w:rsidRPr="00B15203">
        <w:rPr>
          <w:rFonts w:ascii="Times New Roman" w:hAnsi="Times New Roman" w:cs="Times New Roman"/>
          <w:sz w:val="24"/>
          <w:szCs w:val="24"/>
          <w:lang w:val="en-GB"/>
        </w:rPr>
        <w:t>Chairunisa</w:t>
      </w:r>
      <w:proofErr w:type="spellEnd"/>
      <w:r w:rsidRPr="00B15203">
        <w:rPr>
          <w:rFonts w:ascii="Times New Roman" w:hAnsi="Times New Roman" w:cs="Times New Roman"/>
          <w:sz w:val="24"/>
          <w:szCs w:val="24"/>
          <w:lang w:val="en-GB"/>
        </w:rPr>
        <w:t xml:space="preserve">, </w:t>
      </w:r>
      <w:proofErr w:type="spellStart"/>
      <w:r w:rsidRPr="00B15203">
        <w:rPr>
          <w:rFonts w:ascii="Times New Roman" w:hAnsi="Times New Roman" w:cs="Times New Roman"/>
          <w:sz w:val="24"/>
          <w:szCs w:val="24"/>
          <w:lang w:val="en-GB"/>
        </w:rPr>
        <w:t>Digdosewoiso</w:t>
      </w:r>
      <w:proofErr w:type="spellEnd"/>
      <w:r w:rsidRPr="00B15203">
        <w:rPr>
          <w:rFonts w:ascii="Times New Roman" w:hAnsi="Times New Roman" w:cs="Times New Roman"/>
          <w:sz w:val="24"/>
          <w:szCs w:val="24"/>
          <w:lang w:val="en-GB"/>
        </w:rPr>
        <w:t xml:space="preserve">, and </w:t>
      </w:r>
      <w:proofErr w:type="spellStart"/>
      <w:r w:rsidRPr="00B15203">
        <w:rPr>
          <w:rFonts w:ascii="Times New Roman" w:hAnsi="Times New Roman" w:cs="Times New Roman"/>
          <w:sz w:val="24"/>
          <w:szCs w:val="24"/>
          <w:lang w:val="en-GB"/>
        </w:rPr>
        <w:t>Karyatun</w:t>
      </w:r>
      <w:proofErr w:type="spellEnd"/>
      <w:r w:rsidRPr="00B15203">
        <w:rPr>
          <w:rFonts w:ascii="Times New Roman" w:hAnsi="Times New Roman" w:cs="Times New Roman"/>
          <w:sz w:val="24"/>
          <w:szCs w:val="24"/>
          <w:lang w:val="en-GB"/>
        </w:rPr>
        <w:t>, 2023). Lastly, upsells and add-on services will serve as a way to improve the guest experience and generate more revenue per guest.</w:t>
      </w:r>
    </w:p>
    <w:p w14:paraId="282BBD88"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Cost control will be prioritised to make the operational processes as lean as possible and save expenses. It also means identifying and implementing ways of reducing costs in expense areas like labour, utilities, and maintenance (Robinson, 2020). Negotiations with suppliers and vendors will take place to better prices and terms, and energy efficiency and sustainability initiatives will be explored, which not only reduce costs but also match our commitment to environmental responsibility.</w:t>
      </w:r>
    </w:p>
    <w:p w14:paraId="3112D017" w14:textId="2E2C967B"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Customer service will be a significant component of the turnaround strategy; we</w:t>
      </w:r>
      <w:r w:rsidR="0082141F">
        <w:rPr>
          <w:rFonts w:ascii="Times New Roman" w:hAnsi="Times New Roman" w:cs="Times New Roman"/>
          <w:sz w:val="24"/>
          <w:szCs w:val="24"/>
          <w:lang w:val="en-GB"/>
        </w:rPr>
        <w:t xml:space="preserve"> wi</w:t>
      </w:r>
      <w:r w:rsidRPr="00B15203">
        <w:rPr>
          <w:rFonts w:ascii="Times New Roman" w:hAnsi="Times New Roman" w:cs="Times New Roman"/>
          <w:sz w:val="24"/>
          <w:szCs w:val="24"/>
          <w:lang w:val="en-GB"/>
        </w:rPr>
        <w:t>ll emphasise staff interaction and service quality through professional training sessions. Addressing the feedback-related issues without delay and implementing the mechanism for improving the levels of satisfaction and loyalty of guests will be critical (Bhimani, 2006). Secondly, customised guest experiences will be personalised to exceed guests' expectations and maintain the Seacrest Lodge's competitive advantage.</w:t>
      </w:r>
    </w:p>
    <w:p w14:paraId="39C5D959"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Facilities upgrades will match modern times and consumers' purchasing preferences. Priority renovations that will enhance the overall guest experience will be crucial to successful 5-star ratings, good reviews, and word-of-mouth referrals (</w:t>
      </w:r>
      <w:proofErr w:type="spellStart"/>
      <w:r w:rsidRPr="00B15203">
        <w:rPr>
          <w:rFonts w:ascii="Times New Roman" w:hAnsi="Times New Roman" w:cs="Times New Roman"/>
          <w:sz w:val="24"/>
          <w:szCs w:val="24"/>
          <w:lang w:val="en-GB"/>
        </w:rPr>
        <w:t>Guilding</w:t>
      </w:r>
      <w:proofErr w:type="spellEnd"/>
      <w:r w:rsidRPr="00B15203">
        <w:rPr>
          <w:rFonts w:ascii="Times New Roman" w:hAnsi="Times New Roman" w:cs="Times New Roman"/>
          <w:sz w:val="24"/>
          <w:szCs w:val="24"/>
          <w:lang w:val="en-GB"/>
        </w:rPr>
        <w:t>, 2014). On top of that, incorporating spa facilities, fitness centres, and other recreational activities will act as a cherry on top of the cake, thus making the lodge more guest-friendly.</w:t>
      </w:r>
    </w:p>
    <w:p w14:paraId="763000BF"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Lastly, the strategic importance of digital marketing is to create and connect with potential customers (Tranter, Stuart-Hill, and Parker, 2014). This entails the optimisation of both the website and online booking platforms for a hassle-free booking journey, utilising social media and digital marketing to increase visibility and engagement and build a robust online reputation anchored on positive reviews and guest feedback.</w:t>
      </w:r>
    </w:p>
    <w:p w14:paraId="2A99A24A" w14:textId="77777777" w:rsidR="00B15203" w:rsidRPr="00DE3D90" w:rsidRDefault="00B15203" w:rsidP="00B15203">
      <w:pPr>
        <w:spacing w:after="0" w:line="240" w:lineRule="auto"/>
        <w:contextualSpacing/>
        <w:rPr>
          <w:rFonts w:ascii="Times New Roman" w:hAnsi="Times New Roman" w:cs="Times New Roman"/>
          <w:b/>
          <w:bCs/>
          <w:sz w:val="24"/>
          <w:szCs w:val="24"/>
          <w:lang w:val="en-GB"/>
        </w:rPr>
      </w:pPr>
      <w:r w:rsidRPr="00DE3D90">
        <w:rPr>
          <w:rFonts w:ascii="Times New Roman" w:hAnsi="Times New Roman" w:cs="Times New Roman"/>
          <w:b/>
          <w:bCs/>
          <w:i/>
          <w:iCs/>
          <w:sz w:val="24"/>
          <w:szCs w:val="24"/>
          <w:lang w:val="en-GB"/>
        </w:rPr>
        <w:t>Implementation Plan</w:t>
      </w:r>
    </w:p>
    <w:p w14:paraId="62F3B0F2" w14:textId="37CB923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The implementation plan spells out each area of revenue generation, cost control, customer service, facility upgrades, and digital presence with action items, schedules, resources, responsibilities, and metrics.</w:t>
      </w:r>
    </w:p>
    <w:p w14:paraId="39D8195E"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For revenue generation, two critical actions include pricing strategy design, marketing campaign release, and service upgrade implementation. These plans are distributed in one week for pricing strategies, two weeks for marketing activities, and one week for upselling. The marketing manager will undertake pricing strategies and marketing initiatives, and the sales team will take advantage of upselling the services. Measured metrics include observing revenue growth, gathering customer feedback on pricing and promotions, and monitoring revenue per guest.</w:t>
      </w:r>
    </w:p>
    <w:p w14:paraId="325202BE"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In cost control, cost-reducing actions, supplier negotiation, and energy efficiency implementation have a lot of emphasis. Activities such as cost-cutting measures will take one week, supplier negotiations will take another week, and energy efficiency initiatives will take </w:t>
      </w:r>
      <w:r w:rsidRPr="00B15203">
        <w:rPr>
          <w:rFonts w:ascii="Times New Roman" w:hAnsi="Times New Roman" w:cs="Times New Roman"/>
          <w:sz w:val="24"/>
          <w:szCs w:val="24"/>
          <w:lang w:val="en-GB"/>
        </w:rPr>
        <w:lastRenderedPageBreak/>
        <w:t>two weeks. The Operations Manager and the Procurement Team are assigned to identify cost-saving actions and supplier negotiations, respectively. The main measures are decreasing operating costs, savings from negotiations with suppliers, and less energy consumption.</w:t>
      </w:r>
    </w:p>
    <w:p w14:paraId="0F3FF377" w14:textId="4C36E4BC"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For customer service improvement, training programmes, feedback systems, and personalised guest experiences are focused on. These programmes are allocated one week for training, two weeks for feedback, and one week for </w:t>
      </w:r>
      <w:r>
        <w:rPr>
          <w:rFonts w:ascii="Times New Roman" w:hAnsi="Times New Roman" w:cs="Times New Roman"/>
          <w:sz w:val="24"/>
          <w:szCs w:val="24"/>
          <w:lang w:val="en-GB"/>
        </w:rPr>
        <w:t>pe</w:t>
      </w:r>
      <w:r w:rsidRPr="00B15203">
        <w:rPr>
          <w:rFonts w:ascii="Times New Roman" w:hAnsi="Times New Roman" w:cs="Times New Roman"/>
          <w:sz w:val="24"/>
          <w:szCs w:val="24"/>
          <w:lang w:val="en-GB"/>
        </w:rPr>
        <w:t>rsonali</w:t>
      </w:r>
      <w:r>
        <w:rPr>
          <w:rFonts w:ascii="Times New Roman" w:hAnsi="Times New Roman" w:cs="Times New Roman"/>
          <w:sz w:val="24"/>
          <w:szCs w:val="24"/>
          <w:lang w:val="en-GB"/>
        </w:rPr>
        <w:t>s</w:t>
      </w:r>
      <w:r w:rsidRPr="00B15203">
        <w:rPr>
          <w:rFonts w:ascii="Times New Roman" w:hAnsi="Times New Roman" w:cs="Times New Roman"/>
          <w:sz w:val="24"/>
          <w:szCs w:val="24"/>
          <w:lang w:val="en-GB"/>
        </w:rPr>
        <w:t>ation. The HR Manager handles training programmes, and the Customer Service Manager oversees feedback systems and personalised experiences. The metrics to be tracked include higher guest satisfaction scores, more positive reviews, and a higher customer retention rate.</w:t>
      </w:r>
    </w:p>
    <w:p w14:paraId="236BD7CD"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Facility upgrades include prioritising renovations to the existing structures and allocating funds to provide required amenities. Renovations and amenity investments are planned for two weeks in each session. The Facilities Manager plans the renovations, while the Procurement Team looks after amenity investments. Watching metrics are focused on readers' satisfaction and boosts in bookings related to improved amenities.</w:t>
      </w:r>
    </w:p>
    <w:p w14:paraId="7B429675" w14:textId="77777777" w:rsidR="00B15203"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Digital presence can be improved by optimising the website and online platforms and launching social media campaigns. The website optimisation and social media campaign schedules are planned for two weeks each. The website optimisation is in charge of the IT manager, and the digital marketing manager is responsible for social media campaigns. Monitoring metrics include website visits, conversions, and social media interactions.</w:t>
      </w:r>
    </w:p>
    <w:p w14:paraId="4492EF2E" w14:textId="77777777" w:rsidR="00B15203" w:rsidRPr="00DE3D90" w:rsidRDefault="00B15203" w:rsidP="00B15203">
      <w:pPr>
        <w:spacing w:after="0" w:line="240" w:lineRule="auto"/>
        <w:contextualSpacing/>
        <w:jc w:val="center"/>
        <w:rPr>
          <w:rFonts w:ascii="Times New Roman" w:hAnsi="Times New Roman" w:cs="Times New Roman"/>
          <w:b/>
          <w:bCs/>
          <w:sz w:val="24"/>
          <w:szCs w:val="24"/>
          <w:lang w:val="en-GB"/>
        </w:rPr>
      </w:pPr>
      <w:r w:rsidRPr="00DE3D90">
        <w:rPr>
          <w:rFonts w:ascii="Times New Roman" w:hAnsi="Times New Roman" w:cs="Times New Roman"/>
          <w:b/>
          <w:bCs/>
          <w:sz w:val="24"/>
          <w:szCs w:val="24"/>
          <w:lang w:val="en-GB"/>
        </w:rPr>
        <w:t>Conclusion</w:t>
      </w:r>
    </w:p>
    <w:p w14:paraId="6D17EE31" w14:textId="6AE39559" w:rsidR="00826829" w:rsidRPr="00B15203" w:rsidRDefault="00B15203" w:rsidP="00B15203">
      <w:pPr>
        <w:spacing w:after="0" w:line="240" w:lineRule="auto"/>
        <w:ind w:firstLine="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Seacrest Lodge's present challenges provide the opportunity to reveal the critical areas for change and outline a comprehensive turnaround strategy. Revenue is declining, expenses are increasing, and customer satisfaction is diminishing, which are harsh realities for the lodge's survival. Nevertheless, by adopting a set of strategic actions like dynamic pricing strategies, tight control of costs, improved customer service procedures, facility upgrades, and an optimised digital presence, the Seacrest Lodge can achieve the status of a thriving coastal resort in the competitive market. Through careful planning and continuous tracking, the potential of this lodge to become the top choice for vacationers is high. Thus, it will lead to sustained profits and the sustainability of the business. Seacrest Lodge can embark on an uplifting journey towards a thriving future if the lodge uses collective efforts and an unshakable commitment to quality</w:t>
      </w:r>
      <w:r w:rsidR="00CB5E41" w:rsidRPr="00B15203">
        <w:rPr>
          <w:rFonts w:ascii="Times New Roman" w:hAnsi="Times New Roman" w:cs="Times New Roman"/>
          <w:sz w:val="24"/>
          <w:szCs w:val="24"/>
          <w:lang w:val="en-GB"/>
        </w:rPr>
        <w:t>.</w:t>
      </w:r>
    </w:p>
    <w:p w14:paraId="4A19B341" w14:textId="559F1868" w:rsidR="00FE614B" w:rsidRPr="00B15203" w:rsidRDefault="00FE614B" w:rsidP="00B15203">
      <w:pPr>
        <w:spacing w:after="0" w:line="240" w:lineRule="auto"/>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br w:type="page"/>
      </w:r>
    </w:p>
    <w:p w14:paraId="6B14C3B3" w14:textId="77777777" w:rsidR="00022B90" w:rsidRPr="00A20A63" w:rsidRDefault="00CB5E41" w:rsidP="00B15203">
      <w:pPr>
        <w:spacing w:after="0" w:line="240" w:lineRule="auto"/>
        <w:contextualSpacing/>
        <w:jc w:val="center"/>
        <w:rPr>
          <w:rFonts w:ascii="Times New Roman" w:hAnsi="Times New Roman" w:cs="Times New Roman"/>
          <w:b/>
          <w:bCs/>
          <w:sz w:val="24"/>
          <w:szCs w:val="24"/>
          <w:lang w:val="en-GB"/>
        </w:rPr>
      </w:pPr>
      <w:r w:rsidRPr="00A20A63">
        <w:rPr>
          <w:rFonts w:ascii="Times New Roman" w:hAnsi="Times New Roman" w:cs="Times New Roman"/>
          <w:b/>
          <w:bCs/>
          <w:sz w:val="24"/>
          <w:szCs w:val="24"/>
          <w:lang w:val="en-GB"/>
        </w:rPr>
        <w:lastRenderedPageBreak/>
        <w:t>References</w:t>
      </w:r>
    </w:p>
    <w:p w14:paraId="482BABF0"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lang w:val="en-GB"/>
        </w:rPr>
      </w:pPr>
      <w:proofErr w:type="spellStart"/>
      <w:r w:rsidRPr="00B15203">
        <w:rPr>
          <w:rFonts w:ascii="Times New Roman" w:hAnsi="Times New Roman" w:cs="Times New Roman"/>
          <w:sz w:val="24"/>
          <w:szCs w:val="24"/>
          <w:lang w:val="en-GB"/>
        </w:rPr>
        <w:t>Atrill</w:t>
      </w:r>
      <w:proofErr w:type="spellEnd"/>
      <w:r w:rsidRPr="00B15203">
        <w:rPr>
          <w:rFonts w:ascii="Times New Roman" w:hAnsi="Times New Roman" w:cs="Times New Roman"/>
          <w:sz w:val="24"/>
          <w:szCs w:val="24"/>
          <w:lang w:val="en-GB"/>
        </w:rPr>
        <w:t xml:space="preserve">, P. and McLaney, E., 2021 </w:t>
      </w:r>
      <w:r w:rsidRPr="00B15203">
        <w:rPr>
          <w:rFonts w:ascii="Times New Roman" w:hAnsi="Times New Roman" w:cs="Times New Roman"/>
          <w:i/>
          <w:sz w:val="24"/>
          <w:szCs w:val="24"/>
          <w:lang w:val="en-GB"/>
        </w:rPr>
        <w:t>Management accounting for decision makers</w:t>
      </w:r>
      <w:r w:rsidRPr="00B15203">
        <w:rPr>
          <w:rFonts w:ascii="Times New Roman" w:hAnsi="Times New Roman" w:cs="Times New Roman"/>
          <w:iCs/>
          <w:sz w:val="24"/>
          <w:szCs w:val="24"/>
          <w:lang w:val="en-GB"/>
        </w:rPr>
        <w:t>.</w:t>
      </w:r>
      <w:r w:rsidRPr="00B15203">
        <w:rPr>
          <w:rFonts w:ascii="Times New Roman" w:hAnsi="Times New Roman" w:cs="Times New Roman"/>
          <w:sz w:val="24"/>
          <w:szCs w:val="24"/>
          <w:lang w:val="en-GB"/>
        </w:rPr>
        <w:t xml:space="preserve"> Saddle River: FT Prentice Hall. </w:t>
      </w:r>
    </w:p>
    <w:p w14:paraId="4E6FF6D8"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shd w:val="clear" w:color="auto" w:fill="FFFFFF"/>
          <w:lang w:val="en-GB"/>
        </w:rPr>
      </w:pPr>
      <w:r w:rsidRPr="00B15203">
        <w:rPr>
          <w:rFonts w:ascii="Times New Roman" w:hAnsi="Times New Roman" w:cs="Times New Roman"/>
          <w:sz w:val="24"/>
          <w:szCs w:val="24"/>
          <w:shd w:val="clear" w:color="auto" w:fill="FFFFFF"/>
          <w:lang w:val="en-GB"/>
        </w:rPr>
        <w:t>Bhimani, A. ed., 2006. </w:t>
      </w:r>
      <w:r w:rsidRPr="00B15203">
        <w:rPr>
          <w:rFonts w:ascii="Times New Roman" w:hAnsi="Times New Roman" w:cs="Times New Roman"/>
          <w:i/>
          <w:iCs/>
          <w:sz w:val="24"/>
          <w:szCs w:val="24"/>
          <w:shd w:val="clear" w:color="auto" w:fill="FFFFFF"/>
          <w:lang w:val="en-GB"/>
        </w:rPr>
        <w:t>Contemporary issues in management accounting</w:t>
      </w:r>
      <w:r w:rsidRPr="00B15203">
        <w:rPr>
          <w:rFonts w:ascii="Times New Roman" w:hAnsi="Times New Roman" w:cs="Times New Roman"/>
          <w:sz w:val="24"/>
          <w:szCs w:val="24"/>
          <w:shd w:val="clear" w:color="auto" w:fill="FFFFFF"/>
          <w:lang w:val="en-GB"/>
        </w:rPr>
        <w:t xml:space="preserve">. Oxford: Oxford University Press. </w:t>
      </w:r>
    </w:p>
    <w:p w14:paraId="385DA272"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shd w:val="clear" w:color="auto" w:fill="FFFFFF"/>
          <w:lang w:val="en-GB"/>
        </w:rPr>
      </w:pPr>
      <w:proofErr w:type="spellStart"/>
      <w:r w:rsidRPr="00B15203">
        <w:rPr>
          <w:rFonts w:ascii="Times New Roman" w:hAnsi="Times New Roman" w:cs="Times New Roman"/>
          <w:sz w:val="24"/>
          <w:szCs w:val="24"/>
          <w:shd w:val="clear" w:color="auto" w:fill="FFFFFF"/>
          <w:lang w:val="en-GB"/>
        </w:rPr>
        <w:t>Chairunisa</w:t>
      </w:r>
      <w:proofErr w:type="spellEnd"/>
      <w:r w:rsidRPr="00B15203">
        <w:rPr>
          <w:rFonts w:ascii="Times New Roman" w:hAnsi="Times New Roman" w:cs="Times New Roman"/>
          <w:sz w:val="24"/>
          <w:szCs w:val="24"/>
          <w:shd w:val="clear" w:color="auto" w:fill="FFFFFF"/>
          <w:lang w:val="en-GB"/>
        </w:rPr>
        <w:t xml:space="preserve">, S.S., </w:t>
      </w:r>
      <w:proofErr w:type="spellStart"/>
      <w:r w:rsidRPr="00B15203">
        <w:rPr>
          <w:rFonts w:ascii="Times New Roman" w:hAnsi="Times New Roman" w:cs="Times New Roman"/>
          <w:sz w:val="24"/>
          <w:szCs w:val="24"/>
          <w:shd w:val="clear" w:color="auto" w:fill="FFFFFF"/>
          <w:lang w:val="en-GB"/>
        </w:rPr>
        <w:t>Digdowiseiso</w:t>
      </w:r>
      <w:proofErr w:type="spellEnd"/>
      <w:r w:rsidRPr="00B15203">
        <w:rPr>
          <w:rFonts w:ascii="Times New Roman" w:hAnsi="Times New Roman" w:cs="Times New Roman"/>
          <w:sz w:val="24"/>
          <w:szCs w:val="24"/>
          <w:shd w:val="clear" w:color="auto" w:fill="FFFFFF"/>
          <w:lang w:val="en-GB"/>
        </w:rPr>
        <w:t xml:space="preserve">, K. and </w:t>
      </w:r>
      <w:proofErr w:type="spellStart"/>
      <w:r w:rsidRPr="00B15203">
        <w:rPr>
          <w:rFonts w:ascii="Times New Roman" w:hAnsi="Times New Roman" w:cs="Times New Roman"/>
          <w:sz w:val="24"/>
          <w:szCs w:val="24"/>
          <w:shd w:val="clear" w:color="auto" w:fill="FFFFFF"/>
          <w:lang w:val="en-GB"/>
        </w:rPr>
        <w:t>Karyatun</w:t>
      </w:r>
      <w:proofErr w:type="spellEnd"/>
      <w:r w:rsidRPr="00B15203">
        <w:rPr>
          <w:rFonts w:ascii="Times New Roman" w:hAnsi="Times New Roman" w:cs="Times New Roman"/>
          <w:sz w:val="24"/>
          <w:szCs w:val="24"/>
          <w:shd w:val="clear" w:color="auto" w:fill="FFFFFF"/>
          <w:lang w:val="en-GB"/>
        </w:rPr>
        <w:t xml:space="preserve">, S., 2023. The effect of total assets turnover, debt to assets ratio, cash ratio and current ratio on the financial performance of companies in the hotel, restaurant and tourism subsector in IDX for the period 2016-2020. </w:t>
      </w:r>
      <w:proofErr w:type="spellStart"/>
      <w:r w:rsidRPr="00B15203">
        <w:rPr>
          <w:rFonts w:ascii="Times New Roman" w:hAnsi="Times New Roman" w:cs="Times New Roman"/>
          <w:i/>
          <w:iCs/>
          <w:sz w:val="24"/>
          <w:szCs w:val="24"/>
          <w:shd w:val="clear" w:color="auto" w:fill="FFFFFF"/>
          <w:lang w:val="en-GB"/>
        </w:rPr>
        <w:t>Jurnal</w:t>
      </w:r>
      <w:proofErr w:type="spellEnd"/>
      <w:r w:rsidRPr="00B15203">
        <w:rPr>
          <w:rFonts w:ascii="Times New Roman" w:hAnsi="Times New Roman" w:cs="Times New Roman"/>
          <w:i/>
          <w:iCs/>
          <w:sz w:val="24"/>
          <w:szCs w:val="24"/>
          <w:shd w:val="clear" w:color="auto" w:fill="FFFFFF"/>
          <w:lang w:val="en-GB"/>
        </w:rPr>
        <w:t xml:space="preserve"> Syntax Admiration</w:t>
      </w:r>
      <w:r w:rsidRPr="00B15203">
        <w:rPr>
          <w:rFonts w:ascii="Times New Roman" w:hAnsi="Times New Roman" w:cs="Times New Roman"/>
          <w:sz w:val="24"/>
          <w:szCs w:val="24"/>
          <w:shd w:val="clear" w:color="auto" w:fill="FFFFFF"/>
          <w:lang w:val="en-GB"/>
        </w:rPr>
        <w:t>, </w:t>
      </w:r>
      <w:r w:rsidRPr="00B15203">
        <w:rPr>
          <w:rFonts w:ascii="Times New Roman" w:hAnsi="Times New Roman" w:cs="Times New Roman"/>
          <w:b/>
          <w:bCs/>
          <w:sz w:val="24"/>
          <w:szCs w:val="24"/>
          <w:shd w:val="clear" w:color="auto" w:fill="FFFFFF"/>
          <w:lang w:val="en-GB"/>
        </w:rPr>
        <w:t>4</w:t>
      </w:r>
      <w:r w:rsidRPr="00B15203">
        <w:rPr>
          <w:rFonts w:ascii="Times New Roman" w:hAnsi="Times New Roman" w:cs="Times New Roman"/>
          <w:sz w:val="24"/>
          <w:szCs w:val="24"/>
          <w:shd w:val="clear" w:color="auto" w:fill="FFFFFF"/>
          <w:lang w:val="en-GB"/>
        </w:rPr>
        <w:t xml:space="preserve">(3), pp.548-558. </w:t>
      </w:r>
    </w:p>
    <w:p w14:paraId="7B2DD16B"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shd w:val="clear" w:color="auto" w:fill="FFFFFF"/>
          <w:lang w:val="en-GB"/>
        </w:rPr>
      </w:pPr>
      <w:proofErr w:type="spellStart"/>
      <w:r w:rsidRPr="00B15203">
        <w:rPr>
          <w:rFonts w:ascii="Times New Roman" w:hAnsi="Times New Roman" w:cs="Times New Roman"/>
          <w:sz w:val="24"/>
          <w:szCs w:val="24"/>
          <w:shd w:val="clear" w:color="auto" w:fill="FFFFFF"/>
          <w:lang w:val="en-GB"/>
        </w:rPr>
        <w:t>Dirman</w:t>
      </w:r>
      <w:proofErr w:type="spellEnd"/>
      <w:r w:rsidRPr="00B15203">
        <w:rPr>
          <w:rFonts w:ascii="Times New Roman" w:hAnsi="Times New Roman" w:cs="Times New Roman"/>
          <w:sz w:val="24"/>
          <w:szCs w:val="24"/>
          <w:shd w:val="clear" w:color="auto" w:fill="FFFFFF"/>
          <w:lang w:val="en-GB"/>
        </w:rPr>
        <w:t>, A., 2020. Financial distress: the impacts of profitability, liquidity, leverage, firm size, and free cash flow. </w:t>
      </w:r>
      <w:r w:rsidRPr="00B15203">
        <w:rPr>
          <w:rFonts w:ascii="Times New Roman" w:hAnsi="Times New Roman" w:cs="Times New Roman"/>
          <w:i/>
          <w:iCs/>
          <w:sz w:val="24"/>
          <w:szCs w:val="24"/>
          <w:shd w:val="clear" w:color="auto" w:fill="FFFFFF"/>
          <w:lang w:val="en-GB"/>
        </w:rPr>
        <w:t>International Journal of Business, Economics and Law</w:t>
      </w:r>
      <w:r w:rsidRPr="00B15203">
        <w:rPr>
          <w:rFonts w:ascii="Times New Roman" w:hAnsi="Times New Roman" w:cs="Times New Roman"/>
          <w:sz w:val="24"/>
          <w:szCs w:val="24"/>
          <w:shd w:val="clear" w:color="auto" w:fill="FFFFFF"/>
          <w:lang w:val="en-GB"/>
        </w:rPr>
        <w:t>, </w:t>
      </w:r>
      <w:r w:rsidRPr="00B15203">
        <w:rPr>
          <w:rFonts w:ascii="Times New Roman" w:hAnsi="Times New Roman" w:cs="Times New Roman"/>
          <w:b/>
          <w:bCs/>
          <w:sz w:val="24"/>
          <w:szCs w:val="24"/>
          <w:shd w:val="clear" w:color="auto" w:fill="FFFFFF"/>
          <w:lang w:val="en-GB"/>
        </w:rPr>
        <w:t>22</w:t>
      </w:r>
      <w:r w:rsidRPr="00B15203">
        <w:rPr>
          <w:rFonts w:ascii="Times New Roman" w:hAnsi="Times New Roman" w:cs="Times New Roman"/>
          <w:sz w:val="24"/>
          <w:szCs w:val="24"/>
          <w:shd w:val="clear" w:color="auto" w:fill="FFFFFF"/>
          <w:lang w:val="en-GB"/>
        </w:rPr>
        <w:t xml:space="preserve">(1), pp.17-25. </w:t>
      </w:r>
    </w:p>
    <w:p w14:paraId="27C7E631" w14:textId="77777777" w:rsidR="00B15203" w:rsidRPr="00B15203" w:rsidRDefault="00B15203" w:rsidP="00B15203">
      <w:pPr>
        <w:spacing w:after="0" w:line="240" w:lineRule="auto"/>
        <w:ind w:left="720" w:hanging="720"/>
        <w:contextualSpacing/>
        <w:rPr>
          <w:rFonts w:ascii="Times New Roman" w:hAnsi="Times New Roman" w:cs="Times New Roman"/>
          <w:sz w:val="24"/>
          <w:szCs w:val="24"/>
          <w:shd w:val="clear" w:color="auto" w:fill="FFFFFF"/>
          <w:lang w:val="en-GB"/>
        </w:rPr>
      </w:pPr>
      <w:r w:rsidRPr="00B15203">
        <w:rPr>
          <w:rFonts w:ascii="Times New Roman" w:hAnsi="Times New Roman" w:cs="Times New Roman"/>
          <w:sz w:val="24"/>
          <w:szCs w:val="24"/>
          <w:shd w:val="clear" w:color="auto" w:fill="FFFFFF"/>
          <w:lang w:val="en-GB"/>
        </w:rPr>
        <w:t>Drury, C.M., 2013. </w:t>
      </w:r>
      <w:r w:rsidRPr="00B15203">
        <w:rPr>
          <w:rFonts w:ascii="Times New Roman" w:hAnsi="Times New Roman" w:cs="Times New Roman"/>
          <w:i/>
          <w:iCs/>
          <w:sz w:val="24"/>
          <w:szCs w:val="24"/>
          <w:shd w:val="clear" w:color="auto" w:fill="FFFFFF"/>
          <w:lang w:val="en-GB"/>
        </w:rPr>
        <w:t>Management and cost accounting</w:t>
      </w:r>
      <w:r w:rsidRPr="00B15203">
        <w:rPr>
          <w:rFonts w:ascii="Times New Roman" w:hAnsi="Times New Roman" w:cs="Times New Roman"/>
          <w:sz w:val="24"/>
          <w:szCs w:val="24"/>
          <w:shd w:val="clear" w:color="auto" w:fill="FFFFFF"/>
          <w:lang w:val="en-GB"/>
        </w:rPr>
        <w:t xml:space="preserve">. Berlin: Springer. </w:t>
      </w:r>
    </w:p>
    <w:p w14:paraId="3AD6A411"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lang w:val="en-GB"/>
        </w:rPr>
      </w:pPr>
      <w:r w:rsidRPr="00B15203">
        <w:rPr>
          <w:rFonts w:ascii="Times New Roman" w:hAnsi="Times New Roman" w:cs="Times New Roman"/>
          <w:sz w:val="24"/>
          <w:szCs w:val="24"/>
          <w:shd w:val="clear" w:color="auto" w:fill="FFFFFF"/>
          <w:lang w:val="en-GB"/>
        </w:rPr>
        <w:t>Evans, N.G., 2019. </w:t>
      </w:r>
      <w:r w:rsidRPr="00B15203">
        <w:rPr>
          <w:rFonts w:ascii="Times New Roman" w:hAnsi="Times New Roman" w:cs="Times New Roman"/>
          <w:i/>
          <w:iCs/>
          <w:sz w:val="24"/>
          <w:szCs w:val="24"/>
          <w:shd w:val="clear" w:color="auto" w:fill="FFFFFF"/>
          <w:lang w:val="en-GB"/>
        </w:rPr>
        <w:t>Strategic management for tourism, hospitality and events</w:t>
      </w:r>
      <w:r w:rsidRPr="00B15203">
        <w:rPr>
          <w:rFonts w:ascii="Times New Roman" w:hAnsi="Times New Roman" w:cs="Times New Roman"/>
          <w:sz w:val="24"/>
          <w:szCs w:val="24"/>
          <w:shd w:val="clear" w:color="auto" w:fill="FFFFFF"/>
          <w:lang w:val="en-GB"/>
        </w:rPr>
        <w:t>. Abingdon-on-Thames: Routledge.</w:t>
      </w:r>
    </w:p>
    <w:p w14:paraId="5760F7D7"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lang w:val="en-GB"/>
        </w:rPr>
      </w:pPr>
      <w:proofErr w:type="spellStart"/>
      <w:r w:rsidRPr="00B15203">
        <w:rPr>
          <w:rFonts w:ascii="Times New Roman" w:hAnsi="Times New Roman" w:cs="Times New Roman"/>
          <w:sz w:val="24"/>
          <w:szCs w:val="24"/>
          <w:lang w:val="en-GB"/>
        </w:rPr>
        <w:t>Guilding</w:t>
      </w:r>
      <w:proofErr w:type="spellEnd"/>
      <w:r w:rsidRPr="00B15203">
        <w:rPr>
          <w:rFonts w:ascii="Times New Roman" w:hAnsi="Times New Roman" w:cs="Times New Roman"/>
          <w:sz w:val="24"/>
          <w:szCs w:val="24"/>
          <w:lang w:val="en-GB"/>
        </w:rPr>
        <w:t xml:space="preserve">, C., 2014. </w:t>
      </w:r>
      <w:r w:rsidRPr="00B15203">
        <w:rPr>
          <w:rFonts w:ascii="Times New Roman" w:hAnsi="Times New Roman" w:cs="Times New Roman"/>
          <w:i/>
          <w:sz w:val="24"/>
          <w:szCs w:val="24"/>
          <w:lang w:val="en-GB"/>
        </w:rPr>
        <w:t xml:space="preserve">Accounting essentials for hospitality managers </w:t>
      </w:r>
      <w:r w:rsidRPr="00B15203">
        <w:rPr>
          <w:rFonts w:ascii="Times New Roman" w:hAnsi="Times New Roman" w:cs="Times New Roman"/>
          <w:sz w:val="24"/>
          <w:szCs w:val="24"/>
          <w:lang w:val="en-GB"/>
        </w:rPr>
        <w:t>(3rd Edition)</w:t>
      </w:r>
      <w:r w:rsidRPr="00B15203">
        <w:rPr>
          <w:rFonts w:ascii="Times New Roman" w:hAnsi="Times New Roman" w:cs="Times New Roman"/>
          <w:iCs/>
          <w:sz w:val="24"/>
          <w:szCs w:val="24"/>
          <w:lang w:val="en-GB"/>
        </w:rPr>
        <w:t xml:space="preserve">. </w:t>
      </w:r>
      <w:r w:rsidRPr="00B15203">
        <w:rPr>
          <w:rFonts w:ascii="Times New Roman" w:hAnsi="Times New Roman" w:cs="Times New Roman"/>
          <w:sz w:val="24"/>
          <w:szCs w:val="24"/>
          <w:lang w:val="en-GB"/>
        </w:rPr>
        <w:t xml:space="preserve">London: Routledge. </w:t>
      </w:r>
    </w:p>
    <w:p w14:paraId="3E10E0E0"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Jagels, M., 2007. </w:t>
      </w:r>
      <w:r w:rsidRPr="00B15203">
        <w:rPr>
          <w:rFonts w:ascii="Times New Roman" w:hAnsi="Times New Roman" w:cs="Times New Roman"/>
          <w:i/>
          <w:sz w:val="24"/>
          <w:szCs w:val="24"/>
          <w:lang w:val="en-GB"/>
        </w:rPr>
        <w:t>Hospitality management accounting</w:t>
      </w:r>
      <w:r w:rsidRPr="00B15203">
        <w:rPr>
          <w:rFonts w:ascii="Times New Roman" w:hAnsi="Times New Roman" w:cs="Times New Roman"/>
          <w:iCs/>
          <w:sz w:val="24"/>
          <w:szCs w:val="24"/>
          <w:lang w:val="en-GB"/>
        </w:rPr>
        <w:t>.</w:t>
      </w:r>
      <w:r w:rsidRPr="00B15203">
        <w:rPr>
          <w:rFonts w:ascii="Times New Roman" w:hAnsi="Times New Roman" w:cs="Times New Roman"/>
          <w:sz w:val="24"/>
          <w:szCs w:val="24"/>
          <w:lang w:val="en-GB"/>
        </w:rPr>
        <w:t xml:space="preserve"> London: John Wiley &amp; Sons. </w:t>
      </w:r>
    </w:p>
    <w:p w14:paraId="288FCF30"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shd w:val="clear" w:color="auto" w:fill="FFFFFF"/>
          <w:lang w:val="en-GB"/>
        </w:rPr>
      </w:pPr>
      <w:r w:rsidRPr="00B15203">
        <w:rPr>
          <w:rFonts w:ascii="Times New Roman" w:hAnsi="Times New Roman" w:cs="Times New Roman"/>
          <w:sz w:val="24"/>
          <w:szCs w:val="24"/>
          <w:shd w:val="clear" w:color="auto" w:fill="FFFFFF"/>
          <w:lang w:val="en-GB"/>
        </w:rPr>
        <w:t>Kamaluddin, A., Ishak, N. and Mohammed, N.F., 2019. Financial distress prediction through cash flow ratios analysis. </w:t>
      </w:r>
      <w:r w:rsidRPr="00B15203">
        <w:rPr>
          <w:rFonts w:ascii="Times New Roman" w:hAnsi="Times New Roman" w:cs="Times New Roman"/>
          <w:i/>
          <w:iCs/>
          <w:sz w:val="24"/>
          <w:szCs w:val="24"/>
          <w:shd w:val="clear" w:color="auto" w:fill="FFFFFF"/>
          <w:lang w:val="en-GB"/>
        </w:rPr>
        <w:t>International Journal of Financial Research</w:t>
      </w:r>
      <w:r w:rsidRPr="00B15203">
        <w:rPr>
          <w:rFonts w:ascii="Times New Roman" w:hAnsi="Times New Roman" w:cs="Times New Roman"/>
          <w:sz w:val="24"/>
          <w:szCs w:val="24"/>
          <w:shd w:val="clear" w:color="auto" w:fill="FFFFFF"/>
          <w:lang w:val="en-GB"/>
        </w:rPr>
        <w:t>, </w:t>
      </w:r>
      <w:r w:rsidRPr="00B15203">
        <w:rPr>
          <w:rFonts w:ascii="Times New Roman" w:hAnsi="Times New Roman" w:cs="Times New Roman"/>
          <w:b/>
          <w:bCs/>
          <w:sz w:val="24"/>
          <w:szCs w:val="24"/>
          <w:shd w:val="clear" w:color="auto" w:fill="FFFFFF"/>
          <w:lang w:val="en-GB"/>
        </w:rPr>
        <w:t>10</w:t>
      </w:r>
      <w:r w:rsidRPr="00B15203">
        <w:rPr>
          <w:rFonts w:ascii="Times New Roman" w:hAnsi="Times New Roman" w:cs="Times New Roman"/>
          <w:sz w:val="24"/>
          <w:szCs w:val="24"/>
          <w:shd w:val="clear" w:color="auto" w:fill="FFFFFF"/>
          <w:lang w:val="en-GB"/>
        </w:rPr>
        <w:t xml:space="preserve">(3), pp.63-76. </w:t>
      </w:r>
    </w:p>
    <w:p w14:paraId="300C27CD" w14:textId="77777777" w:rsidR="00B15203" w:rsidRPr="00B15203" w:rsidRDefault="00B15203" w:rsidP="00B15203">
      <w:pPr>
        <w:pStyle w:val="NormalWeb"/>
        <w:spacing w:before="0" w:beforeAutospacing="0" w:after="0" w:afterAutospacing="0"/>
        <w:ind w:left="720" w:hanging="720"/>
        <w:contextualSpacing/>
        <w:rPr>
          <w:shd w:val="clear" w:color="auto" w:fill="FFFFFF"/>
          <w:lang w:val="en-GB"/>
        </w:rPr>
      </w:pPr>
      <w:r w:rsidRPr="00B15203">
        <w:rPr>
          <w:shd w:val="clear" w:color="auto" w:fill="FFFFFF"/>
          <w:lang w:val="en-GB"/>
        </w:rPr>
        <w:t>Martín-Rios, C. and Ciobanu, T., 2019. Hospitality innovation strategies: an analysis of success factors and challenges. </w:t>
      </w:r>
      <w:r w:rsidRPr="00B15203">
        <w:rPr>
          <w:i/>
          <w:iCs/>
          <w:shd w:val="clear" w:color="auto" w:fill="FFFFFF"/>
          <w:lang w:val="en-GB"/>
        </w:rPr>
        <w:t>Tourism Management</w:t>
      </w:r>
      <w:r w:rsidRPr="00B15203">
        <w:rPr>
          <w:shd w:val="clear" w:color="auto" w:fill="FFFFFF"/>
          <w:lang w:val="en-GB"/>
        </w:rPr>
        <w:t>, </w:t>
      </w:r>
      <w:r w:rsidRPr="00B15203">
        <w:rPr>
          <w:b/>
          <w:bCs/>
          <w:shd w:val="clear" w:color="auto" w:fill="FFFFFF"/>
          <w:lang w:val="en-GB"/>
        </w:rPr>
        <w:t>70</w:t>
      </w:r>
      <w:r w:rsidRPr="00B15203">
        <w:rPr>
          <w:shd w:val="clear" w:color="auto" w:fill="FFFFFF"/>
          <w:lang w:val="en-GB"/>
        </w:rPr>
        <w:t xml:space="preserve">, pp.218-229. </w:t>
      </w:r>
    </w:p>
    <w:p w14:paraId="5D5FA243" w14:textId="77777777" w:rsidR="00B15203" w:rsidRPr="00B15203" w:rsidRDefault="00B15203" w:rsidP="00B15203">
      <w:pPr>
        <w:pStyle w:val="NormalWeb"/>
        <w:spacing w:before="0" w:beforeAutospacing="0" w:after="0" w:afterAutospacing="0"/>
        <w:ind w:left="720" w:hanging="720"/>
        <w:contextualSpacing/>
        <w:rPr>
          <w:lang w:val="en-GB"/>
        </w:rPr>
      </w:pPr>
      <w:r w:rsidRPr="00B15203">
        <w:rPr>
          <w:shd w:val="clear" w:color="auto" w:fill="FFFFFF"/>
          <w:lang w:val="en-GB"/>
        </w:rPr>
        <w:t>Morrison, A.M., 2022. </w:t>
      </w:r>
      <w:r w:rsidRPr="00B15203">
        <w:rPr>
          <w:i/>
          <w:iCs/>
          <w:shd w:val="clear" w:color="auto" w:fill="FFFFFF"/>
          <w:lang w:val="en-GB"/>
        </w:rPr>
        <w:t>Hospitality and travel marketing</w:t>
      </w:r>
      <w:r w:rsidRPr="00B15203">
        <w:rPr>
          <w:shd w:val="clear" w:color="auto" w:fill="FFFFFF"/>
          <w:lang w:val="en-GB"/>
        </w:rPr>
        <w:t xml:space="preserve">. Abingdon-on-Thames: Taylor &amp; Francis. </w:t>
      </w:r>
    </w:p>
    <w:p w14:paraId="38E0C66C"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shd w:val="clear" w:color="auto" w:fill="FFFFFF"/>
          <w:lang w:val="en-GB"/>
        </w:rPr>
      </w:pPr>
      <w:proofErr w:type="spellStart"/>
      <w:r w:rsidRPr="00B15203">
        <w:rPr>
          <w:rFonts w:ascii="Times New Roman" w:hAnsi="Times New Roman" w:cs="Times New Roman"/>
          <w:sz w:val="24"/>
          <w:szCs w:val="24"/>
          <w:shd w:val="clear" w:color="auto" w:fill="FFFFFF"/>
          <w:lang w:val="en-GB"/>
        </w:rPr>
        <w:t>Mucharreira</w:t>
      </w:r>
      <w:proofErr w:type="spellEnd"/>
      <w:r w:rsidRPr="00B15203">
        <w:rPr>
          <w:rFonts w:ascii="Times New Roman" w:hAnsi="Times New Roman" w:cs="Times New Roman"/>
          <w:sz w:val="24"/>
          <w:szCs w:val="24"/>
          <w:shd w:val="clear" w:color="auto" w:fill="FFFFFF"/>
          <w:lang w:val="en-GB"/>
        </w:rPr>
        <w:t xml:space="preserve">, P.R., Antunes, M.G., </w:t>
      </w:r>
      <w:proofErr w:type="spellStart"/>
      <w:r w:rsidRPr="00B15203">
        <w:rPr>
          <w:rFonts w:ascii="Times New Roman" w:hAnsi="Times New Roman" w:cs="Times New Roman"/>
          <w:sz w:val="24"/>
          <w:szCs w:val="24"/>
          <w:shd w:val="clear" w:color="auto" w:fill="FFFFFF"/>
          <w:lang w:val="en-GB"/>
        </w:rPr>
        <w:t>Abranja</w:t>
      </w:r>
      <w:proofErr w:type="spellEnd"/>
      <w:r w:rsidRPr="00B15203">
        <w:rPr>
          <w:rFonts w:ascii="Times New Roman" w:hAnsi="Times New Roman" w:cs="Times New Roman"/>
          <w:sz w:val="24"/>
          <w:szCs w:val="24"/>
          <w:shd w:val="clear" w:color="auto" w:fill="FFFFFF"/>
          <w:lang w:val="en-GB"/>
        </w:rPr>
        <w:t xml:space="preserve">, N., Justino, M.R.T. and Quirós, J.T., 2019. The relevance of tourism in the financial sustainability of hotels. </w:t>
      </w:r>
      <w:r w:rsidRPr="00B15203">
        <w:rPr>
          <w:rFonts w:ascii="Times New Roman" w:hAnsi="Times New Roman" w:cs="Times New Roman"/>
          <w:i/>
          <w:iCs/>
          <w:sz w:val="24"/>
          <w:szCs w:val="24"/>
          <w:shd w:val="clear" w:color="auto" w:fill="FFFFFF"/>
          <w:lang w:val="en-GB"/>
        </w:rPr>
        <w:t>European Research on Management and Business Economics</w:t>
      </w:r>
      <w:r w:rsidRPr="00B15203">
        <w:rPr>
          <w:rFonts w:ascii="Times New Roman" w:hAnsi="Times New Roman" w:cs="Times New Roman"/>
          <w:sz w:val="24"/>
          <w:szCs w:val="24"/>
          <w:shd w:val="clear" w:color="auto" w:fill="FFFFFF"/>
          <w:lang w:val="en-GB"/>
        </w:rPr>
        <w:t>, </w:t>
      </w:r>
      <w:r w:rsidRPr="00B15203">
        <w:rPr>
          <w:rFonts w:ascii="Times New Roman" w:hAnsi="Times New Roman" w:cs="Times New Roman"/>
          <w:b/>
          <w:bCs/>
          <w:sz w:val="24"/>
          <w:szCs w:val="24"/>
          <w:shd w:val="clear" w:color="auto" w:fill="FFFFFF"/>
          <w:lang w:val="en-GB"/>
        </w:rPr>
        <w:t>25</w:t>
      </w:r>
      <w:r w:rsidRPr="00B15203">
        <w:rPr>
          <w:rFonts w:ascii="Times New Roman" w:hAnsi="Times New Roman" w:cs="Times New Roman"/>
          <w:sz w:val="24"/>
          <w:szCs w:val="24"/>
          <w:shd w:val="clear" w:color="auto" w:fill="FFFFFF"/>
          <w:lang w:val="en-GB"/>
        </w:rPr>
        <w:t xml:space="preserve">(3), pp.165-174. </w:t>
      </w:r>
    </w:p>
    <w:p w14:paraId="2228EE29"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shd w:val="clear" w:color="auto" w:fill="FFFFFF"/>
          <w:lang w:val="en-GB"/>
        </w:rPr>
      </w:pPr>
      <w:r w:rsidRPr="00B15203">
        <w:rPr>
          <w:rFonts w:ascii="Times New Roman" w:hAnsi="Times New Roman" w:cs="Times New Roman"/>
          <w:sz w:val="24"/>
          <w:szCs w:val="24"/>
          <w:shd w:val="clear" w:color="auto" w:fill="FFFFFF"/>
          <w:lang w:val="en-GB"/>
        </w:rPr>
        <w:t>Robinson, T.R., 2020. </w:t>
      </w:r>
      <w:r w:rsidRPr="00B15203">
        <w:rPr>
          <w:rFonts w:ascii="Times New Roman" w:hAnsi="Times New Roman" w:cs="Times New Roman"/>
          <w:i/>
          <w:iCs/>
          <w:sz w:val="24"/>
          <w:szCs w:val="24"/>
          <w:shd w:val="clear" w:color="auto" w:fill="FFFFFF"/>
          <w:lang w:val="en-GB"/>
        </w:rPr>
        <w:t>International financial statement analysis</w:t>
      </w:r>
      <w:r w:rsidRPr="00B15203">
        <w:rPr>
          <w:rFonts w:ascii="Times New Roman" w:hAnsi="Times New Roman" w:cs="Times New Roman"/>
          <w:sz w:val="24"/>
          <w:szCs w:val="24"/>
          <w:shd w:val="clear" w:color="auto" w:fill="FFFFFF"/>
          <w:lang w:val="en-GB"/>
        </w:rPr>
        <w:t xml:space="preserve">. London: John Wiley &amp; Sons. </w:t>
      </w:r>
    </w:p>
    <w:p w14:paraId="174554F7" w14:textId="77777777" w:rsidR="00B15203" w:rsidRPr="00B15203" w:rsidRDefault="00B15203" w:rsidP="00B15203">
      <w:pPr>
        <w:pStyle w:val="NormalWeb"/>
        <w:spacing w:before="0" w:beforeAutospacing="0" w:after="0" w:afterAutospacing="0"/>
        <w:ind w:left="720" w:hanging="720"/>
        <w:contextualSpacing/>
        <w:rPr>
          <w:lang w:val="en-GB"/>
        </w:rPr>
      </w:pPr>
      <w:r w:rsidRPr="00B15203">
        <w:rPr>
          <w:lang w:val="en-GB"/>
        </w:rPr>
        <w:t xml:space="preserve">Seacrest Hotel., n.d. </w:t>
      </w:r>
      <w:r w:rsidRPr="00B15203">
        <w:rPr>
          <w:i/>
          <w:iCs/>
          <w:lang w:val="en-GB"/>
        </w:rPr>
        <w:t>Seacrest Hotel - company information, competitors</w:t>
      </w:r>
      <w:r w:rsidRPr="00B15203">
        <w:rPr>
          <w:lang w:val="en-GB"/>
        </w:rPr>
        <w:t xml:space="preserve">. [Online] Available at: https://6sense.com/company/seacrest-hotel/5d9e0517a7537b35bb67cc9d </w:t>
      </w:r>
      <w:bookmarkStart w:id="0" w:name="_Hlk159845323"/>
      <w:r w:rsidRPr="00B15203">
        <w:rPr>
          <w:lang w:val="en-GB"/>
        </w:rPr>
        <w:t xml:space="preserve">[Accessed 25/02/2024]. </w:t>
      </w:r>
      <w:bookmarkEnd w:id="0"/>
    </w:p>
    <w:p w14:paraId="59D958CD"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Seal, W., 2019. </w:t>
      </w:r>
      <w:r w:rsidRPr="00B15203">
        <w:rPr>
          <w:rFonts w:ascii="Times New Roman" w:hAnsi="Times New Roman" w:cs="Times New Roman"/>
          <w:i/>
          <w:sz w:val="24"/>
          <w:szCs w:val="24"/>
          <w:lang w:val="en-GB"/>
        </w:rPr>
        <w:t xml:space="preserve">Management accounting </w:t>
      </w:r>
      <w:r w:rsidRPr="00B15203">
        <w:rPr>
          <w:rFonts w:ascii="Times New Roman" w:hAnsi="Times New Roman" w:cs="Times New Roman"/>
          <w:iCs/>
          <w:sz w:val="24"/>
          <w:szCs w:val="24"/>
          <w:lang w:val="en-GB"/>
        </w:rPr>
        <w:t>(</w:t>
      </w:r>
      <w:r w:rsidRPr="00B15203">
        <w:rPr>
          <w:rFonts w:ascii="Times New Roman" w:hAnsi="Times New Roman" w:cs="Times New Roman"/>
          <w:sz w:val="24"/>
          <w:szCs w:val="24"/>
          <w:lang w:val="en-GB"/>
        </w:rPr>
        <w:t xml:space="preserve">6th ed). London: McGraw Hill. </w:t>
      </w:r>
    </w:p>
    <w:p w14:paraId="02309ED9"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Seal, W., Garrison R.H., and Noreen, E., 2008. </w:t>
      </w:r>
      <w:r w:rsidRPr="00B15203">
        <w:rPr>
          <w:rFonts w:ascii="Times New Roman" w:hAnsi="Times New Roman" w:cs="Times New Roman"/>
          <w:i/>
          <w:sz w:val="24"/>
          <w:szCs w:val="24"/>
          <w:lang w:val="en-GB"/>
        </w:rPr>
        <w:t>Management accounting</w:t>
      </w:r>
      <w:r w:rsidRPr="00B15203">
        <w:rPr>
          <w:rFonts w:ascii="Times New Roman" w:hAnsi="Times New Roman" w:cs="Times New Roman"/>
          <w:iCs/>
          <w:sz w:val="24"/>
          <w:szCs w:val="24"/>
          <w:lang w:val="en-GB"/>
        </w:rPr>
        <w:t>.</w:t>
      </w:r>
      <w:r w:rsidRPr="00B15203">
        <w:rPr>
          <w:rFonts w:ascii="Times New Roman" w:hAnsi="Times New Roman" w:cs="Times New Roman"/>
          <w:sz w:val="24"/>
          <w:szCs w:val="24"/>
          <w:lang w:val="en-GB"/>
        </w:rPr>
        <w:t xml:space="preserve"> London: McGraw Hill. </w:t>
      </w:r>
    </w:p>
    <w:p w14:paraId="1E4A8D4D" w14:textId="77777777" w:rsidR="00B15203" w:rsidRPr="00B15203" w:rsidRDefault="00B15203" w:rsidP="00B15203">
      <w:pPr>
        <w:pStyle w:val="NormalWeb"/>
        <w:spacing w:before="0" w:beforeAutospacing="0" w:after="0" w:afterAutospacing="0"/>
        <w:ind w:left="720" w:hanging="720"/>
        <w:contextualSpacing/>
        <w:rPr>
          <w:lang w:val="en-GB"/>
        </w:rPr>
      </w:pPr>
      <w:r w:rsidRPr="00B15203">
        <w:rPr>
          <w:lang w:val="en-GB"/>
        </w:rPr>
        <w:t xml:space="preserve">The Sea Crest., n.d. </w:t>
      </w:r>
      <w:r w:rsidRPr="00B15203">
        <w:rPr>
          <w:i/>
          <w:iCs/>
          <w:lang w:val="en-GB"/>
        </w:rPr>
        <w:t>The Sea Crest is a guest accommodation in Morecambe</w:t>
      </w:r>
      <w:r w:rsidRPr="00B15203">
        <w:rPr>
          <w:lang w:val="en-GB"/>
        </w:rPr>
        <w:t>. [Online] Available at: https://www.seacrest-hotel.co.uk/ [Accessed 25/02/2024].</w:t>
      </w:r>
    </w:p>
    <w:p w14:paraId="2D1B8BBB" w14:textId="77777777" w:rsidR="00B15203" w:rsidRPr="00B15203" w:rsidRDefault="00B15203" w:rsidP="00B15203">
      <w:pPr>
        <w:pStyle w:val="NormalWeb"/>
        <w:spacing w:before="0" w:beforeAutospacing="0" w:after="0" w:afterAutospacing="0"/>
        <w:ind w:left="720" w:hanging="720"/>
        <w:contextualSpacing/>
        <w:rPr>
          <w:lang w:val="en-GB"/>
        </w:rPr>
      </w:pPr>
      <w:r w:rsidRPr="00B15203">
        <w:rPr>
          <w:lang w:val="en-GB"/>
        </w:rPr>
        <w:t xml:space="preserve">Tranter, K., Stuart-Hill, T., and Parker, J., 2014. </w:t>
      </w:r>
      <w:r w:rsidRPr="00B15203">
        <w:rPr>
          <w:i/>
          <w:lang w:val="en-GB"/>
        </w:rPr>
        <w:t xml:space="preserve">Introduction to revenue management for the hospitality industry. </w:t>
      </w:r>
      <w:r w:rsidRPr="00B15203">
        <w:rPr>
          <w:lang w:val="en-GB"/>
        </w:rPr>
        <w:t xml:space="preserve">London: Pearson. </w:t>
      </w:r>
    </w:p>
    <w:p w14:paraId="14CC5DBA" w14:textId="77777777" w:rsidR="00B15203" w:rsidRPr="00B15203" w:rsidRDefault="00B15203" w:rsidP="00B15203">
      <w:pPr>
        <w:spacing w:after="0" w:line="240" w:lineRule="auto"/>
        <w:ind w:left="720" w:hanging="720"/>
        <w:contextualSpacing/>
        <w:rPr>
          <w:rFonts w:ascii="Times New Roman" w:hAnsi="Times New Roman" w:cs="Times New Roman"/>
          <w:sz w:val="24"/>
          <w:szCs w:val="24"/>
          <w:shd w:val="clear" w:color="auto" w:fill="FFFFFF"/>
          <w:lang w:val="en-GB"/>
        </w:rPr>
      </w:pPr>
      <w:r w:rsidRPr="00B15203">
        <w:rPr>
          <w:rFonts w:ascii="Times New Roman" w:hAnsi="Times New Roman" w:cs="Times New Roman"/>
          <w:sz w:val="24"/>
          <w:szCs w:val="24"/>
          <w:shd w:val="clear" w:color="auto" w:fill="FFFFFF"/>
          <w:lang w:val="en-GB"/>
        </w:rPr>
        <w:t>Walker, J.R., 2021. </w:t>
      </w:r>
      <w:r w:rsidRPr="00B15203">
        <w:rPr>
          <w:rFonts w:ascii="Times New Roman" w:hAnsi="Times New Roman" w:cs="Times New Roman"/>
          <w:i/>
          <w:iCs/>
          <w:sz w:val="24"/>
          <w:szCs w:val="24"/>
          <w:shd w:val="clear" w:color="auto" w:fill="FFFFFF"/>
          <w:lang w:val="en-GB"/>
        </w:rPr>
        <w:t>Introduction to hospitality</w:t>
      </w:r>
      <w:r w:rsidRPr="00B15203">
        <w:rPr>
          <w:rFonts w:ascii="Times New Roman" w:hAnsi="Times New Roman" w:cs="Times New Roman"/>
          <w:sz w:val="24"/>
          <w:szCs w:val="24"/>
          <w:shd w:val="clear" w:color="auto" w:fill="FFFFFF"/>
          <w:lang w:val="en-GB"/>
        </w:rPr>
        <w:t xml:space="preserve">. London: Pearson. </w:t>
      </w:r>
    </w:p>
    <w:p w14:paraId="7F346569" w14:textId="77777777" w:rsidR="00B15203" w:rsidRPr="00B15203" w:rsidRDefault="00B15203" w:rsidP="00B15203">
      <w:pPr>
        <w:autoSpaceDE w:val="0"/>
        <w:autoSpaceDN w:val="0"/>
        <w:adjustRightInd w:val="0"/>
        <w:spacing w:after="0" w:line="240" w:lineRule="auto"/>
        <w:ind w:left="720" w:hanging="720"/>
        <w:contextualSpacing/>
        <w:rPr>
          <w:rFonts w:ascii="Times New Roman" w:hAnsi="Times New Roman" w:cs="Times New Roman"/>
          <w:sz w:val="24"/>
          <w:szCs w:val="24"/>
          <w:lang w:val="en-GB"/>
        </w:rPr>
      </w:pPr>
      <w:r w:rsidRPr="00B15203">
        <w:rPr>
          <w:rFonts w:ascii="Times New Roman" w:hAnsi="Times New Roman" w:cs="Times New Roman"/>
          <w:sz w:val="24"/>
          <w:szCs w:val="24"/>
          <w:lang w:val="en-GB"/>
        </w:rPr>
        <w:t xml:space="preserve">Wild, J., 2018. </w:t>
      </w:r>
      <w:r w:rsidRPr="00B15203">
        <w:rPr>
          <w:rFonts w:ascii="Times New Roman" w:hAnsi="Times New Roman" w:cs="Times New Roman"/>
          <w:i/>
          <w:sz w:val="24"/>
          <w:szCs w:val="24"/>
          <w:lang w:val="en-GB"/>
        </w:rPr>
        <w:t>Fundamental accounting principles</w:t>
      </w:r>
      <w:r w:rsidRPr="00B15203">
        <w:rPr>
          <w:rFonts w:ascii="Times New Roman" w:hAnsi="Times New Roman" w:cs="Times New Roman"/>
          <w:iCs/>
          <w:sz w:val="24"/>
          <w:szCs w:val="24"/>
          <w:lang w:val="en-GB"/>
        </w:rPr>
        <w:t>.</w:t>
      </w:r>
      <w:r w:rsidRPr="00B15203">
        <w:rPr>
          <w:rFonts w:ascii="Times New Roman" w:hAnsi="Times New Roman" w:cs="Times New Roman"/>
          <w:sz w:val="24"/>
          <w:szCs w:val="24"/>
          <w:lang w:val="en-GB"/>
        </w:rPr>
        <w:t xml:space="preserve"> New York: McGraw Hill.</w:t>
      </w:r>
    </w:p>
    <w:sectPr w:rsidR="00B15203" w:rsidRPr="00B1520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3DBFA" w14:textId="77777777" w:rsidR="00BF782B" w:rsidRDefault="00BF782B">
      <w:pPr>
        <w:spacing w:after="0" w:line="240" w:lineRule="auto"/>
      </w:pPr>
      <w:r>
        <w:separator/>
      </w:r>
    </w:p>
  </w:endnote>
  <w:endnote w:type="continuationSeparator" w:id="0">
    <w:p w14:paraId="2EB97F25" w14:textId="77777777" w:rsidR="00BF782B" w:rsidRDefault="00BF7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935EE" w14:textId="77777777" w:rsidR="00BF782B" w:rsidRDefault="00BF782B">
      <w:pPr>
        <w:spacing w:after="0" w:line="240" w:lineRule="auto"/>
      </w:pPr>
      <w:r>
        <w:separator/>
      </w:r>
    </w:p>
  </w:footnote>
  <w:footnote w:type="continuationSeparator" w:id="0">
    <w:p w14:paraId="38F822BF" w14:textId="77777777" w:rsidR="00BF782B" w:rsidRDefault="00BF7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AEA69" w14:textId="027D96D3" w:rsidR="007856A7" w:rsidRPr="00CA24F1" w:rsidRDefault="007856A7" w:rsidP="00BE5152">
    <w:pPr>
      <w:pStyle w:val="Header"/>
      <w:jc w:val="cent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32D64"/>
    <w:multiLevelType w:val="hybridMultilevel"/>
    <w:tmpl w:val="FF0641E2"/>
    <w:lvl w:ilvl="0" w:tplc="8BB41322">
      <w:start w:val="1"/>
      <w:numFmt w:val="bullet"/>
      <w:lvlText w:val=""/>
      <w:lvlJc w:val="left"/>
      <w:pPr>
        <w:ind w:left="720" w:hanging="360"/>
      </w:pPr>
      <w:rPr>
        <w:rFonts w:ascii="Symbol" w:hAnsi="Symbol" w:hint="default"/>
      </w:rPr>
    </w:lvl>
    <w:lvl w:ilvl="1" w:tplc="5A5275EC" w:tentative="1">
      <w:start w:val="1"/>
      <w:numFmt w:val="bullet"/>
      <w:lvlText w:val="o"/>
      <w:lvlJc w:val="left"/>
      <w:pPr>
        <w:ind w:left="1440" w:hanging="360"/>
      </w:pPr>
      <w:rPr>
        <w:rFonts w:ascii="Courier New" w:hAnsi="Courier New" w:cs="Courier New" w:hint="default"/>
      </w:rPr>
    </w:lvl>
    <w:lvl w:ilvl="2" w:tplc="43AC8A96" w:tentative="1">
      <w:start w:val="1"/>
      <w:numFmt w:val="bullet"/>
      <w:lvlText w:val=""/>
      <w:lvlJc w:val="left"/>
      <w:pPr>
        <w:ind w:left="2160" w:hanging="360"/>
      </w:pPr>
      <w:rPr>
        <w:rFonts w:ascii="Wingdings" w:hAnsi="Wingdings" w:hint="default"/>
      </w:rPr>
    </w:lvl>
    <w:lvl w:ilvl="3" w:tplc="35123E02" w:tentative="1">
      <w:start w:val="1"/>
      <w:numFmt w:val="bullet"/>
      <w:lvlText w:val=""/>
      <w:lvlJc w:val="left"/>
      <w:pPr>
        <w:ind w:left="2880" w:hanging="360"/>
      </w:pPr>
      <w:rPr>
        <w:rFonts w:ascii="Symbol" w:hAnsi="Symbol" w:hint="default"/>
      </w:rPr>
    </w:lvl>
    <w:lvl w:ilvl="4" w:tplc="544A13C4" w:tentative="1">
      <w:start w:val="1"/>
      <w:numFmt w:val="bullet"/>
      <w:lvlText w:val="o"/>
      <w:lvlJc w:val="left"/>
      <w:pPr>
        <w:ind w:left="3600" w:hanging="360"/>
      </w:pPr>
      <w:rPr>
        <w:rFonts w:ascii="Courier New" w:hAnsi="Courier New" w:cs="Courier New" w:hint="default"/>
      </w:rPr>
    </w:lvl>
    <w:lvl w:ilvl="5" w:tplc="A07EA0A6" w:tentative="1">
      <w:start w:val="1"/>
      <w:numFmt w:val="bullet"/>
      <w:lvlText w:val=""/>
      <w:lvlJc w:val="left"/>
      <w:pPr>
        <w:ind w:left="4320" w:hanging="360"/>
      </w:pPr>
      <w:rPr>
        <w:rFonts w:ascii="Wingdings" w:hAnsi="Wingdings" w:hint="default"/>
      </w:rPr>
    </w:lvl>
    <w:lvl w:ilvl="6" w:tplc="7EF27C12" w:tentative="1">
      <w:start w:val="1"/>
      <w:numFmt w:val="bullet"/>
      <w:lvlText w:val=""/>
      <w:lvlJc w:val="left"/>
      <w:pPr>
        <w:ind w:left="5040" w:hanging="360"/>
      </w:pPr>
      <w:rPr>
        <w:rFonts w:ascii="Symbol" w:hAnsi="Symbol" w:hint="default"/>
      </w:rPr>
    </w:lvl>
    <w:lvl w:ilvl="7" w:tplc="2626E79E" w:tentative="1">
      <w:start w:val="1"/>
      <w:numFmt w:val="bullet"/>
      <w:lvlText w:val="o"/>
      <w:lvlJc w:val="left"/>
      <w:pPr>
        <w:ind w:left="5760" w:hanging="360"/>
      </w:pPr>
      <w:rPr>
        <w:rFonts w:ascii="Courier New" w:hAnsi="Courier New" w:cs="Courier New" w:hint="default"/>
      </w:rPr>
    </w:lvl>
    <w:lvl w:ilvl="8" w:tplc="5D5CF018" w:tentative="1">
      <w:start w:val="1"/>
      <w:numFmt w:val="bullet"/>
      <w:lvlText w:val=""/>
      <w:lvlJc w:val="left"/>
      <w:pPr>
        <w:ind w:left="6480" w:hanging="360"/>
      </w:pPr>
      <w:rPr>
        <w:rFonts w:ascii="Wingdings" w:hAnsi="Wingdings" w:hint="default"/>
      </w:rPr>
    </w:lvl>
  </w:abstractNum>
  <w:abstractNum w:abstractNumId="1" w15:restartNumberingAfterBreak="0">
    <w:nsid w:val="270A7566"/>
    <w:multiLevelType w:val="hybridMultilevel"/>
    <w:tmpl w:val="10D2ADB2"/>
    <w:lvl w:ilvl="0" w:tplc="3AB24434">
      <w:start w:val="1"/>
      <w:numFmt w:val="bullet"/>
      <w:lvlText w:val=""/>
      <w:lvlJc w:val="left"/>
      <w:pPr>
        <w:ind w:left="720" w:hanging="360"/>
      </w:pPr>
      <w:rPr>
        <w:rFonts w:ascii="Symbol" w:hAnsi="Symbol" w:hint="default"/>
      </w:rPr>
    </w:lvl>
    <w:lvl w:ilvl="1" w:tplc="FAF674CE" w:tentative="1">
      <w:start w:val="1"/>
      <w:numFmt w:val="bullet"/>
      <w:lvlText w:val="o"/>
      <w:lvlJc w:val="left"/>
      <w:pPr>
        <w:ind w:left="1440" w:hanging="360"/>
      </w:pPr>
      <w:rPr>
        <w:rFonts w:ascii="Courier New" w:hAnsi="Courier New" w:cs="Courier New" w:hint="default"/>
      </w:rPr>
    </w:lvl>
    <w:lvl w:ilvl="2" w:tplc="726C1AD0" w:tentative="1">
      <w:start w:val="1"/>
      <w:numFmt w:val="bullet"/>
      <w:lvlText w:val=""/>
      <w:lvlJc w:val="left"/>
      <w:pPr>
        <w:ind w:left="2160" w:hanging="360"/>
      </w:pPr>
      <w:rPr>
        <w:rFonts w:ascii="Wingdings" w:hAnsi="Wingdings" w:hint="default"/>
      </w:rPr>
    </w:lvl>
    <w:lvl w:ilvl="3" w:tplc="238E62B4" w:tentative="1">
      <w:start w:val="1"/>
      <w:numFmt w:val="bullet"/>
      <w:lvlText w:val=""/>
      <w:lvlJc w:val="left"/>
      <w:pPr>
        <w:ind w:left="2880" w:hanging="360"/>
      </w:pPr>
      <w:rPr>
        <w:rFonts w:ascii="Symbol" w:hAnsi="Symbol" w:hint="default"/>
      </w:rPr>
    </w:lvl>
    <w:lvl w:ilvl="4" w:tplc="2D30F112" w:tentative="1">
      <w:start w:val="1"/>
      <w:numFmt w:val="bullet"/>
      <w:lvlText w:val="o"/>
      <w:lvlJc w:val="left"/>
      <w:pPr>
        <w:ind w:left="3600" w:hanging="360"/>
      </w:pPr>
      <w:rPr>
        <w:rFonts w:ascii="Courier New" w:hAnsi="Courier New" w:cs="Courier New" w:hint="default"/>
      </w:rPr>
    </w:lvl>
    <w:lvl w:ilvl="5" w:tplc="EFFC213E" w:tentative="1">
      <w:start w:val="1"/>
      <w:numFmt w:val="bullet"/>
      <w:lvlText w:val=""/>
      <w:lvlJc w:val="left"/>
      <w:pPr>
        <w:ind w:left="4320" w:hanging="360"/>
      </w:pPr>
      <w:rPr>
        <w:rFonts w:ascii="Wingdings" w:hAnsi="Wingdings" w:hint="default"/>
      </w:rPr>
    </w:lvl>
    <w:lvl w:ilvl="6" w:tplc="C0A278AC" w:tentative="1">
      <w:start w:val="1"/>
      <w:numFmt w:val="bullet"/>
      <w:lvlText w:val=""/>
      <w:lvlJc w:val="left"/>
      <w:pPr>
        <w:ind w:left="5040" w:hanging="360"/>
      </w:pPr>
      <w:rPr>
        <w:rFonts w:ascii="Symbol" w:hAnsi="Symbol" w:hint="default"/>
      </w:rPr>
    </w:lvl>
    <w:lvl w:ilvl="7" w:tplc="C708F4D0" w:tentative="1">
      <w:start w:val="1"/>
      <w:numFmt w:val="bullet"/>
      <w:lvlText w:val="o"/>
      <w:lvlJc w:val="left"/>
      <w:pPr>
        <w:ind w:left="5760" w:hanging="360"/>
      </w:pPr>
      <w:rPr>
        <w:rFonts w:ascii="Courier New" w:hAnsi="Courier New" w:cs="Courier New" w:hint="default"/>
      </w:rPr>
    </w:lvl>
    <w:lvl w:ilvl="8" w:tplc="715074B8" w:tentative="1">
      <w:start w:val="1"/>
      <w:numFmt w:val="bullet"/>
      <w:lvlText w:val=""/>
      <w:lvlJc w:val="left"/>
      <w:pPr>
        <w:ind w:left="6480" w:hanging="360"/>
      </w:pPr>
      <w:rPr>
        <w:rFonts w:ascii="Wingdings" w:hAnsi="Wingdings" w:hint="default"/>
      </w:rPr>
    </w:lvl>
  </w:abstractNum>
  <w:abstractNum w:abstractNumId="2" w15:restartNumberingAfterBreak="0">
    <w:nsid w:val="2A152A20"/>
    <w:multiLevelType w:val="hybridMultilevel"/>
    <w:tmpl w:val="797CF87A"/>
    <w:lvl w:ilvl="0" w:tplc="F7BEF4E4">
      <w:start w:val="1"/>
      <w:numFmt w:val="bullet"/>
      <w:lvlText w:val=""/>
      <w:lvlJc w:val="left"/>
      <w:pPr>
        <w:ind w:left="720" w:hanging="360"/>
      </w:pPr>
      <w:rPr>
        <w:rFonts w:ascii="Symbol" w:hAnsi="Symbol" w:hint="default"/>
      </w:rPr>
    </w:lvl>
    <w:lvl w:ilvl="1" w:tplc="7ED8CD02" w:tentative="1">
      <w:start w:val="1"/>
      <w:numFmt w:val="bullet"/>
      <w:lvlText w:val="o"/>
      <w:lvlJc w:val="left"/>
      <w:pPr>
        <w:ind w:left="1440" w:hanging="360"/>
      </w:pPr>
      <w:rPr>
        <w:rFonts w:ascii="Courier New" w:hAnsi="Courier New" w:cs="Courier New" w:hint="default"/>
      </w:rPr>
    </w:lvl>
    <w:lvl w:ilvl="2" w:tplc="52A87C2A" w:tentative="1">
      <w:start w:val="1"/>
      <w:numFmt w:val="bullet"/>
      <w:lvlText w:val=""/>
      <w:lvlJc w:val="left"/>
      <w:pPr>
        <w:ind w:left="2160" w:hanging="360"/>
      </w:pPr>
      <w:rPr>
        <w:rFonts w:ascii="Wingdings" w:hAnsi="Wingdings" w:hint="default"/>
      </w:rPr>
    </w:lvl>
    <w:lvl w:ilvl="3" w:tplc="B39024A2" w:tentative="1">
      <w:start w:val="1"/>
      <w:numFmt w:val="bullet"/>
      <w:lvlText w:val=""/>
      <w:lvlJc w:val="left"/>
      <w:pPr>
        <w:ind w:left="2880" w:hanging="360"/>
      </w:pPr>
      <w:rPr>
        <w:rFonts w:ascii="Symbol" w:hAnsi="Symbol" w:hint="default"/>
      </w:rPr>
    </w:lvl>
    <w:lvl w:ilvl="4" w:tplc="CA62A908" w:tentative="1">
      <w:start w:val="1"/>
      <w:numFmt w:val="bullet"/>
      <w:lvlText w:val="o"/>
      <w:lvlJc w:val="left"/>
      <w:pPr>
        <w:ind w:left="3600" w:hanging="360"/>
      </w:pPr>
      <w:rPr>
        <w:rFonts w:ascii="Courier New" w:hAnsi="Courier New" w:cs="Courier New" w:hint="default"/>
      </w:rPr>
    </w:lvl>
    <w:lvl w:ilvl="5" w:tplc="419A123A" w:tentative="1">
      <w:start w:val="1"/>
      <w:numFmt w:val="bullet"/>
      <w:lvlText w:val=""/>
      <w:lvlJc w:val="left"/>
      <w:pPr>
        <w:ind w:left="4320" w:hanging="360"/>
      </w:pPr>
      <w:rPr>
        <w:rFonts w:ascii="Wingdings" w:hAnsi="Wingdings" w:hint="default"/>
      </w:rPr>
    </w:lvl>
    <w:lvl w:ilvl="6" w:tplc="92E8533C" w:tentative="1">
      <w:start w:val="1"/>
      <w:numFmt w:val="bullet"/>
      <w:lvlText w:val=""/>
      <w:lvlJc w:val="left"/>
      <w:pPr>
        <w:ind w:left="5040" w:hanging="360"/>
      </w:pPr>
      <w:rPr>
        <w:rFonts w:ascii="Symbol" w:hAnsi="Symbol" w:hint="default"/>
      </w:rPr>
    </w:lvl>
    <w:lvl w:ilvl="7" w:tplc="76FE71DC" w:tentative="1">
      <w:start w:val="1"/>
      <w:numFmt w:val="bullet"/>
      <w:lvlText w:val="o"/>
      <w:lvlJc w:val="left"/>
      <w:pPr>
        <w:ind w:left="5760" w:hanging="360"/>
      </w:pPr>
      <w:rPr>
        <w:rFonts w:ascii="Courier New" w:hAnsi="Courier New" w:cs="Courier New" w:hint="default"/>
      </w:rPr>
    </w:lvl>
    <w:lvl w:ilvl="8" w:tplc="9FF296D8" w:tentative="1">
      <w:start w:val="1"/>
      <w:numFmt w:val="bullet"/>
      <w:lvlText w:val=""/>
      <w:lvlJc w:val="left"/>
      <w:pPr>
        <w:ind w:left="6480" w:hanging="360"/>
      </w:pPr>
      <w:rPr>
        <w:rFonts w:ascii="Wingdings" w:hAnsi="Wingdings" w:hint="default"/>
      </w:rPr>
    </w:lvl>
  </w:abstractNum>
  <w:abstractNum w:abstractNumId="3" w15:restartNumberingAfterBreak="0">
    <w:nsid w:val="34765983"/>
    <w:multiLevelType w:val="hybridMultilevel"/>
    <w:tmpl w:val="5A8ABD82"/>
    <w:lvl w:ilvl="0" w:tplc="5C8823FE">
      <w:start w:val="1"/>
      <w:numFmt w:val="bullet"/>
      <w:lvlText w:val=""/>
      <w:lvlJc w:val="left"/>
      <w:pPr>
        <w:ind w:left="720" w:hanging="360"/>
      </w:pPr>
      <w:rPr>
        <w:rFonts w:ascii="Symbol" w:hAnsi="Symbol" w:hint="default"/>
      </w:rPr>
    </w:lvl>
    <w:lvl w:ilvl="1" w:tplc="21449320" w:tentative="1">
      <w:start w:val="1"/>
      <w:numFmt w:val="bullet"/>
      <w:lvlText w:val="o"/>
      <w:lvlJc w:val="left"/>
      <w:pPr>
        <w:ind w:left="1440" w:hanging="360"/>
      </w:pPr>
      <w:rPr>
        <w:rFonts w:ascii="Courier New" w:hAnsi="Courier New" w:cs="Courier New" w:hint="default"/>
      </w:rPr>
    </w:lvl>
    <w:lvl w:ilvl="2" w:tplc="D806E16A" w:tentative="1">
      <w:start w:val="1"/>
      <w:numFmt w:val="bullet"/>
      <w:lvlText w:val=""/>
      <w:lvlJc w:val="left"/>
      <w:pPr>
        <w:ind w:left="2160" w:hanging="360"/>
      </w:pPr>
      <w:rPr>
        <w:rFonts w:ascii="Wingdings" w:hAnsi="Wingdings" w:hint="default"/>
      </w:rPr>
    </w:lvl>
    <w:lvl w:ilvl="3" w:tplc="3376A582" w:tentative="1">
      <w:start w:val="1"/>
      <w:numFmt w:val="bullet"/>
      <w:lvlText w:val=""/>
      <w:lvlJc w:val="left"/>
      <w:pPr>
        <w:ind w:left="2880" w:hanging="360"/>
      </w:pPr>
      <w:rPr>
        <w:rFonts w:ascii="Symbol" w:hAnsi="Symbol" w:hint="default"/>
      </w:rPr>
    </w:lvl>
    <w:lvl w:ilvl="4" w:tplc="1092F4BE" w:tentative="1">
      <w:start w:val="1"/>
      <w:numFmt w:val="bullet"/>
      <w:lvlText w:val="o"/>
      <w:lvlJc w:val="left"/>
      <w:pPr>
        <w:ind w:left="3600" w:hanging="360"/>
      </w:pPr>
      <w:rPr>
        <w:rFonts w:ascii="Courier New" w:hAnsi="Courier New" w:cs="Courier New" w:hint="default"/>
      </w:rPr>
    </w:lvl>
    <w:lvl w:ilvl="5" w:tplc="BF70AC14" w:tentative="1">
      <w:start w:val="1"/>
      <w:numFmt w:val="bullet"/>
      <w:lvlText w:val=""/>
      <w:lvlJc w:val="left"/>
      <w:pPr>
        <w:ind w:left="4320" w:hanging="360"/>
      </w:pPr>
      <w:rPr>
        <w:rFonts w:ascii="Wingdings" w:hAnsi="Wingdings" w:hint="default"/>
      </w:rPr>
    </w:lvl>
    <w:lvl w:ilvl="6" w:tplc="071ADBD6" w:tentative="1">
      <w:start w:val="1"/>
      <w:numFmt w:val="bullet"/>
      <w:lvlText w:val=""/>
      <w:lvlJc w:val="left"/>
      <w:pPr>
        <w:ind w:left="5040" w:hanging="360"/>
      </w:pPr>
      <w:rPr>
        <w:rFonts w:ascii="Symbol" w:hAnsi="Symbol" w:hint="default"/>
      </w:rPr>
    </w:lvl>
    <w:lvl w:ilvl="7" w:tplc="47584978" w:tentative="1">
      <w:start w:val="1"/>
      <w:numFmt w:val="bullet"/>
      <w:lvlText w:val="o"/>
      <w:lvlJc w:val="left"/>
      <w:pPr>
        <w:ind w:left="5760" w:hanging="360"/>
      </w:pPr>
      <w:rPr>
        <w:rFonts w:ascii="Courier New" w:hAnsi="Courier New" w:cs="Courier New" w:hint="default"/>
      </w:rPr>
    </w:lvl>
    <w:lvl w:ilvl="8" w:tplc="E536E124" w:tentative="1">
      <w:start w:val="1"/>
      <w:numFmt w:val="bullet"/>
      <w:lvlText w:val=""/>
      <w:lvlJc w:val="left"/>
      <w:pPr>
        <w:ind w:left="6480" w:hanging="360"/>
      </w:pPr>
      <w:rPr>
        <w:rFonts w:ascii="Wingdings" w:hAnsi="Wingdings" w:hint="default"/>
      </w:rPr>
    </w:lvl>
  </w:abstractNum>
  <w:abstractNum w:abstractNumId="4" w15:restartNumberingAfterBreak="0">
    <w:nsid w:val="38751857"/>
    <w:multiLevelType w:val="hybridMultilevel"/>
    <w:tmpl w:val="EF5C43AA"/>
    <w:lvl w:ilvl="0" w:tplc="1DC08F9E">
      <w:start w:val="1"/>
      <w:numFmt w:val="bullet"/>
      <w:lvlText w:val=""/>
      <w:lvlJc w:val="left"/>
      <w:pPr>
        <w:ind w:left="720" w:hanging="360"/>
      </w:pPr>
      <w:rPr>
        <w:rFonts w:ascii="Symbol" w:hAnsi="Symbol" w:hint="default"/>
      </w:rPr>
    </w:lvl>
    <w:lvl w:ilvl="1" w:tplc="2542D19E" w:tentative="1">
      <w:start w:val="1"/>
      <w:numFmt w:val="bullet"/>
      <w:lvlText w:val="o"/>
      <w:lvlJc w:val="left"/>
      <w:pPr>
        <w:ind w:left="1440" w:hanging="360"/>
      </w:pPr>
      <w:rPr>
        <w:rFonts w:ascii="Courier New" w:hAnsi="Courier New" w:cs="Courier New" w:hint="default"/>
      </w:rPr>
    </w:lvl>
    <w:lvl w:ilvl="2" w:tplc="3B4E77D8" w:tentative="1">
      <w:start w:val="1"/>
      <w:numFmt w:val="bullet"/>
      <w:lvlText w:val=""/>
      <w:lvlJc w:val="left"/>
      <w:pPr>
        <w:ind w:left="2160" w:hanging="360"/>
      </w:pPr>
      <w:rPr>
        <w:rFonts w:ascii="Wingdings" w:hAnsi="Wingdings" w:hint="default"/>
      </w:rPr>
    </w:lvl>
    <w:lvl w:ilvl="3" w:tplc="000C14CA" w:tentative="1">
      <w:start w:val="1"/>
      <w:numFmt w:val="bullet"/>
      <w:lvlText w:val=""/>
      <w:lvlJc w:val="left"/>
      <w:pPr>
        <w:ind w:left="2880" w:hanging="360"/>
      </w:pPr>
      <w:rPr>
        <w:rFonts w:ascii="Symbol" w:hAnsi="Symbol" w:hint="default"/>
      </w:rPr>
    </w:lvl>
    <w:lvl w:ilvl="4" w:tplc="0E16B784" w:tentative="1">
      <w:start w:val="1"/>
      <w:numFmt w:val="bullet"/>
      <w:lvlText w:val="o"/>
      <w:lvlJc w:val="left"/>
      <w:pPr>
        <w:ind w:left="3600" w:hanging="360"/>
      </w:pPr>
      <w:rPr>
        <w:rFonts w:ascii="Courier New" w:hAnsi="Courier New" w:cs="Courier New" w:hint="default"/>
      </w:rPr>
    </w:lvl>
    <w:lvl w:ilvl="5" w:tplc="CD165A12" w:tentative="1">
      <w:start w:val="1"/>
      <w:numFmt w:val="bullet"/>
      <w:lvlText w:val=""/>
      <w:lvlJc w:val="left"/>
      <w:pPr>
        <w:ind w:left="4320" w:hanging="360"/>
      </w:pPr>
      <w:rPr>
        <w:rFonts w:ascii="Wingdings" w:hAnsi="Wingdings" w:hint="default"/>
      </w:rPr>
    </w:lvl>
    <w:lvl w:ilvl="6" w:tplc="DEDC3FAA" w:tentative="1">
      <w:start w:val="1"/>
      <w:numFmt w:val="bullet"/>
      <w:lvlText w:val=""/>
      <w:lvlJc w:val="left"/>
      <w:pPr>
        <w:ind w:left="5040" w:hanging="360"/>
      </w:pPr>
      <w:rPr>
        <w:rFonts w:ascii="Symbol" w:hAnsi="Symbol" w:hint="default"/>
      </w:rPr>
    </w:lvl>
    <w:lvl w:ilvl="7" w:tplc="C6A8D25A" w:tentative="1">
      <w:start w:val="1"/>
      <w:numFmt w:val="bullet"/>
      <w:lvlText w:val="o"/>
      <w:lvlJc w:val="left"/>
      <w:pPr>
        <w:ind w:left="5760" w:hanging="360"/>
      </w:pPr>
      <w:rPr>
        <w:rFonts w:ascii="Courier New" w:hAnsi="Courier New" w:cs="Courier New" w:hint="default"/>
      </w:rPr>
    </w:lvl>
    <w:lvl w:ilvl="8" w:tplc="3E8CCDAE" w:tentative="1">
      <w:start w:val="1"/>
      <w:numFmt w:val="bullet"/>
      <w:lvlText w:val=""/>
      <w:lvlJc w:val="left"/>
      <w:pPr>
        <w:ind w:left="6480" w:hanging="360"/>
      </w:pPr>
      <w:rPr>
        <w:rFonts w:ascii="Wingdings" w:hAnsi="Wingdings" w:hint="default"/>
      </w:rPr>
    </w:lvl>
  </w:abstractNum>
  <w:abstractNum w:abstractNumId="5" w15:restartNumberingAfterBreak="0">
    <w:nsid w:val="402053A8"/>
    <w:multiLevelType w:val="hybridMultilevel"/>
    <w:tmpl w:val="3B266EB0"/>
    <w:lvl w:ilvl="0" w:tplc="FC063610">
      <w:start w:val="1"/>
      <w:numFmt w:val="bullet"/>
      <w:lvlText w:val=""/>
      <w:lvlJc w:val="left"/>
      <w:pPr>
        <w:ind w:left="720" w:hanging="360"/>
      </w:pPr>
      <w:rPr>
        <w:rFonts w:ascii="Symbol" w:hAnsi="Symbol" w:hint="default"/>
      </w:rPr>
    </w:lvl>
    <w:lvl w:ilvl="1" w:tplc="7BB2E008" w:tentative="1">
      <w:start w:val="1"/>
      <w:numFmt w:val="bullet"/>
      <w:lvlText w:val="o"/>
      <w:lvlJc w:val="left"/>
      <w:pPr>
        <w:ind w:left="1440" w:hanging="360"/>
      </w:pPr>
      <w:rPr>
        <w:rFonts w:ascii="Courier New" w:hAnsi="Courier New" w:cs="Courier New" w:hint="default"/>
      </w:rPr>
    </w:lvl>
    <w:lvl w:ilvl="2" w:tplc="4D147AC0" w:tentative="1">
      <w:start w:val="1"/>
      <w:numFmt w:val="bullet"/>
      <w:lvlText w:val=""/>
      <w:lvlJc w:val="left"/>
      <w:pPr>
        <w:ind w:left="2160" w:hanging="360"/>
      </w:pPr>
      <w:rPr>
        <w:rFonts w:ascii="Wingdings" w:hAnsi="Wingdings" w:hint="default"/>
      </w:rPr>
    </w:lvl>
    <w:lvl w:ilvl="3" w:tplc="BCA0CDE6" w:tentative="1">
      <w:start w:val="1"/>
      <w:numFmt w:val="bullet"/>
      <w:lvlText w:val=""/>
      <w:lvlJc w:val="left"/>
      <w:pPr>
        <w:ind w:left="2880" w:hanging="360"/>
      </w:pPr>
      <w:rPr>
        <w:rFonts w:ascii="Symbol" w:hAnsi="Symbol" w:hint="default"/>
      </w:rPr>
    </w:lvl>
    <w:lvl w:ilvl="4" w:tplc="9AB816C4" w:tentative="1">
      <w:start w:val="1"/>
      <w:numFmt w:val="bullet"/>
      <w:lvlText w:val="o"/>
      <w:lvlJc w:val="left"/>
      <w:pPr>
        <w:ind w:left="3600" w:hanging="360"/>
      </w:pPr>
      <w:rPr>
        <w:rFonts w:ascii="Courier New" w:hAnsi="Courier New" w:cs="Courier New" w:hint="default"/>
      </w:rPr>
    </w:lvl>
    <w:lvl w:ilvl="5" w:tplc="BC688FF6" w:tentative="1">
      <w:start w:val="1"/>
      <w:numFmt w:val="bullet"/>
      <w:lvlText w:val=""/>
      <w:lvlJc w:val="left"/>
      <w:pPr>
        <w:ind w:left="4320" w:hanging="360"/>
      </w:pPr>
      <w:rPr>
        <w:rFonts w:ascii="Wingdings" w:hAnsi="Wingdings" w:hint="default"/>
      </w:rPr>
    </w:lvl>
    <w:lvl w:ilvl="6" w:tplc="329A8CC0" w:tentative="1">
      <w:start w:val="1"/>
      <w:numFmt w:val="bullet"/>
      <w:lvlText w:val=""/>
      <w:lvlJc w:val="left"/>
      <w:pPr>
        <w:ind w:left="5040" w:hanging="360"/>
      </w:pPr>
      <w:rPr>
        <w:rFonts w:ascii="Symbol" w:hAnsi="Symbol" w:hint="default"/>
      </w:rPr>
    </w:lvl>
    <w:lvl w:ilvl="7" w:tplc="140A2C7E" w:tentative="1">
      <w:start w:val="1"/>
      <w:numFmt w:val="bullet"/>
      <w:lvlText w:val="o"/>
      <w:lvlJc w:val="left"/>
      <w:pPr>
        <w:ind w:left="5760" w:hanging="360"/>
      </w:pPr>
      <w:rPr>
        <w:rFonts w:ascii="Courier New" w:hAnsi="Courier New" w:cs="Courier New" w:hint="default"/>
      </w:rPr>
    </w:lvl>
    <w:lvl w:ilvl="8" w:tplc="62BE8646" w:tentative="1">
      <w:start w:val="1"/>
      <w:numFmt w:val="bullet"/>
      <w:lvlText w:val=""/>
      <w:lvlJc w:val="left"/>
      <w:pPr>
        <w:ind w:left="6480" w:hanging="360"/>
      </w:pPr>
      <w:rPr>
        <w:rFonts w:ascii="Wingdings" w:hAnsi="Wingdings" w:hint="default"/>
      </w:rPr>
    </w:lvl>
  </w:abstractNum>
  <w:abstractNum w:abstractNumId="6" w15:restartNumberingAfterBreak="0">
    <w:nsid w:val="47390F6A"/>
    <w:multiLevelType w:val="hybridMultilevel"/>
    <w:tmpl w:val="2390CEA6"/>
    <w:lvl w:ilvl="0" w:tplc="FE8ABE82">
      <w:start w:val="1"/>
      <w:numFmt w:val="bullet"/>
      <w:lvlText w:val=""/>
      <w:lvlJc w:val="left"/>
      <w:pPr>
        <w:ind w:left="720" w:hanging="360"/>
      </w:pPr>
      <w:rPr>
        <w:rFonts w:ascii="Symbol" w:hAnsi="Symbol" w:hint="default"/>
      </w:rPr>
    </w:lvl>
    <w:lvl w:ilvl="1" w:tplc="F6EEB2F4" w:tentative="1">
      <w:start w:val="1"/>
      <w:numFmt w:val="bullet"/>
      <w:lvlText w:val="o"/>
      <w:lvlJc w:val="left"/>
      <w:pPr>
        <w:ind w:left="1440" w:hanging="360"/>
      </w:pPr>
      <w:rPr>
        <w:rFonts w:ascii="Courier New" w:hAnsi="Courier New" w:cs="Courier New" w:hint="default"/>
      </w:rPr>
    </w:lvl>
    <w:lvl w:ilvl="2" w:tplc="CA3E2398" w:tentative="1">
      <w:start w:val="1"/>
      <w:numFmt w:val="bullet"/>
      <w:lvlText w:val=""/>
      <w:lvlJc w:val="left"/>
      <w:pPr>
        <w:ind w:left="2160" w:hanging="360"/>
      </w:pPr>
      <w:rPr>
        <w:rFonts w:ascii="Wingdings" w:hAnsi="Wingdings" w:hint="default"/>
      </w:rPr>
    </w:lvl>
    <w:lvl w:ilvl="3" w:tplc="BFBE8D28" w:tentative="1">
      <w:start w:val="1"/>
      <w:numFmt w:val="bullet"/>
      <w:lvlText w:val=""/>
      <w:lvlJc w:val="left"/>
      <w:pPr>
        <w:ind w:left="2880" w:hanging="360"/>
      </w:pPr>
      <w:rPr>
        <w:rFonts w:ascii="Symbol" w:hAnsi="Symbol" w:hint="default"/>
      </w:rPr>
    </w:lvl>
    <w:lvl w:ilvl="4" w:tplc="C8EC857A" w:tentative="1">
      <w:start w:val="1"/>
      <w:numFmt w:val="bullet"/>
      <w:lvlText w:val="o"/>
      <w:lvlJc w:val="left"/>
      <w:pPr>
        <w:ind w:left="3600" w:hanging="360"/>
      </w:pPr>
      <w:rPr>
        <w:rFonts w:ascii="Courier New" w:hAnsi="Courier New" w:cs="Courier New" w:hint="default"/>
      </w:rPr>
    </w:lvl>
    <w:lvl w:ilvl="5" w:tplc="2B8E3DF0" w:tentative="1">
      <w:start w:val="1"/>
      <w:numFmt w:val="bullet"/>
      <w:lvlText w:val=""/>
      <w:lvlJc w:val="left"/>
      <w:pPr>
        <w:ind w:left="4320" w:hanging="360"/>
      </w:pPr>
      <w:rPr>
        <w:rFonts w:ascii="Wingdings" w:hAnsi="Wingdings" w:hint="default"/>
      </w:rPr>
    </w:lvl>
    <w:lvl w:ilvl="6" w:tplc="78F83B10" w:tentative="1">
      <w:start w:val="1"/>
      <w:numFmt w:val="bullet"/>
      <w:lvlText w:val=""/>
      <w:lvlJc w:val="left"/>
      <w:pPr>
        <w:ind w:left="5040" w:hanging="360"/>
      </w:pPr>
      <w:rPr>
        <w:rFonts w:ascii="Symbol" w:hAnsi="Symbol" w:hint="default"/>
      </w:rPr>
    </w:lvl>
    <w:lvl w:ilvl="7" w:tplc="2AC8A888" w:tentative="1">
      <w:start w:val="1"/>
      <w:numFmt w:val="bullet"/>
      <w:lvlText w:val="o"/>
      <w:lvlJc w:val="left"/>
      <w:pPr>
        <w:ind w:left="5760" w:hanging="360"/>
      </w:pPr>
      <w:rPr>
        <w:rFonts w:ascii="Courier New" w:hAnsi="Courier New" w:cs="Courier New" w:hint="default"/>
      </w:rPr>
    </w:lvl>
    <w:lvl w:ilvl="8" w:tplc="DAD26866" w:tentative="1">
      <w:start w:val="1"/>
      <w:numFmt w:val="bullet"/>
      <w:lvlText w:val=""/>
      <w:lvlJc w:val="left"/>
      <w:pPr>
        <w:ind w:left="6480" w:hanging="360"/>
      </w:pPr>
      <w:rPr>
        <w:rFonts w:ascii="Wingdings" w:hAnsi="Wingdings" w:hint="default"/>
      </w:rPr>
    </w:lvl>
  </w:abstractNum>
  <w:abstractNum w:abstractNumId="7" w15:restartNumberingAfterBreak="0">
    <w:nsid w:val="48A76D14"/>
    <w:multiLevelType w:val="hybridMultilevel"/>
    <w:tmpl w:val="BA7CBE56"/>
    <w:lvl w:ilvl="0" w:tplc="0ED8D686">
      <w:start w:val="1"/>
      <w:numFmt w:val="bullet"/>
      <w:lvlText w:val=""/>
      <w:lvlJc w:val="left"/>
      <w:pPr>
        <w:ind w:left="720" w:hanging="360"/>
      </w:pPr>
      <w:rPr>
        <w:rFonts w:ascii="Symbol" w:hAnsi="Symbol" w:hint="default"/>
      </w:rPr>
    </w:lvl>
    <w:lvl w:ilvl="1" w:tplc="8370D18A" w:tentative="1">
      <w:start w:val="1"/>
      <w:numFmt w:val="bullet"/>
      <w:lvlText w:val="o"/>
      <w:lvlJc w:val="left"/>
      <w:pPr>
        <w:ind w:left="1440" w:hanging="360"/>
      </w:pPr>
      <w:rPr>
        <w:rFonts w:ascii="Courier New" w:hAnsi="Courier New" w:cs="Courier New" w:hint="default"/>
      </w:rPr>
    </w:lvl>
    <w:lvl w:ilvl="2" w:tplc="4F3E4FB4" w:tentative="1">
      <w:start w:val="1"/>
      <w:numFmt w:val="bullet"/>
      <w:lvlText w:val=""/>
      <w:lvlJc w:val="left"/>
      <w:pPr>
        <w:ind w:left="2160" w:hanging="360"/>
      </w:pPr>
      <w:rPr>
        <w:rFonts w:ascii="Wingdings" w:hAnsi="Wingdings" w:hint="default"/>
      </w:rPr>
    </w:lvl>
    <w:lvl w:ilvl="3" w:tplc="3156021E" w:tentative="1">
      <w:start w:val="1"/>
      <w:numFmt w:val="bullet"/>
      <w:lvlText w:val=""/>
      <w:lvlJc w:val="left"/>
      <w:pPr>
        <w:ind w:left="2880" w:hanging="360"/>
      </w:pPr>
      <w:rPr>
        <w:rFonts w:ascii="Symbol" w:hAnsi="Symbol" w:hint="default"/>
      </w:rPr>
    </w:lvl>
    <w:lvl w:ilvl="4" w:tplc="9E6E6EF0" w:tentative="1">
      <w:start w:val="1"/>
      <w:numFmt w:val="bullet"/>
      <w:lvlText w:val="o"/>
      <w:lvlJc w:val="left"/>
      <w:pPr>
        <w:ind w:left="3600" w:hanging="360"/>
      </w:pPr>
      <w:rPr>
        <w:rFonts w:ascii="Courier New" w:hAnsi="Courier New" w:cs="Courier New" w:hint="default"/>
      </w:rPr>
    </w:lvl>
    <w:lvl w:ilvl="5" w:tplc="8468F220" w:tentative="1">
      <w:start w:val="1"/>
      <w:numFmt w:val="bullet"/>
      <w:lvlText w:val=""/>
      <w:lvlJc w:val="left"/>
      <w:pPr>
        <w:ind w:left="4320" w:hanging="360"/>
      </w:pPr>
      <w:rPr>
        <w:rFonts w:ascii="Wingdings" w:hAnsi="Wingdings" w:hint="default"/>
      </w:rPr>
    </w:lvl>
    <w:lvl w:ilvl="6" w:tplc="55F62BDE" w:tentative="1">
      <w:start w:val="1"/>
      <w:numFmt w:val="bullet"/>
      <w:lvlText w:val=""/>
      <w:lvlJc w:val="left"/>
      <w:pPr>
        <w:ind w:left="5040" w:hanging="360"/>
      </w:pPr>
      <w:rPr>
        <w:rFonts w:ascii="Symbol" w:hAnsi="Symbol" w:hint="default"/>
      </w:rPr>
    </w:lvl>
    <w:lvl w:ilvl="7" w:tplc="55C86E16" w:tentative="1">
      <w:start w:val="1"/>
      <w:numFmt w:val="bullet"/>
      <w:lvlText w:val="o"/>
      <w:lvlJc w:val="left"/>
      <w:pPr>
        <w:ind w:left="5760" w:hanging="360"/>
      </w:pPr>
      <w:rPr>
        <w:rFonts w:ascii="Courier New" w:hAnsi="Courier New" w:cs="Courier New" w:hint="default"/>
      </w:rPr>
    </w:lvl>
    <w:lvl w:ilvl="8" w:tplc="A3A8D102" w:tentative="1">
      <w:start w:val="1"/>
      <w:numFmt w:val="bullet"/>
      <w:lvlText w:val=""/>
      <w:lvlJc w:val="left"/>
      <w:pPr>
        <w:ind w:left="6480" w:hanging="360"/>
      </w:pPr>
      <w:rPr>
        <w:rFonts w:ascii="Wingdings" w:hAnsi="Wingdings" w:hint="default"/>
      </w:rPr>
    </w:lvl>
  </w:abstractNum>
  <w:abstractNum w:abstractNumId="8" w15:restartNumberingAfterBreak="0">
    <w:nsid w:val="55DF150B"/>
    <w:multiLevelType w:val="hybridMultilevel"/>
    <w:tmpl w:val="02D615D4"/>
    <w:lvl w:ilvl="0" w:tplc="B2EECDB8">
      <w:start w:val="1"/>
      <w:numFmt w:val="bullet"/>
      <w:lvlText w:val=""/>
      <w:lvlJc w:val="left"/>
      <w:pPr>
        <w:ind w:left="720" w:hanging="360"/>
      </w:pPr>
      <w:rPr>
        <w:rFonts w:ascii="Symbol" w:hAnsi="Symbol" w:hint="default"/>
      </w:rPr>
    </w:lvl>
    <w:lvl w:ilvl="1" w:tplc="9C480FFC" w:tentative="1">
      <w:start w:val="1"/>
      <w:numFmt w:val="bullet"/>
      <w:lvlText w:val="o"/>
      <w:lvlJc w:val="left"/>
      <w:pPr>
        <w:ind w:left="1440" w:hanging="360"/>
      </w:pPr>
      <w:rPr>
        <w:rFonts w:ascii="Courier New" w:hAnsi="Courier New" w:cs="Courier New" w:hint="default"/>
      </w:rPr>
    </w:lvl>
    <w:lvl w:ilvl="2" w:tplc="7AE2B99E" w:tentative="1">
      <w:start w:val="1"/>
      <w:numFmt w:val="bullet"/>
      <w:lvlText w:val=""/>
      <w:lvlJc w:val="left"/>
      <w:pPr>
        <w:ind w:left="2160" w:hanging="360"/>
      </w:pPr>
      <w:rPr>
        <w:rFonts w:ascii="Wingdings" w:hAnsi="Wingdings" w:hint="default"/>
      </w:rPr>
    </w:lvl>
    <w:lvl w:ilvl="3" w:tplc="76505828" w:tentative="1">
      <w:start w:val="1"/>
      <w:numFmt w:val="bullet"/>
      <w:lvlText w:val=""/>
      <w:lvlJc w:val="left"/>
      <w:pPr>
        <w:ind w:left="2880" w:hanging="360"/>
      </w:pPr>
      <w:rPr>
        <w:rFonts w:ascii="Symbol" w:hAnsi="Symbol" w:hint="default"/>
      </w:rPr>
    </w:lvl>
    <w:lvl w:ilvl="4" w:tplc="8D9ACAEC" w:tentative="1">
      <w:start w:val="1"/>
      <w:numFmt w:val="bullet"/>
      <w:lvlText w:val="o"/>
      <w:lvlJc w:val="left"/>
      <w:pPr>
        <w:ind w:left="3600" w:hanging="360"/>
      </w:pPr>
      <w:rPr>
        <w:rFonts w:ascii="Courier New" w:hAnsi="Courier New" w:cs="Courier New" w:hint="default"/>
      </w:rPr>
    </w:lvl>
    <w:lvl w:ilvl="5" w:tplc="77A44A8E" w:tentative="1">
      <w:start w:val="1"/>
      <w:numFmt w:val="bullet"/>
      <w:lvlText w:val=""/>
      <w:lvlJc w:val="left"/>
      <w:pPr>
        <w:ind w:left="4320" w:hanging="360"/>
      </w:pPr>
      <w:rPr>
        <w:rFonts w:ascii="Wingdings" w:hAnsi="Wingdings" w:hint="default"/>
      </w:rPr>
    </w:lvl>
    <w:lvl w:ilvl="6" w:tplc="B64643AC" w:tentative="1">
      <w:start w:val="1"/>
      <w:numFmt w:val="bullet"/>
      <w:lvlText w:val=""/>
      <w:lvlJc w:val="left"/>
      <w:pPr>
        <w:ind w:left="5040" w:hanging="360"/>
      </w:pPr>
      <w:rPr>
        <w:rFonts w:ascii="Symbol" w:hAnsi="Symbol" w:hint="default"/>
      </w:rPr>
    </w:lvl>
    <w:lvl w:ilvl="7" w:tplc="A722381E" w:tentative="1">
      <w:start w:val="1"/>
      <w:numFmt w:val="bullet"/>
      <w:lvlText w:val="o"/>
      <w:lvlJc w:val="left"/>
      <w:pPr>
        <w:ind w:left="5760" w:hanging="360"/>
      </w:pPr>
      <w:rPr>
        <w:rFonts w:ascii="Courier New" w:hAnsi="Courier New" w:cs="Courier New" w:hint="default"/>
      </w:rPr>
    </w:lvl>
    <w:lvl w:ilvl="8" w:tplc="2C6693F0" w:tentative="1">
      <w:start w:val="1"/>
      <w:numFmt w:val="bullet"/>
      <w:lvlText w:val=""/>
      <w:lvlJc w:val="left"/>
      <w:pPr>
        <w:ind w:left="6480" w:hanging="360"/>
      </w:pPr>
      <w:rPr>
        <w:rFonts w:ascii="Wingdings" w:hAnsi="Wingdings" w:hint="default"/>
      </w:rPr>
    </w:lvl>
  </w:abstractNum>
  <w:abstractNum w:abstractNumId="9" w15:restartNumberingAfterBreak="0">
    <w:nsid w:val="64B95728"/>
    <w:multiLevelType w:val="hybridMultilevel"/>
    <w:tmpl w:val="A448F2DA"/>
    <w:lvl w:ilvl="0" w:tplc="5A304680">
      <w:start w:val="1"/>
      <w:numFmt w:val="bullet"/>
      <w:lvlText w:val=""/>
      <w:lvlJc w:val="left"/>
      <w:pPr>
        <w:ind w:left="720" w:hanging="360"/>
      </w:pPr>
      <w:rPr>
        <w:rFonts w:ascii="Symbol" w:hAnsi="Symbol" w:hint="default"/>
      </w:rPr>
    </w:lvl>
    <w:lvl w:ilvl="1" w:tplc="028AA28E" w:tentative="1">
      <w:start w:val="1"/>
      <w:numFmt w:val="bullet"/>
      <w:lvlText w:val="o"/>
      <w:lvlJc w:val="left"/>
      <w:pPr>
        <w:ind w:left="1440" w:hanging="360"/>
      </w:pPr>
      <w:rPr>
        <w:rFonts w:ascii="Courier New" w:hAnsi="Courier New" w:cs="Courier New" w:hint="default"/>
      </w:rPr>
    </w:lvl>
    <w:lvl w:ilvl="2" w:tplc="CF3CA60A" w:tentative="1">
      <w:start w:val="1"/>
      <w:numFmt w:val="bullet"/>
      <w:lvlText w:val=""/>
      <w:lvlJc w:val="left"/>
      <w:pPr>
        <w:ind w:left="2160" w:hanging="360"/>
      </w:pPr>
      <w:rPr>
        <w:rFonts w:ascii="Wingdings" w:hAnsi="Wingdings" w:hint="default"/>
      </w:rPr>
    </w:lvl>
    <w:lvl w:ilvl="3" w:tplc="7B2A9E36" w:tentative="1">
      <w:start w:val="1"/>
      <w:numFmt w:val="bullet"/>
      <w:lvlText w:val=""/>
      <w:lvlJc w:val="left"/>
      <w:pPr>
        <w:ind w:left="2880" w:hanging="360"/>
      </w:pPr>
      <w:rPr>
        <w:rFonts w:ascii="Symbol" w:hAnsi="Symbol" w:hint="default"/>
      </w:rPr>
    </w:lvl>
    <w:lvl w:ilvl="4" w:tplc="24F8A1D8" w:tentative="1">
      <w:start w:val="1"/>
      <w:numFmt w:val="bullet"/>
      <w:lvlText w:val="o"/>
      <w:lvlJc w:val="left"/>
      <w:pPr>
        <w:ind w:left="3600" w:hanging="360"/>
      </w:pPr>
      <w:rPr>
        <w:rFonts w:ascii="Courier New" w:hAnsi="Courier New" w:cs="Courier New" w:hint="default"/>
      </w:rPr>
    </w:lvl>
    <w:lvl w:ilvl="5" w:tplc="5922CAC0" w:tentative="1">
      <w:start w:val="1"/>
      <w:numFmt w:val="bullet"/>
      <w:lvlText w:val=""/>
      <w:lvlJc w:val="left"/>
      <w:pPr>
        <w:ind w:left="4320" w:hanging="360"/>
      </w:pPr>
      <w:rPr>
        <w:rFonts w:ascii="Wingdings" w:hAnsi="Wingdings" w:hint="default"/>
      </w:rPr>
    </w:lvl>
    <w:lvl w:ilvl="6" w:tplc="E314017A" w:tentative="1">
      <w:start w:val="1"/>
      <w:numFmt w:val="bullet"/>
      <w:lvlText w:val=""/>
      <w:lvlJc w:val="left"/>
      <w:pPr>
        <w:ind w:left="5040" w:hanging="360"/>
      </w:pPr>
      <w:rPr>
        <w:rFonts w:ascii="Symbol" w:hAnsi="Symbol" w:hint="default"/>
      </w:rPr>
    </w:lvl>
    <w:lvl w:ilvl="7" w:tplc="E8DA8E68" w:tentative="1">
      <w:start w:val="1"/>
      <w:numFmt w:val="bullet"/>
      <w:lvlText w:val="o"/>
      <w:lvlJc w:val="left"/>
      <w:pPr>
        <w:ind w:left="5760" w:hanging="360"/>
      </w:pPr>
      <w:rPr>
        <w:rFonts w:ascii="Courier New" w:hAnsi="Courier New" w:cs="Courier New" w:hint="default"/>
      </w:rPr>
    </w:lvl>
    <w:lvl w:ilvl="8" w:tplc="A3440F66" w:tentative="1">
      <w:start w:val="1"/>
      <w:numFmt w:val="bullet"/>
      <w:lvlText w:val=""/>
      <w:lvlJc w:val="left"/>
      <w:pPr>
        <w:ind w:left="6480" w:hanging="360"/>
      </w:pPr>
      <w:rPr>
        <w:rFonts w:ascii="Wingdings" w:hAnsi="Wingdings" w:hint="default"/>
      </w:rPr>
    </w:lvl>
  </w:abstractNum>
  <w:abstractNum w:abstractNumId="10" w15:restartNumberingAfterBreak="0">
    <w:nsid w:val="6940196C"/>
    <w:multiLevelType w:val="hybridMultilevel"/>
    <w:tmpl w:val="14E274DA"/>
    <w:lvl w:ilvl="0" w:tplc="7CAA11CA">
      <w:start w:val="1"/>
      <w:numFmt w:val="bullet"/>
      <w:lvlText w:val=""/>
      <w:lvlJc w:val="left"/>
      <w:pPr>
        <w:ind w:left="720" w:hanging="360"/>
      </w:pPr>
      <w:rPr>
        <w:rFonts w:ascii="Symbol" w:hAnsi="Symbol" w:hint="default"/>
      </w:rPr>
    </w:lvl>
    <w:lvl w:ilvl="1" w:tplc="B9E4E28C" w:tentative="1">
      <w:start w:val="1"/>
      <w:numFmt w:val="bullet"/>
      <w:lvlText w:val="o"/>
      <w:lvlJc w:val="left"/>
      <w:pPr>
        <w:ind w:left="1440" w:hanging="360"/>
      </w:pPr>
      <w:rPr>
        <w:rFonts w:ascii="Courier New" w:hAnsi="Courier New" w:cs="Courier New" w:hint="default"/>
      </w:rPr>
    </w:lvl>
    <w:lvl w:ilvl="2" w:tplc="976C7E38" w:tentative="1">
      <w:start w:val="1"/>
      <w:numFmt w:val="bullet"/>
      <w:lvlText w:val=""/>
      <w:lvlJc w:val="left"/>
      <w:pPr>
        <w:ind w:left="2160" w:hanging="360"/>
      </w:pPr>
      <w:rPr>
        <w:rFonts w:ascii="Wingdings" w:hAnsi="Wingdings" w:hint="default"/>
      </w:rPr>
    </w:lvl>
    <w:lvl w:ilvl="3" w:tplc="C29A2774" w:tentative="1">
      <w:start w:val="1"/>
      <w:numFmt w:val="bullet"/>
      <w:lvlText w:val=""/>
      <w:lvlJc w:val="left"/>
      <w:pPr>
        <w:ind w:left="2880" w:hanging="360"/>
      </w:pPr>
      <w:rPr>
        <w:rFonts w:ascii="Symbol" w:hAnsi="Symbol" w:hint="default"/>
      </w:rPr>
    </w:lvl>
    <w:lvl w:ilvl="4" w:tplc="175C79AE" w:tentative="1">
      <w:start w:val="1"/>
      <w:numFmt w:val="bullet"/>
      <w:lvlText w:val="o"/>
      <w:lvlJc w:val="left"/>
      <w:pPr>
        <w:ind w:left="3600" w:hanging="360"/>
      </w:pPr>
      <w:rPr>
        <w:rFonts w:ascii="Courier New" w:hAnsi="Courier New" w:cs="Courier New" w:hint="default"/>
      </w:rPr>
    </w:lvl>
    <w:lvl w:ilvl="5" w:tplc="8AAC4E96" w:tentative="1">
      <w:start w:val="1"/>
      <w:numFmt w:val="bullet"/>
      <w:lvlText w:val=""/>
      <w:lvlJc w:val="left"/>
      <w:pPr>
        <w:ind w:left="4320" w:hanging="360"/>
      </w:pPr>
      <w:rPr>
        <w:rFonts w:ascii="Wingdings" w:hAnsi="Wingdings" w:hint="default"/>
      </w:rPr>
    </w:lvl>
    <w:lvl w:ilvl="6" w:tplc="68C6DB0C" w:tentative="1">
      <w:start w:val="1"/>
      <w:numFmt w:val="bullet"/>
      <w:lvlText w:val=""/>
      <w:lvlJc w:val="left"/>
      <w:pPr>
        <w:ind w:left="5040" w:hanging="360"/>
      </w:pPr>
      <w:rPr>
        <w:rFonts w:ascii="Symbol" w:hAnsi="Symbol" w:hint="default"/>
      </w:rPr>
    </w:lvl>
    <w:lvl w:ilvl="7" w:tplc="F558B194" w:tentative="1">
      <w:start w:val="1"/>
      <w:numFmt w:val="bullet"/>
      <w:lvlText w:val="o"/>
      <w:lvlJc w:val="left"/>
      <w:pPr>
        <w:ind w:left="5760" w:hanging="360"/>
      </w:pPr>
      <w:rPr>
        <w:rFonts w:ascii="Courier New" w:hAnsi="Courier New" w:cs="Courier New" w:hint="default"/>
      </w:rPr>
    </w:lvl>
    <w:lvl w:ilvl="8" w:tplc="0DDC1D06" w:tentative="1">
      <w:start w:val="1"/>
      <w:numFmt w:val="bullet"/>
      <w:lvlText w:val=""/>
      <w:lvlJc w:val="left"/>
      <w:pPr>
        <w:ind w:left="6480" w:hanging="360"/>
      </w:pPr>
      <w:rPr>
        <w:rFonts w:ascii="Wingdings" w:hAnsi="Wingdings" w:hint="default"/>
      </w:rPr>
    </w:lvl>
  </w:abstractNum>
  <w:abstractNum w:abstractNumId="11" w15:restartNumberingAfterBreak="0">
    <w:nsid w:val="6A2A102E"/>
    <w:multiLevelType w:val="hybridMultilevel"/>
    <w:tmpl w:val="EF982C90"/>
    <w:lvl w:ilvl="0" w:tplc="848EB6FA">
      <w:start w:val="1"/>
      <w:numFmt w:val="bullet"/>
      <w:lvlText w:val=""/>
      <w:lvlJc w:val="left"/>
      <w:pPr>
        <w:ind w:left="1440" w:hanging="360"/>
      </w:pPr>
      <w:rPr>
        <w:rFonts w:ascii="Symbol" w:hAnsi="Symbol" w:hint="default"/>
      </w:rPr>
    </w:lvl>
    <w:lvl w:ilvl="1" w:tplc="47724354" w:tentative="1">
      <w:start w:val="1"/>
      <w:numFmt w:val="bullet"/>
      <w:lvlText w:val="o"/>
      <w:lvlJc w:val="left"/>
      <w:pPr>
        <w:ind w:left="2160" w:hanging="360"/>
      </w:pPr>
      <w:rPr>
        <w:rFonts w:ascii="Courier New" w:hAnsi="Courier New" w:cs="Courier New" w:hint="default"/>
      </w:rPr>
    </w:lvl>
    <w:lvl w:ilvl="2" w:tplc="5A8038AC" w:tentative="1">
      <w:start w:val="1"/>
      <w:numFmt w:val="bullet"/>
      <w:lvlText w:val=""/>
      <w:lvlJc w:val="left"/>
      <w:pPr>
        <w:ind w:left="2880" w:hanging="360"/>
      </w:pPr>
      <w:rPr>
        <w:rFonts w:ascii="Wingdings" w:hAnsi="Wingdings" w:hint="default"/>
      </w:rPr>
    </w:lvl>
    <w:lvl w:ilvl="3" w:tplc="662C3E06" w:tentative="1">
      <w:start w:val="1"/>
      <w:numFmt w:val="bullet"/>
      <w:lvlText w:val=""/>
      <w:lvlJc w:val="left"/>
      <w:pPr>
        <w:ind w:left="3600" w:hanging="360"/>
      </w:pPr>
      <w:rPr>
        <w:rFonts w:ascii="Symbol" w:hAnsi="Symbol" w:hint="default"/>
      </w:rPr>
    </w:lvl>
    <w:lvl w:ilvl="4" w:tplc="C45A64EC" w:tentative="1">
      <w:start w:val="1"/>
      <w:numFmt w:val="bullet"/>
      <w:lvlText w:val="o"/>
      <w:lvlJc w:val="left"/>
      <w:pPr>
        <w:ind w:left="4320" w:hanging="360"/>
      </w:pPr>
      <w:rPr>
        <w:rFonts w:ascii="Courier New" w:hAnsi="Courier New" w:cs="Courier New" w:hint="default"/>
      </w:rPr>
    </w:lvl>
    <w:lvl w:ilvl="5" w:tplc="1E4EF62C" w:tentative="1">
      <w:start w:val="1"/>
      <w:numFmt w:val="bullet"/>
      <w:lvlText w:val=""/>
      <w:lvlJc w:val="left"/>
      <w:pPr>
        <w:ind w:left="5040" w:hanging="360"/>
      </w:pPr>
      <w:rPr>
        <w:rFonts w:ascii="Wingdings" w:hAnsi="Wingdings" w:hint="default"/>
      </w:rPr>
    </w:lvl>
    <w:lvl w:ilvl="6" w:tplc="B4FCDB8C" w:tentative="1">
      <w:start w:val="1"/>
      <w:numFmt w:val="bullet"/>
      <w:lvlText w:val=""/>
      <w:lvlJc w:val="left"/>
      <w:pPr>
        <w:ind w:left="5760" w:hanging="360"/>
      </w:pPr>
      <w:rPr>
        <w:rFonts w:ascii="Symbol" w:hAnsi="Symbol" w:hint="default"/>
      </w:rPr>
    </w:lvl>
    <w:lvl w:ilvl="7" w:tplc="3FB2DEAE" w:tentative="1">
      <w:start w:val="1"/>
      <w:numFmt w:val="bullet"/>
      <w:lvlText w:val="o"/>
      <w:lvlJc w:val="left"/>
      <w:pPr>
        <w:ind w:left="6480" w:hanging="360"/>
      </w:pPr>
      <w:rPr>
        <w:rFonts w:ascii="Courier New" w:hAnsi="Courier New" w:cs="Courier New" w:hint="default"/>
      </w:rPr>
    </w:lvl>
    <w:lvl w:ilvl="8" w:tplc="6E3C7B1A" w:tentative="1">
      <w:start w:val="1"/>
      <w:numFmt w:val="bullet"/>
      <w:lvlText w:val=""/>
      <w:lvlJc w:val="left"/>
      <w:pPr>
        <w:ind w:left="7200" w:hanging="360"/>
      </w:pPr>
      <w:rPr>
        <w:rFonts w:ascii="Wingdings" w:hAnsi="Wingdings" w:hint="default"/>
      </w:rPr>
    </w:lvl>
  </w:abstractNum>
  <w:abstractNum w:abstractNumId="12" w15:restartNumberingAfterBreak="0">
    <w:nsid w:val="6D936D92"/>
    <w:multiLevelType w:val="hybridMultilevel"/>
    <w:tmpl w:val="7D56C362"/>
    <w:lvl w:ilvl="0" w:tplc="D3D2B4D0">
      <w:start w:val="1"/>
      <w:numFmt w:val="bullet"/>
      <w:lvlText w:val=""/>
      <w:lvlJc w:val="left"/>
      <w:pPr>
        <w:ind w:left="720" w:hanging="360"/>
      </w:pPr>
      <w:rPr>
        <w:rFonts w:ascii="Symbol" w:hAnsi="Symbol" w:hint="default"/>
      </w:rPr>
    </w:lvl>
    <w:lvl w:ilvl="1" w:tplc="215402B2" w:tentative="1">
      <w:start w:val="1"/>
      <w:numFmt w:val="bullet"/>
      <w:lvlText w:val="o"/>
      <w:lvlJc w:val="left"/>
      <w:pPr>
        <w:ind w:left="1440" w:hanging="360"/>
      </w:pPr>
      <w:rPr>
        <w:rFonts w:ascii="Courier New" w:hAnsi="Courier New" w:cs="Courier New" w:hint="default"/>
      </w:rPr>
    </w:lvl>
    <w:lvl w:ilvl="2" w:tplc="B7ACCEB6" w:tentative="1">
      <w:start w:val="1"/>
      <w:numFmt w:val="bullet"/>
      <w:lvlText w:val=""/>
      <w:lvlJc w:val="left"/>
      <w:pPr>
        <w:ind w:left="2160" w:hanging="360"/>
      </w:pPr>
      <w:rPr>
        <w:rFonts w:ascii="Wingdings" w:hAnsi="Wingdings" w:hint="default"/>
      </w:rPr>
    </w:lvl>
    <w:lvl w:ilvl="3" w:tplc="AE464C44" w:tentative="1">
      <w:start w:val="1"/>
      <w:numFmt w:val="bullet"/>
      <w:lvlText w:val=""/>
      <w:lvlJc w:val="left"/>
      <w:pPr>
        <w:ind w:left="2880" w:hanging="360"/>
      </w:pPr>
      <w:rPr>
        <w:rFonts w:ascii="Symbol" w:hAnsi="Symbol" w:hint="default"/>
      </w:rPr>
    </w:lvl>
    <w:lvl w:ilvl="4" w:tplc="2850F5DE" w:tentative="1">
      <w:start w:val="1"/>
      <w:numFmt w:val="bullet"/>
      <w:lvlText w:val="o"/>
      <w:lvlJc w:val="left"/>
      <w:pPr>
        <w:ind w:left="3600" w:hanging="360"/>
      </w:pPr>
      <w:rPr>
        <w:rFonts w:ascii="Courier New" w:hAnsi="Courier New" w:cs="Courier New" w:hint="default"/>
      </w:rPr>
    </w:lvl>
    <w:lvl w:ilvl="5" w:tplc="CB6EE93C" w:tentative="1">
      <w:start w:val="1"/>
      <w:numFmt w:val="bullet"/>
      <w:lvlText w:val=""/>
      <w:lvlJc w:val="left"/>
      <w:pPr>
        <w:ind w:left="4320" w:hanging="360"/>
      </w:pPr>
      <w:rPr>
        <w:rFonts w:ascii="Wingdings" w:hAnsi="Wingdings" w:hint="default"/>
      </w:rPr>
    </w:lvl>
    <w:lvl w:ilvl="6" w:tplc="4AB674AA" w:tentative="1">
      <w:start w:val="1"/>
      <w:numFmt w:val="bullet"/>
      <w:lvlText w:val=""/>
      <w:lvlJc w:val="left"/>
      <w:pPr>
        <w:ind w:left="5040" w:hanging="360"/>
      </w:pPr>
      <w:rPr>
        <w:rFonts w:ascii="Symbol" w:hAnsi="Symbol" w:hint="default"/>
      </w:rPr>
    </w:lvl>
    <w:lvl w:ilvl="7" w:tplc="1B7EF782" w:tentative="1">
      <w:start w:val="1"/>
      <w:numFmt w:val="bullet"/>
      <w:lvlText w:val="o"/>
      <w:lvlJc w:val="left"/>
      <w:pPr>
        <w:ind w:left="5760" w:hanging="360"/>
      </w:pPr>
      <w:rPr>
        <w:rFonts w:ascii="Courier New" w:hAnsi="Courier New" w:cs="Courier New" w:hint="default"/>
      </w:rPr>
    </w:lvl>
    <w:lvl w:ilvl="8" w:tplc="C958E7D4" w:tentative="1">
      <w:start w:val="1"/>
      <w:numFmt w:val="bullet"/>
      <w:lvlText w:val=""/>
      <w:lvlJc w:val="left"/>
      <w:pPr>
        <w:ind w:left="6480" w:hanging="360"/>
      </w:pPr>
      <w:rPr>
        <w:rFonts w:ascii="Wingdings" w:hAnsi="Wingdings" w:hint="default"/>
      </w:rPr>
    </w:lvl>
  </w:abstractNum>
  <w:abstractNum w:abstractNumId="13" w15:restartNumberingAfterBreak="0">
    <w:nsid w:val="70036AA6"/>
    <w:multiLevelType w:val="hybridMultilevel"/>
    <w:tmpl w:val="748478EC"/>
    <w:lvl w:ilvl="0" w:tplc="FD42869C">
      <w:start w:val="1"/>
      <w:numFmt w:val="bullet"/>
      <w:lvlText w:val=""/>
      <w:lvlJc w:val="left"/>
      <w:pPr>
        <w:ind w:left="720" w:hanging="360"/>
      </w:pPr>
      <w:rPr>
        <w:rFonts w:ascii="Symbol" w:hAnsi="Symbol" w:hint="default"/>
      </w:rPr>
    </w:lvl>
    <w:lvl w:ilvl="1" w:tplc="85A6B7B0" w:tentative="1">
      <w:start w:val="1"/>
      <w:numFmt w:val="bullet"/>
      <w:lvlText w:val="o"/>
      <w:lvlJc w:val="left"/>
      <w:pPr>
        <w:ind w:left="1440" w:hanging="360"/>
      </w:pPr>
      <w:rPr>
        <w:rFonts w:ascii="Courier New" w:hAnsi="Courier New" w:cs="Courier New" w:hint="default"/>
      </w:rPr>
    </w:lvl>
    <w:lvl w:ilvl="2" w:tplc="7BCEFE18" w:tentative="1">
      <w:start w:val="1"/>
      <w:numFmt w:val="bullet"/>
      <w:lvlText w:val=""/>
      <w:lvlJc w:val="left"/>
      <w:pPr>
        <w:ind w:left="2160" w:hanging="360"/>
      </w:pPr>
      <w:rPr>
        <w:rFonts w:ascii="Wingdings" w:hAnsi="Wingdings" w:hint="default"/>
      </w:rPr>
    </w:lvl>
    <w:lvl w:ilvl="3" w:tplc="A2F03F6C" w:tentative="1">
      <w:start w:val="1"/>
      <w:numFmt w:val="bullet"/>
      <w:lvlText w:val=""/>
      <w:lvlJc w:val="left"/>
      <w:pPr>
        <w:ind w:left="2880" w:hanging="360"/>
      </w:pPr>
      <w:rPr>
        <w:rFonts w:ascii="Symbol" w:hAnsi="Symbol" w:hint="default"/>
      </w:rPr>
    </w:lvl>
    <w:lvl w:ilvl="4" w:tplc="7032992E" w:tentative="1">
      <w:start w:val="1"/>
      <w:numFmt w:val="bullet"/>
      <w:lvlText w:val="o"/>
      <w:lvlJc w:val="left"/>
      <w:pPr>
        <w:ind w:left="3600" w:hanging="360"/>
      </w:pPr>
      <w:rPr>
        <w:rFonts w:ascii="Courier New" w:hAnsi="Courier New" w:cs="Courier New" w:hint="default"/>
      </w:rPr>
    </w:lvl>
    <w:lvl w:ilvl="5" w:tplc="1132F4E4" w:tentative="1">
      <w:start w:val="1"/>
      <w:numFmt w:val="bullet"/>
      <w:lvlText w:val=""/>
      <w:lvlJc w:val="left"/>
      <w:pPr>
        <w:ind w:left="4320" w:hanging="360"/>
      </w:pPr>
      <w:rPr>
        <w:rFonts w:ascii="Wingdings" w:hAnsi="Wingdings" w:hint="default"/>
      </w:rPr>
    </w:lvl>
    <w:lvl w:ilvl="6" w:tplc="65F49C90" w:tentative="1">
      <w:start w:val="1"/>
      <w:numFmt w:val="bullet"/>
      <w:lvlText w:val=""/>
      <w:lvlJc w:val="left"/>
      <w:pPr>
        <w:ind w:left="5040" w:hanging="360"/>
      </w:pPr>
      <w:rPr>
        <w:rFonts w:ascii="Symbol" w:hAnsi="Symbol" w:hint="default"/>
      </w:rPr>
    </w:lvl>
    <w:lvl w:ilvl="7" w:tplc="C4F0E608" w:tentative="1">
      <w:start w:val="1"/>
      <w:numFmt w:val="bullet"/>
      <w:lvlText w:val="o"/>
      <w:lvlJc w:val="left"/>
      <w:pPr>
        <w:ind w:left="5760" w:hanging="360"/>
      </w:pPr>
      <w:rPr>
        <w:rFonts w:ascii="Courier New" w:hAnsi="Courier New" w:cs="Courier New" w:hint="default"/>
      </w:rPr>
    </w:lvl>
    <w:lvl w:ilvl="8" w:tplc="7F00C5D0" w:tentative="1">
      <w:start w:val="1"/>
      <w:numFmt w:val="bullet"/>
      <w:lvlText w:val=""/>
      <w:lvlJc w:val="left"/>
      <w:pPr>
        <w:ind w:left="6480" w:hanging="360"/>
      </w:pPr>
      <w:rPr>
        <w:rFonts w:ascii="Wingdings" w:hAnsi="Wingdings" w:hint="default"/>
      </w:rPr>
    </w:lvl>
  </w:abstractNum>
  <w:abstractNum w:abstractNumId="14" w15:restartNumberingAfterBreak="0">
    <w:nsid w:val="7A6A0BE0"/>
    <w:multiLevelType w:val="hybridMultilevel"/>
    <w:tmpl w:val="7BD2CBB0"/>
    <w:lvl w:ilvl="0" w:tplc="449EF68C">
      <w:start w:val="1"/>
      <w:numFmt w:val="bullet"/>
      <w:lvlText w:val=""/>
      <w:lvlJc w:val="left"/>
      <w:pPr>
        <w:ind w:left="720" w:hanging="360"/>
      </w:pPr>
      <w:rPr>
        <w:rFonts w:ascii="Symbol" w:hAnsi="Symbol" w:hint="default"/>
      </w:rPr>
    </w:lvl>
    <w:lvl w:ilvl="1" w:tplc="10480964" w:tentative="1">
      <w:start w:val="1"/>
      <w:numFmt w:val="bullet"/>
      <w:lvlText w:val="o"/>
      <w:lvlJc w:val="left"/>
      <w:pPr>
        <w:ind w:left="1440" w:hanging="360"/>
      </w:pPr>
      <w:rPr>
        <w:rFonts w:ascii="Courier New" w:hAnsi="Courier New" w:cs="Courier New" w:hint="default"/>
      </w:rPr>
    </w:lvl>
    <w:lvl w:ilvl="2" w:tplc="7B7845D2" w:tentative="1">
      <w:start w:val="1"/>
      <w:numFmt w:val="bullet"/>
      <w:lvlText w:val=""/>
      <w:lvlJc w:val="left"/>
      <w:pPr>
        <w:ind w:left="2160" w:hanging="360"/>
      </w:pPr>
      <w:rPr>
        <w:rFonts w:ascii="Wingdings" w:hAnsi="Wingdings" w:hint="default"/>
      </w:rPr>
    </w:lvl>
    <w:lvl w:ilvl="3" w:tplc="EF366DB8" w:tentative="1">
      <w:start w:val="1"/>
      <w:numFmt w:val="bullet"/>
      <w:lvlText w:val=""/>
      <w:lvlJc w:val="left"/>
      <w:pPr>
        <w:ind w:left="2880" w:hanging="360"/>
      </w:pPr>
      <w:rPr>
        <w:rFonts w:ascii="Symbol" w:hAnsi="Symbol" w:hint="default"/>
      </w:rPr>
    </w:lvl>
    <w:lvl w:ilvl="4" w:tplc="8392F6C6" w:tentative="1">
      <w:start w:val="1"/>
      <w:numFmt w:val="bullet"/>
      <w:lvlText w:val="o"/>
      <w:lvlJc w:val="left"/>
      <w:pPr>
        <w:ind w:left="3600" w:hanging="360"/>
      </w:pPr>
      <w:rPr>
        <w:rFonts w:ascii="Courier New" w:hAnsi="Courier New" w:cs="Courier New" w:hint="default"/>
      </w:rPr>
    </w:lvl>
    <w:lvl w:ilvl="5" w:tplc="A3603D42" w:tentative="1">
      <w:start w:val="1"/>
      <w:numFmt w:val="bullet"/>
      <w:lvlText w:val=""/>
      <w:lvlJc w:val="left"/>
      <w:pPr>
        <w:ind w:left="4320" w:hanging="360"/>
      </w:pPr>
      <w:rPr>
        <w:rFonts w:ascii="Wingdings" w:hAnsi="Wingdings" w:hint="default"/>
      </w:rPr>
    </w:lvl>
    <w:lvl w:ilvl="6" w:tplc="9B2C4F9C" w:tentative="1">
      <w:start w:val="1"/>
      <w:numFmt w:val="bullet"/>
      <w:lvlText w:val=""/>
      <w:lvlJc w:val="left"/>
      <w:pPr>
        <w:ind w:left="5040" w:hanging="360"/>
      </w:pPr>
      <w:rPr>
        <w:rFonts w:ascii="Symbol" w:hAnsi="Symbol" w:hint="default"/>
      </w:rPr>
    </w:lvl>
    <w:lvl w:ilvl="7" w:tplc="98A4411E" w:tentative="1">
      <w:start w:val="1"/>
      <w:numFmt w:val="bullet"/>
      <w:lvlText w:val="o"/>
      <w:lvlJc w:val="left"/>
      <w:pPr>
        <w:ind w:left="5760" w:hanging="360"/>
      </w:pPr>
      <w:rPr>
        <w:rFonts w:ascii="Courier New" w:hAnsi="Courier New" w:cs="Courier New" w:hint="default"/>
      </w:rPr>
    </w:lvl>
    <w:lvl w:ilvl="8" w:tplc="9620B922" w:tentative="1">
      <w:start w:val="1"/>
      <w:numFmt w:val="bullet"/>
      <w:lvlText w:val=""/>
      <w:lvlJc w:val="left"/>
      <w:pPr>
        <w:ind w:left="6480" w:hanging="360"/>
      </w:pPr>
      <w:rPr>
        <w:rFonts w:ascii="Wingdings" w:hAnsi="Wingdings" w:hint="default"/>
      </w:rPr>
    </w:lvl>
  </w:abstractNum>
  <w:abstractNum w:abstractNumId="15" w15:restartNumberingAfterBreak="0">
    <w:nsid w:val="7D0325FA"/>
    <w:multiLevelType w:val="hybridMultilevel"/>
    <w:tmpl w:val="31A63540"/>
    <w:lvl w:ilvl="0" w:tplc="2EEEE94A">
      <w:start w:val="1"/>
      <w:numFmt w:val="bullet"/>
      <w:lvlText w:val=""/>
      <w:lvlJc w:val="left"/>
      <w:pPr>
        <w:ind w:left="720" w:hanging="360"/>
      </w:pPr>
      <w:rPr>
        <w:rFonts w:ascii="Symbol" w:hAnsi="Symbol" w:hint="default"/>
      </w:rPr>
    </w:lvl>
    <w:lvl w:ilvl="1" w:tplc="4D5E9166" w:tentative="1">
      <w:start w:val="1"/>
      <w:numFmt w:val="bullet"/>
      <w:lvlText w:val="o"/>
      <w:lvlJc w:val="left"/>
      <w:pPr>
        <w:ind w:left="1440" w:hanging="360"/>
      </w:pPr>
      <w:rPr>
        <w:rFonts w:ascii="Courier New" w:hAnsi="Courier New" w:cs="Courier New" w:hint="default"/>
      </w:rPr>
    </w:lvl>
    <w:lvl w:ilvl="2" w:tplc="A3B02512" w:tentative="1">
      <w:start w:val="1"/>
      <w:numFmt w:val="bullet"/>
      <w:lvlText w:val=""/>
      <w:lvlJc w:val="left"/>
      <w:pPr>
        <w:ind w:left="2160" w:hanging="360"/>
      </w:pPr>
      <w:rPr>
        <w:rFonts w:ascii="Wingdings" w:hAnsi="Wingdings" w:hint="default"/>
      </w:rPr>
    </w:lvl>
    <w:lvl w:ilvl="3" w:tplc="A896312A" w:tentative="1">
      <w:start w:val="1"/>
      <w:numFmt w:val="bullet"/>
      <w:lvlText w:val=""/>
      <w:lvlJc w:val="left"/>
      <w:pPr>
        <w:ind w:left="2880" w:hanging="360"/>
      </w:pPr>
      <w:rPr>
        <w:rFonts w:ascii="Symbol" w:hAnsi="Symbol" w:hint="default"/>
      </w:rPr>
    </w:lvl>
    <w:lvl w:ilvl="4" w:tplc="7BD65AE2" w:tentative="1">
      <w:start w:val="1"/>
      <w:numFmt w:val="bullet"/>
      <w:lvlText w:val="o"/>
      <w:lvlJc w:val="left"/>
      <w:pPr>
        <w:ind w:left="3600" w:hanging="360"/>
      </w:pPr>
      <w:rPr>
        <w:rFonts w:ascii="Courier New" w:hAnsi="Courier New" w:cs="Courier New" w:hint="default"/>
      </w:rPr>
    </w:lvl>
    <w:lvl w:ilvl="5" w:tplc="1084E6AE" w:tentative="1">
      <w:start w:val="1"/>
      <w:numFmt w:val="bullet"/>
      <w:lvlText w:val=""/>
      <w:lvlJc w:val="left"/>
      <w:pPr>
        <w:ind w:left="4320" w:hanging="360"/>
      </w:pPr>
      <w:rPr>
        <w:rFonts w:ascii="Wingdings" w:hAnsi="Wingdings" w:hint="default"/>
      </w:rPr>
    </w:lvl>
    <w:lvl w:ilvl="6" w:tplc="5ED20C30" w:tentative="1">
      <w:start w:val="1"/>
      <w:numFmt w:val="bullet"/>
      <w:lvlText w:val=""/>
      <w:lvlJc w:val="left"/>
      <w:pPr>
        <w:ind w:left="5040" w:hanging="360"/>
      </w:pPr>
      <w:rPr>
        <w:rFonts w:ascii="Symbol" w:hAnsi="Symbol" w:hint="default"/>
      </w:rPr>
    </w:lvl>
    <w:lvl w:ilvl="7" w:tplc="CAC8FB7C" w:tentative="1">
      <w:start w:val="1"/>
      <w:numFmt w:val="bullet"/>
      <w:lvlText w:val="o"/>
      <w:lvlJc w:val="left"/>
      <w:pPr>
        <w:ind w:left="5760" w:hanging="360"/>
      </w:pPr>
      <w:rPr>
        <w:rFonts w:ascii="Courier New" w:hAnsi="Courier New" w:cs="Courier New" w:hint="default"/>
      </w:rPr>
    </w:lvl>
    <w:lvl w:ilvl="8" w:tplc="873EF47A" w:tentative="1">
      <w:start w:val="1"/>
      <w:numFmt w:val="bullet"/>
      <w:lvlText w:val=""/>
      <w:lvlJc w:val="left"/>
      <w:pPr>
        <w:ind w:left="6480" w:hanging="360"/>
      </w:pPr>
      <w:rPr>
        <w:rFonts w:ascii="Wingdings" w:hAnsi="Wingdings" w:hint="default"/>
      </w:rPr>
    </w:lvl>
  </w:abstractNum>
  <w:num w:numId="1" w16cid:durableId="1203327946">
    <w:abstractNumId w:val="8"/>
  </w:num>
  <w:num w:numId="2" w16cid:durableId="701978683">
    <w:abstractNumId w:val="13"/>
  </w:num>
  <w:num w:numId="3" w16cid:durableId="1505511677">
    <w:abstractNumId w:val="4"/>
  </w:num>
  <w:num w:numId="4" w16cid:durableId="1899439302">
    <w:abstractNumId w:val="6"/>
  </w:num>
  <w:num w:numId="5" w16cid:durableId="2053846368">
    <w:abstractNumId w:val="5"/>
  </w:num>
  <w:num w:numId="6" w16cid:durableId="1448238734">
    <w:abstractNumId w:val="7"/>
  </w:num>
  <w:num w:numId="7" w16cid:durableId="623460326">
    <w:abstractNumId w:val="0"/>
  </w:num>
  <w:num w:numId="8" w16cid:durableId="488450673">
    <w:abstractNumId w:val="1"/>
  </w:num>
  <w:num w:numId="9" w16cid:durableId="697042890">
    <w:abstractNumId w:val="15"/>
  </w:num>
  <w:num w:numId="10" w16cid:durableId="325861189">
    <w:abstractNumId w:val="10"/>
  </w:num>
  <w:num w:numId="11" w16cid:durableId="713430394">
    <w:abstractNumId w:val="14"/>
  </w:num>
  <w:num w:numId="12" w16cid:durableId="1841656487">
    <w:abstractNumId w:val="2"/>
  </w:num>
  <w:num w:numId="13" w16cid:durableId="475341120">
    <w:abstractNumId w:val="9"/>
  </w:num>
  <w:num w:numId="14" w16cid:durableId="1108311084">
    <w:abstractNumId w:val="3"/>
  </w:num>
  <w:num w:numId="15" w16cid:durableId="1381899058">
    <w:abstractNumId w:val="12"/>
  </w:num>
  <w:num w:numId="16" w16cid:durableId="4741060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1F4"/>
    <w:rsid w:val="00022B90"/>
    <w:rsid w:val="00072C9C"/>
    <w:rsid w:val="000C3630"/>
    <w:rsid w:val="000D2D01"/>
    <w:rsid w:val="000E1202"/>
    <w:rsid w:val="001D1CAD"/>
    <w:rsid w:val="001E647E"/>
    <w:rsid w:val="001F0029"/>
    <w:rsid w:val="0022636E"/>
    <w:rsid w:val="00243981"/>
    <w:rsid w:val="002E5139"/>
    <w:rsid w:val="0031184B"/>
    <w:rsid w:val="003314E8"/>
    <w:rsid w:val="003E1648"/>
    <w:rsid w:val="00450E2B"/>
    <w:rsid w:val="004C7BF4"/>
    <w:rsid w:val="00672657"/>
    <w:rsid w:val="006738BD"/>
    <w:rsid w:val="00684265"/>
    <w:rsid w:val="006A3455"/>
    <w:rsid w:val="0070134E"/>
    <w:rsid w:val="00724872"/>
    <w:rsid w:val="00772DF1"/>
    <w:rsid w:val="007856A7"/>
    <w:rsid w:val="007A4347"/>
    <w:rsid w:val="007C543C"/>
    <w:rsid w:val="0082141F"/>
    <w:rsid w:val="00826829"/>
    <w:rsid w:val="00844832"/>
    <w:rsid w:val="008604B9"/>
    <w:rsid w:val="00872155"/>
    <w:rsid w:val="00874448"/>
    <w:rsid w:val="00917B4B"/>
    <w:rsid w:val="00952240"/>
    <w:rsid w:val="009817E6"/>
    <w:rsid w:val="009A0311"/>
    <w:rsid w:val="00A20A63"/>
    <w:rsid w:val="00AD6DC8"/>
    <w:rsid w:val="00B15203"/>
    <w:rsid w:val="00B23620"/>
    <w:rsid w:val="00B261F4"/>
    <w:rsid w:val="00BE5152"/>
    <w:rsid w:val="00BF782B"/>
    <w:rsid w:val="00C61EB8"/>
    <w:rsid w:val="00C84F38"/>
    <w:rsid w:val="00CA24F1"/>
    <w:rsid w:val="00CB5E41"/>
    <w:rsid w:val="00D5125C"/>
    <w:rsid w:val="00D820E6"/>
    <w:rsid w:val="00D84370"/>
    <w:rsid w:val="00DC7300"/>
    <w:rsid w:val="00DE3D90"/>
    <w:rsid w:val="00E21175"/>
    <w:rsid w:val="00E40FEB"/>
    <w:rsid w:val="00E65063"/>
    <w:rsid w:val="00EB3315"/>
    <w:rsid w:val="00F72E92"/>
    <w:rsid w:val="00FC51FA"/>
    <w:rsid w:val="00FE6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8D38A"/>
  <w15:chartTrackingRefBased/>
  <w15:docId w15:val="{919EFC79-0788-4253-8A9D-DBE2BB0F0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3981"/>
    <w:pPr>
      <w:ind w:left="720"/>
      <w:contextualSpacing/>
    </w:pPr>
  </w:style>
  <w:style w:type="table" w:styleId="TableGrid">
    <w:name w:val="Table Grid"/>
    <w:basedOn w:val="TableNormal"/>
    <w:uiPriority w:val="39"/>
    <w:rsid w:val="009522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22B9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856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56A7"/>
  </w:style>
  <w:style w:type="paragraph" w:styleId="Footer">
    <w:name w:val="footer"/>
    <w:basedOn w:val="Normal"/>
    <w:link w:val="FooterChar"/>
    <w:uiPriority w:val="99"/>
    <w:unhideWhenUsed/>
    <w:rsid w:val="007856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56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34179">
      <w:bodyDiv w:val="1"/>
      <w:marLeft w:val="0"/>
      <w:marRight w:val="0"/>
      <w:marTop w:val="0"/>
      <w:marBottom w:val="0"/>
      <w:divBdr>
        <w:top w:val="none" w:sz="0" w:space="0" w:color="auto"/>
        <w:left w:val="none" w:sz="0" w:space="0" w:color="auto"/>
        <w:bottom w:val="none" w:sz="0" w:space="0" w:color="auto"/>
        <w:right w:val="none" w:sz="0" w:space="0" w:color="auto"/>
      </w:divBdr>
    </w:div>
    <w:div w:id="259221665">
      <w:bodyDiv w:val="1"/>
      <w:marLeft w:val="0"/>
      <w:marRight w:val="0"/>
      <w:marTop w:val="0"/>
      <w:marBottom w:val="0"/>
      <w:divBdr>
        <w:top w:val="none" w:sz="0" w:space="0" w:color="auto"/>
        <w:left w:val="none" w:sz="0" w:space="0" w:color="auto"/>
        <w:bottom w:val="none" w:sz="0" w:space="0" w:color="auto"/>
        <w:right w:val="none" w:sz="0" w:space="0" w:color="auto"/>
      </w:divBdr>
    </w:div>
    <w:div w:id="1214583036">
      <w:bodyDiv w:val="1"/>
      <w:marLeft w:val="0"/>
      <w:marRight w:val="0"/>
      <w:marTop w:val="0"/>
      <w:marBottom w:val="0"/>
      <w:divBdr>
        <w:top w:val="none" w:sz="0" w:space="0" w:color="auto"/>
        <w:left w:val="none" w:sz="0" w:space="0" w:color="auto"/>
        <w:bottom w:val="none" w:sz="0" w:space="0" w:color="auto"/>
        <w:right w:val="none" w:sz="0" w:space="0" w:color="auto"/>
      </w:divBdr>
    </w:div>
    <w:div w:id="1708992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2686</Words>
  <Characters>15313</Characters>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2024-02-26T12:32:00Z</dcterms:created>
  <dcterms:modified xsi:type="dcterms:W3CDTF">2024-02-29T09:50:00Z</dcterms:modified>
</cp:coreProperties>
</file>