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C3D3435" w:rsidR="007D1947" w:rsidRDefault="00D916D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w:t>
              </w:r>
              <w:r w:rsidR="006737F1">
                <w:rPr>
                  <w:rFonts w:asciiTheme="majorHAnsi" w:eastAsiaTheme="majorEastAsia" w:hAnsiTheme="majorHAnsi" w:cstheme="majorBidi"/>
                  <w:caps/>
                  <w:color w:val="5B9BD5" w:themeColor="accent1"/>
                  <w:sz w:val="72"/>
                  <w:szCs w:val="72"/>
                </w:rPr>
                <w:t>proaches 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E04073C" w:rsidR="007D1947" w:rsidRDefault="00740AAE">
              <w:pPr>
                <w:pStyle w:val="NoSpacing"/>
                <w:jc w:val="center"/>
                <w:rPr>
                  <w:color w:val="5B9BD5" w:themeColor="accent1"/>
                  <w:sz w:val="28"/>
                  <w:szCs w:val="28"/>
                </w:rPr>
              </w:pPr>
              <w:r>
                <w:rPr>
                  <w:color w:val="5B9BD5" w:themeColor="accent1"/>
                  <w:sz w:val="28"/>
                  <w:szCs w:val="28"/>
                </w:rPr>
                <w:t>Luke Huzzey-Evans 220</w:t>
              </w:r>
              <w:r w:rsidR="00097AED">
                <w:rPr>
                  <w:color w:val="5B9BD5" w:themeColor="accent1"/>
                  <w:sz w:val="28"/>
                  <w:szCs w:val="28"/>
                </w:rPr>
                <w:t>5835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EndPr/>
                                <w:sdtContent>
                                  <w:p w14:paraId="52BAF8D9" w14:textId="676CC57F" w:rsidR="007D1947" w:rsidRDefault="009750FA">
                                    <w:pPr>
                                      <w:pStyle w:val="NoSpacing"/>
                                      <w:spacing w:after="40"/>
                                      <w:jc w:val="center"/>
                                      <w:rPr>
                                        <w:caps/>
                                        <w:color w:val="5B9BD5" w:themeColor="accent1"/>
                                        <w:sz w:val="28"/>
                                        <w:szCs w:val="28"/>
                                      </w:rPr>
                                    </w:pPr>
                                    <w:r>
                                      <w:rPr>
                                        <w:caps/>
                                        <w:color w:val="5B9BD5" w:themeColor="accent1"/>
                                        <w:sz w:val="28"/>
                                        <w:szCs w:val="28"/>
                                      </w:rPr>
                                      <w:t>May 2, 2025</w:t>
                                    </w:r>
                                  </w:p>
                                </w:sdtContent>
                              </w:sdt>
                              <w:p w14:paraId="69E98CB3" w14:textId="77777777" w:rsidR="007D1947" w:rsidRDefault="004001A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4001A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EndPr/>
                          <w:sdtContent>
                            <w:p w14:paraId="52BAF8D9" w14:textId="676CC57F" w:rsidR="007D1947" w:rsidRDefault="009750FA">
                              <w:pPr>
                                <w:pStyle w:val="NoSpacing"/>
                                <w:spacing w:after="40"/>
                                <w:jc w:val="center"/>
                                <w:rPr>
                                  <w:caps/>
                                  <w:color w:val="5B9BD5" w:themeColor="accent1"/>
                                  <w:sz w:val="28"/>
                                  <w:szCs w:val="28"/>
                                </w:rPr>
                              </w:pPr>
                              <w:r>
                                <w:rPr>
                                  <w:caps/>
                                  <w:color w:val="5B9BD5" w:themeColor="accent1"/>
                                  <w:sz w:val="28"/>
                                  <w:szCs w:val="28"/>
                                </w:rPr>
                                <w:t>May 2, 2025</w:t>
                              </w:r>
                            </w:p>
                          </w:sdtContent>
                        </w:sdt>
                        <w:p w14:paraId="69E98CB3" w14:textId="77777777" w:rsidR="007D1947" w:rsidRDefault="00A275A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A275A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7113322"/>
          <w:r>
            <w:lastRenderedPageBreak/>
            <w:t>Executive Summary</w:t>
          </w:r>
          <w:bookmarkEnd w:id="0"/>
        </w:p>
        <w:p w14:paraId="70F2F54E" w14:textId="77777777" w:rsidR="00CC2C62" w:rsidRPr="00CC2C62" w:rsidRDefault="00CC2C62" w:rsidP="00CC2C62">
          <w:r w:rsidRPr="00CC2C62">
            <w:t>Aston Martin Lagonda (AML), an esteemed luxury automotive manufacturer, recently undertook significant organisational changes within its final assembly and off-track production areas at the St Athan facility. Driven by evolving customer expectations, heightened competitive pressures, and disruptions resulting from Brexit complexities, global supply chain instability, and the ongoing impacts of the COVID-19 pandemic, AML strategically sought to recalibrate production volumes, optimise workforce utilisation, and enhance manufacturing efficiency.</w:t>
          </w:r>
        </w:p>
        <w:p w14:paraId="33B9AF24" w14:textId="77777777" w:rsidR="00CC2C62" w:rsidRPr="00CC2C62" w:rsidRDefault="00CC2C62" w:rsidP="00CC2C62">
          <w:r w:rsidRPr="00CC2C62">
            <w:t>A critical evaluation using Lewin’s Force Field Analysis, Kotter’s Eight-Step Change Model, and the ADKAR framework revealed mixed results. AML effectively recognised critical market pressures and successfully initiated several operational improvements, demonstrating early gains in efficiency and production quality. However, significant challenges arose, particularly workforce resistance stemming from job security concerns, insufficient training, inflexible workflows, and inconsistent leadership communication, limiting the full effectiveness of these changes.</w:t>
          </w:r>
        </w:p>
        <w:p w14:paraId="7580D104" w14:textId="77777777" w:rsidR="00CC2C62" w:rsidRPr="00CC2C62" w:rsidRDefault="00CC2C62" w:rsidP="00CC2C62">
          <w:r w:rsidRPr="00CC2C62">
            <w:t>To fully realise and sustain the benefits of organisational transformation, AML must enhance transformational leadership at the director level, ensuring clear, consistent communication and strategic alignment across all organisational layers. Additionally, adopting agile and iterative change management practices will improve adaptability to dynamic market conditions. Prioritising structured employee engagement initiatives, including targeted training and robust feedback mechanisms, will further mitigate resistance and strengthen organisational resilience. By implementing these recommendations, AML will be positioned to achieve enduring operational excellence and maintain competitive strength within the luxury automotive market.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1521326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E24E435" w14:textId="2B3851FE" w:rsidR="008F3A2B"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113322" w:history="1">
                <w:r w:rsidR="008F3A2B" w:rsidRPr="00A372D9">
                  <w:rPr>
                    <w:rStyle w:val="Hyperlink"/>
                    <w:noProof/>
                  </w:rPr>
                  <w:t>Executive Summary</w:t>
                </w:r>
                <w:r w:rsidR="008F3A2B">
                  <w:rPr>
                    <w:noProof/>
                    <w:webHidden/>
                  </w:rPr>
                  <w:tab/>
                </w:r>
                <w:r w:rsidR="008F3A2B">
                  <w:rPr>
                    <w:noProof/>
                    <w:webHidden/>
                  </w:rPr>
                  <w:fldChar w:fldCharType="begin"/>
                </w:r>
                <w:r w:rsidR="008F3A2B">
                  <w:rPr>
                    <w:noProof/>
                    <w:webHidden/>
                  </w:rPr>
                  <w:instrText xml:space="preserve"> PAGEREF _Toc197113322 \h </w:instrText>
                </w:r>
                <w:r w:rsidR="008F3A2B">
                  <w:rPr>
                    <w:noProof/>
                    <w:webHidden/>
                  </w:rPr>
                </w:r>
                <w:r w:rsidR="008F3A2B">
                  <w:rPr>
                    <w:noProof/>
                    <w:webHidden/>
                  </w:rPr>
                  <w:fldChar w:fldCharType="separate"/>
                </w:r>
                <w:r w:rsidR="008F3A2B">
                  <w:rPr>
                    <w:noProof/>
                    <w:webHidden/>
                  </w:rPr>
                  <w:t>1</w:t>
                </w:r>
                <w:r w:rsidR="008F3A2B">
                  <w:rPr>
                    <w:noProof/>
                    <w:webHidden/>
                  </w:rPr>
                  <w:fldChar w:fldCharType="end"/>
                </w:r>
              </w:hyperlink>
            </w:p>
            <w:p w14:paraId="5853901B" w14:textId="697D9950" w:rsidR="008F3A2B" w:rsidRDefault="008F3A2B">
              <w:pPr>
                <w:pStyle w:val="TOC1"/>
                <w:tabs>
                  <w:tab w:val="right" w:leader="dot" w:pos="9016"/>
                </w:tabs>
                <w:rPr>
                  <w:rFonts w:eastAsiaTheme="minorEastAsia"/>
                  <w:noProof/>
                  <w:kern w:val="2"/>
                  <w:sz w:val="24"/>
                  <w:szCs w:val="24"/>
                  <w:lang w:eastAsia="en-GB"/>
                  <w14:ligatures w14:val="standardContextual"/>
                </w:rPr>
              </w:pPr>
              <w:hyperlink w:anchor="_Toc197113323" w:history="1">
                <w:r w:rsidRPr="00A372D9">
                  <w:rPr>
                    <w:rStyle w:val="Hyperlink"/>
                    <w:noProof/>
                  </w:rPr>
                  <w:t>Introduction</w:t>
                </w:r>
                <w:r>
                  <w:rPr>
                    <w:noProof/>
                    <w:webHidden/>
                  </w:rPr>
                  <w:tab/>
                </w:r>
                <w:r>
                  <w:rPr>
                    <w:noProof/>
                    <w:webHidden/>
                  </w:rPr>
                  <w:fldChar w:fldCharType="begin"/>
                </w:r>
                <w:r>
                  <w:rPr>
                    <w:noProof/>
                    <w:webHidden/>
                  </w:rPr>
                  <w:instrText xml:space="preserve"> PAGEREF _Toc197113323 \h </w:instrText>
                </w:r>
                <w:r>
                  <w:rPr>
                    <w:noProof/>
                    <w:webHidden/>
                  </w:rPr>
                </w:r>
                <w:r>
                  <w:rPr>
                    <w:noProof/>
                    <w:webHidden/>
                  </w:rPr>
                  <w:fldChar w:fldCharType="separate"/>
                </w:r>
                <w:r>
                  <w:rPr>
                    <w:noProof/>
                    <w:webHidden/>
                  </w:rPr>
                  <w:t>3</w:t>
                </w:r>
                <w:r>
                  <w:rPr>
                    <w:noProof/>
                    <w:webHidden/>
                  </w:rPr>
                  <w:fldChar w:fldCharType="end"/>
                </w:r>
              </w:hyperlink>
            </w:p>
            <w:p w14:paraId="18CC4742" w14:textId="54A4AF92" w:rsidR="008F3A2B" w:rsidRDefault="008F3A2B">
              <w:pPr>
                <w:pStyle w:val="TOC1"/>
                <w:tabs>
                  <w:tab w:val="right" w:leader="dot" w:pos="9016"/>
                </w:tabs>
                <w:rPr>
                  <w:rFonts w:eastAsiaTheme="minorEastAsia"/>
                  <w:noProof/>
                  <w:kern w:val="2"/>
                  <w:sz w:val="24"/>
                  <w:szCs w:val="24"/>
                  <w:lang w:eastAsia="en-GB"/>
                  <w14:ligatures w14:val="standardContextual"/>
                </w:rPr>
              </w:pPr>
              <w:hyperlink w:anchor="_Toc197113324" w:history="1">
                <w:r w:rsidRPr="00A372D9">
                  <w:rPr>
                    <w:rStyle w:val="Hyperlink"/>
                    <w:noProof/>
                  </w:rPr>
                  <w:t>Main Findings</w:t>
                </w:r>
                <w:r>
                  <w:rPr>
                    <w:noProof/>
                    <w:webHidden/>
                  </w:rPr>
                  <w:tab/>
                </w:r>
                <w:r>
                  <w:rPr>
                    <w:noProof/>
                    <w:webHidden/>
                  </w:rPr>
                  <w:fldChar w:fldCharType="begin"/>
                </w:r>
                <w:r>
                  <w:rPr>
                    <w:noProof/>
                    <w:webHidden/>
                  </w:rPr>
                  <w:instrText xml:space="preserve"> PAGEREF _Toc197113324 \h </w:instrText>
                </w:r>
                <w:r>
                  <w:rPr>
                    <w:noProof/>
                    <w:webHidden/>
                  </w:rPr>
                </w:r>
                <w:r>
                  <w:rPr>
                    <w:noProof/>
                    <w:webHidden/>
                  </w:rPr>
                  <w:fldChar w:fldCharType="separate"/>
                </w:r>
                <w:r>
                  <w:rPr>
                    <w:noProof/>
                    <w:webHidden/>
                  </w:rPr>
                  <w:t>4</w:t>
                </w:r>
                <w:r>
                  <w:rPr>
                    <w:noProof/>
                    <w:webHidden/>
                  </w:rPr>
                  <w:fldChar w:fldCharType="end"/>
                </w:r>
              </w:hyperlink>
            </w:p>
            <w:p w14:paraId="6FD67495" w14:textId="745BB70E" w:rsidR="008F3A2B" w:rsidRDefault="008F3A2B">
              <w:pPr>
                <w:pStyle w:val="TOC2"/>
                <w:tabs>
                  <w:tab w:val="right" w:leader="dot" w:pos="9016"/>
                </w:tabs>
                <w:rPr>
                  <w:rFonts w:eastAsiaTheme="minorEastAsia"/>
                  <w:noProof/>
                  <w:kern w:val="2"/>
                  <w:sz w:val="24"/>
                  <w:szCs w:val="24"/>
                  <w:lang w:eastAsia="en-GB"/>
                  <w14:ligatures w14:val="standardContextual"/>
                </w:rPr>
              </w:pPr>
              <w:hyperlink w:anchor="_Toc197113325" w:history="1">
                <w:r w:rsidRPr="00A372D9">
                  <w:rPr>
                    <w:rStyle w:val="Hyperlink"/>
                    <w:noProof/>
                  </w:rPr>
                  <w:t>Overview of the Change</w:t>
                </w:r>
                <w:r>
                  <w:rPr>
                    <w:noProof/>
                    <w:webHidden/>
                  </w:rPr>
                  <w:tab/>
                </w:r>
                <w:r>
                  <w:rPr>
                    <w:noProof/>
                    <w:webHidden/>
                  </w:rPr>
                  <w:fldChar w:fldCharType="begin"/>
                </w:r>
                <w:r>
                  <w:rPr>
                    <w:noProof/>
                    <w:webHidden/>
                  </w:rPr>
                  <w:instrText xml:space="preserve"> PAGEREF _Toc197113325 \h </w:instrText>
                </w:r>
                <w:r>
                  <w:rPr>
                    <w:noProof/>
                    <w:webHidden/>
                  </w:rPr>
                </w:r>
                <w:r>
                  <w:rPr>
                    <w:noProof/>
                    <w:webHidden/>
                  </w:rPr>
                  <w:fldChar w:fldCharType="separate"/>
                </w:r>
                <w:r>
                  <w:rPr>
                    <w:noProof/>
                    <w:webHidden/>
                  </w:rPr>
                  <w:t>4</w:t>
                </w:r>
                <w:r>
                  <w:rPr>
                    <w:noProof/>
                    <w:webHidden/>
                  </w:rPr>
                  <w:fldChar w:fldCharType="end"/>
                </w:r>
              </w:hyperlink>
            </w:p>
            <w:p w14:paraId="11436E85" w14:textId="6C785570" w:rsidR="008F3A2B" w:rsidRDefault="008F3A2B">
              <w:pPr>
                <w:pStyle w:val="TOC2"/>
                <w:tabs>
                  <w:tab w:val="right" w:leader="dot" w:pos="9016"/>
                </w:tabs>
                <w:rPr>
                  <w:rFonts w:eastAsiaTheme="minorEastAsia"/>
                  <w:noProof/>
                  <w:kern w:val="2"/>
                  <w:sz w:val="24"/>
                  <w:szCs w:val="24"/>
                  <w:lang w:eastAsia="en-GB"/>
                  <w14:ligatures w14:val="standardContextual"/>
                </w:rPr>
              </w:pPr>
              <w:hyperlink w:anchor="_Toc197113326" w:history="1">
                <w:r w:rsidRPr="00A372D9">
                  <w:rPr>
                    <w:rStyle w:val="Hyperlink"/>
                    <w:noProof/>
                  </w:rPr>
                  <w:t>Lewin’s Force Field Analysis</w:t>
                </w:r>
                <w:r>
                  <w:rPr>
                    <w:noProof/>
                    <w:webHidden/>
                  </w:rPr>
                  <w:tab/>
                </w:r>
                <w:r>
                  <w:rPr>
                    <w:noProof/>
                    <w:webHidden/>
                  </w:rPr>
                  <w:fldChar w:fldCharType="begin"/>
                </w:r>
                <w:r>
                  <w:rPr>
                    <w:noProof/>
                    <w:webHidden/>
                  </w:rPr>
                  <w:instrText xml:space="preserve"> PAGEREF _Toc197113326 \h </w:instrText>
                </w:r>
                <w:r>
                  <w:rPr>
                    <w:noProof/>
                    <w:webHidden/>
                  </w:rPr>
                </w:r>
                <w:r>
                  <w:rPr>
                    <w:noProof/>
                    <w:webHidden/>
                  </w:rPr>
                  <w:fldChar w:fldCharType="separate"/>
                </w:r>
                <w:r>
                  <w:rPr>
                    <w:noProof/>
                    <w:webHidden/>
                  </w:rPr>
                  <w:t>5</w:t>
                </w:r>
                <w:r>
                  <w:rPr>
                    <w:noProof/>
                    <w:webHidden/>
                  </w:rPr>
                  <w:fldChar w:fldCharType="end"/>
                </w:r>
              </w:hyperlink>
            </w:p>
            <w:p w14:paraId="62F3977E" w14:textId="045B7256" w:rsidR="008F3A2B" w:rsidRDefault="008F3A2B">
              <w:pPr>
                <w:pStyle w:val="TOC2"/>
                <w:tabs>
                  <w:tab w:val="right" w:leader="dot" w:pos="9016"/>
                </w:tabs>
                <w:rPr>
                  <w:rFonts w:eastAsiaTheme="minorEastAsia"/>
                  <w:noProof/>
                  <w:kern w:val="2"/>
                  <w:sz w:val="24"/>
                  <w:szCs w:val="24"/>
                  <w:lang w:eastAsia="en-GB"/>
                  <w14:ligatures w14:val="standardContextual"/>
                </w:rPr>
              </w:pPr>
              <w:hyperlink w:anchor="_Toc197113327" w:history="1">
                <w:r w:rsidRPr="00A372D9">
                  <w:rPr>
                    <w:rStyle w:val="Hyperlink"/>
                    <w:noProof/>
                  </w:rPr>
                  <w:t>Kotter’s Eight-Step Change Model Analysis</w:t>
                </w:r>
                <w:r>
                  <w:rPr>
                    <w:noProof/>
                    <w:webHidden/>
                  </w:rPr>
                  <w:tab/>
                </w:r>
                <w:r>
                  <w:rPr>
                    <w:noProof/>
                    <w:webHidden/>
                  </w:rPr>
                  <w:fldChar w:fldCharType="begin"/>
                </w:r>
                <w:r>
                  <w:rPr>
                    <w:noProof/>
                    <w:webHidden/>
                  </w:rPr>
                  <w:instrText xml:space="preserve"> PAGEREF _Toc197113327 \h </w:instrText>
                </w:r>
                <w:r>
                  <w:rPr>
                    <w:noProof/>
                    <w:webHidden/>
                  </w:rPr>
                </w:r>
                <w:r>
                  <w:rPr>
                    <w:noProof/>
                    <w:webHidden/>
                  </w:rPr>
                  <w:fldChar w:fldCharType="separate"/>
                </w:r>
                <w:r>
                  <w:rPr>
                    <w:noProof/>
                    <w:webHidden/>
                  </w:rPr>
                  <w:t>5</w:t>
                </w:r>
                <w:r>
                  <w:rPr>
                    <w:noProof/>
                    <w:webHidden/>
                  </w:rPr>
                  <w:fldChar w:fldCharType="end"/>
                </w:r>
              </w:hyperlink>
            </w:p>
            <w:p w14:paraId="360798F0" w14:textId="4FFB1391" w:rsidR="008F3A2B" w:rsidRDefault="008F3A2B">
              <w:pPr>
                <w:pStyle w:val="TOC2"/>
                <w:tabs>
                  <w:tab w:val="right" w:leader="dot" w:pos="9016"/>
                </w:tabs>
                <w:rPr>
                  <w:rFonts w:eastAsiaTheme="minorEastAsia"/>
                  <w:noProof/>
                  <w:kern w:val="2"/>
                  <w:sz w:val="24"/>
                  <w:szCs w:val="24"/>
                  <w:lang w:eastAsia="en-GB"/>
                  <w14:ligatures w14:val="standardContextual"/>
                </w:rPr>
              </w:pPr>
              <w:hyperlink w:anchor="_Toc197113328" w:history="1">
                <w:r w:rsidRPr="00A372D9">
                  <w:rPr>
                    <w:rStyle w:val="Hyperlink"/>
                    <w:noProof/>
                  </w:rPr>
                  <w:t>Additional Critical Evaluation: ADKAR Model</w:t>
                </w:r>
                <w:r>
                  <w:rPr>
                    <w:noProof/>
                    <w:webHidden/>
                  </w:rPr>
                  <w:tab/>
                </w:r>
                <w:r>
                  <w:rPr>
                    <w:noProof/>
                    <w:webHidden/>
                  </w:rPr>
                  <w:fldChar w:fldCharType="begin"/>
                </w:r>
                <w:r>
                  <w:rPr>
                    <w:noProof/>
                    <w:webHidden/>
                  </w:rPr>
                  <w:instrText xml:space="preserve"> PAGEREF _Toc197113328 \h </w:instrText>
                </w:r>
                <w:r>
                  <w:rPr>
                    <w:noProof/>
                    <w:webHidden/>
                  </w:rPr>
                </w:r>
                <w:r>
                  <w:rPr>
                    <w:noProof/>
                    <w:webHidden/>
                  </w:rPr>
                  <w:fldChar w:fldCharType="separate"/>
                </w:r>
                <w:r>
                  <w:rPr>
                    <w:noProof/>
                    <w:webHidden/>
                  </w:rPr>
                  <w:t>6</w:t>
                </w:r>
                <w:r>
                  <w:rPr>
                    <w:noProof/>
                    <w:webHidden/>
                  </w:rPr>
                  <w:fldChar w:fldCharType="end"/>
                </w:r>
              </w:hyperlink>
            </w:p>
            <w:p w14:paraId="5C82F2B2" w14:textId="7DAEADA2" w:rsidR="008F3A2B" w:rsidRDefault="008F3A2B">
              <w:pPr>
                <w:pStyle w:val="TOC2"/>
                <w:tabs>
                  <w:tab w:val="right" w:leader="dot" w:pos="9016"/>
                </w:tabs>
                <w:rPr>
                  <w:rFonts w:eastAsiaTheme="minorEastAsia"/>
                  <w:noProof/>
                  <w:kern w:val="2"/>
                  <w:sz w:val="24"/>
                  <w:szCs w:val="24"/>
                  <w:lang w:eastAsia="en-GB"/>
                  <w14:ligatures w14:val="standardContextual"/>
                </w:rPr>
              </w:pPr>
              <w:hyperlink w:anchor="_Toc197113329" w:history="1">
                <w:r w:rsidRPr="00A372D9">
                  <w:rPr>
                    <w:rStyle w:val="Hyperlink"/>
                    <w:noProof/>
                  </w:rPr>
                  <w:t>Case Study Comparison: Jaguar Land Rover</w:t>
                </w:r>
                <w:r>
                  <w:rPr>
                    <w:noProof/>
                    <w:webHidden/>
                  </w:rPr>
                  <w:tab/>
                </w:r>
                <w:r>
                  <w:rPr>
                    <w:noProof/>
                    <w:webHidden/>
                  </w:rPr>
                  <w:fldChar w:fldCharType="begin"/>
                </w:r>
                <w:r>
                  <w:rPr>
                    <w:noProof/>
                    <w:webHidden/>
                  </w:rPr>
                  <w:instrText xml:space="preserve"> PAGEREF _Toc197113329 \h </w:instrText>
                </w:r>
                <w:r>
                  <w:rPr>
                    <w:noProof/>
                    <w:webHidden/>
                  </w:rPr>
                </w:r>
                <w:r>
                  <w:rPr>
                    <w:noProof/>
                    <w:webHidden/>
                  </w:rPr>
                  <w:fldChar w:fldCharType="separate"/>
                </w:r>
                <w:r>
                  <w:rPr>
                    <w:noProof/>
                    <w:webHidden/>
                  </w:rPr>
                  <w:t>7</w:t>
                </w:r>
                <w:r>
                  <w:rPr>
                    <w:noProof/>
                    <w:webHidden/>
                  </w:rPr>
                  <w:fldChar w:fldCharType="end"/>
                </w:r>
              </w:hyperlink>
            </w:p>
            <w:p w14:paraId="26A589C1" w14:textId="7FEB2CA1" w:rsidR="008F3A2B" w:rsidRDefault="008F3A2B">
              <w:pPr>
                <w:pStyle w:val="TOC2"/>
                <w:tabs>
                  <w:tab w:val="right" w:leader="dot" w:pos="9016"/>
                </w:tabs>
                <w:rPr>
                  <w:rFonts w:eastAsiaTheme="minorEastAsia"/>
                  <w:noProof/>
                  <w:kern w:val="2"/>
                  <w:sz w:val="24"/>
                  <w:szCs w:val="24"/>
                  <w:lang w:eastAsia="en-GB"/>
                  <w14:ligatures w14:val="standardContextual"/>
                </w:rPr>
              </w:pPr>
              <w:hyperlink w:anchor="_Toc197113330" w:history="1">
                <w:r w:rsidRPr="00A372D9">
                  <w:rPr>
                    <w:rStyle w:val="Hyperlink"/>
                    <w:noProof/>
                  </w:rPr>
                  <w:t>Conclusion</w:t>
                </w:r>
                <w:r>
                  <w:rPr>
                    <w:noProof/>
                    <w:webHidden/>
                  </w:rPr>
                  <w:tab/>
                </w:r>
                <w:r>
                  <w:rPr>
                    <w:noProof/>
                    <w:webHidden/>
                  </w:rPr>
                  <w:fldChar w:fldCharType="begin"/>
                </w:r>
                <w:r>
                  <w:rPr>
                    <w:noProof/>
                    <w:webHidden/>
                  </w:rPr>
                  <w:instrText xml:space="preserve"> PAGEREF _Toc197113330 \h </w:instrText>
                </w:r>
                <w:r>
                  <w:rPr>
                    <w:noProof/>
                    <w:webHidden/>
                  </w:rPr>
                </w:r>
                <w:r>
                  <w:rPr>
                    <w:noProof/>
                    <w:webHidden/>
                  </w:rPr>
                  <w:fldChar w:fldCharType="separate"/>
                </w:r>
                <w:r>
                  <w:rPr>
                    <w:noProof/>
                    <w:webHidden/>
                  </w:rPr>
                  <w:t>8</w:t>
                </w:r>
                <w:r>
                  <w:rPr>
                    <w:noProof/>
                    <w:webHidden/>
                  </w:rPr>
                  <w:fldChar w:fldCharType="end"/>
                </w:r>
              </w:hyperlink>
            </w:p>
            <w:p w14:paraId="37A28AF4" w14:textId="408F564C" w:rsidR="008F3A2B" w:rsidRDefault="008F3A2B">
              <w:pPr>
                <w:pStyle w:val="TOC1"/>
                <w:tabs>
                  <w:tab w:val="right" w:leader="dot" w:pos="9016"/>
                </w:tabs>
                <w:rPr>
                  <w:rFonts w:eastAsiaTheme="minorEastAsia"/>
                  <w:noProof/>
                  <w:kern w:val="2"/>
                  <w:sz w:val="24"/>
                  <w:szCs w:val="24"/>
                  <w:lang w:eastAsia="en-GB"/>
                  <w14:ligatures w14:val="standardContextual"/>
                </w:rPr>
              </w:pPr>
              <w:hyperlink w:anchor="_Toc197113331" w:history="1">
                <w:r w:rsidRPr="00A372D9">
                  <w:rPr>
                    <w:rStyle w:val="Hyperlink"/>
                    <w:noProof/>
                  </w:rPr>
                  <w:t>Bibliography</w:t>
                </w:r>
                <w:r>
                  <w:rPr>
                    <w:noProof/>
                    <w:webHidden/>
                  </w:rPr>
                  <w:tab/>
                </w:r>
                <w:r>
                  <w:rPr>
                    <w:noProof/>
                    <w:webHidden/>
                  </w:rPr>
                  <w:fldChar w:fldCharType="begin"/>
                </w:r>
                <w:r>
                  <w:rPr>
                    <w:noProof/>
                    <w:webHidden/>
                  </w:rPr>
                  <w:instrText xml:space="preserve"> PAGEREF _Toc197113331 \h </w:instrText>
                </w:r>
                <w:r>
                  <w:rPr>
                    <w:noProof/>
                    <w:webHidden/>
                  </w:rPr>
                </w:r>
                <w:r>
                  <w:rPr>
                    <w:noProof/>
                    <w:webHidden/>
                  </w:rPr>
                  <w:fldChar w:fldCharType="separate"/>
                </w:r>
                <w:r>
                  <w:rPr>
                    <w:noProof/>
                    <w:webHidden/>
                  </w:rPr>
                  <w:t>9</w:t>
                </w:r>
                <w:r>
                  <w:rPr>
                    <w:noProof/>
                    <w:webHidden/>
                  </w:rPr>
                  <w:fldChar w:fldCharType="end"/>
                </w:r>
              </w:hyperlink>
            </w:p>
            <w:p w14:paraId="05194699" w14:textId="71B9844F" w:rsidR="007D1947" w:rsidRDefault="007D1947">
              <w:r>
                <w:rPr>
                  <w:b/>
                  <w:bCs/>
                  <w:noProof/>
                </w:rPr>
                <w:fldChar w:fldCharType="end"/>
              </w:r>
              <w:r w:rsidR="00097AED">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620A49C8" w14:textId="77777777" w:rsidR="0092168F" w:rsidRDefault="0092168F"/>
        <w:p w14:paraId="5CD1CE9F" w14:textId="77777777" w:rsidR="007D1947" w:rsidRDefault="007D1947"/>
        <w:p w14:paraId="77F0A10B" w14:textId="737D2056" w:rsidR="007D1947" w:rsidRDefault="007D1947"/>
        <w:p w14:paraId="283A92F8" w14:textId="77777777" w:rsidR="001C03AB" w:rsidRDefault="001C03AB"/>
        <w:p w14:paraId="0ED321E6" w14:textId="0F0FB166" w:rsidR="007D1947" w:rsidRDefault="007D1947" w:rsidP="00A12B58">
          <w:pPr>
            <w:pStyle w:val="Heading1"/>
          </w:pPr>
          <w:bookmarkStart w:id="1" w:name="_Toc197113323"/>
          <w:r>
            <w:lastRenderedPageBreak/>
            <w:t>Introduction</w:t>
          </w:r>
          <w:bookmarkEnd w:id="1"/>
          <w:r w:rsidR="00480872">
            <w:t xml:space="preserve"> </w:t>
          </w:r>
          <w:r w:rsidR="00E91208">
            <w:t xml:space="preserve"> </w:t>
          </w:r>
        </w:p>
        <w:p w14:paraId="1BF8EE9E" w14:textId="3D66B4BE" w:rsidR="008654BD" w:rsidRPr="007E517D" w:rsidRDefault="008654BD" w:rsidP="008654BD">
          <w:r w:rsidRPr="007E517D">
            <w:t xml:space="preserve">Organisational change is crucial for businesses to remain competitive and responsive to market demands, particularly in the dynamic automotive sector post-COVID-19. Aston Martin Lagonda (AML), a renowned luxury automotive manufacturer, recently undertook significant organisational change within its final assembly and off-track areas at its St Athan facility. Driven by shifting customer demand, heightened market competition, and supply chain disruptions, AML aimed to realign production volumes, optimise workforce deployment, and enhance manufacturing efficiency. Effective leadership and management practices were essential components in facilitating and sustaining this change. This report critically examines AML’s approach using established change management models, including Lewin’s Force Field Analysis </w:t>
          </w:r>
          <w:sdt>
            <w:sdtPr>
              <w:id w:val="436336667"/>
              <w:citation/>
            </w:sdtPr>
            <w:sdtContent>
              <w:r w:rsidR="00471857">
                <w:fldChar w:fldCharType="begin"/>
              </w:r>
              <w:r w:rsidR="00471857">
                <w:instrText xml:space="preserve"> CITATION Lew51 \l 2057 </w:instrText>
              </w:r>
              <w:r w:rsidR="00471857">
                <w:fldChar w:fldCharType="separate"/>
              </w:r>
              <w:r w:rsidR="008F3A2B" w:rsidRPr="008F3A2B">
                <w:rPr>
                  <w:noProof/>
                </w:rPr>
                <w:t>(Lewin, 1951)</w:t>
              </w:r>
              <w:r w:rsidR="00471857">
                <w:fldChar w:fldCharType="end"/>
              </w:r>
            </w:sdtContent>
          </w:sdt>
          <w:r w:rsidRPr="007E517D">
            <w:t xml:space="preserve"> and Kotter’s Eight-Step Change Model </w:t>
          </w:r>
          <w:sdt>
            <w:sdtPr>
              <w:id w:val="-1329360018"/>
              <w:citation/>
            </w:sdtPr>
            <w:sdtContent>
              <w:r w:rsidR="00471857">
                <w:fldChar w:fldCharType="begin"/>
              </w:r>
              <w:r w:rsidR="00471857">
                <w:instrText xml:space="preserve"> CITATION Kot96 \l 2057 </w:instrText>
              </w:r>
              <w:r w:rsidR="00471857">
                <w:fldChar w:fldCharType="separate"/>
              </w:r>
              <w:r w:rsidR="008F3A2B" w:rsidRPr="008F3A2B">
                <w:rPr>
                  <w:noProof/>
                </w:rPr>
                <w:t>(Kotter, 1996)</w:t>
              </w:r>
              <w:r w:rsidR="00471857">
                <w:fldChar w:fldCharType="end"/>
              </w:r>
            </w:sdtContent>
          </w:sdt>
          <w:r w:rsidRPr="007E517D">
            <w:t>, alongside complementary frameworks such as the ADKAR model</w:t>
          </w:r>
          <w:sdt>
            <w:sdtPr>
              <w:id w:val="-1380081988"/>
              <w:citation/>
            </w:sdtPr>
            <w:sdtContent>
              <w:r w:rsidR="008F3A2B">
                <w:fldChar w:fldCharType="begin"/>
              </w:r>
              <w:r w:rsidR="008F3A2B">
                <w:instrText xml:space="preserve"> CITATION Hia06 \l 2057 </w:instrText>
              </w:r>
              <w:r w:rsidR="008F3A2B">
                <w:fldChar w:fldCharType="separate"/>
              </w:r>
              <w:r w:rsidR="008F3A2B">
                <w:rPr>
                  <w:noProof/>
                </w:rPr>
                <w:t xml:space="preserve"> </w:t>
              </w:r>
              <w:r w:rsidR="008F3A2B" w:rsidRPr="008F3A2B">
                <w:rPr>
                  <w:noProof/>
                </w:rPr>
                <w:t>(Hiatt, 2006)</w:t>
              </w:r>
              <w:r w:rsidR="008F3A2B">
                <w:fldChar w:fldCharType="end"/>
              </w:r>
            </w:sdtContent>
          </w:sdt>
          <w:r w:rsidRPr="007E517D">
            <w:t>, to evaluate the effectiveness of the implemented strategies and highlight potential areas for future improvements. Furthermore, this report provides comparative insights from industry peers and explores the sustainability and long-term impact of AML’s organisational changes.</w:t>
          </w: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1359F054" w14:textId="77777777" w:rsidR="004A11F6" w:rsidRDefault="004A11F6" w:rsidP="007D1947"/>
        <w:p w14:paraId="5F7901CC" w14:textId="77777777" w:rsidR="0092168F" w:rsidRDefault="0092168F" w:rsidP="007D1947"/>
        <w:p w14:paraId="77BA36E2" w14:textId="77777777" w:rsidR="0092168F" w:rsidRDefault="0092168F" w:rsidP="007D1947"/>
        <w:p w14:paraId="35F1A4FA" w14:textId="77777777" w:rsidR="0092168F" w:rsidRDefault="0092168F" w:rsidP="007D1947"/>
        <w:p w14:paraId="0F85AB4E" w14:textId="77777777" w:rsidR="0092168F" w:rsidRDefault="0092168F" w:rsidP="007D1947"/>
        <w:p w14:paraId="7F75D26A" w14:textId="77777777" w:rsidR="0085355A" w:rsidRDefault="0085355A" w:rsidP="007D1947"/>
        <w:p w14:paraId="7C657C89" w14:textId="77777777" w:rsidR="00AA2A91" w:rsidRDefault="00AA2A91" w:rsidP="004D519C"/>
        <w:p w14:paraId="09787FEF" w14:textId="77777777" w:rsidR="001C03AB" w:rsidRDefault="001C03AB" w:rsidP="004D519C"/>
        <w:p w14:paraId="28111119" w14:textId="33F8B598" w:rsidR="00DF4C8D" w:rsidRPr="00486FFF" w:rsidRDefault="00480872" w:rsidP="00FB609A">
          <w:pPr>
            <w:pStyle w:val="Heading1"/>
          </w:pPr>
          <w:bookmarkStart w:id="2" w:name="_Toc197113324"/>
          <w:r>
            <w:lastRenderedPageBreak/>
            <w:t xml:space="preserve">Main </w:t>
          </w:r>
          <w:r w:rsidRPr="008D4C45">
            <w:t>Findings</w:t>
          </w:r>
          <w:bookmarkEnd w:id="2"/>
        </w:p>
        <w:p w14:paraId="1BCE1A8F" w14:textId="77777777" w:rsidR="00FB609A" w:rsidRPr="00A337BF" w:rsidRDefault="00B207CD" w:rsidP="00A337BF">
          <w:pPr>
            <w:pStyle w:val="Heading2"/>
          </w:pPr>
          <w:bookmarkStart w:id="3" w:name="_Toc197113325"/>
          <w:r w:rsidRPr="00A337BF">
            <w:t>Overview of the Change</w:t>
          </w:r>
          <w:bookmarkEnd w:id="3"/>
        </w:p>
        <w:p w14:paraId="287BC284" w14:textId="6F4E94AE" w:rsidR="007C6432" w:rsidRDefault="00F055C1" w:rsidP="00753B41">
          <w:r w:rsidRPr="00F055C1">
            <w:t xml:space="preserve">Aston Martin Lagonda </w:t>
          </w:r>
          <w:sdt>
            <w:sdtPr>
              <w:id w:val="304595285"/>
              <w:citation/>
            </w:sdtPr>
            <w:sdtContent>
              <w:r w:rsidR="00471857">
                <w:fldChar w:fldCharType="begin"/>
              </w:r>
              <w:r w:rsidR="00471857">
                <w:instrText xml:space="preserve"> CITATION Ast25 \l 2057 </w:instrText>
              </w:r>
              <w:r w:rsidR="00471857">
                <w:fldChar w:fldCharType="separate"/>
              </w:r>
              <w:r w:rsidR="008F3A2B" w:rsidRPr="008F3A2B">
                <w:rPr>
                  <w:noProof/>
                </w:rPr>
                <w:t>(Aston Martin Lagonda , 2025)</w:t>
              </w:r>
              <w:r w:rsidR="00471857">
                <w:fldChar w:fldCharType="end"/>
              </w:r>
            </w:sdtContent>
          </w:sdt>
          <w:r w:rsidR="009153BB">
            <w:t xml:space="preserve"> </w:t>
          </w:r>
          <w:r w:rsidR="008F3A2B">
            <w:t>Is</w:t>
          </w:r>
          <w:r w:rsidR="009153BB">
            <w:t xml:space="preserve"> </w:t>
          </w:r>
          <w:r w:rsidRPr="00F055C1">
            <w:t>globally recognised for producing luxury and high-performance vehicles, operates within the high-stakes luxury automotive market, competing with renowned brands such as Bentley and Porsche. In recent years, the post-pandemic landscape has significantly altered the dynamics of this sector, with additional complications arising from Brexit-related trade complexities and widespread global supply chain disruptions. These external pressures created a volatile operating environment, leading to fluctuating customer demands and an industry-wide shift in consumer preferences toward more sustainable and technologically advanced vehicles. As a result, AML faced intensified competition, eroding profitability margins, and increased operational uncertainties. Recent financial performance reports highlighted these pressures, indicating a need for decisive strategic realignment to maintain AML’s competitive positioning and market share</w:t>
          </w:r>
          <w:r w:rsidR="007B4AC0">
            <w:t xml:space="preserve"> </w:t>
          </w:r>
          <w:sdt>
            <w:sdtPr>
              <w:id w:val="1392773498"/>
              <w:citation/>
            </w:sdtPr>
            <w:sdtContent>
              <w:r w:rsidR="009153BB" w:rsidRPr="009153BB">
                <w:fldChar w:fldCharType="begin"/>
              </w:r>
              <w:r w:rsidR="009153BB" w:rsidRPr="009153BB">
                <w:instrText xml:space="preserve"> CITATION Ast25 \l 2057 </w:instrText>
              </w:r>
              <w:r w:rsidR="009153BB" w:rsidRPr="009153BB">
                <w:fldChar w:fldCharType="separate"/>
              </w:r>
              <w:r w:rsidR="008F3A2B" w:rsidRPr="008F3A2B">
                <w:rPr>
                  <w:noProof/>
                </w:rPr>
                <w:t>(Aston Martin Lagonda , 2025)</w:t>
              </w:r>
              <w:r w:rsidR="009153BB" w:rsidRPr="009153BB">
                <w:fldChar w:fldCharType="end"/>
              </w:r>
            </w:sdtContent>
          </w:sdt>
          <w:r w:rsidRPr="009153BB">
            <w:t>.</w:t>
          </w:r>
          <w:r w:rsidRPr="00F055C1">
            <w:t xml:space="preserve"> </w:t>
          </w:r>
          <w:r w:rsidRPr="009153BB">
            <w:t>Consequently</w:t>
          </w:r>
          <w:r w:rsidRPr="00F055C1">
            <w:t>, AML initiated a comprehensive organisational change within its final assembly and off-track areas at the St Athan facility</w:t>
          </w:r>
          <w:r w:rsidR="00AA3621">
            <w:t>,</w:t>
          </w:r>
          <w:r w:rsidR="00596067">
            <w:t xml:space="preserve"> where the DBX is manufactured</w:t>
          </w:r>
          <w:r w:rsidRPr="00F055C1">
            <w:t xml:space="preserve">. This initiative sought to recalibrate production volumes, redistribute workforce capacity, and adjust takt times to align with evolving but more precise customer expectations </w:t>
          </w:r>
          <w:sdt>
            <w:sdtPr>
              <w:id w:val="1177853352"/>
              <w:citation/>
            </w:sdtPr>
            <w:sdtContent>
              <w:r w:rsidR="009153BB">
                <w:fldChar w:fldCharType="begin"/>
              </w:r>
              <w:r w:rsidR="009153BB">
                <w:instrText xml:space="preserve"> CITATION Glo25 \l 2057 </w:instrText>
              </w:r>
              <w:r w:rsidR="009153BB">
                <w:fldChar w:fldCharType="separate"/>
              </w:r>
              <w:r w:rsidR="008F3A2B" w:rsidRPr="008F3A2B">
                <w:rPr>
                  <w:noProof/>
                </w:rPr>
                <w:t>(Insights, 2025)</w:t>
              </w:r>
              <w:r w:rsidR="009153BB">
                <w:fldChar w:fldCharType="end"/>
              </w:r>
            </w:sdtContent>
          </w:sdt>
          <w:r w:rsidRPr="00F055C1">
            <w:t xml:space="preserve">. The strategy aimed to enhance production efficiency, operational flexibility, and workforce optimisation </w:t>
          </w:r>
          <w:r>
            <w:t xml:space="preserve">to </w:t>
          </w:r>
          <w:r w:rsidR="00AA3621">
            <w:t>better meet these market demands</w:t>
          </w:r>
          <w:r w:rsidRPr="00F055C1">
            <w:t xml:space="preserve">. However, despite accurately identifying these opportunities, AML encountered a series of significant implementation challenges. Chief among these were operational disruptions and considerable workforce resistance, fuelled by concerns surrounding job security and inflexible workflow processes. </w:t>
          </w:r>
          <w:r w:rsidR="00485881" w:rsidRPr="00485881">
            <w:t xml:space="preserve">These internal barriers revealed the complexity of executing change initiatives within the context of a luxury manufacturing environment, where employee engagement, leadership communication, and cultural adaptation play critical roles in the success of organisational transformation. As </w:t>
          </w:r>
          <w:r w:rsidR="00485881" w:rsidRPr="009153BB">
            <w:t xml:space="preserve">Mullins and Christy </w:t>
          </w:r>
          <w:sdt>
            <w:sdtPr>
              <w:id w:val="1172308030"/>
              <w:citation/>
            </w:sdtPr>
            <w:sdtContent>
              <w:r w:rsidR="009153BB" w:rsidRPr="009153BB">
                <w:fldChar w:fldCharType="begin"/>
              </w:r>
              <w:r w:rsidR="009153BB" w:rsidRPr="009153BB">
                <w:instrText xml:space="preserve"> CITATION Mul16 \l 2057 </w:instrText>
              </w:r>
              <w:r w:rsidR="009153BB" w:rsidRPr="009153BB">
                <w:fldChar w:fldCharType="separate"/>
              </w:r>
              <w:r w:rsidR="008F3A2B" w:rsidRPr="008F3A2B">
                <w:rPr>
                  <w:noProof/>
                </w:rPr>
                <w:t>(Mullins, 2016)</w:t>
              </w:r>
              <w:r w:rsidR="009153BB" w:rsidRPr="009153BB">
                <w:fldChar w:fldCharType="end"/>
              </w:r>
            </w:sdtContent>
          </w:sdt>
          <w:r w:rsidR="009153BB">
            <w:t xml:space="preserve"> </w:t>
          </w:r>
          <w:r w:rsidR="00485881" w:rsidRPr="00485881">
            <w:t xml:space="preserve">highlight, effective organisational change requires more than structural adjustments; it demands strong leadership, clear communication, and an understanding of the behavioural dynamics that influence how employees respond to change. </w:t>
          </w:r>
        </w:p>
        <w:p w14:paraId="623CABB0" w14:textId="23ECBE62" w:rsidR="007C6432" w:rsidRDefault="007C6432" w:rsidP="00753B41">
          <w:r>
            <w:t>This complexity is compounded by AML’s historic emphasis on prestige, precision, and craftsmanship</w:t>
          </w:r>
          <w:r w:rsidR="003C1299">
            <w:t xml:space="preserve"> </w:t>
          </w:r>
          <w:r>
            <w:t xml:space="preserve">values that, while fundamental to brand identity, have sometimes conflicted with the need for agile, scalable production methods. Unlike mass manufacturers, AML’s workforce is deeply invested in traditional methods and thus less accustomed to rapid operational pivots or digital workflow interventions. Bridging this divide requires a careful balance between preserving craftsmanship and enabling change readiness. As such, one of the pivotal </w:t>
          </w:r>
          <w:r w:rsidRPr="00874E41">
            <w:t>challenges</w:t>
          </w:r>
          <w:r>
            <w:t xml:space="preserve"> was not only the operational realignment but also shifting the workforce mindset from a reactive, compliance-driven culture to one more open to iterative improvement and cross-functional collaboration.</w:t>
          </w:r>
          <w:r w:rsidR="00B800DF">
            <w:t xml:space="preserve"> </w:t>
          </w:r>
          <w:r w:rsidR="00234821">
            <w:t>A</w:t>
          </w:r>
          <w:r>
            <w:t>n evaluation of the communication strategies used during this transition reveals further complexity. While front-line supervisors effectively communicated daily updates and expectations, messaging from senior leadership lacked consistency and transparency. This disconnect fed a perception of top-down control rather than inclusive transformation, intensifying employee anxiety and suspicion. Consistent, multi-channel communication from leadership, with opportunities for bottom-up feedback, would have improved change receptivity and alignment with strategic goals.</w:t>
          </w:r>
        </w:p>
        <w:p w14:paraId="0AB5761F" w14:textId="43B9C935" w:rsidR="008D52D4" w:rsidRPr="00312A06" w:rsidRDefault="008D52D4" w:rsidP="00753B41">
          <w:r w:rsidRPr="008D52D4">
            <w:t xml:space="preserve">Another key challenge during AML’s transformation was the limited capacity for change readiness across teams unfamiliar with agile working methods. The luxury automotive sector has traditionally emphasised craftsmanship and precision over speed and scalability, creating a cultural resistance to leaner and more adaptive methodologies. According to </w:t>
          </w:r>
          <w:r w:rsidRPr="003F1C66">
            <w:t xml:space="preserve">Burnes </w:t>
          </w:r>
          <w:sdt>
            <w:sdtPr>
              <w:id w:val="1465541395"/>
              <w:citation/>
            </w:sdtPr>
            <w:sdtContent>
              <w:r w:rsidR="003F1C66">
                <w:fldChar w:fldCharType="begin"/>
              </w:r>
              <w:r w:rsidR="003F1C66">
                <w:instrText xml:space="preserve"> CITATION Bur17 \l 2057 </w:instrText>
              </w:r>
              <w:r w:rsidR="003F1C66">
                <w:fldChar w:fldCharType="separate"/>
              </w:r>
              <w:r w:rsidR="008F3A2B" w:rsidRPr="008F3A2B">
                <w:rPr>
                  <w:noProof/>
                </w:rPr>
                <w:t>(Burnes, 2017)</w:t>
              </w:r>
              <w:r w:rsidR="003F1C66">
                <w:fldChar w:fldCharType="end"/>
              </w:r>
            </w:sdtContent>
          </w:sdt>
          <w:r w:rsidRPr="003F1C66">
            <w:t>,</w:t>
          </w:r>
          <w:r w:rsidRPr="008D52D4">
            <w:t xml:space="preserve"> organisational culture plays a pivotal role in determining the success or failure of change efforts, as deeply embedded </w:t>
          </w:r>
          <w:r w:rsidRPr="008D52D4">
            <w:lastRenderedPageBreak/>
            <w:t xml:space="preserve">values and norms often act as powerful restraining forces. In AML’s case, the push for greater takt adherence and workflow standardisation conflicted with long-standing artisan practices, resulting in operational friction and morale concerns. </w:t>
          </w:r>
          <w:r>
            <w:t>W</w:t>
          </w:r>
          <w:r w:rsidRPr="008D52D4">
            <w:t>hile AML aimed to reposition itself as a forward-facing, efficient manufacturer, its internal communication and recognition mechanisms did not consistently reflect this shift in identity. The absence of symbolic reinforcement</w:t>
          </w:r>
          <w:r>
            <w:t xml:space="preserve">, </w:t>
          </w:r>
          <w:r w:rsidRPr="008D52D4">
            <w:t>such as leadership visibly modelling new behaviours or celebrating early adopters</w:t>
          </w:r>
          <w:r>
            <w:t xml:space="preserve">, </w:t>
          </w:r>
          <w:r w:rsidRPr="008D52D4">
            <w:t xml:space="preserve">dampened motivation. Aligning symbolic actions with strategic objectives is essential to demonstrate credibility and build trust during periods of uncertainty </w:t>
          </w:r>
          <w:sdt>
            <w:sdtPr>
              <w:id w:val="-1658457433"/>
              <w:citation/>
            </w:sdtPr>
            <w:sdtContent>
              <w:r w:rsidR="003F1C66">
                <w:fldChar w:fldCharType="begin"/>
              </w:r>
              <w:r w:rsidR="003F1C66">
                <w:instrText xml:space="preserve"> CITATION Bur17 \l 2057 </w:instrText>
              </w:r>
              <w:r w:rsidR="003F1C66">
                <w:fldChar w:fldCharType="separate"/>
              </w:r>
              <w:r w:rsidR="008F3A2B" w:rsidRPr="008F3A2B">
                <w:rPr>
                  <w:noProof/>
                </w:rPr>
                <w:t>(Burnes, 2017)</w:t>
              </w:r>
              <w:r w:rsidR="003F1C66">
                <w:fldChar w:fldCharType="end"/>
              </w:r>
            </w:sdtContent>
          </w:sdt>
          <w:r w:rsidR="003F1C66">
            <w:t>.</w:t>
          </w:r>
        </w:p>
        <w:p w14:paraId="05CF1B62" w14:textId="4DBE9255" w:rsidR="000A1F76" w:rsidRPr="007E517D" w:rsidRDefault="000A1F76" w:rsidP="001208FE">
          <w:pPr>
            <w:pStyle w:val="Heading2"/>
          </w:pPr>
          <w:bookmarkStart w:id="4" w:name="_Toc197113326"/>
          <w:r w:rsidRPr="007E517D">
            <w:t>Lewin’s Force Field Analysis</w:t>
          </w:r>
          <w:bookmarkEnd w:id="4"/>
        </w:p>
        <w:p w14:paraId="7A087981" w14:textId="2EEB60E0" w:rsidR="00B15264" w:rsidRDefault="00B15264" w:rsidP="00235E5A">
          <w:r w:rsidRPr="003F1C66">
            <w:t xml:space="preserve">Lewin’s Force Field Analysis </w:t>
          </w:r>
          <w:sdt>
            <w:sdtPr>
              <w:id w:val="1845667180"/>
              <w:citation/>
            </w:sdtPr>
            <w:sdtContent>
              <w:r w:rsidR="00CD6B12">
                <w:fldChar w:fldCharType="begin"/>
              </w:r>
              <w:r w:rsidR="00CD6B12">
                <w:instrText xml:space="preserve"> CITATION Lew51 \l 2057 </w:instrText>
              </w:r>
              <w:r w:rsidR="00CD6B12">
                <w:fldChar w:fldCharType="separate"/>
              </w:r>
              <w:r w:rsidR="008F3A2B" w:rsidRPr="008F3A2B">
                <w:rPr>
                  <w:noProof/>
                </w:rPr>
                <w:t>(Lewin, 1951)</w:t>
              </w:r>
              <w:r w:rsidR="00CD6B12">
                <w:fldChar w:fldCharType="end"/>
              </w:r>
            </w:sdtContent>
          </w:sdt>
          <w:r w:rsidRPr="00B15264">
            <w:t xml:space="preserve"> offers a structured framework for evaluating the driving and resisting forces during organisational change, which was applied to assess AML’s recent initiatives. At AML, the driving forces comprised </w:t>
          </w:r>
          <w:r>
            <w:t>intense</w:t>
          </w:r>
          <w:r w:rsidRPr="00B15264">
            <w:t xml:space="preserve"> market pressures for flexibility and agility, technological advancements, clear leadership commitment at the operational level, and objectives aimed at enhancing quality and production efficiency</w:t>
          </w:r>
          <w:r w:rsidR="00235E5A">
            <w:t xml:space="preserve">. </w:t>
          </w:r>
          <w:r w:rsidRPr="00B15264">
            <w:t>Conversely, the resisting forces included employee concerns about job security, insufficient initial training, rigid workflow processes, and entrenched cultural norms resistant to altering established practices. While Lewin’s model provided a foundational perspective for understanding these dynamics, its static nature posed a key limitation. It failed to fully account for the evolving patterns of resistance encountered at AML, where initial fears around redundancy gradually shifted towards dissatisfaction with the quality of training programmes and long-standing process inefficiencies, which had not previously been prioritised by management due to a historic focus on achieving fixed production volumes per business quarter</w:t>
          </w:r>
          <w:r w:rsidR="00264600">
            <w:t xml:space="preserve"> and not the </w:t>
          </w:r>
          <w:r w:rsidR="00733798">
            <w:t>right first time or defects per vehicle coming off the end of production</w:t>
          </w:r>
          <w:r w:rsidRPr="00B15264">
            <w:t xml:space="preserve">. Addressing these challenges necessitates reinforcing the driving forces through more dynamic strategies. Recommendations include enhancing communication efforts and delivering targeted employee development initiatives to strengthen engagement and reduce resistance. </w:t>
          </w:r>
          <w:r w:rsidR="00B7525C">
            <w:t>E</w:t>
          </w:r>
          <w:r w:rsidRPr="00B15264">
            <w:t>mbedding proactive engagement mechanisms such as iterative feedback loops</w:t>
          </w:r>
          <w:r w:rsidR="00B7525C">
            <w:t>, like skip-level meetings,</w:t>
          </w:r>
          <w:r w:rsidRPr="00B15264">
            <w:t xml:space="preserve"> would enable AML to respond more effectively to emerging resistance throughout the change lifecycle, promoting a culture of continuous improvement </w:t>
          </w:r>
          <w:sdt>
            <w:sdtPr>
              <w:id w:val="-1574503159"/>
              <w:citation/>
            </w:sdtPr>
            <w:sdtContent>
              <w:r w:rsidR="00CD6B12" w:rsidRPr="00CD6B12">
                <w:fldChar w:fldCharType="begin"/>
              </w:r>
              <w:r w:rsidR="00CD6B12" w:rsidRPr="00CD6B12">
                <w:instrText xml:space="preserve"> CITATION Ind25 \l 2057 </w:instrText>
              </w:r>
              <w:r w:rsidR="00CD6B12" w:rsidRPr="00CD6B12">
                <w:fldChar w:fldCharType="separate"/>
              </w:r>
              <w:r w:rsidR="008F3A2B" w:rsidRPr="008F3A2B">
                <w:rPr>
                  <w:noProof/>
                </w:rPr>
                <w:t>(IndustryWeek, 2025)</w:t>
              </w:r>
              <w:r w:rsidR="00CD6B12" w:rsidRPr="00CD6B12">
                <w:fldChar w:fldCharType="end"/>
              </w:r>
            </w:sdtContent>
          </w:sdt>
          <w:r w:rsidRPr="00B15264">
            <w:t>. These adaptive measures would overcome the limitations of Lewin’s original model by introducing the flexibility required in AML’s complex manufacturing environment</w:t>
          </w:r>
          <w:r w:rsidR="00235E5A">
            <w:t>.</w:t>
          </w:r>
        </w:p>
        <w:p w14:paraId="56815BFC" w14:textId="2D9306DF" w:rsidR="00B800DF" w:rsidRDefault="00B800DF" w:rsidP="00235E5A">
          <w:r>
            <w:t xml:space="preserve">Additionally, AML's experience highlights the importance of recalibrating driving and restraining forces throughout the change lifecycle. The initial assessment under Lewin's model provided a valuable starting point; however, AML's failure to revisit and update this analysis mid-implementation meant that new resistance points went unaddressed. For example, as workflows shifted and expectations around digital reporting increased, some employees who were initially neutral became increasingly resistant due to perceived skill gaps and </w:t>
          </w:r>
          <w:r w:rsidR="00AA3621">
            <w:t xml:space="preserve">a </w:t>
          </w:r>
          <w:r>
            <w:t>lack of adequate digital support. This shift underlines the need for a more dynamic application of Lewin’s theory</w:t>
          </w:r>
          <w:r w:rsidR="009F3FAF">
            <w:t xml:space="preserve">, </w:t>
          </w:r>
          <w:r>
            <w:t xml:space="preserve">one that integrates real-time feedback and evolving contextual variables. To address this, AML could implement a rolling </w:t>
          </w:r>
          <w:r w:rsidRPr="001B5B74">
            <w:t>Force Field Analysis</w:t>
          </w:r>
          <w:r>
            <w:t xml:space="preserve">, </w:t>
          </w:r>
          <w:r w:rsidR="00220113">
            <w:t xml:space="preserve">which will be </w:t>
          </w:r>
          <w:r>
            <w:t>conducted at key implementation milestones. Such an approach would enable leadership to identify emerging friction points and reinforce positive momentum with data-informed interventions. This adjustment would also support the application of psychological safety principles, ensuring employees feel secure in expressing concerns and participating in the change process without fear of reprisal or marginalisation.</w:t>
          </w:r>
        </w:p>
        <w:p w14:paraId="026D286E" w14:textId="0345DF2C" w:rsidR="000A1F76" w:rsidRPr="007E517D" w:rsidRDefault="000A1F76" w:rsidP="00A337BF">
          <w:pPr>
            <w:pStyle w:val="Heading2"/>
          </w:pPr>
          <w:bookmarkStart w:id="5" w:name="_Toc197113327"/>
          <w:r w:rsidRPr="007E517D">
            <w:t>Kotter’s Eight-Step Change Model Analysis</w:t>
          </w:r>
          <w:bookmarkEnd w:id="5"/>
        </w:p>
        <w:p w14:paraId="316DC26B" w14:textId="0A295489" w:rsidR="000A1F76" w:rsidRPr="007E517D" w:rsidRDefault="00BD6B61" w:rsidP="000A1F76">
          <w:r w:rsidRPr="001B5B74">
            <w:t>Kotter’s Eight-Step Change Model</w:t>
          </w:r>
          <w:r w:rsidRPr="00BD6B61">
            <w:t xml:space="preserve"> </w:t>
          </w:r>
          <w:sdt>
            <w:sdtPr>
              <w:id w:val="-32814868"/>
              <w:citation/>
            </w:sdtPr>
            <w:sdtContent>
              <w:r w:rsidR="001B5B74">
                <w:fldChar w:fldCharType="begin"/>
              </w:r>
              <w:r w:rsidR="001B5B74">
                <w:instrText xml:space="preserve"> CITATION Kot96 \l 2057 </w:instrText>
              </w:r>
              <w:r w:rsidR="001B5B74">
                <w:fldChar w:fldCharType="separate"/>
              </w:r>
              <w:r w:rsidR="008F3A2B" w:rsidRPr="008F3A2B">
                <w:rPr>
                  <w:noProof/>
                </w:rPr>
                <w:t>(Kotter, 1996)</w:t>
              </w:r>
              <w:r w:rsidR="001B5B74">
                <w:fldChar w:fldCharType="end"/>
              </w:r>
            </w:sdtContent>
          </w:sdt>
          <w:r w:rsidR="001B5B74">
            <w:t xml:space="preserve"> </w:t>
          </w:r>
          <w:r w:rsidRPr="00BD6B61">
            <w:t xml:space="preserve">provided AML with a structured and sequential framework for managing its organisational change; however, its linear approach posed significant </w:t>
          </w:r>
          <w:r w:rsidRPr="00BD6B61">
            <w:lastRenderedPageBreak/>
            <w:t xml:space="preserve">limitations within AML’s dynamic manufacturing context. While the creation of urgency was effectively achieved through management briefings that emphasised market pressures, director-level engagement was inconsistent, leading to decision-making delays and critical initiatives being managed from the bottom up rather than </w:t>
          </w:r>
          <w:r w:rsidR="00105FA6">
            <w:t>top down</w:t>
          </w:r>
          <w:r w:rsidRPr="00BD6B61">
            <w:t xml:space="preserve"> as intended </w:t>
          </w:r>
          <w:sdt>
            <w:sdtPr>
              <w:id w:val="-1115363317"/>
              <w:citation/>
            </w:sdtPr>
            <w:sdtContent>
              <w:r w:rsidR="001B5B74">
                <w:fldChar w:fldCharType="begin"/>
              </w:r>
              <w:r w:rsidR="001B5B74">
                <w:instrText xml:space="preserve"> CITATION Pro25 \l 2057 </w:instrText>
              </w:r>
              <w:r w:rsidR="001B5B74">
                <w:fldChar w:fldCharType="separate"/>
              </w:r>
              <w:r w:rsidR="008F3A2B" w:rsidRPr="008F3A2B">
                <w:rPr>
                  <w:noProof/>
                </w:rPr>
                <w:t>(Prosci, 2025)</w:t>
              </w:r>
              <w:r w:rsidR="001B5B74">
                <w:fldChar w:fldCharType="end"/>
              </w:r>
            </w:sdtContent>
          </w:sdt>
          <w:r w:rsidRPr="00BD6B61">
            <w:t>. A guiding coalition was successfully established at operational levels, with multi-disciplinary teams collaborating across specified assembly areas</w:t>
          </w:r>
          <w:r w:rsidR="00E00E3B">
            <w:t xml:space="preserve"> </w:t>
          </w:r>
          <w:proofErr w:type="gramStart"/>
          <w:r w:rsidR="00E00E3B">
            <w:t>on a daily basis</w:t>
          </w:r>
          <w:proofErr w:type="gramEnd"/>
          <w:r w:rsidR="00105FA6">
            <w:t>. AML</w:t>
          </w:r>
          <w:r w:rsidRPr="00BD6B61">
            <w:t xml:space="preserve"> clearly articulated a vision focused on takt adherence, workforce efficiency, and quality improvements</w:t>
          </w:r>
          <w:r w:rsidR="00B8291E">
            <w:t xml:space="preserve"> without increasing the manufacturing cost per unit</w:t>
          </w:r>
          <w:r w:rsidRPr="00BD6B61">
            <w:t xml:space="preserve">. This vision was communicated effectively to operational staff but lacked consistency at senior management and engineering levels, undermining empowerment initiatives and </w:t>
          </w:r>
          <w:r w:rsidR="00105FA6">
            <w:t>training effectiveness</w:t>
          </w:r>
          <w:r w:rsidRPr="00BD6B61">
            <w:t xml:space="preserve">. Employee empowerment was only partially realised, as insufficient initial training for new processes led to frustrations around rigid workflows, exacerbating workforce resistance. Short-term wins were achieved, such as reduced defect rates and improved first-time-right assembly outcomes at the end-of-line secure gates </w:t>
          </w:r>
          <w:sdt>
            <w:sdtPr>
              <w:id w:val="815300378"/>
              <w:citation/>
            </w:sdtPr>
            <w:sdtContent>
              <w:r w:rsidR="001B5B74">
                <w:fldChar w:fldCharType="begin"/>
              </w:r>
              <w:r w:rsidR="001B5B74">
                <w:instrText xml:space="preserve"> CITATION Saf25 \l 2057 </w:instrText>
              </w:r>
              <w:r w:rsidR="001B5B74">
                <w:fldChar w:fldCharType="separate"/>
              </w:r>
              <w:r w:rsidR="008F3A2B" w:rsidRPr="008F3A2B">
                <w:rPr>
                  <w:noProof/>
                </w:rPr>
                <w:t>(Safety Culture, 2025)</w:t>
              </w:r>
              <w:r w:rsidR="001B5B74">
                <w:fldChar w:fldCharType="end"/>
              </w:r>
            </w:sdtContent>
          </w:sdt>
          <w:r w:rsidRPr="00BD6B61">
            <w:t xml:space="preserve">. However, the consolidation of these gains was hindered by overlapping implementation phases, causing confusion and disrupting momentum. Anchoring these changes into AML’s organisational culture remains an ongoing challenge, requiring enhanced director-level transformational leadership to champion and sustain cultural shifts </w:t>
          </w:r>
          <w:sdt>
            <w:sdtPr>
              <w:id w:val="-1447307094"/>
              <w:citation/>
            </w:sdtPr>
            <w:sdtContent>
              <w:r w:rsidR="001B5B74">
                <w:fldChar w:fldCharType="begin"/>
              </w:r>
              <w:r w:rsidR="001B5B74">
                <w:instrText xml:space="preserve"> CITATION Bas06 \l 2057 </w:instrText>
              </w:r>
              <w:r w:rsidR="001B5B74">
                <w:fldChar w:fldCharType="separate"/>
              </w:r>
              <w:r w:rsidR="008F3A2B" w:rsidRPr="008F3A2B">
                <w:rPr>
                  <w:noProof/>
                </w:rPr>
                <w:t>(Bass, 2006)</w:t>
              </w:r>
              <w:r w:rsidR="001B5B74">
                <w:fldChar w:fldCharType="end"/>
              </w:r>
            </w:sdtContent>
          </w:sdt>
          <w:r w:rsidRPr="00BD6B61">
            <w:t xml:space="preserve">. Additionally, AML’s future success depends on embedding iterative and flexible approaches, such as agile project management and lean manufacturing principles, to enhance adaptability amidst unpredictable supply chain disruptions </w:t>
          </w:r>
          <w:sdt>
            <w:sdtPr>
              <w:id w:val="1354681925"/>
              <w:citation/>
            </w:sdtPr>
            <w:sdtContent>
              <w:r w:rsidR="001B5B74" w:rsidRPr="009D07E6">
                <w:fldChar w:fldCharType="begin"/>
              </w:r>
              <w:r w:rsidR="001B5B74" w:rsidRPr="009D07E6">
                <w:instrText xml:space="preserve"> CITATION Cul25 \l 2057 </w:instrText>
              </w:r>
              <w:r w:rsidR="001B5B74" w:rsidRPr="009D07E6">
                <w:fldChar w:fldCharType="separate"/>
              </w:r>
              <w:r w:rsidR="008F3A2B" w:rsidRPr="008F3A2B">
                <w:rPr>
                  <w:noProof/>
                </w:rPr>
                <w:t>(Partners, 2025)</w:t>
              </w:r>
              <w:r w:rsidR="001B5B74" w:rsidRPr="009D07E6">
                <w:fldChar w:fldCharType="end"/>
              </w:r>
            </w:sdtContent>
          </w:sdt>
          <w:r w:rsidR="001B5B74" w:rsidRPr="009D07E6">
            <w:t>.</w:t>
          </w:r>
          <w:r w:rsidR="001B5B74">
            <w:t xml:space="preserve"> </w:t>
          </w:r>
          <w:r w:rsidRPr="00BD6B61">
            <w:t xml:space="preserve">Workforce dynamics played a crucial role in the change process. Applying Maslow’s Hierarchy of Needs, employee resistance can be attributed to fundamental concerns such as job security and safety (basic needs), inadequate training (esteem needs), and the absence of clear career progression pathways (self-actualisation). While operational managers employing transformational leadership addressed esteem and self-actualisation needs by involving employees more actively in decision-making, director-level leadership remained largely transactional, focusing on compliance and productivity. This gap in leadership approach contributed to ongoing resistance and limited the overall effectiveness of the change. Further recommendations include structured employee engagement programmes designed to align individual goals with organisational objectives, </w:t>
          </w:r>
          <w:r w:rsidR="00026333">
            <w:t>enhance</w:t>
          </w:r>
          <w:r w:rsidRPr="00BD6B61">
            <w:t xml:space="preserve"> motivational outcomes, and foster a culture of continuous improvement, ensuring that employees are both engaged and empowered to contribute to the organisation’s long-term success</w:t>
          </w:r>
          <w:r w:rsidR="000A1F76" w:rsidRPr="007E517D">
            <w:t>.</w:t>
          </w:r>
        </w:p>
        <w:p w14:paraId="5AC85870" w14:textId="77777777" w:rsidR="000A1F76" w:rsidRPr="007E517D" w:rsidRDefault="000A1F76" w:rsidP="00A337BF">
          <w:pPr>
            <w:pStyle w:val="Heading2"/>
          </w:pPr>
          <w:bookmarkStart w:id="6" w:name="_Toc197113328"/>
          <w:r w:rsidRPr="007E517D">
            <w:t>Additional Critical Evaluation: ADKAR Model</w:t>
          </w:r>
          <w:bookmarkEnd w:id="6"/>
        </w:p>
        <w:p w14:paraId="15E4DF99" w14:textId="0F47B010" w:rsidR="00954A51" w:rsidRDefault="005B6282" w:rsidP="00235E5A">
          <w:r w:rsidRPr="005B6282">
            <w:t xml:space="preserve">The ADKAR model (Awareness, Desire, Knowledge, Ability, Reinforcement) developed </w:t>
          </w:r>
          <w:r w:rsidRPr="009D07E6">
            <w:t>by Hiatt</w:t>
          </w:r>
          <w:r w:rsidRPr="005B6282">
            <w:t xml:space="preserve"> </w:t>
          </w:r>
          <w:sdt>
            <w:sdtPr>
              <w:id w:val="57219513"/>
              <w:citation/>
            </w:sdtPr>
            <w:sdtContent>
              <w:r w:rsidR="009D07E6">
                <w:fldChar w:fldCharType="begin"/>
              </w:r>
              <w:r w:rsidR="009D07E6">
                <w:instrText xml:space="preserve"> CITATION Hia06 \l 2057 </w:instrText>
              </w:r>
              <w:r w:rsidR="009D07E6">
                <w:fldChar w:fldCharType="separate"/>
              </w:r>
              <w:r w:rsidR="008F3A2B" w:rsidRPr="008F3A2B">
                <w:rPr>
                  <w:noProof/>
                </w:rPr>
                <w:t>(Hiatt, 2006)</w:t>
              </w:r>
              <w:r w:rsidR="009D07E6">
                <w:fldChar w:fldCharType="end"/>
              </w:r>
            </w:sdtContent>
          </w:sdt>
          <w:r w:rsidRPr="005B6282">
            <w:t xml:space="preserve">provided additional insights into AML’s change management approach, complementing other models applied during the organisational change. While AML successfully raised awareness of the need for change through management briefings and communication sessions, the desire phase proved significantly more challenging. Employee fears regarding job security, combined with inconsistencies in initial communication strategies, weakened engagement and limited the enthusiasm required for change adoption </w:t>
          </w:r>
          <w:sdt>
            <w:sdtPr>
              <w:id w:val="1035158064"/>
              <w:citation/>
            </w:sdtPr>
            <w:sdtContent>
              <w:r w:rsidR="009D07E6">
                <w:fldChar w:fldCharType="begin"/>
              </w:r>
              <w:r w:rsidR="009D07E6">
                <w:instrText xml:space="preserve"> CITATION Gag05 \l 2057 </w:instrText>
              </w:r>
              <w:r w:rsidR="009D07E6">
                <w:fldChar w:fldCharType="separate"/>
              </w:r>
              <w:r w:rsidR="008F3A2B" w:rsidRPr="008F3A2B">
                <w:rPr>
                  <w:noProof/>
                </w:rPr>
                <w:t>(Gagné, 2005)</w:t>
              </w:r>
              <w:r w:rsidR="009D07E6">
                <w:fldChar w:fldCharType="end"/>
              </w:r>
            </w:sdtContent>
          </w:sdt>
          <w:r w:rsidR="009D07E6">
            <w:t xml:space="preserve">. </w:t>
          </w:r>
          <w:r w:rsidRPr="005B6282">
            <w:t xml:space="preserve">Knowledge transfer, another critical ADKAR component, was only partially effective due to training inadequacies and a lack of consistent empowerment measures. Rigid workflows and limited opportunities for hands-on practice further constrained employees' ability to perform under the new processes, particularly in an environment where agility and flexibility are paramount. Reinforcement, the final and essential stage for embedding change, was inconsistent across AML, as recognition systems and continuous feedback mechanisms were either underdeveloped or inconsistently applied. This lack of reinforcement risked undermining the long-term sustainability of the organisational </w:t>
          </w:r>
          <w:r w:rsidRPr="009D07E6">
            <w:t xml:space="preserve">changes </w:t>
          </w:r>
          <w:sdt>
            <w:sdtPr>
              <w:id w:val="-1801517498"/>
              <w:citation/>
            </w:sdtPr>
            <w:sdtContent>
              <w:r w:rsidR="009D07E6" w:rsidRPr="009D07E6">
                <w:fldChar w:fldCharType="begin"/>
              </w:r>
              <w:r w:rsidR="009D07E6" w:rsidRPr="009D07E6">
                <w:instrText xml:space="preserve"> CITATION McK24 \l 2057 </w:instrText>
              </w:r>
              <w:r w:rsidR="009D07E6" w:rsidRPr="009D07E6">
                <w:fldChar w:fldCharType="separate"/>
              </w:r>
              <w:r w:rsidR="008F3A2B" w:rsidRPr="008F3A2B">
                <w:rPr>
                  <w:noProof/>
                </w:rPr>
                <w:t>(McKinsey &amp; Company , 2024)</w:t>
              </w:r>
              <w:r w:rsidR="009D07E6" w:rsidRPr="009D07E6">
                <w:fldChar w:fldCharType="end"/>
              </w:r>
            </w:sdtContent>
          </w:sdt>
          <w:r w:rsidRPr="009D07E6">
            <w:t>.</w:t>
          </w:r>
          <w:r w:rsidRPr="005B6282">
            <w:t xml:space="preserve"> Comparing ADKAR to Kotter’s Eight-Step Change Model highlighted AML’s need for a more flexible, person-centred approach that integrates reinforcement principles with agile change </w:t>
          </w:r>
          <w:r w:rsidRPr="005B6282">
            <w:lastRenderedPageBreak/>
            <w:t xml:space="preserve">management strategies, ensuring rapid adaptation to evolving market and operational demands. Furthermore, assessing the sustainability of AML’s changes, the shift towards improved workforce efficiency and production quality demonstrates early promise. However, to </w:t>
          </w:r>
          <w:r w:rsidR="00105FA6">
            <w:t>fully embed these practices into AML’s organisational culture, the company must enhance director-level leadership engagement, implement robust continuous improvement initiatives, and develop resilience-building mechanisms to</w:t>
          </w:r>
          <w:r w:rsidRPr="005B6282">
            <w:t xml:space="preserve"> withstand future market disruptions. </w:t>
          </w:r>
          <w:r w:rsidR="00105FA6">
            <w:t>A</w:t>
          </w:r>
          <w:r w:rsidRPr="005B6282">
            <w:t xml:space="preserve"> strategic focus on sustainable manufacturing practices, including environmentally friendly production techniques and robust supply chain management, will further solidify AML’s competitive position within the luxury automotive sector </w:t>
          </w:r>
          <w:sdt>
            <w:sdtPr>
              <w:id w:val="-852651726"/>
              <w:citation/>
            </w:sdtPr>
            <w:sdtContent>
              <w:r w:rsidR="009D07E6">
                <w:fldChar w:fldCharType="begin"/>
              </w:r>
              <w:r w:rsidR="009D07E6">
                <w:instrText xml:space="preserve"> CITATION Cul25 \l 2057 </w:instrText>
              </w:r>
              <w:r w:rsidR="009D07E6">
                <w:fldChar w:fldCharType="separate"/>
              </w:r>
              <w:r w:rsidR="008F3A2B" w:rsidRPr="008F3A2B">
                <w:rPr>
                  <w:noProof/>
                </w:rPr>
                <w:t>(Partners, 2025)</w:t>
              </w:r>
              <w:r w:rsidR="009D07E6">
                <w:fldChar w:fldCharType="end"/>
              </w:r>
            </w:sdtContent>
          </w:sdt>
          <w:r w:rsidR="009D07E6">
            <w:t>.</w:t>
          </w:r>
        </w:p>
        <w:p w14:paraId="63254540" w14:textId="4B444A58" w:rsidR="000A1F76" w:rsidRPr="00954A51" w:rsidRDefault="000A1F76" w:rsidP="00A337BF">
          <w:pPr>
            <w:pStyle w:val="Heading2"/>
            <w:rPr>
              <w:rFonts w:asciiTheme="minorHAnsi" w:eastAsiaTheme="minorHAnsi" w:hAnsiTheme="minorHAnsi" w:cstheme="minorBidi"/>
              <w:color w:val="auto"/>
              <w:sz w:val="22"/>
              <w:szCs w:val="22"/>
            </w:rPr>
          </w:pPr>
          <w:bookmarkStart w:id="7" w:name="_Toc197113329"/>
          <w:r w:rsidRPr="007E517D">
            <w:t>Case Study Comparison: Jaguar Land Rover</w:t>
          </w:r>
          <w:bookmarkEnd w:id="7"/>
        </w:p>
        <w:p w14:paraId="27DE8BD5" w14:textId="5C2BA3F7" w:rsidR="000A1F76" w:rsidRDefault="001A2283" w:rsidP="000A1F76">
          <w:r w:rsidRPr="001A2283">
            <w:t xml:space="preserve">Jaguar Land Rover </w:t>
          </w:r>
          <w:sdt>
            <w:sdtPr>
              <w:id w:val="1221321746"/>
              <w:citation/>
            </w:sdtPr>
            <w:sdtContent>
              <w:r w:rsidR="008F3A2B">
                <w:fldChar w:fldCharType="begin"/>
              </w:r>
              <w:r w:rsidR="008F3A2B">
                <w:instrText xml:space="preserve"> CITATION Jag25 \l 2057 </w:instrText>
              </w:r>
              <w:r w:rsidR="008F3A2B">
                <w:fldChar w:fldCharType="separate"/>
              </w:r>
              <w:r w:rsidR="008F3A2B" w:rsidRPr="008F3A2B">
                <w:rPr>
                  <w:noProof/>
                </w:rPr>
                <w:t>(Jaguar Land Rover, 2025)</w:t>
              </w:r>
              <w:r w:rsidR="008F3A2B">
                <w:fldChar w:fldCharType="end"/>
              </w:r>
            </w:sdtContent>
          </w:sdt>
          <w:r w:rsidR="008F3A2B">
            <w:t xml:space="preserve"> </w:t>
          </w:r>
          <w:r w:rsidRPr="001A2283">
            <w:t xml:space="preserve">provides a relevant comparative case study for AML, having successfully navigated similar organisational changes within the luxury automotive sector in response to growing industry pressures. JLR’s approach centred around integrating flexible manufacturing processes, robust workforce management strategies, and, crucially, fostering a culture of continuous improvement </w:t>
          </w:r>
          <w:sdt>
            <w:sdtPr>
              <w:id w:val="1108773864"/>
              <w:citation/>
            </w:sdtPr>
            <w:sdtContent>
              <w:r w:rsidR="009D07E6">
                <w:fldChar w:fldCharType="begin"/>
              </w:r>
              <w:r w:rsidR="009D07E6">
                <w:instrText xml:space="preserve"> CITATION Cul25 \l 2057 </w:instrText>
              </w:r>
              <w:r w:rsidR="009D07E6">
                <w:fldChar w:fldCharType="separate"/>
              </w:r>
              <w:r w:rsidR="008F3A2B" w:rsidRPr="008F3A2B">
                <w:rPr>
                  <w:noProof/>
                </w:rPr>
                <w:t>(Partners, 2025)</w:t>
              </w:r>
              <w:r w:rsidR="009D07E6">
                <w:fldChar w:fldCharType="end"/>
              </w:r>
            </w:sdtContent>
          </w:sdt>
          <w:r w:rsidRPr="001A2283">
            <w:t xml:space="preserve">. A key element of JLR’s success was intensive early-stage employee involvement, ensuring that staff at all levels were engaged from the outset of the change process. This involvement was complemented by transparent communication strategies from senior leadership, which aligned organisational objectives with workforce expectations, reducing resistance and fostering a shared commitment to transformation. Additionally, JLR embedded rigorous continuous improvement frameworks that allowed for iterative adaptation to market and operational challenges, ensuring long-term sustainability. These practices offer valuable lessons for AML, where leadership engagement gaps and motivational </w:t>
          </w:r>
          <w:r>
            <w:t>difficulties</w:t>
          </w:r>
          <w:r w:rsidRPr="001A2283">
            <w:t xml:space="preserve"> have hindered the full effectiveness of recent change initiatives. By adopting JLR’s model of transparent leadership communication, proactive employee engagement, and iterative change management, AML can bridge these gaps and foster a stronger culture of empowerment and adaptability. Aligning director-level leadership more closely with operational initiatives will </w:t>
          </w:r>
          <w:r>
            <w:t>enhance engagement and</w:t>
          </w:r>
          <w:r w:rsidRPr="001A2283">
            <w:t xml:space="preserve"> ensure that strategic objectives are consistently translated into practical outcomes on the shop floor. This alignment is essential for AML to position itself competitively within the luxury automotive sector, particularly as the market continues to evolve toward </w:t>
          </w:r>
          <w:r>
            <w:t>more significant</w:t>
          </w:r>
          <w:r w:rsidRPr="001A2283">
            <w:t xml:space="preserve"> demand for agility, sustainability, and operational resilience</w:t>
          </w:r>
          <w:r w:rsidR="000A1F76" w:rsidRPr="007E517D">
            <w:t>.</w:t>
          </w:r>
        </w:p>
        <w:p w14:paraId="38ED67D4" w14:textId="77777777" w:rsidR="00235E5A" w:rsidRDefault="00235E5A" w:rsidP="000A1F76"/>
        <w:p w14:paraId="684DFEFD" w14:textId="77777777" w:rsidR="00235E5A" w:rsidRDefault="00235E5A" w:rsidP="000A1F76"/>
        <w:p w14:paraId="06736132" w14:textId="77777777" w:rsidR="00235E5A" w:rsidRDefault="00235E5A" w:rsidP="000A1F76"/>
        <w:p w14:paraId="0DBEE938" w14:textId="77777777" w:rsidR="00235E5A" w:rsidRDefault="00235E5A" w:rsidP="000A1F76"/>
        <w:p w14:paraId="2A8DAEE8" w14:textId="77777777" w:rsidR="00235E5A" w:rsidRDefault="00235E5A" w:rsidP="000A1F76"/>
        <w:p w14:paraId="672B7768" w14:textId="77777777" w:rsidR="00235E5A" w:rsidRDefault="00235E5A" w:rsidP="000A1F76"/>
        <w:p w14:paraId="2B9F273A" w14:textId="77777777" w:rsidR="00235E5A" w:rsidRDefault="00235E5A" w:rsidP="000A1F76"/>
        <w:p w14:paraId="65121FF1" w14:textId="77777777" w:rsidR="00784F0D" w:rsidRDefault="00784F0D" w:rsidP="000A1F76"/>
        <w:p w14:paraId="50411F25" w14:textId="77777777" w:rsidR="00784F0D" w:rsidRDefault="00784F0D" w:rsidP="000A1F76"/>
        <w:p w14:paraId="20A97757" w14:textId="77777777" w:rsidR="00784F0D" w:rsidRPr="007E517D" w:rsidRDefault="00784F0D" w:rsidP="000A1F76"/>
        <w:p w14:paraId="1FA72D38" w14:textId="77777777" w:rsidR="000A1F76" w:rsidRPr="007E517D" w:rsidRDefault="000A1F76" w:rsidP="009B0CFA">
          <w:pPr>
            <w:pStyle w:val="Heading2"/>
          </w:pPr>
          <w:bookmarkStart w:id="8" w:name="_Toc197113330"/>
          <w:r w:rsidRPr="007E517D">
            <w:lastRenderedPageBreak/>
            <w:t>Conclusion</w:t>
          </w:r>
          <w:bookmarkEnd w:id="8"/>
        </w:p>
        <w:p w14:paraId="678C1B2E" w14:textId="397D0498" w:rsidR="00A53BB1" w:rsidRPr="00A53BB1" w:rsidRDefault="00A53BB1" w:rsidP="00A53BB1">
          <w:r w:rsidRPr="00A53BB1">
            <w:t>In conclusion, Aston Martin Lagonda’s recent organisational transformation represents a significant response to shifting market dynamics and operational pressures. The application of Lewin’s Force Field Analysis, Kotter’s Eight-Step Model, and the ADKAR framework provided a robust foundation for evaluating the effectiveness of change initiatives. While early outcomes indicate gains in operational efficiency and production quality, deeper systemic issues</w:t>
          </w:r>
          <w:r w:rsidR="009D07E6">
            <w:t xml:space="preserve">, </w:t>
          </w:r>
          <w:r w:rsidRPr="00A53BB1">
            <w:t>such as inconsistent director-level engagement, insufficient employee development, and cultural inertia</w:t>
          </w:r>
          <w:r w:rsidR="008F3A2B">
            <w:t>,</w:t>
          </w:r>
          <w:r w:rsidR="009D07E6">
            <w:t xml:space="preserve"> </w:t>
          </w:r>
          <w:r w:rsidRPr="00A53BB1">
            <w:t>have constrained the full realisation of strategic objectives.</w:t>
          </w:r>
        </w:p>
        <w:p w14:paraId="55D1DCED" w14:textId="2D9DBFA1" w:rsidR="00AA3621" w:rsidRDefault="00A53BB1" w:rsidP="0068510A">
          <w:r w:rsidRPr="00A53BB1">
            <w:t>To sustain momentum, AML must embed transformational leadership practices that align strategic intent with operational behaviours, particularly by fostering a culture of psychological safety and continuous feedback. Iterative change mechanisms, such as rolling Force Field Analyses and agile project methodologies, will support responsiveness in a volatile market. Furthermore, linking change efforts to intrinsic motivational drivers</w:t>
          </w:r>
          <w:r w:rsidR="00AA3E5B">
            <w:t xml:space="preserve"> will strengthen employee alignment and organisational resilience while addressing foundational needs such as job security and skills development</w:t>
          </w:r>
          <w:r w:rsidRPr="00A53BB1">
            <w:t>.</w:t>
          </w:r>
          <w:r w:rsidR="00FC3002">
            <w:t xml:space="preserve"> </w:t>
          </w:r>
          <w:r w:rsidRPr="00A53BB1">
            <w:t>Looking ahead, external factors</w:t>
          </w:r>
          <w:r w:rsidR="008F3A2B">
            <w:t>, including global trade uncertainties and future regulatory shifts,</w:t>
          </w:r>
          <w:r w:rsidR="009D07E6">
            <w:t xml:space="preserve"> </w:t>
          </w:r>
          <w:r w:rsidRPr="00A53BB1">
            <w:t>will necessitate further organisational agility. By investing in inclusive leadership, adaptive systems, and employee-centred strategies, AML can position itself not only to weather future disruption but to thrive as a benchmark for operational excellence within the luxury automotive sector.</w:t>
          </w:r>
        </w:p>
        <w:p w14:paraId="76BBEE4F" w14:textId="0E696E82" w:rsidR="00784F0D" w:rsidRDefault="00FC3002" w:rsidP="0068510A">
          <w:r w:rsidRPr="00FC3002">
            <w:t>This analysis deepened my understanding of how change management theory intersects with real-world organisational dynamics. Drawing on my professional experience at AML allowed me to critically evaluate both strategic intent and implementation barriers through a practitioner’s lens. The assignment reinforced the value of adaptive leadership, employee engagement, and communication in navigating complex change. Going forward, I intend to apply these insights to lead cross-functional projects with greater empathy, strategic awareness, and a focus on building resilient, change-ready teams.</w:t>
          </w:r>
        </w:p>
        <w:p w14:paraId="2D42CB68" w14:textId="77777777" w:rsidR="00784F0D" w:rsidRDefault="00784F0D" w:rsidP="0068510A"/>
        <w:p w14:paraId="229447DC" w14:textId="77777777" w:rsidR="00784F0D" w:rsidRDefault="00784F0D" w:rsidP="0068510A"/>
        <w:p w14:paraId="53B9A8C3" w14:textId="77777777" w:rsidR="00784F0D" w:rsidRDefault="00784F0D" w:rsidP="0068510A"/>
        <w:p w14:paraId="72A80052" w14:textId="77777777" w:rsidR="00784F0D" w:rsidRDefault="00784F0D" w:rsidP="0068510A"/>
        <w:p w14:paraId="1F170895" w14:textId="77777777" w:rsidR="00FC3002" w:rsidRDefault="00FC3002" w:rsidP="0068510A"/>
        <w:p w14:paraId="0DFE66CD" w14:textId="77777777" w:rsidR="00FC3002" w:rsidRDefault="00FC3002" w:rsidP="0068510A"/>
        <w:p w14:paraId="5352978B" w14:textId="77777777" w:rsidR="00FC3002" w:rsidRDefault="00FC3002" w:rsidP="0068510A"/>
        <w:p w14:paraId="072F5AE1" w14:textId="77777777" w:rsidR="00FC3002" w:rsidRDefault="00FC3002" w:rsidP="0068510A"/>
        <w:p w14:paraId="429C0189" w14:textId="77777777" w:rsidR="00784F0D" w:rsidRDefault="00784F0D" w:rsidP="0068510A"/>
        <w:p w14:paraId="1206C0B8" w14:textId="3CAB52A9" w:rsidR="00784F0D" w:rsidRDefault="00784F0D" w:rsidP="00784F0D">
          <w:pPr>
            <w:pStyle w:val="Heading1"/>
          </w:pPr>
        </w:p>
        <w:p w14:paraId="1A017204" w14:textId="77777777" w:rsidR="008F3A2B" w:rsidRDefault="008F3A2B" w:rsidP="008F3A2B"/>
        <w:p w14:paraId="72C1D852" w14:textId="77777777" w:rsidR="008F3A2B" w:rsidRPr="008F3A2B" w:rsidRDefault="008F3A2B" w:rsidP="008F3A2B"/>
        <w:bookmarkStart w:id="9" w:name="_Toc197113331" w:displacedByCustomXml="next"/>
        <w:sdt>
          <w:sdtPr>
            <w:id w:val="1288933051"/>
            <w:docPartObj>
              <w:docPartGallery w:val="Bibliographies"/>
              <w:docPartUnique/>
            </w:docPartObj>
          </w:sdtPr>
          <w:sdtEndPr>
            <w:rPr>
              <w:rFonts w:asciiTheme="minorHAnsi" w:eastAsiaTheme="minorHAnsi" w:hAnsiTheme="minorHAnsi" w:cstheme="minorBidi"/>
              <w:color w:val="auto"/>
              <w:sz w:val="22"/>
              <w:szCs w:val="22"/>
            </w:rPr>
          </w:sdtEndPr>
          <w:sdtContent>
            <w:p w14:paraId="432BF3EB" w14:textId="5E0FFD00" w:rsidR="008F3A2B" w:rsidRDefault="008F3A2B">
              <w:pPr>
                <w:pStyle w:val="Heading1"/>
              </w:pPr>
              <w:r>
                <w:t>Bibliography</w:t>
              </w:r>
              <w:bookmarkEnd w:id="9"/>
            </w:p>
            <w:sdt>
              <w:sdtPr>
                <w:id w:val="111145805"/>
                <w:bibliography/>
              </w:sdtPr>
              <w:sdtContent>
                <w:p w14:paraId="70C11009" w14:textId="77777777" w:rsidR="008F3A2B" w:rsidRDefault="008F3A2B" w:rsidP="008F3A2B">
                  <w:pPr>
                    <w:pStyle w:val="Bibliography"/>
                    <w:rPr>
                      <w:noProof/>
                      <w:sz w:val="24"/>
                      <w:szCs w:val="24"/>
                    </w:rPr>
                  </w:pPr>
                  <w:r>
                    <w:fldChar w:fldCharType="begin"/>
                  </w:r>
                  <w:r>
                    <w:instrText>BIBLIOGRAPHY</w:instrText>
                  </w:r>
                  <w:r>
                    <w:fldChar w:fldCharType="separate"/>
                  </w:r>
                  <w:r>
                    <w:rPr>
                      <w:noProof/>
                    </w:rPr>
                    <w:t xml:space="preserve">Armenakis, A. a. H. S., 2009. Reflections: our journey in organizational change research and practice. </w:t>
                  </w:r>
                  <w:r>
                    <w:rPr>
                      <w:i/>
                      <w:iCs/>
                      <w:noProof/>
                    </w:rPr>
                    <w:t xml:space="preserve">Journal of Change Management, </w:t>
                  </w:r>
                  <w:r>
                    <w:rPr>
                      <w:noProof/>
                    </w:rPr>
                    <w:t>9(2), pp. 127-142.</w:t>
                  </w:r>
                </w:p>
                <w:p w14:paraId="399129EC" w14:textId="77777777" w:rsidR="008F3A2B" w:rsidRDefault="008F3A2B" w:rsidP="008F3A2B">
                  <w:pPr>
                    <w:pStyle w:val="Bibliography"/>
                    <w:rPr>
                      <w:noProof/>
                    </w:rPr>
                  </w:pPr>
                  <w:r>
                    <w:rPr>
                      <w:noProof/>
                    </w:rPr>
                    <w:t xml:space="preserve">Aston Martin Lagonda , 2025. </w:t>
                  </w:r>
                  <w:r>
                    <w:rPr>
                      <w:i/>
                      <w:iCs/>
                      <w:noProof/>
                    </w:rPr>
                    <w:t xml:space="preserve">Regulatory News. </w:t>
                  </w:r>
                  <w:r>
                    <w:rPr>
                      <w:noProof/>
                    </w:rPr>
                    <w:t xml:space="preserve">[Online] </w:t>
                  </w:r>
                  <w:r>
                    <w:rPr>
                      <w:noProof/>
                    </w:rPr>
                    <w:br/>
                    <w:t xml:space="preserve">Available at: </w:t>
                  </w:r>
                  <w:r>
                    <w:rPr>
                      <w:noProof/>
                      <w:u w:val="single"/>
                    </w:rPr>
                    <w:t>https://www.astonmartin.com/en/corporate/investors/regulatory-news</w:t>
                  </w:r>
                  <w:r>
                    <w:rPr>
                      <w:noProof/>
                    </w:rPr>
                    <w:br/>
                    <w:t>[Accessed April 2025].</w:t>
                  </w:r>
                </w:p>
                <w:p w14:paraId="110217EE" w14:textId="77777777" w:rsidR="008F3A2B" w:rsidRDefault="008F3A2B" w:rsidP="008F3A2B">
                  <w:pPr>
                    <w:pStyle w:val="Bibliography"/>
                    <w:rPr>
                      <w:noProof/>
                    </w:rPr>
                  </w:pPr>
                  <w:r>
                    <w:rPr>
                      <w:noProof/>
                    </w:rPr>
                    <w:t xml:space="preserve">Bass, B. &amp;. R. R., 2006. </w:t>
                  </w:r>
                  <w:r>
                    <w:rPr>
                      <w:i/>
                      <w:iCs/>
                      <w:noProof/>
                    </w:rPr>
                    <w:t xml:space="preserve">Transformational Leadership. </w:t>
                  </w:r>
                  <w:r>
                    <w:rPr>
                      <w:noProof/>
                    </w:rPr>
                    <w:t>2nd ed. Mahwah, NJ: Lawrence Erlbaum Associates.</w:t>
                  </w:r>
                </w:p>
                <w:p w14:paraId="185CCD18" w14:textId="77777777" w:rsidR="008F3A2B" w:rsidRDefault="008F3A2B" w:rsidP="008F3A2B">
                  <w:pPr>
                    <w:pStyle w:val="Bibliography"/>
                    <w:rPr>
                      <w:noProof/>
                    </w:rPr>
                  </w:pPr>
                  <w:r>
                    <w:rPr>
                      <w:noProof/>
                    </w:rPr>
                    <w:t xml:space="preserve">Burnes, B., 2017. </w:t>
                  </w:r>
                  <w:r>
                    <w:rPr>
                      <w:i/>
                      <w:iCs/>
                      <w:noProof/>
                    </w:rPr>
                    <w:t xml:space="preserve">Managing change. </w:t>
                  </w:r>
                  <w:r>
                    <w:rPr>
                      <w:noProof/>
                    </w:rPr>
                    <w:t>7th ed. Harlow: Pearson Education.</w:t>
                  </w:r>
                </w:p>
                <w:p w14:paraId="3B34DE12" w14:textId="77777777" w:rsidR="008F3A2B" w:rsidRDefault="008F3A2B" w:rsidP="008F3A2B">
                  <w:pPr>
                    <w:pStyle w:val="Bibliography"/>
                    <w:rPr>
                      <w:noProof/>
                    </w:rPr>
                  </w:pPr>
                  <w:r>
                    <w:rPr>
                      <w:noProof/>
                    </w:rPr>
                    <w:t xml:space="preserve">Gagné, M. &amp;. D. E., 2005. Self-determination theory and work motivation. </w:t>
                  </w:r>
                  <w:r>
                    <w:rPr>
                      <w:i/>
                      <w:iCs/>
                      <w:noProof/>
                    </w:rPr>
                    <w:t xml:space="preserve">Journal of Organizational Behavior, </w:t>
                  </w:r>
                  <w:r>
                    <w:rPr>
                      <w:noProof/>
                    </w:rPr>
                    <w:t>26(4), pp. 331-362.</w:t>
                  </w:r>
                </w:p>
                <w:p w14:paraId="763835E6" w14:textId="77777777" w:rsidR="008F3A2B" w:rsidRDefault="008F3A2B" w:rsidP="008F3A2B">
                  <w:pPr>
                    <w:pStyle w:val="Bibliography"/>
                    <w:rPr>
                      <w:noProof/>
                    </w:rPr>
                  </w:pPr>
                  <w:r>
                    <w:rPr>
                      <w:noProof/>
                    </w:rPr>
                    <w:t xml:space="preserve">Gagné, M. &amp;. H. R., 2025. What Leaders Get Wrong About Employee Motivation. </w:t>
                  </w:r>
                  <w:r>
                    <w:rPr>
                      <w:i/>
                      <w:iCs/>
                      <w:noProof/>
                    </w:rPr>
                    <w:t xml:space="preserve">MIT Sloan Management Review, </w:t>
                  </w:r>
                  <w:r>
                    <w:rPr>
                      <w:noProof/>
                    </w:rPr>
                    <w:t>65(2), pp. 45-52.</w:t>
                  </w:r>
                </w:p>
                <w:p w14:paraId="65789ED4" w14:textId="77777777" w:rsidR="008F3A2B" w:rsidRDefault="008F3A2B" w:rsidP="008F3A2B">
                  <w:pPr>
                    <w:pStyle w:val="Bibliography"/>
                    <w:rPr>
                      <w:noProof/>
                    </w:rPr>
                  </w:pPr>
                  <w:r>
                    <w:rPr>
                      <w:noProof/>
                    </w:rPr>
                    <w:t xml:space="preserve">Hiatt, J., 2006. </w:t>
                  </w:r>
                  <w:r>
                    <w:rPr>
                      <w:i/>
                      <w:iCs/>
                      <w:noProof/>
                    </w:rPr>
                    <w:t xml:space="preserve">ADKAR: A Model for Change in Business, Government and our Community. </w:t>
                  </w:r>
                  <w:r>
                    <w:rPr>
                      <w:noProof/>
                    </w:rPr>
                    <w:t>Loveland, Colorado: Prosci Learning Center Publications.</w:t>
                  </w:r>
                </w:p>
                <w:p w14:paraId="5F7228F8" w14:textId="77777777" w:rsidR="008F3A2B" w:rsidRDefault="008F3A2B" w:rsidP="008F3A2B">
                  <w:pPr>
                    <w:pStyle w:val="Bibliography"/>
                    <w:rPr>
                      <w:noProof/>
                    </w:rPr>
                  </w:pPr>
                  <w:r>
                    <w:rPr>
                      <w:noProof/>
                    </w:rPr>
                    <w:t xml:space="preserve">IndustryWeek, 2025. </w:t>
                  </w:r>
                  <w:r>
                    <w:rPr>
                      <w:i/>
                      <w:iCs/>
                      <w:noProof/>
                    </w:rPr>
                    <w:t xml:space="preserve">Continuous Improvement. </w:t>
                  </w:r>
                  <w:r>
                    <w:rPr>
                      <w:noProof/>
                    </w:rPr>
                    <w:t xml:space="preserve">[Online] </w:t>
                  </w:r>
                  <w:r>
                    <w:rPr>
                      <w:noProof/>
                    </w:rPr>
                    <w:br/>
                    <w:t xml:space="preserve">Available at: </w:t>
                  </w:r>
                  <w:r>
                    <w:rPr>
                      <w:noProof/>
                      <w:u w:val="single"/>
                    </w:rPr>
                    <w:t>https://www.industryweek.com/operations/continuous-improvement</w:t>
                  </w:r>
                  <w:r>
                    <w:rPr>
                      <w:noProof/>
                    </w:rPr>
                    <w:br/>
                    <w:t>[Accessed March 2025].</w:t>
                  </w:r>
                </w:p>
                <w:p w14:paraId="399A98E5" w14:textId="77777777" w:rsidR="008F3A2B" w:rsidRDefault="008F3A2B" w:rsidP="008F3A2B">
                  <w:pPr>
                    <w:pStyle w:val="Bibliography"/>
                    <w:rPr>
                      <w:noProof/>
                    </w:rPr>
                  </w:pPr>
                  <w:r>
                    <w:rPr>
                      <w:noProof/>
                    </w:rPr>
                    <w:t xml:space="preserve">Insights, G. M., 2025. </w:t>
                  </w:r>
                  <w:r>
                    <w:rPr>
                      <w:i/>
                      <w:iCs/>
                      <w:noProof/>
                    </w:rPr>
                    <w:t xml:space="preserve">Top 6 Challenges Faced by the Automotive Industry: The Post-COVID-19 Era. </w:t>
                  </w:r>
                  <w:r>
                    <w:rPr>
                      <w:noProof/>
                    </w:rPr>
                    <w:t xml:space="preserve">[Online] </w:t>
                  </w:r>
                  <w:r>
                    <w:rPr>
                      <w:noProof/>
                    </w:rPr>
                    <w:br/>
                    <w:t xml:space="preserve">Available at: </w:t>
                  </w:r>
                  <w:r>
                    <w:rPr>
                      <w:noProof/>
                      <w:u w:val="single"/>
                    </w:rPr>
                    <w:t>https://www.gminsights.com/blogs/top-challenges-in-the-automotive-industry-pre-COVID</w:t>
                  </w:r>
                  <w:r>
                    <w:rPr>
                      <w:noProof/>
                    </w:rPr>
                    <w:br/>
                    <w:t>[Accessed April 2025].</w:t>
                  </w:r>
                </w:p>
                <w:p w14:paraId="7AE86B1F" w14:textId="77777777" w:rsidR="008F3A2B" w:rsidRDefault="008F3A2B" w:rsidP="008F3A2B">
                  <w:pPr>
                    <w:pStyle w:val="Bibliography"/>
                    <w:rPr>
                      <w:noProof/>
                    </w:rPr>
                  </w:pPr>
                  <w:r>
                    <w:rPr>
                      <w:noProof/>
                    </w:rPr>
                    <w:t xml:space="preserve">Jaguar Land Rover, 2025. </w:t>
                  </w:r>
                  <w:r>
                    <w:rPr>
                      <w:i/>
                      <w:iCs/>
                      <w:noProof/>
                    </w:rPr>
                    <w:t xml:space="preserve">Investor Relations. </w:t>
                  </w:r>
                  <w:r>
                    <w:rPr>
                      <w:noProof/>
                    </w:rPr>
                    <w:t xml:space="preserve">[Online] </w:t>
                  </w:r>
                  <w:r>
                    <w:rPr>
                      <w:noProof/>
                    </w:rPr>
                    <w:br/>
                    <w:t xml:space="preserve">Available at: </w:t>
                  </w:r>
                  <w:r>
                    <w:rPr>
                      <w:noProof/>
                      <w:u w:val="single"/>
                    </w:rPr>
                    <w:t>https://www.jlr.com/investor-relations</w:t>
                  </w:r>
                  <w:r>
                    <w:rPr>
                      <w:noProof/>
                    </w:rPr>
                    <w:br/>
                    <w:t>[Accessed April 2025].</w:t>
                  </w:r>
                </w:p>
                <w:p w14:paraId="41626D9C" w14:textId="77777777" w:rsidR="008F3A2B" w:rsidRDefault="008F3A2B" w:rsidP="008F3A2B">
                  <w:pPr>
                    <w:pStyle w:val="Bibliography"/>
                    <w:rPr>
                      <w:noProof/>
                    </w:rPr>
                  </w:pPr>
                  <w:r>
                    <w:rPr>
                      <w:noProof/>
                    </w:rPr>
                    <w:t xml:space="preserve">Kotter, J., 1996. </w:t>
                  </w:r>
                  <w:r>
                    <w:rPr>
                      <w:i/>
                      <w:iCs/>
                      <w:noProof/>
                    </w:rPr>
                    <w:t xml:space="preserve">Leading Change. </w:t>
                  </w:r>
                  <w:r>
                    <w:rPr>
                      <w:noProof/>
                    </w:rPr>
                    <w:t>Boston: Harvard Business School Press.</w:t>
                  </w:r>
                </w:p>
                <w:p w14:paraId="7813E27E" w14:textId="77777777" w:rsidR="008F3A2B" w:rsidRDefault="008F3A2B" w:rsidP="008F3A2B">
                  <w:pPr>
                    <w:pStyle w:val="Bibliography"/>
                    <w:rPr>
                      <w:noProof/>
                    </w:rPr>
                  </w:pPr>
                  <w:r>
                    <w:rPr>
                      <w:noProof/>
                    </w:rPr>
                    <w:t xml:space="preserve">Lewin, K., 1951. </w:t>
                  </w:r>
                  <w:r>
                    <w:rPr>
                      <w:i/>
                      <w:iCs/>
                      <w:noProof/>
                    </w:rPr>
                    <w:t xml:space="preserve">Field Theory in Social Science: Selected Theoretical Papers. </w:t>
                  </w:r>
                  <w:r>
                    <w:rPr>
                      <w:noProof/>
                    </w:rPr>
                    <w:t>New York: Harper &amp; Row.</w:t>
                  </w:r>
                </w:p>
                <w:p w14:paraId="2DE50066" w14:textId="77777777" w:rsidR="008F3A2B" w:rsidRDefault="008F3A2B" w:rsidP="008F3A2B">
                  <w:pPr>
                    <w:pStyle w:val="Bibliography"/>
                    <w:rPr>
                      <w:noProof/>
                    </w:rPr>
                  </w:pPr>
                  <w:r>
                    <w:rPr>
                      <w:noProof/>
                    </w:rPr>
                    <w:t xml:space="preserve">McKinsey &amp; Company , 2024. </w:t>
                  </w:r>
                  <w:r>
                    <w:rPr>
                      <w:i/>
                      <w:iCs/>
                      <w:noProof/>
                    </w:rPr>
                    <w:t xml:space="preserve">'Going all in: Why employee 'will' can make or break transformations. </w:t>
                  </w:r>
                  <w:r>
                    <w:rPr>
                      <w:noProof/>
                    </w:rPr>
                    <w:t xml:space="preserve">[Online] </w:t>
                  </w:r>
                  <w:r>
                    <w:rPr>
                      <w:noProof/>
                    </w:rPr>
                    <w:br/>
                    <w:t xml:space="preserve">Available at: </w:t>
                  </w:r>
                  <w:r>
                    <w:rPr>
                      <w:noProof/>
                      <w:u w:val="single"/>
                    </w:rPr>
                    <w:t xml:space="preserve">https://www.mckinsey.com/capabilities/transformation/our-insights/going-all-in-why-employee-will-can-make-or-break-transformations </w:t>
                  </w:r>
                  <w:r>
                    <w:rPr>
                      <w:noProof/>
                    </w:rPr>
                    <w:br/>
                    <w:t>[Accessed March 2025].</w:t>
                  </w:r>
                </w:p>
                <w:p w14:paraId="454D1003" w14:textId="77777777" w:rsidR="008F3A2B" w:rsidRDefault="008F3A2B" w:rsidP="008F3A2B">
                  <w:pPr>
                    <w:pStyle w:val="Bibliography"/>
                    <w:rPr>
                      <w:noProof/>
                    </w:rPr>
                  </w:pPr>
                  <w:r>
                    <w:rPr>
                      <w:noProof/>
                    </w:rPr>
                    <w:t xml:space="preserve">Mullins, L. a. C. G., 2016. </w:t>
                  </w:r>
                  <w:r>
                    <w:rPr>
                      <w:i/>
                      <w:iCs/>
                      <w:noProof/>
                    </w:rPr>
                    <w:t xml:space="preserve">Management &amp; organisational behaviour. </w:t>
                  </w:r>
                  <w:r>
                    <w:rPr>
                      <w:noProof/>
                    </w:rPr>
                    <w:t>11th ed. s.l.:Pearson.</w:t>
                  </w:r>
                </w:p>
                <w:p w14:paraId="386C1D74" w14:textId="77777777" w:rsidR="008F3A2B" w:rsidRDefault="008F3A2B" w:rsidP="008F3A2B">
                  <w:pPr>
                    <w:pStyle w:val="Bibliography"/>
                    <w:rPr>
                      <w:noProof/>
                    </w:rPr>
                  </w:pPr>
                  <w:r>
                    <w:rPr>
                      <w:noProof/>
                    </w:rPr>
                    <w:t xml:space="preserve">Partners, C., 2025. </w:t>
                  </w:r>
                  <w:r>
                    <w:rPr>
                      <w:i/>
                      <w:iCs/>
                      <w:noProof/>
                    </w:rPr>
                    <w:t xml:space="preserve">The Top 7 Change Management Models for Effective Organizational Change. </w:t>
                  </w:r>
                  <w:r>
                    <w:rPr>
                      <w:noProof/>
                    </w:rPr>
                    <w:t xml:space="preserve">[Online] </w:t>
                  </w:r>
                  <w:r>
                    <w:rPr>
                      <w:noProof/>
                    </w:rPr>
                    <w:br/>
                    <w:t xml:space="preserve">Available at: </w:t>
                  </w:r>
                  <w:r>
                    <w:rPr>
                      <w:noProof/>
                      <w:u w:val="single"/>
                    </w:rPr>
                    <w:t>https://culturepartners.com/insights/the-top-7-change-management-models-for-effective-organizational-change</w:t>
                  </w:r>
                  <w:r>
                    <w:rPr>
                      <w:noProof/>
                    </w:rPr>
                    <w:br/>
                    <w:t>[Accessed March 2025].</w:t>
                  </w:r>
                </w:p>
                <w:p w14:paraId="26B2C73B" w14:textId="77777777" w:rsidR="008F3A2B" w:rsidRDefault="008F3A2B" w:rsidP="008F3A2B">
                  <w:pPr>
                    <w:pStyle w:val="Bibliography"/>
                    <w:rPr>
                      <w:noProof/>
                    </w:rPr>
                  </w:pPr>
                  <w:r>
                    <w:rPr>
                      <w:noProof/>
                    </w:rPr>
                    <w:lastRenderedPageBreak/>
                    <w:t xml:space="preserve">Prosci, 2025. </w:t>
                  </w:r>
                  <w:r>
                    <w:rPr>
                      <w:i/>
                      <w:iCs/>
                      <w:noProof/>
                    </w:rPr>
                    <w:t xml:space="preserve">Change Leadership: How to Lead Change as a Change Leader. </w:t>
                  </w:r>
                  <w:r>
                    <w:rPr>
                      <w:noProof/>
                    </w:rPr>
                    <w:t xml:space="preserve">[Online] </w:t>
                  </w:r>
                  <w:r>
                    <w:rPr>
                      <w:noProof/>
                    </w:rPr>
                    <w:br/>
                    <w:t xml:space="preserve">Available at: </w:t>
                  </w:r>
                  <w:r>
                    <w:rPr>
                      <w:noProof/>
                      <w:u w:val="single"/>
                    </w:rPr>
                    <w:t xml:space="preserve">https://www.prosci.com/blog/change-leadership </w:t>
                  </w:r>
                  <w:r>
                    <w:rPr>
                      <w:noProof/>
                    </w:rPr>
                    <w:br/>
                    <w:t>[Accessed April 2025].</w:t>
                  </w:r>
                </w:p>
                <w:p w14:paraId="3391DEFA" w14:textId="77777777" w:rsidR="008F3A2B" w:rsidRDefault="008F3A2B" w:rsidP="008F3A2B">
                  <w:pPr>
                    <w:pStyle w:val="Bibliography"/>
                    <w:rPr>
                      <w:noProof/>
                    </w:rPr>
                  </w:pPr>
                  <w:r>
                    <w:rPr>
                      <w:noProof/>
                    </w:rPr>
                    <w:t xml:space="preserve">Safety Culture, 2025. </w:t>
                  </w:r>
                  <w:r>
                    <w:rPr>
                      <w:i/>
                      <w:iCs/>
                      <w:noProof/>
                    </w:rPr>
                    <w:t xml:space="preserve">Continuous Improvement in Manufacturing: A Guide. </w:t>
                  </w:r>
                  <w:r>
                    <w:rPr>
                      <w:noProof/>
                    </w:rPr>
                    <w:t xml:space="preserve">[Online] </w:t>
                  </w:r>
                  <w:r>
                    <w:rPr>
                      <w:noProof/>
                    </w:rPr>
                    <w:br/>
                    <w:t xml:space="preserve">Available at: </w:t>
                  </w:r>
                  <w:r>
                    <w:rPr>
                      <w:noProof/>
                      <w:u w:val="single"/>
                    </w:rPr>
                    <w:t>https://safetyculture.com/topics/continuous-improvement-culture/continuous-improvement-in-manufacturing</w:t>
                  </w:r>
                  <w:r>
                    <w:rPr>
                      <w:noProof/>
                    </w:rPr>
                    <w:br/>
                    <w:t>[Accessed March 2025].</w:t>
                  </w:r>
                </w:p>
                <w:p w14:paraId="7E23EDAA" w14:textId="77777777" w:rsidR="008F3A2B" w:rsidRDefault="008F3A2B" w:rsidP="008F3A2B">
                  <w:pPr>
                    <w:pStyle w:val="Bibliography"/>
                    <w:rPr>
                      <w:noProof/>
                    </w:rPr>
                  </w:pPr>
                  <w:r>
                    <w:rPr>
                      <w:noProof/>
                    </w:rPr>
                    <w:t xml:space="preserve">The Guardian , 2025. </w:t>
                  </w:r>
                  <w:r>
                    <w:rPr>
                      <w:i/>
                      <w:iCs/>
                      <w:noProof/>
                    </w:rPr>
                    <w:t xml:space="preserve">'UK manufacturers to cut jobs 'within weeks unless ministers can strike trade deal. </w:t>
                  </w:r>
                  <w:r>
                    <w:rPr>
                      <w:noProof/>
                    </w:rPr>
                    <w:t xml:space="preserve">[Online] </w:t>
                  </w:r>
                  <w:r>
                    <w:rPr>
                      <w:noProof/>
                    </w:rPr>
                    <w:br/>
                    <w:t xml:space="preserve">Available at: </w:t>
                  </w:r>
                  <w:r>
                    <w:rPr>
                      <w:noProof/>
                      <w:u w:val="single"/>
                    </w:rPr>
                    <w:t>https://www.theguardian.com/business/2025/apr/22/uk-manufacturers-to-cut-jobs-within-weeks-unless-ministers-can-strike-trade-deal</w:t>
                  </w:r>
                  <w:r>
                    <w:rPr>
                      <w:noProof/>
                    </w:rPr>
                    <w:br/>
                    <w:t>[Accessed April 2025].</w:t>
                  </w:r>
                </w:p>
                <w:p w14:paraId="08394748" w14:textId="5BD38E89" w:rsidR="008F3A2B" w:rsidRDefault="008F3A2B" w:rsidP="008F3A2B">
                  <w:r>
                    <w:rPr>
                      <w:b/>
                      <w:bCs/>
                    </w:rPr>
                    <w:fldChar w:fldCharType="end"/>
                  </w:r>
                </w:p>
              </w:sdtContent>
            </w:sdt>
          </w:sdtContent>
        </w:sdt>
        <w:p w14:paraId="3C51F945" w14:textId="1C713059" w:rsidR="00B77BD9" w:rsidRDefault="000641AD" w:rsidP="00312A06"/>
      </w:sdtContent>
    </w:sdt>
    <w:p w14:paraId="70B4B6C5" w14:textId="3D58887F" w:rsidR="00DC60BE" w:rsidRPr="00DC60BE" w:rsidRDefault="00DC60BE" w:rsidP="00312A06">
      <w:pPr>
        <w:rPr>
          <w:highlight w:val="yellow"/>
        </w:rPr>
      </w:pPr>
    </w:p>
    <w:sectPr w:rsidR="00DC60BE" w:rsidRPr="00DC60BE"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D665E" w14:textId="77777777" w:rsidR="000C123A" w:rsidRDefault="000C123A" w:rsidP="00097AED">
      <w:pPr>
        <w:spacing w:after="0" w:line="240" w:lineRule="auto"/>
      </w:pPr>
      <w:r>
        <w:separator/>
      </w:r>
    </w:p>
  </w:endnote>
  <w:endnote w:type="continuationSeparator" w:id="0">
    <w:p w14:paraId="033D9714" w14:textId="77777777" w:rsidR="000C123A" w:rsidRDefault="000C123A" w:rsidP="00097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446211"/>
      <w:docPartObj>
        <w:docPartGallery w:val="Page Numbers (Bottom of Page)"/>
        <w:docPartUnique/>
      </w:docPartObj>
    </w:sdtPr>
    <w:sdtEndPr/>
    <w:sdtContent>
      <w:p w14:paraId="2225C199" w14:textId="38CEF7C2" w:rsidR="00097AED" w:rsidRDefault="00097AED">
        <w:pPr>
          <w:pStyle w:val="Footer"/>
          <w:jc w:val="center"/>
        </w:pPr>
        <w:r>
          <w:fldChar w:fldCharType="begin"/>
        </w:r>
        <w:r>
          <w:instrText>PAGE   \* MERGEFORMAT</w:instrText>
        </w:r>
        <w:r>
          <w:fldChar w:fldCharType="separate"/>
        </w:r>
        <w:r>
          <w:t>2</w:t>
        </w:r>
        <w:r>
          <w:fldChar w:fldCharType="end"/>
        </w:r>
      </w:p>
    </w:sdtContent>
  </w:sdt>
  <w:p w14:paraId="7E4AD028" w14:textId="77777777" w:rsidR="00097AED" w:rsidRDefault="00097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D0685" w14:textId="77777777" w:rsidR="000C123A" w:rsidRDefault="000C123A" w:rsidP="00097AED">
      <w:pPr>
        <w:spacing w:after="0" w:line="240" w:lineRule="auto"/>
      </w:pPr>
      <w:r>
        <w:separator/>
      </w:r>
    </w:p>
  </w:footnote>
  <w:footnote w:type="continuationSeparator" w:id="0">
    <w:p w14:paraId="3E659619" w14:textId="77777777" w:rsidR="000C123A" w:rsidRDefault="000C123A" w:rsidP="00097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E1904"/>
    <w:multiLevelType w:val="multilevel"/>
    <w:tmpl w:val="D23C00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B5034"/>
    <w:multiLevelType w:val="multilevel"/>
    <w:tmpl w:val="3CBC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C14B75"/>
    <w:multiLevelType w:val="multilevel"/>
    <w:tmpl w:val="276A8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0175433">
    <w:abstractNumId w:val="0"/>
  </w:num>
  <w:num w:numId="2" w16cid:durableId="955330777">
    <w:abstractNumId w:val="1"/>
  </w:num>
  <w:num w:numId="3" w16cid:durableId="2024353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09C"/>
    <w:rsid w:val="000232C6"/>
    <w:rsid w:val="00026333"/>
    <w:rsid w:val="00027EFF"/>
    <w:rsid w:val="0003581B"/>
    <w:rsid w:val="000627C0"/>
    <w:rsid w:val="000641AD"/>
    <w:rsid w:val="0007248D"/>
    <w:rsid w:val="00097AED"/>
    <w:rsid w:val="000A1F76"/>
    <w:rsid w:val="000A49E6"/>
    <w:rsid w:val="000C123A"/>
    <w:rsid w:val="000C2108"/>
    <w:rsid w:val="000C4ABD"/>
    <w:rsid w:val="000D27AD"/>
    <w:rsid w:val="001029C6"/>
    <w:rsid w:val="00105FA6"/>
    <w:rsid w:val="00107936"/>
    <w:rsid w:val="001105D8"/>
    <w:rsid w:val="00115B96"/>
    <w:rsid w:val="001208FE"/>
    <w:rsid w:val="00126B53"/>
    <w:rsid w:val="00145B23"/>
    <w:rsid w:val="001546E9"/>
    <w:rsid w:val="00184F68"/>
    <w:rsid w:val="00190BB9"/>
    <w:rsid w:val="00197836"/>
    <w:rsid w:val="001A0848"/>
    <w:rsid w:val="001A2283"/>
    <w:rsid w:val="001A3D6F"/>
    <w:rsid w:val="001B2476"/>
    <w:rsid w:val="001B5B74"/>
    <w:rsid w:val="001C0233"/>
    <w:rsid w:val="001C03AB"/>
    <w:rsid w:val="001D142F"/>
    <w:rsid w:val="001D4E6E"/>
    <w:rsid w:val="001F27C1"/>
    <w:rsid w:val="001F3377"/>
    <w:rsid w:val="00214C99"/>
    <w:rsid w:val="00220113"/>
    <w:rsid w:val="00230061"/>
    <w:rsid w:val="00234821"/>
    <w:rsid w:val="00235E5A"/>
    <w:rsid w:val="00250709"/>
    <w:rsid w:val="002539F6"/>
    <w:rsid w:val="00264600"/>
    <w:rsid w:val="00292977"/>
    <w:rsid w:val="002F0EC5"/>
    <w:rsid w:val="002F1641"/>
    <w:rsid w:val="00312A06"/>
    <w:rsid w:val="00313DC8"/>
    <w:rsid w:val="00324CCD"/>
    <w:rsid w:val="00325E47"/>
    <w:rsid w:val="0033218C"/>
    <w:rsid w:val="00340D28"/>
    <w:rsid w:val="00341789"/>
    <w:rsid w:val="00342777"/>
    <w:rsid w:val="0036678D"/>
    <w:rsid w:val="00383B59"/>
    <w:rsid w:val="00385CDA"/>
    <w:rsid w:val="003B48F5"/>
    <w:rsid w:val="003C1299"/>
    <w:rsid w:val="003D6798"/>
    <w:rsid w:val="003D78DD"/>
    <w:rsid w:val="003E376F"/>
    <w:rsid w:val="003F1C66"/>
    <w:rsid w:val="003F60BC"/>
    <w:rsid w:val="004001A2"/>
    <w:rsid w:val="00410073"/>
    <w:rsid w:val="00414E5B"/>
    <w:rsid w:val="00471857"/>
    <w:rsid w:val="00480872"/>
    <w:rsid w:val="0048341A"/>
    <w:rsid w:val="00485881"/>
    <w:rsid w:val="00486FFF"/>
    <w:rsid w:val="00495E57"/>
    <w:rsid w:val="004A11F6"/>
    <w:rsid w:val="004D519C"/>
    <w:rsid w:val="004D6C24"/>
    <w:rsid w:val="004F4E56"/>
    <w:rsid w:val="005014C5"/>
    <w:rsid w:val="00524FDD"/>
    <w:rsid w:val="0054089D"/>
    <w:rsid w:val="0056406A"/>
    <w:rsid w:val="0057521D"/>
    <w:rsid w:val="005900B4"/>
    <w:rsid w:val="00596067"/>
    <w:rsid w:val="005B4C53"/>
    <w:rsid w:val="005B6282"/>
    <w:rsid w:val="005D2DEA"/>
    <w:rsid w:val="00611F7F"/>
    <w:rsid w:val="00650CB0"/>
    <w:rsid w:val="00672CE2"/>
    <w:rsid w:val="006737F1"/>
    <w:rsid w:val="006764EE"/>
    <w:rsid w:val="0068510A"/>
    <w:rsid w:val="00693E27"/>
    <w:rsid w:val="006A1039"/>
    <w:rsid w:val="006F2EF1"/>
    <w:rsid w:val="006F42A1"/>
    <w:rsid w:val="00733798"/>
    <w:rsid w:val="00740AAE"/>
    <w:rsid w:val="00753633"/>
    <w:rsid w:val="00753B41"/>
    <w:rsid w:val="007742BD"/>
    <w:rsid w:val="00784F0D"/>
    <w:rsid w:val="007B4AC0"/>
    <w:rsid w:val="007C33C5"/>
    <w:rsid w:val="007C4626"/>
    <w:rsid w:val="007C4F8E"/>
    <w:rsid w:val="007C6432"/>
    <w:rsid w:val="007D1947"/>
    <w:rsid w:val="007E517D"/>
    <w:rsid w:val="007F2263"/>
    <w:rsid w:val="007F2613"/>
    <w:rsid w:val="00841ACA"/>
    <w:rsid w:val="00847EF1"/>
    <w:rsid w:val="0085123B"/>
    <w:rsid w:val="008513CA"/>
    <w:rsid w:val="0085355A"/>
    <w:rsid w:val="008654BD"/>
    <w:rsid w:val="00874E41"/>
    <w:rsid w:val="008767D3"/>
    <w:rsid w:val="00882F15"/>
    <w:rsid w:val="008B1D49"/>
    <w:rsid w:val="008D4C45"/>
    <w:rsid w:val="008D52D4"/>
    <w:rsid w:val="008E7E90"/>
    <w:rsid w:val="008F3A2B"/>
    <w:rsid w:val="0090410F"/>
    <w:rsid w:val="009153BB"/>
    <w:rsid w:val="0091572A"/>
    <w:rsid w:val="0092168F"/>
    <w:rsid w:val="0092394D"/>
    <w:rsid w:val="00931CAA"/>
    <w:rsid w:val="00943C51"/>
    <w:rsid w:val="00954A51"/>
    <w:rsid w:val="009736E0"/>
    <w:rsid w:val="009750FA"/>
    <w:rsid w:val="009B085C"/>
    <w:rsid w:val="009B0CFA"/>
    <w:rsid w:val="009B1E7F"/>
    <w:rsid w:val="009D07E6"/>
    <w:rsid w:val="009F3FAF"/>
    <w:rsid w:val="00A12B58"/>
    <w:rsid w:val="00A2225C"/>
    <w:rsid w:val="00A22278"/>
    <w:rsid w:val="00A275A1"/>
    <w:rsid w:val="00A337BF"/>
    <w:rsid w:val="00A4233F"/>
    <w:rsid w:val="00A53BB1"/>
    <w:rsid w:val="00A647D9"/>
    <w:rsid w:val="00AA0F25"/>
    <w:rsid w:val="00AA2A91"/>
    <w:rsid w:val="00AA3621"/>
    <w:rsid w:val="00AA3E5B"/>
    <w:rsid w:val="00AC2EBA"/>
    <w:rsid w:val="00AD728F"/>
    <w:rsid w:val="00AE2CCD"/>
    <w:rsid w:val="00AE6E2B"/>
    <w:rsid w:val="00AF1185"/>
    <w:rsid w:val="00B00B2E"/>
    <w:rsid w:val="00B15264"/>
    <w:rsid w:val="00B207CD"/>
    <w:rsid w:val="00B40E40"/>
    <w:rsid w:val="00B7525C"/>
    <w:rsid w:val="00B77BD9"/>
    <w:rsid w:val="00B800DF"/>
    <w:rsid w:val="00B8291E"/>
    <w:rsid w:val="00B86FC5"/>
    <w:rsid w:val="00BB763B"/>
    <w:rsid w:val="00BC04DF"/>
    <w:rsid w:val="00BC6D52"/>
    <w:rsid w:val="00BD2AFF"/>
    <w:rsid w:val="00BD6B61"/>
    <w:rsid w:val="00BF0706"/>
    <w:rsid w:val="00BF5050"/>
    <w:rsid w:val="00C007A8"/>
    <w:rsid w:val="00C13EBD"/>
    <w:rsid w:val="00C4546C"/>
    <w:rsid w:val="00C56E7E"/>
    <w:rsid w:val="00CA09F3"/>
    <w:rsid w:val="00CA7C2F"/>
    <w:rsid w:val="00CC2C62"/>
    <w:rsid w:val="00CD6B12"/>
    <w:rsid w:val="00D13860"/>
    <w:rsid w:val="00D22312"/>
    <w:rsid w:val="00D316C9"/>
    <w:rsid w:val="00D32767"/>
    <w:rsid w:val="00D451A9"/>
    <w:rsid w:val="00D854A5"/>
    <w:rsid w:val="00D916D2"/>
    <w:rsid w:val="00D96F3A"/>
    <w:rsid w:val="00DA3493"/>
    <w:rsid w:val="00DC2113"/>
    <w:rsid w:val="00DC60BE"/>
    <w:rsid w:val="00DC79DA"/>
    <w:rsid w:val="00DD16A7"/>
    <w:rsid w:val="00DF4C8D"/>
    <w:rsid w:val="00E00E3B"/>
    <w:rsid w:val="00E36479"/>
    <w:rsid w:val="00E51619"/>
    <w:rsid w:val="00E70294"/>
    <w:rsid w:val="00E77947"/>
    <w:rsid w:val="00E80426"/>
    <w:rsid w:val="00E8694D"/>
    <w:rsid w:val="00E91208"/>
    <w:rsid w:val="00EB2AAE"/>
    <w:rsid w:val="00ED3936"/>
    <w:rsid w:val="00ED5790"/>
    <w:rsid w:val="00F055C1"/>
    <w:rsid w:val="00F10B11"/>
    <w:rsid w:val="00F30B94"/>
    <w:rsid w:val="00F406B7"/>
    <w:rsid w:val="00F41366"/>
    <w:rsid w:val="00F55193"/>
    <w:rsid w:val="00F7455E"/>
    <w:rsid w:val="00F83D15"/>
    <w:rsid w:val="00F912DF"/>
    <w:rsid w:val="00F91674"/>
    <w:rsid w:val="00F94AF9"/>
    <w:rsid w:val="00FB609A"/>
    <w:rsid w:val="00FC108A"/>
    <w:rsid w:val="00FC3002"/>
    <w:rsid w:val="00FF63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F76"/>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E51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56E7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097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AED"/>
  </w:style>
  <w:style w:type="paragraph" w:styleId="Footer">
    <w:name w:val="footer"/>
    <w:basedOn w:val="Normal"/>
    <w:link w:val="FooterChar"/>
    <w:uiPriority w:val="99"/>
    <w:unhideWhenUsed/>
    <w:rsid w:val="00097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AED"/>
  </w:style>
  <w:style w:type="paragraph" w:styleId="ListParagraph">
    <w:name w:val="List Paragraph"/>
    <w:basedOn w:val="Normal"/>
    <w:uiPriority w:val="34"/>
    <w:qFormat/>
    <w:rsid w:val="00A22278"/>
    <w:pPr>
      <w:ind w:left="720"/>
      <w:contextualSpacing/>
    </w:pPr>
  </w:style>
  <w:style w:type="character" w:customStyle="1" w:styleId="Heading4Char">
    <w:name w:val="Heading 4 Char"/>
    <w:basedOn w:val="DefaultParagraphFont"/>
    <w:link w:val="Heading4"/>
    <w:uiPriority w:val="9"/>
    <w:semiHidden/>
    <w:rsid w:val="00C56E7E"/>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7E517D"/>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6764EE"/>
    <w:rPr>
      <w:sz w:val="16"/>
      <w:szCs w:val="16"/>
    </w:rPr>
  </w:style>
  <w:style w:type="paragraph" w:styleId="CommentText">
    <w:name w:val="annotation text"/>
    <w:basedOn w:val="Normal"/>
    <w:link w:val="CommentTextChar"/>
    <w:uiPriority w:val="99"/>
    <w:unhideWhenUsed/>
    <w:rsid w:val="006764EE"/>
    <w:pPr>
      <w:spacing w:line="240" w:lineRule="auto"/>
    </w:pPr>
    <w:rPr>
      <w:sz w:val="20"/>
      <w:szCs w:val="20"/>
    </w:rPr>
  </w:style>
  <w:style w:type="character" w:customStyle="1" w:styleId="CommentTextChar">
    <w:name w:val="Comment Text Char"/>
    <w:basedOn w:val="DefaultParagraphFont"/>
    <w:link w:val="CommentText"/>
    <w:uiPriority w:val="99"/>
    <w:rsid w:val="006764EE"/>
    <w:rPr>
      <w:sz w:val="20"/>
      <w:szCs w:val="20"/>
    </w:rPr>
  </w:style>
  <w:style w:type="paragraph" w:styleId="CommentSubject">
    <w:name w:val="annotation subject"/>
    <w:basedOn w:val="CommentText"/>
    <w:next w:val="CommentText"/>
    <w:link w:val="CommentSubjectChar"/>
    <w:uiPriority w:val="99"/>
    <w:semiHidden/>
    <w:unhideWhenUsed/>
    <w:rsid w:val="006764EE"/>
    <w:rPr>
      <w:b/>
      <w:bCs/>
    </w:rPr>
  </w:style>
  <w:style w:type="character" w:customStyle="1" w:styleId="CommentSubjectChar">
    <w:name w:val="Comment Subject Char"/>
    <w:basedOn w:val="CommentTextChar"/>
    <w:link w:val="CommentSubject"/>
    <w:uiPriority w:val="99"/>
    <w:semiHidden/>
    <w:rsid w:val="006764EE"/>
    <w:rPr>
      <w:b/>
      <w:bCs/>
      <w:sz w:val="20"/>
      <w:szCs w:val="20"/>
    </w:rPr>
  </w:style>
  <w:style w:type="paragraph" w:styleId="Bibliography">
    <w:name w:val="Bibliography"/>
    <w:basedOn w:val="Normal"/>
    <w:next w:val="Normal"/>
    <w:uiPriority w:val="37"/>
    <w:unhideWhenUsed/>
    <w:rsid w:val="008F3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58917">
      <w:bodyDiv w:val="1"/>
      <w:marLeft w:val="0"/>
      <w:marRight w:val="0"/>
      <w:marTop w:val="0"/>
      <w:marBottom w:val="0"/>
      <w:divBdr>
        <w:top w:val="none" w:sz="0" w:space="0" w:color="auto"/>
        <w:left w:val="none" w:sz="0" w:space="0" w:color="auto"/>
        <w:bottom w:val="none" w:sz="0" w:space="0" w:color="auto"/>
        <w:right w:val="none" w:sz="0" w:space="0" w:color="auto"/>
      </w:divBdr>
    </w:div>
    <w:div w:id="98305318">
      <w:bodyDiv w:val="1"/>
      <w:marLeft w:val="0"/>
      <w:marRight w:val="0"/>
      <w:marTop w:val="0"/>
      <w:marBottom w:val="0"/>
      <w:divBdr>
        <w:top w:val="none" w:sz="0" w:space="0" w:color="auto"/>
        <w:left w:val="none" w:sz="0" w:space="0" w:color="auto"/>
        <w:bottom w:val="none" w:sz="0" w:space="0" w:color="auto"/>
        <w:right w:val="none" w:sz="0" w:space="0" w:color="auto"/>
      </w:divBdr>
    </w:div>
    <w:div w:id="102699971">
      <w:bodyDiv w:val="1"/>
      <w:marLeft w:val="0"/>
      <w:marRight w:val="0"/>
      <w:marTop w:val="0"/>
      <w:marBottom w:val="0"/>
      <w:divBdr>
        <w:top w:val="none" w:sz="0" w:space="0" w:color="auto"/>
        <w:left w:val="none" w:sz="0" w:space="0" w:color="auto"/>
        <w:bottom w:val="none" w:sz="0" w:space="0" w:color="auto"/>
        <w:right w:val="none" w:sz="0" w:space="0" w:color="auto"/>
      </w:divBdr>
    </w:div>
    <w:div w:id="182863685">
      <w:bodyDiv w:val="1"/>
      <w:marLeft w:val="0"/>
      <w:marRight w:val="0"/>
      <w:marTop w:val="0"/>
      <w:marBottom w:val="0"/>
      <w:divBdr>
        <w:top w:val="none" w:sz="0" w:space="0" w:color="auto"/>
        <w:left w:val="none" w:sz="0" w:space="0" w:color="auto"/>
        <w:bottom w:val="none" w:sz="0" w:space="0" w:color="auto"/>
        <w:right w:val="none" w:sz="0" w:space="0" w:color="auto"/>
      </w:divBdr>
    </w:div>
    <w:div w:id="185871170">
      <w:bodyDiv w:val="1"/>
      <w:marLeft w:val="0"/>
      <w:marRight w:val="0"/>
      <w:marTop w:val="0"/>
      <w:marBottom w:val="0"/>
      <w:divBdr>
        <w:top w:val="none" w:sz="0" w:space="0" w:color="auto"/>
        <w:left w:val="none" w:sz="0" w:space="0" w:color="auto"/>
        <w:bottom w:val="none" w:sz="0" w:space="0" w:color="auto"/>
        <w:right w:val="none" w:sz="0" w:space="0" w:color="auto"/>
      </w:divBdr>
    </w:div>
    <w:div w:id="236743888">
      <w:bodyDiv w:val="1"/>
      <w:marLeft w:val="0"/>
      <w:marRight w:val="0"/>
      <w:marTop w:val="0"/>
      <w:marBottom w:val="0"/>
      <w:divBdr>
        <w:top w:val="none" w:sz="0" w:space="0" w:color="auto"/>
        <w:left w:val="none" w:sz="0" w:space="0" w:color="auto"/>
        <w:bottom w:val="none" w:sz="0" w:space="0" w:color="auto"/>
        <w:right w:val="none" w:sz="0" w:space="0" w:color="auto"/>
      </w:divBdr>
    </w:div>
    <w:div w:id="289282477">
      <w:bodyDiv w:val="1"/>
      <w:marLeft w:val="0"/>
      <w:marRight w:val="0"/>
      <w:marTop w:val="0"/>
      <w:marBottom w:val="0"/>
      <w:divBdr>
        <w:top w:val="none" w:sz="0" w:space="0" w:color="auto"/>
        <w:left w:val="none" w:sz="0" w:space="0" w:color="auto"/>
        <w:bottom w:val="none" w:sz="0" w:space="0" w:color="auto"/>
        <w:right w:val="none" w:sz="0" w:space="0" w:color="auto"/>
      </w:divBdr>
    </w:div>
    <w:div w:id="294916077">
      <w:bodyDiv w:val="1"/>
      <w:marLeft w:val="0"/>
      <w:marRight w:val="0"/>
      <w:marTop w:val="0"/>
      <w:marBottom w:val="0"/>
      <w:divBdr>
        <w:top w:val="none" w:sz="0" w:space="0" w:color="auto"/>
        <w:left w:val="none" w:sz="0" w:space="0" w:color="auto"/>
        <w:bottom w:val="none" w:sz="0" w:space="0" w:color="auto"/>
        <w:right w:val="none" w:sz="0" w:space="0" w:color="auto"/>
      </w:divBdr>
    </w:div>
    <w:div w:id="310403014">
      <w:bodyDiv w:val="1"/>
      <w:marLeft w:val="0"/>
      <w:marRight w:val="0"/>
      <w:marTop w:val="0"/>
      <w:marBottom w:val="0"/>
      <w:divBdr>
        <w:top w:val="none" w:sz="0" w:space="0" w:color="auto"/>
        <w:left w:val="none" w:sz="0" w:space="0" w:color="auto"/>
        <w:bottom w:val="none" w:sz="0" w:space="0" w:color="auto"/>
        <w:right w:val="none" w:sz="0" w:space="0" w:color="auto"/>
      </w:divBdr>
    </w:div>
    <w:div w:id="339897059">
      <w:bodyDiv w:val="1"/>
      <w:marLeft w:val="0"/>
      <w:marRight w:val="0"/>
      <w:marTop w:val="0"/>
      <w:marBottom w:val="0"/>
      <w:divBdr>
        <w:top w:val="none" w:sz="0" w:space="0" w:color="auto"/>
        <w:left w:val="none" w:sz="0" w:space="0" w:color="auto"/>
        <w:bottom w:val="none" w:sz="0" w:space="0" w:color="auto"/>
        <w:right w:val="none" w:sz="0" w:space="0" w:color="auto"/>
      </w:divBdr>
    </w:div>
    <w:div w:id="342050407">
      <w:bodyDiv w:val="1"/>
      <w:marLeft w:val="0"/>
      <w:marRight w:val="0"/>
      <w:marTop w:val="0"/>
      <w:marBottom w:val="0"/>
      <w:divBdr>
        <w:top w:val="none" w:sz="0" w:space="0" w:color="auto"/>
        <w:left w:val="none" w:sz="0" w:space="0" w:color="auto"/>
        <w:bottom w:val="none" w:sz="0" w:space="0" w:color="auto"/>
        <w:right w:val="none" w:sz="0" w:space="0" w:color="auto"/>
      </w:divBdr>
    </w:div>
    <w:div w:id="353504279">
      <w:bodyDiv w:val="1"/>
      <w:marLeft w:val="0"/>
      <w:marRight w:val="0"/>
      <w:marTop w:val="0"/>
      <w:marBottom w:val="0"/>
      <w:divBdr>
        <w:top w:val="none" w:sz="0" w:space="0" w:color="auto"/>
        <w:left w:val="none" w:sz="0" w:space="0" w:color="auto"/>
        <w:bottom w:val="none" w:sz="0" w:space="0" w:color="auto"/>
        <w:right w:val="none" w:sz="0" w:space="0" w:color="auto"/>
      </w:divBdr>
    </w:div>
    <w:div w:id="384833406">
      <w:bodyDiv w:val="1"/>
      <w:marLeft w:val="0"/>
      <w:marRight w:val="0"/>
      <w:marTop w:val="0"/>
      <w:marBottom w:val="0"/>
      <w:divBdr>
        <w:top w:val="none" w:sz="0" w:space="0" w:color="auto"/>
        <w:left w:val="none" w:sz="0" w:space="0" w:color="auto"/>
        <w:bottom w:val="none" w:sz="0" w:space="0" w:color="auto"/>
        <w:right w:val="none" w:sz="0" w:space="0" w:color="auto"/>
      </w:divBdr>
    </w:div>
    <w:div w:id="405883108">
      <w:bodyDiv w:val="1"/>
      <w:marLeft w:val="0"/>
      <w:marRight w:val="0"/>
      <w:marTop w:val="0"/>
      <w:marBottom w:val="0"/>
      <w:divBdr>
        <w:top w:val="none" w:sz="0" w:space="0" w:color="auto"/>
        <w:left w:val="none" w:sz="0" w:space="0" w:color="auto"/>
        <w:bottom w:val="none" w:sz="0" w:space="0" w:color="auto"/>
        <w:right w:val="none" w:sz="0" w:space="0" w:color="auto"/>
      </w:divBdr>
    </w:div>
    <w:div w:id="420684265">
      <w:bodyDiv w:val="1"/>
      <w:marLeft w:val="0"/>
      <w:marRight w:val="0"/>
      <w:marTop w:val="0"/>
      <w:marBottom w:val="0"/>
      <w:divBdr>
        <w:top w:val="none" w:sz="0" w:space="0" w:color="auto"/>
        <w:left w:val="none" w:sz="0" w:space="0" w:color="auto"/>
        <w:bottom w:val="none" w:sz="0" w:space="0" w:color="auto"/>
        <w:right w:val="none" w:sz="0" w:space="0" w:color="auto"/>
      </w:divBdr>
    </w:div>
    <w:div w:id="440609722">
      <w:bodyDiv w:val="1"/>
      <w:marLeft w:val="0"/>
      <w:marRight w:val="0"/>
      <w:marTop w:val="0"/>
      <w:marBottom w:val="0"/>
      <w:divBdr>
        <w:top w:val="none" w:sz="0" w:space="0" w:color="auto"/>
        <w:left w:val="none" w:sz="0" w:space="0" w:color="auto"/>
        <w:bottom w:val="none" w:sz="0" w:space="0" w:color="auto"/>
        <w:right w:val="none" w:sz="0" w:space="0" w:color="auto"/>
      </w:divBdr>
    </w:div>
    <w:div w:id="441000822">
      <w:bodyDiv w:val="1"/>
      <w:marLeft w:val="0"/>
      <w:marRight w:val="0"/>
      <w:marTop w:val="0"/>
      <w:marBottom w:val="0"/>
      <w:divBdr>
        <w:top w:val="none" w:sz="0" w:space="0" w:color="auto"/>
        <w:left w:val="none" w:sz="0" w:space="0" w:color="auto"/>
        <w:bottom w:val="none" w:sz="0" w:space="0" w:color="auto"/>
        <w:right w:val="none" w:sz="0" w:space="0" w:color="auto"/>
      </w:divBdr>
    </w:div>
    <w:div w:id="468206022">
      <w:bodyDiv w:val="1"/>
      <w:marLeft w:val="0"/>
      <w:marRight w:val="0"/>
      <w:marTop w:val="0"/>
      <w:marBottom w:val="0"/>
      <w:divBdr>
        <w:top w:val="none" w:sz="0" w:space="0" w:color="auto"/>
        <w:left w:val="none" w:sz="0" w:space="0" w:color="auto"/>
        <w:bottom w:val="none" w:sz="0" w:space="0" w:color="auto"/>
        <w:right w:val="none" w:sz="0" w:space="0" w:color="auto"/>
      </w:divBdr>
    </w:div>
    <w:div w:id="498932733">
      <w:bodyDiv w:val="1"/>
      <w:marLeft w:val="0"/>
      <w:marRight w:val="0"/>
      <w:marTop w:val="0"/>
      <w:marBottom w:val="0"/>
      <w:divBdr>
        <w:top w:val="none" w:sz="0" w:space="0" w:color="auto"/>
        <w:left w:val="none" w:sz="0" w:space="0" w:color="auto"/>
        <w:bottom w:val="none" w:sz="0" w:space="0" w:color="auto"/>
        <w:right w:val="none" w:sz="0" w:space="0" w:color="auto"/>
      </w:divBdr>
    </w:div>
    <w:div w:id="506138868">
      <w:bodyDiv w:val="1"/>
      <w:marLeft w:val="0"/>
      <w:marRight w:val="0"/>
      <w:marTop w:val="0"/>
      <w:marBottom w:val="0"/>
      <w:divBdr>
        <w:top w:val="none" w:sz="0" w:space="0" w:color="auto"/>
        <w:left w:val="none" w:sz="0" w:space="0" w:color="auto"/>
        <w:bottom w:val="none" w:sz="0" w:space="0" w:color="auto"/>
        <w:right w:val="none" w:sz="0" w:space="0" w:color="auto"/>
      </w:divBdr>
    </w:div>
    <w:div w:id="508832410">
      <w:bodyDiv w:val="1"/>
      <w:marLeft w:val="0"/>
      <w:marRight w:val="0"/>
      <w:marTop w:val="0"/>
      <w:marBottom w:val="0"/>
      <w:divBdr>
        <w:top w:val="none" w:sz="0" w:space="0" w:color="auto"/>
        <w:left w:val="none" w:sz="0" w:space="0" w:color="auto"/>
        <w:bottom w:val="none" w:sz="0" w:space="0" w:color="auto"/>
        <w:right w:val="none" w:sz="0" w:space="0" w:color="auto"/>
      </w:divBdr>
    </w:div>
    <w:div w:id="523907886">
      <w:bodyDiv w:val="1"/>
      <w:marLeft w:val="0"/>
      <w:marRight w:val="0"/>
      <w:marTop w:val="0"/>
      <w:marBottom w:val="0"/>
      <w:divBdr>
        <w:top w:val="none" w:sz="0" w:space="0" w:color="auto"/>
        <w:left w:val="none" w:sz="0" w:space="0" w:color="auto"/>
        <w:bottom w:val="none" w:sz="0" w:space="0" w:color="auto"/>
        <w:right w:val="none" w:sz="0" w:space="0" w:color="auto"/>
      </w:divBdr>
    </w:div>
    <w:div w:id="546256141">
      <w:bodyDiv w:val="1"/>
      <w:marLeft w:val="0"/>
      <w:marRight w:val="0"/>
      <w:marTop w:val="0"/>
      <w:marBottom w:val="0"/>
      <w:divBdr>
        <w:top w:val="none" w:sz="0" w:space="0" w:color="auto"/>
        <w:left w:val="none" w:sz="0" w:space="0" w:color="auto"/>
        <w:bottom w:val="none" w:sz="0" w:space="0" w:color="auto"/>
        <w:right w:val="none" w:sz="0" w:space="0" w:color="auto"/>
      </w:divBdr>
    </w:div>
    <w:div w:id="581178967">
      <w:bodyDiv w:val="1"/>
      <w:marLeft w:val="0"/>
      <w:marRight w:val="0"/>
      <w:marTop w:val="0"/>
      <w:marBottom w:val="0"/>
      <w:divBdr>
        <w:top w:val="none" w:sz="0" w:space="0" w:color="auto"/>
        <w:left w:val="none" w:sz="0" w:space="0" w:color="auto"/>
        <w:bottom w:val="none" w:sz="0" w:space="0" w:color="auto"/>
        <w:right w:val="none" w:sz="0" w:space="0" w:color="auto"/>
      </w:divBdr>
    </w:div>
    <w:div w:id="592710661">
      <w:bodyDiv w:val="1"/>
      <w:marLeft w:val="0"/>
      <w:marRight w:val="0"/>
      <w:marTop w:val="0"/>
      <w:marBottom w:val="0"/>
      <w:divBdr>
        <w:top w:val="none" w:sz="0" w:space="0" w:color="auto"/>
        <w:left w:val="none" w:sz="0" w:space="0" w:color="auto"/>
        <w:bottom w:val="none" w:sz="0" w:space="0" w:color="auto"/>
        <w:right w:val="none" w:sz="0" w:space="0" w:color="auto"/>
      </w:divBdr>
    </w:div>
    <w:div w:id="594630729">
      <w:bodyDiv w:val="1"/>
      <w:marLeft w:val="0"/>
      <w:marRight w:val="0"/>
      <w:marTop w:val="0"/>
      <w:marBottom w:val="0"/>
      <w:divBdr>
        <w:top w:val="none" w:sz="0" w:space="0" w:color="auto"/>
        <w:left w:val="none" w:sz="0" w:space="0" w:color="auto"/>
        <w:bottom w:val="none" w:sz="0" w:space="0" w:color="auto"/>
        <w:right w:val="none" w:sz="0" w:space="0" w:color="auto"/>
      </w:divBdr>
    </w:div>
    <w:div w:id="594748619">
      <w:bodyDiv w:val="1"/>
      <w:marLeft w:val="0"/>
      <w:marRight w:val="0"/>
      <w:marTop w:val="0"/>
      <w:marBottom w:val="0"/>
      <w:divBdr>
        <w:top w:val="none" w:sz="0" w:space="0" w:color="auto"/>
        <w:left w:val="none" w:sz="0" w:space="0" w:color="auto"/>
        <w:bottom w:val="none" w:sz="0" w:space="0" w:color="auto"/>
        <w:right w:val="none" w:sz="0" w:space="0" w:color="auto"/>
      </w:divBdr>
    </w:div>
    <w:div w:id="624316478">
      <w:bodyDiv w:val="1"/>
      <w:marLeft w:val="0"/>
      <w:marRight w:val="0"/>
      <w:marTop w:val="0"/>
      <w:marBottom w:val="0"/>
      <w:divBdr>
        <w:top w:val="none" w:sz="0" w:space="0" w:color="auto"/>
        <w:left w:val="none" w:sz="0" w:space="0" w:color="auto"/>
        <w:bottom w:val="none" w:sz="0" w:space="0" w:color="auto"/>
        <w:right w:val="none" w:sz="0" w:space="0" w:color="auto"/>
      </w:divBdr>
    </w:div>
    <w:div w:id="637153090">
      <w:bodyDiv w:val="1"/>
      <w:marLeft w:val="0"/>
      <w:marRight w:val="0"/>
      <w:marTop w:val="0"/>
      <w:marBottom w:val="0"/>
      <w:divBdr>
        <w:top w:val="none" w:sz="0" w:space="0" w:color="auto"/>
        <w:left w:val="none" w:sz="0" w:space="0" w:color="auto"/>
        <w:bottom w:val="none" w:sz="0" w:space="0" w:color="auto"/>
        <w:right w:val="none" w:sz="0" w:space="0" w:color="auto"/>
      </w:divBdr>
    </w:div>
    <w:div w:id="801381839">
      <w:bodyDiv w:val="1"/>
      <w:marLeft w:val="0"/>
      <w:marRight w:val="0"/>
      <w:marTop w:val="0"/>
      <w:marBottom w:val="0"/>
      <w:divBdr>
        <w:top w:val="none" w:sz="0" w:space="0" w:color="auto"/>
        <w:left w:val="none" w:sz="0" w:space="0" w:color="auto"/>
        <w:bottom w:val="none" w:sz="0" w:space="0" w:color="auto"/>
        <w:right w:val="none" w:sz="0" w:space="0" w:color="auto"/>
      </w:divBdr>
    </w:div>
    <w:div w:id="814566921">
      <w:bodyDiv w:val="1"/>
      <w:marLeft w:val="0"/>
      <w:marRight w:val="0"/>
      <w:marTop w:val="0"/>
      <w:marBottom w:val="0"/>
      <w:divBdr>
        <w:top w:val="none" w:sz="0" w:space="0" w:color="auto"/>
        <w:left w:val="none" w:sz="0" w:space="0" w:color="auto"/>
        <w:bottom w:val="none" w:sz="0" w:space="0" w:color="auto"/>
        <w:right w:val="none" w:sz="0" w:space="0" w:color="auto"/>
      </w:divBdr>
    </w:div>
    <w:div w:id="891814370">
      <w:bodyDiv w:val="1"/>
      <w:marLeft w:val="0"/>
      <w:marRight w:val="0"/>
      <w:marTop w:val="0"/>
      <w:marBottom w:val="0"/>
      <w:divBdr>
        <w:top w:val="none" w:sz="0" w:space="0" w:color="auto"/>
        <w:left w:val="none" w:sz="0" w:space="0" w:color="auto"/>
        <w:bottom w:val="none" w:sz="0" w:space="0" w:color="auto"/>
        <w:right w:val="none" w:sz="0" w:space="0" w:color="auto"/>
      </w:divBdr>
    </w:div>
    <w:div w:id="892352826">
      <w:bodyDiv w:val="1"/>
      <w:marLeft w:val="0"/>
      <w:marRight w:val="0"/>
      <w:marTop w:val="0"/>
      <w:marBottom w:val="0"/>
      <w:divBdr>
        <w:top w:val="none" w:sz="0" w:space="0" w:color="auto"/>
        <w:left w:val="none" w:sz="0" w:space="0" w:color="auto"/>
        <w:bottom w:val="none" w:sz="0" w:space="0" w:color="auto"/>
        <w:right w:val="none" w:sz="0" w:space="0" w:color="auto"/>
      </w:divBdr>
    </w:div>
    <w:div w:id="900091070">
      <w:bodyDiv w:val="1"/>
      <w:marLeft w:val="0"/>
      <w:marRight w:val="0"/>
      <w:marTop w:val="0"/>
      <w:marBottom w:val="0"/>
      <w:divBdr>
        <w:top w:val="none" w:sz="0" w:space="0" w:color="auto"/>
        <w:left w:val="none" w:sz="0" w:space="0" w:color="auto"/>
        <w:bottom w:val="none" w:sz="0" w:space="0" w:color="auto"/>
        <w:right w:val="none" w:sz="0" w:space="0" w:color="auto"/>
      </w:divBdr>
    </w:div>
    <w:div w:id="906309452">
      <w:bodyDiv w:val="1"/>
      <w:marLeft w:val="0"/>
      <w:marRight w:val="0"/>
      <w:marTop w:val="0"/>
      <w:marBottom w:val="0"/>
      <w:divBdr>
        <w:top w:val="none" w:sz="0" w:space="0" w:color="auto"/>
        <w:left w:val="none" w:sz="0" w:space="0" w:color="auto"/>
        <w:bottom w:val="none" w:sz="0" w:space="0" w:color="auto"/>
        <w:right w:val="none" w:sz="0" w:space="0" w:color="auto"/>
      </w:divBdr>
    </w:div>
    <w:div w:id="915820265">
      <w:bodyDiv w:val="1"/>
      <w:marLeft w:val="0"/>
      <w:marRight w:val="0"/>
      <w:marTop w:val="0"/>
      <w:marBottom w:val="0"/>
      <w:divBdr>
        <w:top w:val="none" w:sz="0" w:space="0" w:color="auto"/>
        <w:left w:val="none" w:sz="0" w:space="0" w:color="auto"/>
        <w:bottom w:val="none" w:sz="0" w:space="0" w:color="auto"/>
        <w:right w:val="none" w:sz="0" w:space="0" w:color="auto"/>
      </w:divBdr>
    </w:div>
    <w:div w:id="980623393">
      <w:bodyDiv w:val="1"/>
      <w:marLeft w:val="0"/>
      <w:marRight w:val="0"/>
      <w:marTop w:val="0"/>
      <w:marBottom w:val="0"/>
      <w:divBdr>
        <w:top w:val="none" w:sz="0" w:space="0" w:color="auto"/>
        <w:left w:val="none" w:sz="0" w:space="0" w:color="auto"/>
        <w:bottom w:val="none" w:sz="0" w:space="0" w:color="auto"/>
        <w:right w:val="none" w:sz="0" w:space="0" w:color="auto"/>
      </w:divBdr>
    </w:div>
    <w:div w:id="988441367">
      <w:bodyDiv w:val="1"/>
      <w:marLeft w:val="0"/>
      <w:marRight w:val="0"/>
      <w:marTop w:val="0"/>
      <w:marBottom w:val="0"/>
      <w:divBdr>
        <w:top w:val="none" w:sz="0" w:space="0" w:color="auto"/>
        <w:left w:val="none" w:sz="0" w:space="0" w:color="auto"/>
        <w:bottom w:val="none" w:sz="0" w:space="0" w:color="auto"/>
        <w:right w:val="none" w:sz="0" w:space="0" w:color="auto"/>
      </w:divBdr>
    </w:div>
    <w:div w:id="1009526389">
      <w:bodyDiv w:val="1"/>
      <w:marLeft w:val="0"/>
      <w:marRight w:val="0"/>
      <w:marTop w:val="0"/>
      <w:marBottom w:val="0"/>
      <w:divBdr>
        <w:top w:val="none" w:sz="0" w:space="0" w:color="auto"/>
        <w:left w:val="none" w:sz="0" w:space="0" w:color="auto"/>
        <w:bottom w:val="none" w:sz="0" w:space="0" w:color="auto"/>
        <w:right w:val="none" w:sz="0" w:space="0" w:color="auto"/>
      </w:divBdr>
    </w:div>
    <w:div w:id="1011685206">
      <w:bodyDiv w:val="1"/>
      <w:marLeft w:val="0"/>
      <w:marRight w:val="0"/>
      <w:marTop w:val="0"/>
      <w:marBottom w:val="0"/>
      <w:divBdr>
        <w:top w:val="none" w:sz="0" w:space="0" w:color="auto"/>
        <w:left w:val="none" w:sz="0" w:space="0" w:color="auto"/>
        <w:bottom w:val="none" w:sz="0" w:space="0" w:color="auto"/>
        <w:right w:val="none" w:sz="0" w:space="0" w:color="auto"/>
      </w:divBdr>
    </w:div>
    <w:div w:id="1034697777">
      <w:bodyDiv w:val="1"/>
      <w:marLeft w:val="0"/>
      <w:marRight w:val="0"/>
      <w:marTop w:val="0"/>
      <w:marBottom w:val="0"/>
      <w:divBdr>
        <w:top w:val="none" w:sz="0" w:space="0" w:color="auto"/>
        <w:left w:val="none" w:sz="0" w:space="0" w:color="auto"/>
        <w:bottom w:val="none" w:sz="0" w:space="0" w:color="auto"/>
        <w:right w:val="none" w:sz="0" w:space="0" w:color="auto"/>
      </w:divBdr>
    </w:div>
    <w:div w:id="1089230962">
      <w:bodyDiv w:val="1"/>
      <w:marLeft w:val="0"/>
      <w:marRight w:val="0"/>
      <w:marTop w:val="0"/>
      <w:marBottom w:val="0"/>
      <w:divBdr>
        <w:top w:val="none" w:sz="0" w:space="0" w:color="auto"/>
        <w:left w:val="none" w:sz="0" w:space="0" w:color="auto"/>
        <w:bottom w:val="none" w:sz="0" w:space="0" w:color="auto"/>
        <w:right w:val="none" w:sz="0" w:space="0" w:color="auto"/>
      </w:divBdr>
    </w:div>
    <w:div w:id="1121417527">
      <w:bodyDiv w:val="1"/>
      <w:marLeft w:val="0"/>
      <w:marRight w:val="0"/>
      <w:marTop w:val="0"/>
      <w:marBottom w:val="0"/>
      <w:divBdr>
        <w:top w:val="none" w:sz="0" w:space="0" w:color="auto"/>
        <w:left w:val="none" w:sz="0" w:space="0" w:color="auto"/>
        <w:bottom w:val="none" w:sz="0" w:space="0" w:color="auto"/>
        <w:right w:val="none" w:sz="0" w:space="0" w:color="auto"/>
      </w:divBdr>
    </w:div>
    <w:div w:id="1124496351">
      <w:bodyDiv w:val="1"/>
      <w:marLeft w:val="0"/>
      <w:marRight w:val="0"/>
      <w:marTop w:val="0"/>
      <w:marBottom w:val="0"/>
      <w:divBdr>
        <w:top w:val="none" w:sz="0" w:space="0" w:color="auto"/>
        <w:left w:val="none" w:sz="0" w:space="0" w:color="auto"/>
        <w:bottom w:val="none" w:sz="0" w:space="0" w:color="auto"/>
        <w:right w:val="none" w:sz="0" w:space="0" w:color="auto"/>
      </w:divBdr>
    </w:div>
    <w:div w:id="1148978956">
      <w:bodyDiv w:val="1"/>
      <w:marLeft w:val="0"/>
      <w:marRight w:val="0"/>
      <w:marTop w:val="0"/>
      <w:marBottom w:val="0"/>
      <w:divBdr>
        <w:top w:val="none" w:sz="0" w:space="0" w:color="auto"/>
        <w:left w:val="none" w:sz="0" w:space="0" w:color="auto"/>
        <w:bottom w:val="none" w:sz="0" w:space="0" w:color="auto"/>
        <w:right w:val="none" w:sz="0" w:space="0" w:color="auto"/>
      </w:divBdr>
    </w:div>
    <w:div w:id="1178882720">
      <w:bodyDiv w:val="1"/>
      <w:marLeft w:val="0"/>
      <w:marRight w:val="0"/>
      <w:marTop w:val="0"/>
      <w:marBottom w:val="0"/>
      <w:divBdr>
        <w:top w:val="none" w:sz="0" w:space="0" w:color="auto"/>
        <w:left w:val="none" w:sz="0" w:space="0" w:color="auto"/>
        <w:bottom w:val="none" w:sz="0" w:space="0" w:color="auto"/>
        <w:right w:val="none" w:sz="0" w:space="0" w:color="auto"/>
      </w:divBdr>
    </w:div>
    <w:div w:id="1183783698">
      <w:bodyDiv w:val="1"/>
      <w:marLeft w:val="0"/>
      <w:marRight w:val="0"/>
      <w:marTop w:val="0"/>
      <w:marBottom w:val="0"/>
      <w:divBdr>
        <w:top w:val="none" w:sz="0" w:space="0" w:color="auto"/>
        <w:left w:val="none" w:sz="0" w:space="0" w:color="auto"/>
        <w:bottom w:val="none" w:sz="0" w:space="0" w:color="auto"/>
        <w:right w:val="none" w:sz="0" w:space="0" w:color="auto"/>
      </w:divBdr>
    </w:div>
    <w:div w:id="1202282418">
      <w:bodyDiv w:val="1"/>
      <w:marLeft w:val="0"/>
      <w:marRight w:val="0"/>
      <w:marTop w:val="0"/>
      <w:marBottom w:val="0"/>
      <w:divBdr>
        <w:top w:val="none" w:sz="0" w:space="0" w:color="auto"/>
        <w:left w:val="none" w:sz="0" w:space="0" w:color="auto"/>
        <w:bottom w:val="none" w:sz="0" w:space="0" w:color="auto"/>
        <w:right w:val="none" w:sz="0" w:space="0" w:color="auto"/>
      </w:divBdr>
    </w:div>
    <w:div w:id="1202594340">
      <w:bodyDiv w:val="1"/>
      <w:marLeft w:val="0"/>
      <w:marRight w:val="0"/>
      <w:marTop w:val="0"/>
      <w:marBottom w:val="0"/>
      <w:divBdr>
        <w:top w:val="none" w:sz="0" w:space="0" w:color="auto"/>
        <w:left w:val="none" w:sz="0" w:space="0" w:color="auto"/>
        <w:bottom w:val="none" w:sz="0" w:space="0" w:color="auto"/>
        <w:right w:val="none" w:sz="0" w:space="0" w:color="auto"/>
      </w:divBdr>
    </w:div>
    <w:div w:id="1231574598">
      <w:bodyDiv w:val="1"/>
      <w:marLeft w:val="0"/>
      <w:marRight w:val="0"/>
      <w:marTop w:val="0"/>
      <w:marBottom w:val="0"/>
      <w:divBdr>
        <w:top w:val="none" w:sz="0" w:space="0" w:color="auto"/>
        <w:left w:val="none" w:sz="0" w:space="0" w:color="auto"/>
        <w:bottom w:val="none" w:sz="0" w:space="0" w:color="auto"/>
        <w:right w:val="none" w:sz="0" w:space="0" w:color="auto"/>
      </w:divBdr>
    </w:div>
    <w:div w:id="1234853457">
      <w:bodyDiv w:val="1"/>
      <w:marLeft w:val="0"/>
      <w:marRight w:val="0"/>
      <w:marTop w:val="0"/>
      <w:marBottom w:val="0"/>
      <w:divBdr>
        <w:top w:val="none" w:sz="0" w:space="0" w:color="auto"/>
        <w:left w:val="none" w:sz="0" w:space="0" w:color="auto"/>
        <w:bottom w:val="none" w:sz="0" w:space="0" w:color="auto"/>
        <w:right w:val="none" w:sz="0" w:space="0" w:color="auto"/>
      </w:divBdr>
    </w:div>
    <w:div w:id="1278831163">
      <w:bodyDiv w:val="1"/>
      <w:marLeft w:val="0"/>
      <w:marRight w:val="0"/>
      <w:marTop w:val="0"/>
      <w:marBottom w:val="0"/>
      <w:divBdr>
        <w:top w:val="none" w:sz="0" w:space="0" w:color="auto"/>
        <w:left w:val="none" w:sz="0" w:space="0" w:color="auto"/>
        <w:bottom w:val="none" w:sz="0" w:space="0" w:color="auto"/>
        <w:right w:val="none" w:sz="0" w:space="0" w:color="auto"/>
      </w:divBdr>
    </w:div>
    <w:div w:id="1309824349">
      <w:bodyDiv w:val="1"/>
      <w:marLeft w:val="0"/>
      <w:marRight w:val="0"/>
      <w:marTop w:val="0"/>
      <w:marBottom w:val="0"/>
      <w:divBdr>
        <w:top w:val="none" w:sz="0" w:space="0" w:color="auto"/>
        <w:left w:val="none" w:sz="0" w:space="0" w:color="auto"/>
        <w:bottom w:val="none" w:sz="0" w:space="0" w:color="auto"/>
        <w:right w:val="none" w:sz="0" w:space="0" w:color="auto"/>
      </w:divBdr>
    </w:div>
    <w:div w:id="1327441505">
      <w:bodyDiv w:val="1"/>
      <w:marLeft w:val="0"/>
      <w:marRight w:val="0"/>
      <w:marTop w:val="0"/>
      <w:marBottom w:val="0"/>
      <w:divBdr>
        <w:top w:val="none" w:sz="0" w:space="0" w:color="auto"/>
        <w:left w:val="none" w:sz="0" w:space="0" w:color="auto"/>
        <w:bottom w:val="none" w:sz="0" w:space="0" w:color="auto"/>
        <w:right w:val="none" w:sz="0" w:space="0" w:color="auto"/>
      </w:divBdr>
    </w:div>
    <w:div w:id="1346830469">
      <w:bodyDiv w:val="1"/>
      <w:marLeft w:val="0"/>
      <w:marRight w:val="0"/>
      <w:marTop w:val="0"/>
      <w:marBottom w:val="0"/>
      <w:divBdr>
        <w:top w:val="none" w:sz="0" w:space="0" w:color="auto"/>
        <w:left w:val="none" w:sz="0" w:space="0" w:color="auto"/>
        <w:bottom w:val="none" w:sz="0" w:space="0" w:color="auto"/>
        <w:right w:val="none" w:sz="0" w:space="0" w:color="auto"/>
      </w:divBdr>
    </w:div>
    <w:div w:id="1387026951">
      <w:bodyDiv w:val="1"/>
      <w:marLeft w:val="0"/>
      <w:marRight w:val="0"/>
      <w:marTop w:val="0"/>
      <w:marBottom w:val="0"/>
      <w:divBdr>
        <w:top w:val="none" w:sz="0" w:space="0" w:color="auto"/>
        <w:left w:val="none" w:sz="0" w:space="0" w:color="auto"/>
        <w:bottom w:val="none" w:sz="0" w:space="0" w:color="auto"/>
        <w:right w:val="none" w:sz="0" w:space="0" w:color="auto"/>
      </w:divBdr>
    </w:div>
    <w:div w:id="1393193860">
      <w:bodyDiv w:val="1"/>
      <w:marLeft w:val="0"/>
      <w:marRight w:val="0"/>
      <w:marTop w:val="0"/>
      <w:marBottom w:val="0"/>
      <w:divBdr>
        <w:top w:val="none" w:sz="0" w:space="0" w:color="auto"/>
        <w:left w:val="none" w:sz="0" w:space="0" w:color="auto"/>
        <w:bottom w:val="none" w:sz="0" w:space="0" w:color="auto"/>
        <w:right w:val="none" w:sz="0" w:space="0" w:color="auto"/>
      </w:divBdr>
    </w:div>
    <w:div w:id="1397972149">
      <w:bodyDiv w:val="1"/>
      <w:marLeft w:val="0"/>
      <w:marRight w:val="0"/>
      <w:marTop w:val="0"/>
      <w:marBottom w:val="0"/>
      <w:divBdr>
        <w:top w:val="none" w:sz="0" w:space="0" w:color="auto"/>
        <w:left w:val="none" w:sz="0" w:space="0" w:color="auto"/>
        <w:bottom w:val="none" w:sz="0" w:space="0" w:color="auto"/>
        <w:right w:val="none" w:sz="0" w:space="0" w:color="auto"/>
      </w:divBdr>
    </w:div>
    <w:div w:id="1715353220">
      <w:bodyDiv w:val="1"/>
      <w:marLeft w:val="0"/>
      <w:marRight w:val="0"/>
      <w:marTop w:val="0"/>
      <w:marBottom w:val="0"/>
      <w:divBdr>
        <w:top w:val="none" w:sz="0" w:space="0" w:color="auto"/>
        <w:left w:val="none" w:sz="0" w:space="0" w:color="auto"/>
        <w:bottom w:val="none" w:sz="0" w:space="0" w:color="auto"/>
        <w:right w:val="none" w:sz="0" w:space="0" w:color="auto"/>
      </w:divBdr>
    </w:div>
    <w:div w:id="1777094901">
      <w:bodyDiv w:val="1"/>
      <w:marLeft w:val="0"/>
      <w:marRight w:val="0"/>
      <w:marTop w:val="0"/>
      <w:marBottom w:val="0"/>
      <w:divBdr>
        <w:top w:val="none" w:sz="0" w:space="0" w:color="auto"/>
        <w:left w:val="none" w:sz="0" w:space="0" w:color="auto"/>
        <w:bottom w:val="none" w:sz="0" w:space="0" w:color="auto"/>
        <w:right w:val="none" w:sz="0" w:space="0" w:color="auto"/>
      </w:divBdr>
    </w:div>
    <w:div w:id="1782652812">
      <w:bodyDiv w:val="1"/>
      <w:marLeft w:val="0"/>
      <w:marRight w:val="0"/>
      <w:marTop w:val="0"/>
      <w:marBottom w:val="0"/>
      <w:divBdr>
        <w:top w:val="none" w:sz="0" w:space="0" w:color="auto"/>
        <w:left w:val="none" w:sz="0" w:space="0" w:color="auto"/>
        <w:bottom w:val="none" w:sz="0" w:space="0" w:color="auto"/>
        <w:right w:val="none" w:sz="0" w:space="0" w:color="auto"/>
      </w:divBdr>
    </w:div>
    <w:div w:id="1824543046">
      <w:bodyDiv w:val="1"/>
      <w:marLeft w:val="0"/>
      <w:marRight w:val="0"/>
      <w:marTop w:val="0"/>
      <w:marBottom w:val="0"/>
      <w:divBdr>
        <w:top w:val="none" w:sz="0" w:space="0" w:color="auto"/>
        <w:left w:val="none" w:sz="0" w:space="0" w:color="auto"/>
        <w:bottom w:val="none" w:sz="0" w:space="0" w:color="auto"/>
        <w:right w:val="none" w:sz="0" w:space="0" w:color="auto"/>
      </w:divBdr>
    </w:div>
    <w:div w:id="1830562957">
      <w:bodyDiv w:val="1"/>
      <w:marLeft w:val="0"/>
      <w:marRight w:val="0"/>
      <w:marTop w:val="0"/>
      <w:marBottom w:val="0"/>
      <w:divBdr>
        <w:top w:val="none" w:sz="0" w:space="0" w:color="auto"/>
        <w:left w:val="none" w:sz="0" w:space="0" w:color="auto"/>
        <w:bottom w:val="none" w:sz="0" w:space="0" w:color="auto"/>
        <w:right w:val="none" w:sz="0" w:space="0" w:color="auto"/>
      </w:divBdr>
    </w:div>
    <w:div w:id="1849059438">
      <w:bodyDiv w:val="1"/>
      <w:marLeft w:val="0"/>
      <w:marRight w:val="0"/>
      <w:marTop w:val="0"/>
      <w:marBottom w:val="0"/>
      <w:divBdr>
        <w:top w:val="none" w:sz="0" w:space="0" w:color="auto"/>
        <w:left w:val="none" w:sz="0" w:space="0" w:color="auto"/>
        <w:bottom w:val="none" w:sz="0" w:space="0" w:color="auto"/>
        <w:right w:val="none" w:sz="0" w:space="0" w:color="auto"/>
      </w:divBdr>
    </w:div>
    <w:div w:id="1855656330">
      <w:bodyDiv w:val="1"/>
      <w:marLeft w:val="0"/>
      <w:marRight w:val="0"/>
      <w:marTop w:val="0"/>
      <w:marBottom w:val="0"/>
      <w:divBdr>
        <w:top w:val="none" w:sz="0" w:space="0" w:color="auto"/>
        <w:left w:val="none" w:sz="0" w:space="0" w:color="auto"/>
        <w:bottom w:val="none" w:sz="0" w:space="0" w:color="auto"/>
        <w:right w:val="none" w:sz="0" w:space="0" w:color="auto"/>
      </w:divBdr>
    </w:div>
    <w:div w:id="1872255337">
      <w:bodyDiv w:val="1"/>
      <w:marLeft w:val="0"/>
      <w:marRight w:val="0"/>
      <w:marTop w:val="0"/>
      <w:marBottom w:val="0"/>
      <w:divBdr>
        <w:top w:val="none" w:sz="0" w:space="0" w:color="auto"/>
        <w:left w:val="none" w:sz="0" w:space="0" w:color="auto"/>
        <w:bottom w:val="none" w:sz="0" w:space="0" w:color="auto"/>
        <w:right w:val="none" w:sz="0" w:space="0" w:color="auto"/>
      </w:divBdr>
    </w:div>
    <w:div w:id="1878851908">
      <w:bodyDiv w:val="1"/>
      <w:marLeft w:val="0"/>
      <w:marRight w:val="0"/>
      <w:marTop w:val="0"/>
      <w:marBottom w:val="0"/>
      <w:divBdr>
        <w:top w:val="none" w:sz="0" w:space="0" w:color="auto"/>
        <w:left w:val="none" w:sz="0" w:space="0" w:color="auto"/>
        <w:bottom w:val="none" w:sz="0" w:space="0" w:color="auto"/>
        <w:right w:val="none" w:sz="0" w:space="0" w:color="auto"/>
      </w:divBdr>
    </w:div>
    <w:div w:id="1888760038">
      <w:bodyDiv w:val="1"/>
      <w:marLeft w:val="0"/>
      <w:marRight w:val="0"/>
      <w:marTop w:val="0"/>
      <w:marBottom w:val="0"/>
      <w:divBdr>
        <w:top w:val="none" w:sz="0" w:space="0" w:color="auto"/>
        <w:left w:val="none" w:sz="0" w:space="0" w:color="auto"/>
        <w:bottom w:val="none" w:sz="0" w:space="0" w:color="auto"/>
        <w:right w:val="none" w:sz="0" w:space="0" w:color="auto"/>
      </w:divBdr>
    </w:div>
    <w:div w:id="1939101847">
      <w:bodyDiv w:val="1"/>
      <w:marLeft w:val="0"/>
      <w:marRight w:val="0"/>
      <w:marTop w:val="0"/>
      <w:marBottom w:val="0"/>
      <w:divBdr>
        <w:top w:val="none" w:sz="0" w:space="0" w:color="auto"/>
        <w:left w:val="none" w:sz="0" w:space="0" w:color="auto"/>
        <w:bottom w:val="none" w:sz="0" w:space="0" w:color="auto"/>
        <w:right w:val="none" w:sz="0" w:space="0" w:color="auto"/>
      </w:divBdr>
    </w:div>
    <w:div w:id="1975980720">
      <w:bodyDiv w:val="1"/>
      <w:marLeft w:val="0"/>
      <w:marRight w:val="0"/>
      <w:marTop w:val="0"/>
      <w:marBottom w:val="0"/>
      <w:divBdr>
        <w:top w:val="none" w:sz="0" w:space="0" w:color="auto"/>
        <w:left w:val="none" w:sz="0" w:space="0" w:color="auto"/>
        <w:bottom w:val="none" w:sz="0" w:space="0" w:color="auto"/>
        <w:right w:val="none" w:sz="0" w:space="0" w:color="auto"/>
      </w:divBdr>
    </w:div>
    <w:div w:id="1983802348">
      <w:bodyDiv w:val="1"/>
      <w:marLeft w:val="0"/>
      <w:marRight w:val="0"/>
      <w:marTop w:val="0"/>
      <w:marBottom w:val="0"/>
      <w:divBdr>
        <w:top w:val="none" w:sz="0" w:space="0" w:color="auto"/>
        <w:left w:val="none" w:sz="0" w:space="0" w:color="auto"/>
        <w:bottom w:val="none" w:sz="0" w:space="0" w:color="auto"/>
        <w:right w:val="none" w:sz="0" w:space="0" w:color="auto"/>
      </w:divBdr>
    </w:div>
    <w:div w:id="2001541188">
      <w:bodyDiv w:val="1"/>
      <w:marLeft w:val="0"/>
      <w:marRight w:val="0"/>
      <w:marTop w:val="0"/>
      <w:marBottom w:val="0"/>
      <w:divBdr>
        <w:top w:val="none" w:sz="0" w:space="0" w:color="auto"/>
        <w:left w:val="none" w:sz="0" w:space="0" w:color="auto"/>
        <w:bottom w:val="none" w:sz="0" w:space="0" w:color="auto"/>
        <w:right w:val="none" w:sz="0" w:space="0" w:color="auto"/>
      </w:divBdr>
    </w:div>
    <w:div w:id="2116249489">
      <w:bodyDiv w:val="1"/>
      <w:marLeft w:val="0"/>
      <w:marRight w:val="0"/>
      <w:marTop w:val="0"/>
      <w:marBottom w:val="0"/>
      <w:divBdr>
        <w:top w:val="none" w:sz="0" w:space="0" w:color="auto"/>
        <w:left w:val="none" w:sz="0" w:space="0" w:color="auto"/>
        <w:bottom w:val="none" w:sz="0" w:space="0" w:color="auto"/>
        <w:right w:val="none" w:sz="0" w:space="0" w:color="auto"/>
      </w:divBdr>
    </w:div>
    <w:div w:id="2121676590">
      <w:bodyDiv w:val="1"/>
      <w:marLeft w:val="0"/>
      <w:marRight w:val="0"/>
      <w:marTop w:val="0"/>
      <w:marBottom w:val="0"/>
      <w:divBdr>
        <w:top w:val="none" w:sz="0" w:space="0" w:color="auto"/>
        <w:left w:val="none" w:sz="0" w:space="0" w:color="auto"/>
        <w:bottom w:val="none" w:sz="0" w:space="0" w:color="auto"/>
        <w:right w:val="none" w:sz="0" w:space="0" w:color="auto"/>
      </w:divBdr>
    </w:div>
    <w:div w:id="2143034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5CF6"/>
    <w:rsid w:val="000D4516"/>
    <w:rsid w:val="00126B53"/>
    <w:rsid w:val="00145AD8"/>
    <w:rsid w:val="00184F68"/>
    <w:rsid w:val="001B2476"/>
    <w:rsid w:val="001F3377"/>
    <w:rsid w:val="00242260"/>
    <w:rsid w:val="002450A7"/>
    <w:rsid w:val="003203C2"/>
    <w:rsid w:val="003B48F5"/>
    <w:rsid w:val="00477A91"/>
    <w:rsid w:val="004D25D2"/>
    <w:rsid w:val="007C4626"/>
    <w:rsid w:val="008513CA"/>
    <w:rsid w:val="0090410F"/>
    <w:rsid w:val="009D7389"/>
    <w:rsid w:val="00A34C42"/>
    <w:rsid w:val="00BC1251"/>
    <w:rsid w:val="00BC6D52"/>
    <w:rsid w:val="00C67429"/>
    <w:rsid w:val="00D13860"/>
    <w:rsid w:val="00D22312"/>
    <w:rsid w:val="00DC2113"/>
    <w:rsid w:val="00ED3936"/>
    <w:rsid w:val="00F94A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JournalArticle</b:SourceType>
    <b:Guid>{B1E37740-C2B5-445F-BDBA-DE0CAB914665}</b:Guid>
    <b:Author>
      <b:Author>
        <b:NameList>
          <b:Person>
            <b:Last>Armenakis</b:Last>
            <b:First>A.A.</b:First>
            <b:Middle>and Harris, S.G.</b:Middle>
          </b:Person>
        </b:NameList>
      </b:Author>
    </b:Author>
    <b:Title>Reflections: our journey in organizational change research and practice</b:Title>
    <b:Year>2009</b:Year>
    <b:JournalName>Journal of Change Management</b:JournalName>
    <b:Pages>127-142</b:Pages>
    <b:Volume>9</b:Volume>
    <b:Issue>2</b:Issue>
    <b:RefOrder>16</b:RefOrder>
  </b:Source>
  <b:Source>
    <b:Tag>Bas06</b:Tag>
    <b:SourceType>Book</b:SourceType>
    <b:Guid>{F8F18964-C001-4FE6-963C-7AE609AAEA70}</b:Guid>
    <b:Title>Transformational Leadership</b:Title>
    <b:Year>2006</b:Year>
    <b:Author>
      <b:Author>
        <b:NameList>
          <b:Person>
            <b:Last>Bass</b:Last>
            <b:First>B.M.</b:First>
            <b:Middle>&amp; Riggio, R.E.</b:Middle>
          </b:Person>
        </b:NameList>
      </b:Author>
    </b:Author>
    <b:City>Mahwah, NJ</b:City>
    <b:Publisher>Lawrence Erlbaum Associates</b:Publisher>
    <b:Edition>2nd</b:Edition>
    <b:RefOrder>11</b:RefOrder>
  </b:Source>
  <b:Source>
    <b:Tag>Bur17</b:Tag>
    <b:SourceType>Book</b:SourceType>
    <b:Guid>{61A7DB23-9FF4-4919-89DA-BFC28191F255}</b:Guid>
    <b:Author>
      <b:Author>
        <b:NameList>
          <b:Person>
            <b:Last>Burnes</b:Last>
            <b:First>B.</b:First>
          </b:Person>
        </b:NameList>
      </b:Author>
    </b:Author>
    <b:Title>Managing change</b:Title>
    <b:Year>2017</b:Year>
    <b:City>Harlow</b:City>
    <b:Publisher>Pearson Education</b:Publisher>
    <b:Edition>7th</b:Edition>
    <b:RefOrder>7</b:RefOrder>
  </b:Source>
  <b:Source>
    <b:Tag>Cul25</b:Tag>
    <b:SourceType>InternetSite</b:SourceType>
    <b:Guid>{A35B5225-2E16-4D3A-AEDE-0C39565CEDBB}</b:Guid>
    <b:Title>The Top 7 Change Management Models for Effective Organizational Change</b:Title>
    <b:Year>2025</b:Year>
    <b:Author>
      <b:Author>
        <b:NameList>
          <b:Person>
            <b:Last>Partners</b:Last>
            <b:First>Culture</b:First>
          </b:Person>
        </b:NameList>
      </b:Author>
    </b:Author>
    <b:YearAccessed>2025</b:YearAccessed>
    <b:MonthAccessed>March</b:MonthAccessed>
    <b:URL>https://culturepartners.com/insights/the-top-7-change-management-models-for-effective-organizational-change</b:URL>
    <b:RefOrder>12</b:RefOrder>
  </b:Source>
  <b:Source>
    <b:Tag>Gag05</b:Tag>
    <b:SourceType>JournalArticle</b:SourceType>
    <b:Guid>{1077C169-43D2-4878-BC0F-536A7CC7AD42}</b:Guid>
    <b:Title>Self-determination theory and work motivation</b:Title>
    <b:Year>2005</b:Year>
    <b:Author>
      <b:Author>
        <b:NameList>
          <b:Person>
            <b:Last>Gagné</b:Last>
            <b:First>M.</b:First>
            <b:Middle>&amp; Deci, E.L.</b:Middle>
          </b:Person>
        </b:NameList>
      </b:Author>
    </b:Author>
    <b:JournalName>Journal of Organizational Behavior</b:JournalName>
    <b:Pages>331-362</b:Pages>
    <b:Volume>26</b:Volume>
    <b:Issue>4</b:Issue>
    <b:RefOrder>13</b:RefOrder>
  </b:Source>
  <b:Source>
    <b:Tag>Gag25</b:Tag>
    <b:SourceType>JournalArticle</b:SourceType>
    <b:Guid>{76208000-836D-4422-B37F-4A2131DEF8C1}</b:Guid>
    <b:Author>
      <b:Author>
        <b:NameList>
          <b:Person>
            <b:Last>Gagné</b:Last>
            <b:First>M.</b:First>
            <b:Middle>&amp; Hewett, R</b:Middle>
          </b:Person>
        </b:NameList>
      </b:Author>
    </b:Author>
    <b:Title>What Leaders Get Wrong About Employee Motivation</b:Title>
    <b:JournalName>MIT Sloan Management Review</b:JournalName>
    <b:Year>2025</b:Year>
    <b:Pages>45-52</b:Pages>
    <b:Volume>65</b:Volume>
    <b:Issue>2</b:Issue>
    <b:RefOrder>17</b:RefOrder>
  </b:Source>
  <b:Source>
    <b:Tag>Glo25</b:Tag>
    <b:SourceType>InternetSite</b:SourceType>
    <b:Guid>{7DE1FB31-E72A-464E-86C5-12B006399FB5}</b:Guid>
    <b:Title>Top 6 Challenges Faced by the Automotive Industry: The Post-COVID-19 Era</b:Title>
    <b:Year>2025</b:Year>
    <b:Author>
      <b:Author>
        <b:NameList>
          <b:Person>
            <b:Last>Insights</b:Last>
            <b:First>Global</b:First>
            <b:Middle>Market</b:Middle>
          </b:Person>
        </b:NameList>
      </b:Author>
    </b:Author>
    <b:YearAccessed>2025</b:YearAccessed>
    <b:MonthAccessed>April</b:MonthAccessed>
    <b:URL>https://www.gminsights.com/blogs/top-challenges-in-the-automotive-industry-pre-COVID</b:URL>
    <b:RefOrder>5</b:RefOrder>
  </b:Source>
  <b:Source>
    <b:Tag>Hia06</b:Tag>
    <b:SourceType>Book</b:SourceType>
    <b:Guid>{A7CE5B5F-A714-4E30-8A38-A3427BCAC32E}</b:Guid>
    <b:Title>ADKAR: A Model for Change in Business, Government and our Community</b:Title>
    <b:Year>2006</b:Year>
    <b:Author>
      <b:Author>
        <b:NameList>
          <b:Person>
            <b:Last>Hiatt</b:Last>
            <b:First>J.M.</b:First>
          </b:Person>
        </b:NameList>
      </b:Author>
    </b:Author>
    <b:City>Loveland, Colorado</b:City>
    <b:Publisher>Prosci Learning Center Publications</b:Publisher>
    <b:RefOrder>3</b:RefOrder>
  </b:Source>
  <b:Source>
    <b:Tag>Ind25</b:Tag>
    <b:SourceType>InternetSite</b:SourceType>
    <b:Guid>{07DB8890-9937-41E9-A404-29C0C957871D}</b:Guid>
    <b:Title>Continuous Improvement</b:Title>
    <b:Year>2025</b:Year>
    <b:Author>
      <b:Author>
        <b:NameList>
          <b:Person>
            <b:Last>IndustryWeek</b:Last>
          </b:Person>
        </b:NameList>
      </b:Author>
    </b:Author>
    <b:YearAccessed>2025</b:YearAccessed>
    <b:MonthAccessed>March</b:MonthAccessed>
    <b:URL>https://www.industryweek.com/operations/continuous-improvement</b:URL>
    <b:RefOrder>8</b:RefOrder>
  </b:Source>
  <b:Source>
    <b:Tag>Kot96</b:Tag>
    <b:SourceType>Book</b:SourceType>
    <b:Guid>{FAC0E6B4-B92A-47ED-B331-C70ED8DF0316}</b:Guid>
    <b:Title>Leading Change</b:Title>
    <b:Year>1996</b:Year>
    <b:Author>
      <b:Author>
        <b:NameList>
          <b:Person>
            <b:Last>Kotter</b:Last>
            <b:First>J.P.</b:First>
          </b:Person>
        </b:NameList>
      </b:Author>
    </b:Author>
    <b:City>Boston</b:City>
    <b:Publisher>Harvard Business School Press</b:Publisher>
    <b:RefOrder>2</b:RefOrder>
  </b:Source>
  <b:Source>
    <b:Tag>Lew51</b:Tag>
    <b:SourceType>Book</b:SourceType>
    <b:Guid>{2F722F96-29AD-47D2-A97F-9D01C1D0578A}</b:Guid>
    <b:Author>
      <b:Author>
        <b:NameList>
          <b:Person>
            <b:Last>Lewin</b:Last>
            <b:First>K.</b:First>
          </b:Person>
        </b:NameList>
      </b:Author>
    </b:Author>
    <b:Title>Field Theory in Social Science: Selected Theoretical Papers</b:Title>
    <b:Year>1951</b:Year>
    <b:City>New York</b:City>
    <b:Publisher>Harper &amp; Row</b:Publisher>
    <b:RefOrder>1</b:RefOrder>
  </b:Source>
  <b:Source>
    <b:Tag>Mul16</b:Tag>
    <b:SourceType>Book</b:SourceType>
    <b:Guid>{B678B96A-A45F-4CA4-AAE4-A8E8E7633A62}</b:Guid>
    <b:Author>
      <b:Author>
        <b:NameList>
          <b:Person>
            <b:Last>Mullins</b:Last>
            <b:First>L.J.</b:First>
            <b:Middle>and Christy, G.</b:Middle>
          </b:Person>
        </b:NameList>
      </b:Author>
    </b:Author>
    <b:Title>Management &amp; organisational behaviour</b:Title>
    <b:Year>2016</b:Year>
    <b:Publisher>Pearson</b:Publisher>
    <b:Edition>11th</b:Edition>
    <b:RefOrder>6</b:RefOrder>
  </b:Source>
  <b:Source>
    <b:Tag>McK24</b:Tag>
    <b:SourceType>InternetSite</b:SourceType>
    <b:Guid>{010A7B6F-7FAE-432E-838B-D97B279DF8B1}</b:Guid>
    <b:Title>'Going all in: Why employee 'will' can make or break transformations</b:Title>
    <b:Year>2024</b:Year>
    <b:Author>
      <b:Author>
        <b:Corporate>McKinsey &amp; Company </b:Corporate>
      </b:Author>
    </b:Author>
    <b:YearAccessed>2025</b:YearAccessed>
    <b:MonthAccessed>March</b:MonthAccessed>
    <b:URL> https://www.mckinsey.com/capabilities/transformation/our-insights/going-all-in-why-employee-will-can-make-or-break-transformations </b:URL>
    <b:RefOrder>14</b:RefOrder>
  </b:Source>
  <b:Source>
    <b:Tag>Pro25</b:Tag>
    <b:SourceType>InternetSite</b:SourceType>
    <b:Guid>{426EFE88-D766-4B4D-AC7D-D371371AA50F}</b:Guid>
    <b:Author>
      <b:Author>
        <b:NameList>
          <b:Person>
            <b:Last>Prosci</b:Last>
          </b:Person>
        </b:NameList>
      </b:Author>
    </b:Author>
    <b:Title>Change Leadership: How to Lead Change as a Change Leader</b:Title>
    <b:Year>2025</b:Year>
    <b:YearAccessed>2025</b:YearAccessed>
    <b:MonthAccessed>April</b:MonthAccessed>
    <b:URL>https://www.prosci.com/blog/change-leadership </b:URL>
    <b:RefOrder>9</b:RefOrder>
  </b:Source>
  <b:Source>
    <b:Tag>Saf25</b:Tag>
    <b:SourceType>InternetSite</b:SourceType>
    <b:Guid>{2D1DE37C-F97B-4CF7-9972-3230F88BF66B}</b:Guid>
    <b:Author>
      <b:Author>
        <b:Corporate>Safety Culture</b:Corporate>
      </b:Author>
    </b:Author>
    <b:Title>Continuous Improvement in Manufacturing: A Guide</b:Title>
    <b:Year>2025</b:Year>
    <b:YearAccessed>2025</b:YearAccessed>
    <b:MonthAccessed>March</b:MonthAccessed>
    <b:URL>https://safetyculture.com/topics/continuous-improvement-culture/continuous-improvement-in-manufacturing</b:URL>
    <b:RefOrder>10</b:RefOrder>
  </b:Source>
  <b:Source>
    <b:Tag>The251</b:Tag>
    <b:SourceType>InternetSite</b:SourceType>
    <b:Guid>{0A28C665-6EED-4A14-8982-9A62638048AB}</b:Guid>
    <b:Author>
      <b:Author>
        <b:Corporate>The Guardian </b:Corporate>
      </b:Author>
    </b:Author>
    <b:Title>'UK manufacturers to cut jobs 'within weeks unless ministers can strike trade deal</b:Title>
    <b:Year>2025</b:Year>
    <b:YearAccessed>2025</b:YearAccessed>
    <b:MonthAccessed>April</b:MonthAccessed>
    <b:URL>https://www.theguardian.com/business/2025/apr/22/uk-manufacturers-to-cut-jobs-within-weeks-unless-ministers-can-strike-trade-deal</b:URL>
    <b:RefOrder>18</b:RefOrder>
  </b:Source>
  <b:Source>
    <b:Tag>Ast25</b:Tag>
    <b:SourceType>InternetSite</b:SourceType>
    <b:Guid>{FF6869C6-1331-4D6B-99C0-E614979FCF11}</b:Guid>
    <b:Author>
      <b:Author>
        <b:Corporate>Aston Martin Lagonda </b:Corporate>
      </b:Author>
    </b:Author>
    <b:Title>Regulatory News</b:Title>
    <b:Year>2025</b:Year>
    <b:YearAccessed>2025</b:YearAccessed>
    <b:MonthAccessed>April</b:MonthAccessed>
    <b:URL>https://www.astonmartin.com/en/corporate/investors/regulatory-news</b:URL>
    <b:RefOrder>4</b:RefOrder>
  </b:Source>
  <b:Source>
    <b:Tag>Jag25</b:Tag>
    <b:SourceType>InternetSite</b:SourceType>
    <b:Guid>{B24D94EF-A9EC-440E-AAC0-C6EECEF300DF}</b:Guid>
    <b:Author>
      <b:Author>
        <b:Corporate>Jaguar Land Rover</b:Corporate>
      </b:Author>
    </b:Author>
    <b:Title>Investor Relations</b:Title>
    <b:Year>2025</b:Year>
    <b:YearAccessed>2025</b:YearAccessed>
    <b:MonthAccessed>April</b:MonthAccessed>
    <b:URL>https://www.jlr.com/investor-relations</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59D855-53D2-4BF6-A22F-FF861BE05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11</Pages>
  <Words>2997</Words>
  <Characters>21036</Characters>
  <Application>Microsoft Office Word</Application>
  <DocSecurity>0</DocSecurity>
  <Lines>377</Lines>
  <Paragraphs>56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Luke Huzzey-Evans 2205835</dc:subject>
  <dc:creator>Marie Pitson</dc:creator>
  <cp:keywords/>
  <dc:description/>
  <cp:lastModifiedBy>Huzzey-Evans1, Luke</cp:lastModifiedBy>
  <cp:revision>192</cp:revision>
  <dcterms:created xsi:type="dcterms:W3CDTF">2025-02-14T19:20:00Z</dcterms:created>
  <dcterms:modified xsi:type="dcterms:W3CDTF">2025-05-02T20:23:00Z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e920cbaf24157dc7e7179346e79247f73df75a5703d10f52c54a555731d41785</vt:lpwstr>
  </property>
</Properties>
</file>