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EA559" w14:textId="3717C792" w:rsidR="007F4B32" w:rsidRPr="0065706A" w:rsidRDefault="007F4B32">
      <w:pPr>
        <w:rPr>
          <w:rStyle w:val="ui-provider"/>
          <w:rFonts w:cstheme="minorHAnsi"/>
          <w:sz w:val="20"/>
          <w:szCs w:val="20"/>
          <w:u w:val="single"/>
        </w:rPr>
      </w:pPr>
      <w:r w:rsidRPr="0065706A">
        <w:rPr>
          <w:rStyle w:val="ui-provider"/>
          <w:rFonts w:cstheme="minorHAnsi"/>
          <w:sz w:val="20"/>
          <w:szCs w:val="20"/>
          <w:u w:val="single"/>
        </w:rPr>
        <w:t>Talent management assignment</w:t>
      </w:r>
    </w:p>
    <w:p w14:paraId="7C33073E" w14:textId="77777777" w:rsidR="007F4B32" w:rsidRPr="0065706A" w:rsidRDefault="007F4B32">
      <w:pPr>
        <w:rPr>
          <w:rStyle w:val="ui-provider"/>
          <w:rFonts w:cstheme="minorHAnsi"/>
          <w:sz w:val="20"/>
          <w:szCs w:val="20"/>
        </w:rPr>
      </w:pPr>
    </w:p>
    <w:p w14:paraId="4694D5A9" w14:textId="26EA0E4A" w:rsidR="0080717D" w:rsidRPr="0065706A" w:rsidRDefault="0080717D">
      <w:pPr>
        <w:rPr>
          <w:rStyle w:val="ui-provider"/>
          <w:rFonts w:cstheme="minorHAnsi"/>
          <w:sz w:val="20"/>
          <w:szCs w:val="20"/>
        </w:rPr>
      </w:pPr>
      <w:r w:rsidRPr="0065706A">
        <w:rPr>
          <w:rStyle w:val="ui-provider"/>
          <w:rFonts w:cstheme="minorHAnsi"/>
          <w:sz w:val="20"/>
          <w:szCs w:val="20"/>
        </w:rPr>
        <w:t>AC 1.1</w:t>
      </w:r>
    </w:p>
    <w:p w14:paraId="6459E0CB" w14:textId="165B95C9" w:rsidR="00385B1D" w:rsidRPr="0065706A" w:rsidRDefault="00385B1D" w:rsidP="00A0728A">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As competition in the labour market intensifies due to new entrants in the parcel delivery sector,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must adopt a strategic approach to strengthen its position as an employer of choice. From a human resources perspective, this involves enhancing the organisation’s employer brand by promoting a positive workplace culture, development opportunities, and competitive benefits that appeal to today’s workforce</w:t>
      </w:r>
      <w:r w:rsidR="0048486D" w:rsidRPr="0065706A">
        <w:rPr>
          <w:rFonts w:asciiTheme="minorHAnsi" w:hAnsiTheme="minorHAnsi" w:cstheme="minorHAnsi"/>
          <w:sz w:val="20"/>
          <w:szCs w:val="20"/>
        </w:rPr>
        <w:t xml:space="preserve"> (Taylor, 2025)</w:t>
      </w:r>
      <w:r w:rsidRPr="0065706A">
        <w:rPr>
          <w:rFonts w:asciiTheme="minorHAnsi" w:hAnsiTheme="minorHAnsi" w:cstheme="minorHAnsi"/>
          <w:sz w:val="20"/>
          <w:szCs w:val="20"/>
        </w:rPr>
        <w:t>. Offering flexible working arrangements and investing in employee training and career progression can help attract and retain high-quality candidates</w:t>
      </w:r>
      <w:r w:rsidR="005B121F" w:rsidRPr="0065706A">
        <w:rPr>
          <w:rFonts w:asciiTheme="minorHAnsi" w:hAnsiTheme="minorHAnsi" w:cstheme="minorHAnsi"/>
          <w:sz w:val="20"/>
          <w:szCs w:val="20"/>
        </w:rPr>
        <w:t xml:space="preserve"> (Taylor, 2025).</w:t>
      </w:r>
      <w:r w:rsidR="00AC4307" w:rsidRPr="0065706A">
        <w:rPr>
          <w:rFonts w:asciiTheme="minorHAnsi" w:hAnsiTheme="minorHAnsi" w:cstheme="minorHAnsi"/>
          <w:sz w:val="20"/>
          <w:szCs w:val="20"/>
        </w:rPr>
        <w:t xml:space="preserve"> </w:t>
      </w:r>
      <w:r w:rsidRPr="0065706A">
        <w:rPr>
          <w:rFonts w:asciiTheme="minorHAnsi" w:hAnsiTheme="minorHAnsi" w:cstheme="minorHAnsi"/>
          <w:sz w:val="20"/>
          <w:szCs w:val="20"/>
        </w:rPr>
        <w:t xml:space="preserve">Additionally, broadening recruitment efforts to include underrepresented or overlooked talent pools—such as returners to work or older workers—can help expand the candidate base. Utilising data-driven HR practices to monitor labour market trends and adapt recruitment strategies will also support more effective decision-making. By aligning these initiatives with a coherent talent strategy,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can improve its competitive standing and secure a resilient, engaged workforce</w:t>
      </w:r>
      <w:r w:rsidR="00A0728A" w:rsidRPr="0065706A">
        <w:rPr>
          <w:rFonts w:asciiTheme="minorHAnsi" w:hAnsiTheme="minorHAnsi" w:cstheme="minorHAnsi"/>
          <w:sz w:val="20"/>
          <w:szCs w:val="20"/>
        </w:rPr>
        <w:t xml:space="preserve"> (Rees, 2023).</w:t>
      </w:r>
    </w:p>
    <w:p w14:paraId="3B851DC2" w14:textId="6337E2E3" w:rsidR="00385B1D" w:rsidRPr="0065706A" w:rsidRDefault="00385B1D" w:rsidP="002E6B65">
      <w:pPr>
        <w:rPr>
          <w:rFonts w:cstheme="minorHAnsi"/>
          <w:sz w:val="20"/>
          <w:szCs w:val="20"/>
        </w:rPr>
      </w:pPr>
      <w:r w:rsidRPr="0065706A">
        <w:rPr>
          <w:rFonts w:cstheme="minorHAnsi"/>
          <w:sz w:val="20"/>
          <w:szCs w:val="20"/>
        </w:rPr>
        <w:t xml:space="preserve">A key strategy </w:t>
      </w:r>
      <w:proofErr w:type="spellStart"/>
      <w:r w:rsidRPr="0065706A">
        <w:rPr>
          <w:rFonts w:cstheme="minorHAnsi"/>
          <w:sz w:val="20"/>
          <w:szCs w:val="20"/>
        </w:rPr>
        <w:t>ParcelCare</w:t>
      </w:r>
      <w:proofErr w:type="spellEnd"/>
      <w:r w:rsidRPr="0065706A">
        <w:rPr>
          <w:rFonts w:cstheme="minorHAnsi"/>
          <w:sz w:val="20"/>
          <w:szCs w:val="20"/>
        </w:rPr>
        <w:t xml:space="preserve"> could implement is a </w:t>
      </w:r>
      <w:r w:rsidRPr="0065706A">
        <w:rPr>
          <w:rStyle w:val="Strong"/>
          <w:rFonts w:cstheme="minorHAnsi"/>
          <w:b w:val="0"/>
          <w:bCs w:val="0"/>
          <w:sz w:val="20"/>
          <w:szCs w:val="20"/>
        </w:rPr>
        <w:t>talent attraction and retention programme</w:t>
      </w:r>
      <w:r w:rsidRPr="0065706A">
        <w:rPr>
          <w:rFonts w:cstheme="minorHAnsi"/>
          <w:sz w:val="20"/>
          <w:szCs w:val="20"/>
        </w:rPr>
        <w:t xml:space="preserve"> focused on employer value proposition and workforce flexibility</w:t>
      </w:r>
      <w:r w:rsidR="000C75A7" w:rsidRPr="0065706A">
        <w:rPr>
          <w:rFonts w:cstheme="minorHAnsi"/>
          <w:sz w:val="20"/>
          <w:szCs w:val="20"/>
        </w:rPr>
        <w:t xml:space="preserve"> (Taylor, 2025)</w:t>
      </w:r>
      <w:r w:rsidRPr="0065706A">
        <w:rPr>
          <w:rFonts w:cstheme="minorHAnsi"/>
          <w:sz w:val="20"/>
          <w:szCs w:val="20"/>
        </w:rPr>
        <w:t xml:space="preserve">. This would involve defining what makes </w:t>
      </w:r>
      <w:proofErr w:type="spellStart"/>
      <w:r w:rsidRPr="0065706A">
        <w:rPr>
          <w:rFonts w:cstheme="minorHAnsi"/>
          <w:sz w:val="20"/>
          <w:szCs w:val="20"/>
        </w:rPr>
        <w:t>ParcelCare</w:t>
      </w:r>
      <w:proofErr w:type="spellEnd"/>
      <w:r w:rsidRPr="0065706A">
        <w:rPr>
          <w:rFonts w:cstheme="minorHAnsi"/>
          <w:sz w:val="20"/>
          <w:szCs w:val="20"/>
        </w:rPr>
        <w:t xml:space="preserve"> a unique and attractive place to work, such as clear career development paths, wellbeing support, and performance-based incentives</w:t>
      </w:r>
      <w:r w:rsidR="006138DA" w:rsidRPr="0065706A">
        <w:rPr>
          <w:rFonts w:cstheme="minorHAnsi"/>
          <w:sz w:val="20"/>
          <w:szCs w:val="20"/>
        </w:rPr>
        <w:t xml:space="preserve"> (CIPD, 2024)</w:t>
      </w:r>
      <w:r w:rsidRPr="0065706A">
        <w:rPr>
          <w:rFonts w:cstheme="minorHAnsi"/>
          <w:sz w:val="20"/>
          <w:szCs w:val="20"/>
        </w:rPr>
        <w:t xml:space="preserve">. To monitor the effectiveness of this strategy, HR can utilise practices such as </w:t>
      </w:r>
      <w:r w:rsidRPr="0065706A">
        <w:rPr>
          <w:rStyle w:val="Strong"/>
          <w:rFonts w:cstheme="minorHAnsi"/>
          <w:b w:val="0"/>
          <w:bCs w:val="0"/>
          <w:sz w:val="20"/>
          <w:szCs w:val="20"/>
        </w:rPr>
        <w:t>workforce analytics</w:t>
      </w:r>
      <w:r w:rsidRPr="0065706A">
        <w:rPr>
          <w:rFonts w:cstheme="minorHAnsi"/>
          <w:b/>
          <w:bCs/>
          <w:sz w:val="20"/>
          <w:szCs w:val="20"/>
        </w:rPr>
        <w:t xml:space="preserve">, </w:t>
      </w:r>
      <w:r w:rsidRPr="0065706A">
        <w:rPr>
          <w:rStyle w:val="Strong"/>
          <w:rFonts w:cstheme="minorHAnsi"/>
          <w:b w:val="0"/>
          <w:bCs w:val="0"/>
          <w:sz w:val="20"/>
          <w:szCs w:val="20"/>
        </w:rPr>
        <w:t>employee engagement surveys</w:t>
      </w:r>
      <w:r w:rsidRPr="0065706A">
        <w:rPr>
          <w:rFonts w:cstheme="minorHAnsi"/>
          <w:sz w:val="20"/>
          <w:szCs w:val="20"/>
        </w:rPr>
        <w:t xml:space="preserve">, and </w:t>
      </w:r>
      <w:r w:rsidRPr="0065706A">
        <w:rPr>
          <w:rStyle w:val="Strong"/>
          <w:rFonts w:cstheme="minorHAnsi"/>
          <w:b w:val="0"/>
          <w:bCs w:val="0"/>
          <w:sz w:val="20"/>
          <w:szCs w:val="20"/>
        </w:rPr>
        <w:t>exit interviews</w:t>
      </w:r>
      <w:r w:rsidRPr="0065706A">
        <w:rPr>
          <w:rFonts w:cstheme="minorHAnsi"/>
          <w:sz w:val="20"/>
          <w:szCs w:val="20"/>
        </w:rPr>
        <w:t xml:space="preserve"> to gather data on staff satisfaction, turnover trends, and reasons for leaving. Additionally, using </w:t>
      </w:r>
      <w:r w:rsidRPr="0065706A">
        <w:rPr>
          <w:rStyle w:val="Strong"/>
          <w:rFonts w:cstheme="minorHAnsi"/>
          <w:b w:val="0"/>
          <w:bCs w:val="0"/>
          <w:sz w:val="20"/>
          <w:szCs w:val="20"/>
        </w:rPr>
        <w:t>applicant tracking systems (ATS)</w:t>
      </w:r>
      <w:r w:rsidRPr="0065706A">
        <w:rPr>
          <w:rFonts w:cstheme="minorHAnsi"/>
          <w:sz w:val="20"/>
          <w:szCs w:val="20"/>
        </w:rPr>
        <w:t xml:space="preserve"> and recruitment metrics—such as time-to-hire, offer acceptance rates, and source effectiveness—can help assess how well the company is competing for talent</w:t>
      </w:r>
      <w:r w:rsidR="00CB6050" w:rsidRPr="0065706A">
        <w:rPr>
          <w:rFonts w:cstheme="minorHAnsi"/>
          <w:sz w:val="20"/>
          <w:szCs w:val="20"/>
        </w:rPr>
        <w:t xml:space="preserve"> (Indeed, 2025)</w:t>
      </w:r>
      <w:r w:rsidRPr="0065706A">
        <w:rPr>
          <w:rFonts w:cstheme="minorHAnsi"/>
          <w:sz w:val="20"/>
          <w:szCs w:val="20"/>
        </w:rPr>
        <w:t xml:space="preserve">. Regular benchmarking against industry standards will also ensure </w:t>
      </w:r>
      <w:proofErr w:type="spellStart"/>
      <w:r w:rsidRPr="0065706A">
        <w:rPr>
          <w:rFonts w:cstheme="minorHAnsi"/>
          <w:sz w:val="20"/>
          <w:szCs w:val="20"/>
        </w:rPr>
        <w:t>ParcelCare</w:t>
      </w:r>
      <w:proofErr w:type="spellEnd"/>
      <w:r w:rsidRPr="0065706A">
        <w:rPr>
          <w:rFonts w:cstheme="minorHAnsi"/>
          <w:sz w:val="20"/>
          <w:szCs w:val="20"/>
        </w:rPr>
        <w:t xml:space="preserve"> remains competitive and responsive in a rapidly evolving labour market.</w:t>
      </w:r>
    </w:p>
    <w:p w14:paraId="71467265" w14:textId="77777777" w:rsidR="00385B1D" w:rsidRPr="0065706A" w:rsidRDefault="00385B1D">
      <w:pPr>
        <w:rPr>
          <w:rFonts w:cstheme="minorHAnsi"/>
          <w:sz w:val="20"/>
          <w:szCs w:val="20"/>
        </w:rPr>
      </w:pPr>
    </w:p>
    <w:p w14:paraId="38B382D6" w14:textId="3C04490B" w:rsidR="00385B1D" w:rsidRPr="0065706A" w:rsidRDefault="0080717D">
      <w:pPr>
        <w:rPr>
          <w:rStyle w:val="ui-provider"/>
          <w:rFonts w:cstheme="minorHAnsi"/>
          <w:sz w:val="20"/>
          <w:szCs w:val="20"/>
        </w:rPr>
      </w:pPr>
      <w:r w:rsidRPr="0065706A">
        <w:rPr>
          <w:rStyle w:val="ui-provider"/>
          <w:rFonts w:cstheme="minorHAnsi"/>
          <w:sz w:val="20"/>
          <w:szCs w:val="20"/>
        </w:rPr>
        <w:t>AC 1.2</w:t>
      </w:r>
    </w:p>
    <w:p w14:paraId="027F77E2" w14:textId="5B744244" w:rsidR="00385B1D" w:rsidRPr="0065706A" w:rsidRDefault="00385B1D" w:rsidP="00385B1D">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Changing labour market conditions have a significant impact on resourcing decisions at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The emergence of new competitors in the parcel delivery sector has increased demand for experienced delivery personnel, making it more difficult and costly to attract and retain talent</w:t>
      </w:r>
      <w:r w:rsidR="00A44BF1" w:rsidRPr="0065706A">
        <w:rPr>
          <w:rFonts w:asciiTheme="minorHAnsi" w:hAnsiTheme="minorHAnsi" w:cstheme="minorHAnsi"/>
          <w:sz w:val="20"/>
          <w:szCs w:val="20"/>
        </w:rPr>
        <w:t xml:space="preserve"> (Bennett, Prior and </w:t>
      </w:r>
      <w:proofErr w:type="spellStart"/>
      <w:r w:rsidR="00A44BF1" w:rsidRPr="0065706A">
        <w:rPr>
          <w:rFonts w:asciiTheme="minorHAnsi" w:hAnsiTheme="minorHAnsi" w:cstheme="minorHAnsi"/>
          <w:sz w:val="20"/>
          <w:szCs w:val="20"/>
        </w:rPr>
        <w:t>Saundry</w:t>
      </w:r>
      <w:proofErr w:type="spellEnd"/>
      <w:r w:rsidR="00A44BF1" w:rsidRPr="0065706A">
        <w:rPr>
          <w:rFonts w:asciiTheme="minorHAnsi" w:hAnsiTheme="minorHAnsi" w:cstheme="minorHAnsi"/>
          <w:sz w:val="20"/>
          <w:szCs w:val="20"/>
        </w:rPr>
        <w:t>, 2024)</w:t>
      </w:r>
      <w:r w:rsidRPr="0065706A">
        <w:rPr>
          <w:rFonts w:asciiTheme="minorHAnsi" w:hAnsiTheme="minorHAnsi" w:cstheme="minorHAnsi"/>
          <w:sz w:val="20"/>
          <w:szCs w:val="20"/>
        </w:rPr>
        <w:t xml:space="preserve">. As a result,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must reassess salary benchmarks and potentially increase wages or benefits to remain competitive. Additionally, a shortage of available workers may require the company to explore alternative resourcing options, such as part-time contracts, agency staff, or zero-hours contracts to maintain operational capacity</w:t>
      </w:r>
      <w:r w:rsidR="00A81225" w:rsidRPr="0065706A">
        <w:rPr>
          <w:rFonts w:asciiTheme="minorHAnsi" w:hAnsiTheme="minorHAnsi" w:cstheme="minorHAnsi"/>
          <w:sz w:val="20"/>
          <w:szCs w:val="20"/>
        </w:rPr>
        <w:t xml:space="preserve"> (Perkins and Jones, 2020</w:t>
      </w:r>
      <w:proofErr w:type="gramStart"/>
      <w:r w:rsidR="00A81225" w:rsidRPr="0065706A">
        <w:rPr>
          <w:rFonts w:asciiTheme="minorHAnsi" w:hAnsiTheme="minorHAnsi" w:cstheme="minorHAnsi"/>
          <w:sz w:val="20"/>
          <w:szCs w:val="20"/>
        </w:rPr>
        <w:t xml:space="preserve">) </w:t>
      </w:r>
      <w:r w:rsidRPr="0065706A">
        <w:rPr>
          <w:rFonts w:asciiTheme="minorHAnsi" w:hAnsiTheme="minorHAnsi" w:cstheme="minorHAnsi"/>
          <w:sz w:val="20"/>
          <w:szCs w:val="20"/>
        </w:rPr>
        <w:t>.</w:t>
      </w:r>
      <w:proofErr w:type="gramEnd"/>
    </w:p>
    <w:p w14:paraId="3DCE0396" w14:textId="5653EAF9" w:rsidR="00385B1D" w:rsidRPr="0065706A" w:rsidRDefault="00385B1D" w:rsidP="00385B1D">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The shift towards more flexible working expectations, particularly post-pandemic, also influences resourcing.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may need to adapt its working patterns—such as offering flexible start times or remote administrative roles—to appeal to a broader talent pool</w:t>
      </w:r>
      <w:r w:rsidR="0011012E" w:rsidRPr="0065706A">
        <w:rPr>
          <w:rFonts w:asciiTheme="minorHAnsi" w:hAnsiTheme="minorHAnsi" w:cstheme="minorHAnsi"/>
          <w:sz w:val="20"/>
          <w:szCs w:val="20"/>
        </w:rPr>
        <w:t xml:space="preserve"> (Dale, 2020)</w:t>
      </w:r>
      <w:r w:rsidRPr="0065706A">
        <w:rPr>
          <w:rFonts w:asciiTheme="minorHAnsi" w:hAnsiTheme="minorHAnsi" w:cstheme="minorHAnsi"/>
          <w:sz w:val="20"/>
          <w:szCs w:val="20"/>
        </w:rPr>
        <w:t>. Furthermore, demographic changes, such as an ageing workforce or increased participation from diverse groups, will require more inclusive and accessible recruitment practices</w:t>
      </w:r>
      <w:r w:rsidR="00954D6C" w:rsidRPr="0065706A">
        <w:rPr>
          <w:rFonts w:asciiTheme="minorHAnsi" w:hAnsiTheme="minorHAnsi" w:cstheme="minorHAnsi"/>
          <w:sz w:val="20"/>
          <w:szCs w:val="20"/>
        </w:rPr>
        <w:t xml:space="preserve"> (Taylor, 2025). </w:t>
      </w:r>
      <w:r w:rsidRPr="0065706A">
        <w:rPr>
          <w:rFonts w:asciiTheme="minorHAnsi" w:hAnsiTheme="minorHAnsi" w:cstheme="minorHAnsi"/>
          <w:sz w:val="20"/>
          <w:szCs w:val="20"/>
        </w:rPr>
        <w:t>To respond to these changing conditions, HR must regularly analyse labour market data, review internal workforce planning forecasts, and align recruitment strategies accordingly. This may include upskilling existing staff, implementing talent pipelines through apprenticeships or partnerships, and investing in employer branding to improve attraction and retention in a more competitive environment</w:t>
      </w:r>
      <w:r w:rsidR="00AC5E06" w:rsidRPr="0065706A">
        <w:rPr>
          <w:rFonts w:asciiTheme="minorHAnsi" w:hAnsiTheme="minorHAnsi" w:cstheme="minorHAnsi"/>
          <w:sz w:val="20"/>
          <w:szCs w:val="20"/>
        </w:rPr>
        <w:t xml:space="preserve"> </w:t>
      </w:r>
      <w:r w:rsidR="00217F60" w:rsidRPr="0065706A">
        <w:rPr>
          <w:rFonts w:asciiTheme="minorHAnsi" w:hAnsiTheme="minorHAnsi" w:cstheme="minorHAnsi"/>
          <w:sz w:val="20"/>
          <w:szCs w:val="20"/>
        </w:rPr>
        <w:t>(Daniels, 2022)</w:t>
      </w:r>
      <w:r w:rsidR="00AC5E06" w:rsidRPr="0065706A">
        <w:rPr>
          <w:rFonts w:asciiTheme="minorHAnsi" w:hAnsiTheme="minorHAnsi" w:cstheme="minorHAnsi"/>
          <w:sz w:val="20"/>
          <w:szCs w:val="20"/>
        </w:rPr>
        <w:t>.</w:t>
      </w:r>
    </w:p>
    <w:p w14:paraId="76B7ABE7" w14:textId="49804103" w:rsidR="00954D6C" w:rsidRPr="0065706A" w:rsidRDefault="0091615A" w:rsidP="00385B1D">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In addition to these strategies,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must also focus on leveraging technology to enhance recruitment and retention efforts. Digital platforms and social media offer cost-effective channels to reach potential candidates, especially younger workers who are more likely to engage with online job adverts and employer branding content (Indeed, 2024). Furthermore, data analytics can help identify trends in candidate behaviour and predict future hiring needs, allowing HR to act proactively rather than reactively.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could also </w:t>
      </w:r>
      <w:r w:rsidRPr="0065706A">
        <w:rPr>
          <w:rFonts w:asciiTheme="minorHAnsi" w:hAnsiTheme="minorHAnsi" w:cstheme="minorHAnsi"/>
          <w:sz w:val="20"/>
          <w:szCs w:val="20"/>
        </w:rPr>
        <w:lastRenderedPageBreak/>
        <w:t xml:space="preserve">consider implementing employee referral programmes, which often yield higher-quality hires and improve retention by encouraging current employees to bring in trusted contacts. Another key consideration is supporting workforce diversity and inclusion, which not only broadens the talent pool but also fosters innovation and better decision-making within the company (CIPD, 2024). By embracing these modern recruitment and retention tools alongside flexible working and competitive pay,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will be better positioned to navigate the complexities of a changing labour market.</w:t>
      </w:r>
    </w:p>
    <w:p w14:paraId="13A2483B" w14:textId="0D23C065" w:rsidR="00385B1D" w:rsidRPr="0065706A" w:rsidRDefault="0080717D" w:rsidP="007F7E83">
      <w:pPr>
        <w:rPr>
          <w:rStyle w:val="ui-provider"/>
          <w:rFonts w:cstheme="minorHAnsi"/>
          <w:sz w:val="20"/>
          <w:szCs w:val="20"/>
        </w:rPr>
      </w:pPr>
      <w:r w:rsidRPr="0065706A">
        <w:rPr>
          <w:rStyle w:val="ui-provider"/>
          <w:rFonts w:cstheme="minorHAnsi"/>
          <w:sz w:val="20"/>
          <w:szCs w:val="20"/>
        </w:rPr>
        <w:t xml:space="preserve">AC </w:t>
      </w:r>
      <w:r w:rsidR="004D271E" w:rsidRPr="0065706A">
        <w:rPr>
          <w:rStyle w:val="ui-provider"/>
          <w:rFonts w:cstheme="minorHAnsi"/>
          <w:sz w:val="20"/>
          <w:szCs w:val="20"/>
        </w:rPr>
        <w:t>2.1</w:t>
      </w:r>
    </w:p>
    <w:p w14:paraId="196F807A" w14:textId="77777777" w:rsidR="00B10453" w:rsidRPr="0065706A" w:rsidRDefault="00B10453" w:rsidP="00B10453">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Changing labour market conditions significantly impact resourcing decisions at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New competitors have increased demand for experienced delivery personnel, making it harder and more expensive to attract and retain talent (Bennett, Prior and </w:t>
      </w:r>
      <w:proofErr w:type="spellStart"/>
      <w:r w:rsidRPr="0065706A">
        <w:rPr>
          <w:rFonts w:asciiTheme="minorHAnsi" w:hAnsiTheme="minorHAnsi" w:cstheme="minorHAnsi"/>
          <w:sz w:val="20"/>
          <w:szCs w:val="20"/>
        </w:rPr>
        <w:t>Saundry</w:t>
      </w:r>
      <w:proofErr w:type="spellEnd"/>
      <w:r w:rsidRPr="0065706A">
        <w:rPr>
          <w:rFonts w:asciiTheme="minorHAnsi" w:hAnsiTheme="minorHAnsi" w:cstheme="minorHAnsi"/>
          <w:sz w:val="20"/>
          <w:szCs w:val="20"/>
        </w:rPr>
        <w:t xml:space="preserve">, 2024).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may need to increase wages or benefits to stay competitive. A shortage of workers could mean using part-time, agency, or zero-hours contracts to keep operations running (Perkins and Jones, 2020).</w:t>
      </w:r>
    </w:p>
    <w:p w14:paraId="57F69B93" w14:textId="6EE99916" w:rsidR="00B10453" w:rsidRPr="0065706A" w:rsidRDefault="00B10453" w:rsidP="00B10453">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Flexible working expectations, especially post-pandemic, influence recruitment.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might offer flexible hours or remote roles to attract a wider talent pool (Dale, 2020). Demographic shifts, like an ageing workforce and greater diversity, require inclusive recruitment practices (Taylor, 2025). HR must regularly review labour market data, workforce forecasts, and update recruitment </w:t>
      </w:r>
      <w:proofErr w:type="gramStart"/>
      <w:r w:rsidR="0065706A" w:rsidRPr="0065706A">
        <w:rPr>
          <w:rFonts w:asciiTheme="minorHAnsi" w:hAnsiTheme="minorHAnsi" w:cstheme="minorHAnsi"/>
          <w:sz w:val="20"/>
          <w:szCs w:val="20"/>
        </w:rPr>
        <w:t>strategies</w:t>
      </w:r>
      <w:proofErr w:type="gramEnd"/>
      <w:r w:rsidR="0065706A" w:rsidRPr="0065706A">
        <w:rPr>
          <w:rFonts w:asciiTheme="minorHAnsi" w:hAnsiTheme="minorHAnsi" w:cstheme="minorHAnsi"/>
          <w:sz w:val="20"/>
          <w:szCs w:val="20"/>
        </w:rPr>
        <w:t xml:space="preserve"> </w:t>
      </w:r>
      <w:r w:rsidRPr="0065706A">
        <w:rPr>
          <w:rFonts w:asciiTheme="minorHAnsi" w:hAnsiTheme="minorHAnsi" w:cstheme="minorHAnsi"/>
          <w:sz w:val="20"/>
          <w:szCs w:val="20"/>
        </w:rPr>
        <w:t>accordingly, including upskilling, apprenticeships, and investing in employer branding (Daniels, 2022).</w:t>
      </w:r>
      <w:r w:rsidR="005864C9">
        <w:rPr>
          <w:rFonts w:asciiTheme="minorHAnsi" w:hAnsiTheme="minorHAnsi" w:cstheme="minorHAnsi"/>
          <w:sz w:val="20"/>
          <w:szCs w:val="20"/>
        </w:rPr>
        <w:t xml:space="preserve"> </w:t>
      </w:r>
      <w:r w:rsidRPr="0065706A">
        <w:rPr>
          <w:rStyle w:val="Strong"/>
          <w:rFonts w:asciiTheme="minorHAnsi" w:eastAsiaTheme="majorEastAsia" w:hAnsiTheme="minorHAnsi" w:cstheme="minorHAnsi"/>
          <w:b w:val="0"/>
          <w:bCs w:val="0"/>
          <w:sz w:val="20"/>
          <w:szCs w:val="20"/>
        </w:rPr>
        <w:t>PESTLE</w:t>
      </w:r>
      <w:r w:rsidR="00DA3774" w:rsidRPr="0065706A">
        <w:rPr>
          <w:rStyle w:val="Strong"/>
          <w:rFonts w:asciiTheme="minorHAnsi" w:eastAsiaTheme="majorEastAsia" w:hAnsiTheme="minorHAnsi" w:cstheme="minorHAnsi"/>
          <w:b w:val="0"/>
          <w:bCs w:val="0"/>
          <w:sz w:val="20"/>
          <w:szCs w:val="20"/>
        </w:rPr>
        <w:t xml:space="preserve"> can</w:t>
      </w:r>
      <w:r w:rsidRPr="0065706A">
        <w:rPr>
          <w:rFonts w:asciiTheme="minorHAnsi" w:hAnsiTheme="minorHAnsi" w:cstheme="minorHAnsi"/>
          <w:sz w:val="20"/>
          <w:szCs w:val="20"/>
        </w:rPr>
        <w:t xml:space="preserve"> also</w:t>
      </w:r>
      <w:r w:rsidR="00463A30">
        <w:rPr>
          <w:rFonts w:asciiTheme="minorHAnsi" w:hAnsiTheme="minorHAnsi" w:cstheme="minorHAnsi"/>
          <w:sz w:val="20"/>
          <w:szCs w:val="20"/>
        </w:rPr>
        <w:t xml:space="preserve"> be</w:t>
      </w:r>
      <w:r w:rsidRPr="0065706A">
        <w:rPr>
          <w:rFonts w:asciiTheme="minorHAnsi" w:hAnsiTheme="minorHAnsi" w:cstheme="minorHAnsi"/>
          <w:sz w:val="20"/>
          <w:szCs w:val="20"/>
        </w:rPr>
        <w:t xml:space="preserve"> affect</w:t>
      </w:r>
      <w:r w:rsidR="00463A30">
        <w:rPr>
          <w:rFonts w:asciiTheme="minorHAnsi" w:hAnsiTheme="minorHAnsi" w:cstheme="minorHAnsi"/>
          <w:sz w:val="20"/>
          <w:szCs w:val="20"/>
        </w:rPr>
        <w:t>ive in</w:t>
      </w:r>
      <w:r w:rsidRPr="0065706A">
        <w:rPr>
          <w:rFonts w:asciiTheme="minorHAnsi" w:hAnsiTheme="minorHAnsi" w:cstheme="minorHAnsi"/>
          <w:sz w:val="20"/>
          <w:szCs w:val="20"/>
        </w:rPr>
        <w:t xml:space="preserve"> decisions: political changes in employment law or immigration policies, economic pressures like inflation and recessions, social trends towards work-life balance and diversity, technological hiring tools, legal regulations around contracts and worker rights, and environmental concerns influencing company reputation and attraction.</w:t>
      </w:r>
    </w:p>
    <w:p w14:paraId="2ABB3B7B" w14:textId="77777777" w:rsidR="00B10453" w:rsidRPr="0065706A" w:rsidRDefault="00B10453" w:rsidP="00B10453">
      <w:pPr>
        <w:pStyle w:val="NormalWeb"/>
        <w:rPr>
          <w:rFonts w:asciiTheme="minorHAnsi" w:hAnsiTheme="minorHAnsi" w:cstheme="minorHAnsi"/>
          <w:sz w:val="20"/>
          <w:szCs w:val="20"/>
        </w:rPr>
      </w:pPr>
      <w:r w:rsidRPr="0065706A">
        <w:rPr>
          <w:rFonts w:asciiTheme="minorHAnsi" w:hAnsiTheme="minorHAnsi" w:cstheme="minorHAnsi"/>
          <w:sz w:val="20"/>
          <w:szCs w:val="20"/>
        </w:rPr>
        <w:t>A</w:t>
      </w:r>
      <w:r w:rsidRPr="0065706A">
        <w:rPr>
          <w:rFonts w:asciiTheme="minorHAnsi" w:hAnsiTheme="minorHAnsi" w:cstheme="minorHAnsi"/>
          <w:i/>
          <w:iCs/>
          <w:sz w:val="20"/>
          <w:szCs w:val="20"/>
        </w:rPr>
        <w:t xml:space="preserve"> </w:t>
      </w:r>
      <w:r w:rsidRPr="0065706A">
        <w:rPr>
          <w:rStyle w:val="Emphasis"/>
          <w:rFonts w:asciiTheme="minorHAnsi" w:eastAsiaTheme="majorEastAsia" w:hAnsiTheme="minorHAnsi" w:cstheme="minorHAnsi"/>
          <w:i w:val="0"/>
          <w:iCs w:val="0"/>
          <w:sz w:val="20"/>
          <w:szCs w:val="20"/>
        </w:rPr>
        <w:t>tight labour market</w:t>
      </w:r>
      <w:r w:rsidRPr="0065706A">
        <w:rPr>
          <w:rFonts w:asciiTheme="minorHAnsi" w:hAnsiTheme="minorHAnsi" w:cstheme="minorHAnsi"/>
          <w:sz w:val="20"/>
          <w:szCs w:val="20"/>
        </w:rPr>
        <w:t xml:space="preserve"> means there are more job vacancies than workers, causing competition and higher wages. </w:t>
      </w:r>
      <w:r w:rsidRPr="0065706A">
        <w:rPr>
          <w:rFonts w:asciiTheme="minorHAnsi" w:hAnsiTheme="minorHAnsi" w:cstheme="minorHAnsi"/>
          <w:i/>
          <w:iCs/>
          <w:sz w:val="20"/>
          <w:szCs w:val="20"/>
        </w:rPr>
        <w:t xml:space="preserve">A </w:t>
      </w:r>
      <w:r w:rsidRPr="0065706A">
        <w:rPr>
          <w:rStyle w:val="Emphasis"/>
          <w:rFonts w:asciiTheme="minorHAnsi" w:eastAsiaTheme="majorEastAsia" w:hAnsiTheme="minorHAnsi" w:cstheme="minorHAnsi"/>
          <w:i w:val="0"/>
          <w:iCs w:val="0"/>
          <w:sz w:val="20"/>
          <w:szCs w:val="20"/>
        </w:rPr>
        <w:t>loose labour market</w:t>
      </w:r>
      <w:r w:rsidRPr="0065706A">
        <w:rPr>
          <w:rFonts w:asciiTheme="minorHAnsi" w:hAnsiTheme="minorHAnsi" w:cstheme="minorHAnsi"/>
          <w:sz w:val="20"/>
          <w:szCs w:val="20"/>
        </w:rPr>
        <w:t xml:space="preserve"> means more workers than jobs, giving employers more choice and often reducing wage pressures.</w:t>
      </w:r>
    </w:p>
    <w:p w14:paraId="6BE5B8CB" w14:textId="77777777" w:rsidR="00B10453" w:rsidRPr="0065706A" w:rsidRDefault="00B10453" w:rsidP="00B10453">
      <w:pPr>
        <w:pStyle w:val="NormalWeb"/>
        <w:rPr>
          <w:rFonts w:asciiTheme="minorHAnsi" w:hAnsiTheme="minorHAnsi" w:cstheme="minorHAnsi"/>
          <w:sz w:val="20"/>
          <w:szCs w:val="20"/>
        </w:rPr>
      </w:pP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should also use digital platforms, data analytics, and employee referral programmes to improve recruitment and retention. Supporting workforce diversity not only broadens the talent pool but also fosters innovation and better decision-making (CIPD, 2024). Combining these strategies with flexible working and competitive pay will better position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in a changing labour market.</w:t>
      </w:r>
    </w:p>
    <w:p w14:paraId="742694D8" w14:textId="77777777" w:rsidR="00380EED" w:rsidRPr="0065706A" w:rsidRDefault="00380EED" w:rsidP="007F7E83">
      <w:pPr>
        <w:rPr>
          <w:rFonts w:cstheme="minorHAnsi"/>
          <w:sz w:val="20"/>
          <w:szCs w:val="20"/>
        </w:rPr>
      </w:pPr>
    </w:p>
    <w:p w14:paraId="1B4919FC" w14:textId="06ED2C53" w:rsidR="00385B1D" w:rsidRPr="0065706A" w:rsidRDefault="0080717D">
      <w:pPr>
        <w:rPr>
          <w:rStyle w:val="ui-provider"/>
          <w:rFonts w:cstheme="minorHAnsi"/>
          <w:sz w:val="20"/>
          <w:szCs w:val="20"/>
        </w:rPr>
      </w:pPr>
      <w:r w:rsidRPr="0065706A">
        <w:rPr>
          <w:rStyle w:val="ui-provider"/>
          <w:rFonts w:cstheme="minorHAnsi"/>
          <w:sz w:val="20"/>
          <w:szCs w:val="20"/>
        </w:rPr>
        <w:t xml:space="preserve">AC </w:t>
      </w:r>
      <w:r w:rsidR="00E67BCF" w:rsidRPr="0065706A">
        <w:rPr>
          <w:rStyle w:val="ui-provider"/>
          <w:rFonts w:cstheme="minorHAnsi"/>
          <w:sz w:val="20"/>
          <w:szCs w:val="20"/>
        </w:rPr>
        <w:t>2.2</w:t>
      </w:r>
    </w:p>
    <w:p w14:paraId="11F61D5D" w14:textId="77777777" w:rsidR="00503F32" w:rsidRPr="0065706A" w:rsidRDefault="00503F32" w:rsidP="00503F32">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To strengthen the case for introducing workforce planning at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several key techniques can be effectively utilised. Conducting a workforce supply and demand analysis allows HR to identify current staffing levels and compare them with future business needs, helping to highlight gaps in capacity or skills (CIPD, 2024). </w:t>
      </w:r>
    </w:p>
    <w:p w14:paraId="5A426500" w14:textId="77777777" w:rsidR="00503F32" w:rsidRPr="0065706A" w:rsidRDefault="00503F32" w:rsidP="00503F32">
      <w:pPr>
        <w:pStyle w:val="NormalWeb"/>
        <w:rPr>
          <w:rFonts w:asciiTheme="minorHAnsi" w:hAnsiTheme="minorHAnsi" w:cstheme="minorHAnsi"/>
          <w:sz w:val="20"/>
          <w:szCs w:val="20"/>
        </w:rPr>
      </w:pPr>
      <w:r w:rsidRPr="0065706A">
        <w:rPr>
          <w:rFonts w:asciiTheme="minorHAnsi" w:hAnsiTheme="minorHAnsi" w:cstheme="minorHAnsi"/>
          <w:sz w:val="20"/>
          <w:szCs w:val="20"/>
        </w:rPr>
        <w:t>A skills gap analysis further supports this by pinpointing areas where training or recruitment is required to meet operational goals. Scenario planning enables the organisation to prepare for fluctuations in demand, such as peak delivery periods, by modelling different workforce outcomes (</w:t>
      </w:r>
      <w:proofErr w:type="spellStart"/>
      <w:r w:rsidRPr="0065706A">
        <w:rPr>
          <w:rFonts w:asciiTheme="minorHAnsi" w:hAnsiTheme="minorHAnsi" w:cstheme="minorHAnsi"/>
          <w:sz w:val="20"/>
          <w:szCs w:val="20"/>
        </w:rPr>
        <w:t>Nüsing</w:t>
      </w:r>
      <w:proofErr w:type="spellEnd"/>
      <w:r w:rsidRPr="0065706A">
        <w:rPr>
          <w:rFonts w:asciiTheme="minorHAnsi" w:hAnsiTheme="minorHAnsi" w:cstheme="minorHAnsi"/>
          <w:sz w:val="20"/>
          <w:szCs w:val="20"/>
        </w:rPr>
        <w:t xml:space="preserve">, 2023). Turnover and attrition analysis can uncover patterns in employee departures, informing targeted retention strategies. </w:t>
      </w:r>
    </w:p>
    <w:p w14:paraId="74CD1337" w14:textId="2AA1138D" w:rsidR="001C28E8" w:rsidRPr="0065706A" w:rsidRDefault="00503F32" w:rsidP="0065706A">
      <w:pPr>
        <w:pStyle w:val="NormalWeb"/>
        <w:rPr>
          <w:rStyle w:val="ui-provider"/>
          <w:rFonts w:asciiTheme="minorHAnsi" w:hAnsiTheme="minorHAnsi" w:cstheme="minorHAnsi"/>
          <w:sz w:val="20"/>
          <w:szCs w:val="20"/>
        </w:rPr>
      </w:pPr>
      <w:r w:rsidRPr="0065706A">
        <w:rPr>
          <w:rFonts w:asciiTheme="minorHAnsi" w:hAnsiTheme="minorHAnsi" w:cstheme="minorHAnsi"/>
          <w:sz w:val="20"/>
          <w:szCs w:val="20"/>
        </w:rPr>
        <w:t xml:space="preserve">Additionally, succession planning ensures continuity in key roles by identifying and developing internal talent (CIPD, 2024). These techniques are supported by workforce analytics and HR information systems, which provide real-time data to inform strategic decisions. Together, these approaches ensure that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can proactively manage its workforce, maintain service standards, and adapt to changing business needs, ultimately improving operational efficiency and reducing costly staffing issues. Another important aspect of workforce planning at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is employee engagement and well-being. Keeping staff motivated and satisfied can significantly reduce turnover rates, which in turn helps maintain a stable and skilled workforce (CIPD, 2022). Regular feedback sessions and opportunities for career development make employees feel </w:t>
      </w:r>
      <w:r w:rsidRPr="0065706A">
        <w:rPr>
          <w:rFonts w:asciiTheme="minorHAnsi" w:hAnsiTheme="minorHAnsi" w:cstheme="minorHAnsi"/>
          <w:sz w:val="20"/>
          <w:szCs w:val="20"/>
        </w:rPr>
        <w:lastRenderedPageBreak/>
        <w:t xml:space="preserve">valued and invested in the company’s success. This creates a positive workplace culture that supports retention and productivity. Furthermore, flexible working arrangements, such as part-time or remote options, can cater to diverse employee needs and improve work-life balance (ACAS, 2025). This is particularly important in logistics and delivery sectors, where shift patterns and physical demands can lead to burnout if not managed carefully. By integrating these human-centred approaches with traditional workforce planning techniques,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can build a resilient workforce that is better prepared to meet future challenges and maintain high-quality service delivery.</w:t>
      </w:r>
    </w:p>
    <w:p w14:paraId="082B0E39" w14:textId="75EED92A" w:rsidR="00385B1D" w:rsidRPr="0065706A" w:rsidRDefault="0080717D">
      <w:pPr>
        <w:rPr>
          <w:rStyle w:val="ui-provider"/>
          <w:rFonts w:cstheme="minorHAnsi"/>
          <w:sz w:val="20"/>
          <w:szCs w:val="20"/>
        </w:rPr>
      </w:pPr>
      <w:r w:rsidRPr="0065706A">
        <w:rPr>
          <w:rStyle w:val="ui-provider"/>
          <w:rFonts w:cstheme="minorHAnsi"/>
          <w:sz w:val="20"/>
          <w:szCs w:val="20"/>
        </w:rPr>
        <w:t xml:space="preserve">AC </w:t>
      </w:r>
      <w:r w:rsidR="00E67BCF" w:rsidRPr="0065706A">
        <w:rPr>
          <w:rStyle w:val="ui-provider"/>
          <w:rFonts w:cstheme="minorHAnsi"/>
          <w:sz w:val="20"/>
          <w:szCs w:val="20"/>
        </w:rPr>
        <w:t>2.3</w:t>
      </w:r>
    </w:p>
    <w:p w14:paraId="617CE92C" w14:textId="77777777" w:rsidR="00EF5EA9" w:rsidRPr="0065706A" w:rsidRDefault="00EF5EA9" w:rsidP="00EF5EA9">
      <w:pPr>
        <w:pStyle w:val="NormalWeb"/>
        <w:rPr>
          <w:rFonts w:asciiTheme="minorHAnsi" w:hAnsiTheme="minorHAnsi" w:cstheme="minorHAnsi"/>
          <w:b/>
          <w:bCs/>
          <w:sz w:val="20"/>
          <w:szCs w:val="20"/>
        </w:rPr>
      </w:pPr>
      <w:r w:rsidRPr="0065706A">
        <w:rPr>
          <w:rFonts w:asciiTheme="minorHAnsi" w:hAnsiTheme="minorHAnsi" w:cstheme="minorHAnsi"/>
          <w:sz w:val="20"/>
          <w:szCs w:val="20"/>
        </w:rPr>
        <w:t xml:space="preserve">To broaden </w:t>
      </w:r>
      <w:proofErr w:type="spellStart"/>
      <w:r w:rsidRPr="0065706A">
        <w:rPr>
          <w:rFonts w:asciiTheme="minorHAnsi" w:hAnsiTheme="minorHAnsi" w:cstheme="minorHAnsi"/>
          <w:sz w:val="20"/>
          <w:szCs w:val="20"/>
        </w:rPr>
        <w:t>ParcelCare’s</w:t>
      </w:r>
      <w:proofErr w:type="spellEnd"/>
      <w:r w:rsidRPr="0065706A">
        <w:rPr>
          <w:rFonts w:asciiTheme="minorHAnsi" w:hAnsiTheme="minorHAnsi" w:cstheme="minorHAnsi"/>
          <w:sz w:val="20"/>
          <w:szCs w:val="20"/>
        </w:rPr>
        <w:t xml:space="preserve"> recruitment and selection methods beyond website advertising and manager-led interviews, two additional approaches can be evaluated for their potential benefits and limitations. Using job boards such as Indeed, social media or Totaljobs can significantly increase the reach of job adverts, attracting a diverse pool of candidates quickly and cost-effectively (ACAS, 2024</w:t>
      </w:r>
      <w:r w:rsidRPr="0065706A">
        <w:rPr>
          <w:rFonts w:asciiTheme="minorHAnsi" w:hAnsiTheme="minorHAnsi" w:cstheme="minorHAnsi"/>
          <w:b/>
          <w:bCs/>
          <w:sz w:val="20"/>
          <w:szCs w:val="20"/>
        </w:rPr>
        <w:t xml:space="preserve">). </w:t>
      </w:r>
      <w:r w:rsidRPr="0065706A">
        <w:rPr>
          <w:rStyle w:val="Strong"/>
          <w:rFonts w:asciiTheme="minorHAnsi" w:eastAsiaTheme="majorEastAsia" w:hAnsiTheme="minorHAnsi" w:cstheme="minorHAnsi"/>
          <w:b w:val="0"/>
          <w:bCs w:val="0"/>
          <w:sz w:val="20"/>
          <w:szCs w:val="20"/>
        </w:rPr>
        <w:t xml:space="preserve">These platforms also allow for easy tracking of applications and performance analytics, helping HR teams understand what’s working. Social media platforms like LinkedIn or Facebook can target specific job roles and locations, which is ideal for a logistics company like </w:t>
      </w:r>
      <w:proofErr w:type="spellStart"/>
      <w:r w:rsidRPr="0065706A">
        <w:rPr>
          <w:rStyle w:val="Strong"/>
          <w:rFonts w:asciiTheme="minorHAnsi" w:eastAsiaTheme="majorEastAsia" w:hAnsiTheme="minorHAnsi" w:cstheme="minorHAnsi"/>
          <w:b w:val="0"/>
          <w:bCs w:val="0"/>
          <w:sz w:val="20"/>
          <w:szCs w:val="20"/>
        </w:rPr>
        <w:t>ParcelCare</w:t>
      </w:r>
      <w:proofErr w:type="spellEnd"/>
      <w:r w:rsidRPr="0065706A">
        <w:rPr>
          <w:rStyle w:val="Strong"/>
          <w:rFonts w:asciiTheme="minorHAnsi" w:eastAsiaTheme="majorEastAsia" w:hAnsiTheme="minorHAnsi" w:cstheme="minorHAnsi"/>
          <w:b w:val="0"/>
          <w:bCs w:val="0"/>
          <w:sz w:val="20"/>
          <w:szCs w:val="20"/>
        </w:rPr>
        <w:t xml:space="preserve"> needing drivers or warehouse staff in specific areas.</w:t>
      </w:r>
      <w:r w:rsidRPr="0065706A">
        <w:rPr>
          <w:rFonts w:asciiTheme="minorHAnsi" w:hAnsiTheme="minorHAnsi" w:cstheme="minorHAnsi"/>
          <w:sz w:val="20"/>
          <w:szCs w:val="20"/>
        </w:rPr>
        <w:t xml:space="preserve"> However, this method can also lead to high volumes of unsuitable applicants, increasing the burden on HR for shortlisting. </w:t>
      </w:r>
      <w:r w:rsidRPr="0065706A">
        <w:rPr>
          <w:rStyle w:val="Strong"/>
          <w:rFonts w:asciiTheme="minorHAnsi" w:eastAsiaTheme="majorEastAsia" w:hAnsiTheme="minorHAnsi" w:cstheme="minorHAnsi"/>
          <w:b w:val="0"/>
          <w:bCs w:val="0"/>
          <w:sz w:val="20"/>
          <w:szCs w:val="20"/>
        </w:rPr>
        <w:t>Filtering tools and automated CV screeners may help manage this, but there’s still a risk of overlooking potentially strong candidates due to automation limitations.</w:t>
      </w:r>
    </w:p>
    <w:p w14:paraId="100A2AFB" w14:textId="77777777" w:rsidR="00EF5EA9" w:rsidRPr="0065706A" w:rsidRDefault="00EF5EA9" w:rsidP="00EF5EA9">
      <w:pPr>
        <w:pStyle w:val="NormalWeb"/>
        <w:rPr>
          <w:rFonts w:asciiTheme="minorHAnsi" w:hAnsiTheme="minorHAnsi" w:cstheme="minorHAnsi"/>
          <w:b/>
          <w:bCs/>
          <w:sz w:val="20"/>
          <w:szCs w:val="20"/>
        </w:rPr>
      </w:pPr>
      <w:r w:rsidRPr="0065706A">
        <w:rPr>
          <w:rFonts w:asciiTheme="minorHAnsi" w:hAnsiTheme="minorHAnsi" w:cstheme="minorHAnsi"/>
          <w:sz w:val="20"/>
          <w:szCs w:val="20"/>
        </w:rPr>
        <w:t xml:space="preserve">Employee referral schemes, by contrast, often result in better cultural fit and higher retention, but they may limit diversity and risk perceptions of bias if not managed carefully. </w:t>
      </w:r>
      <w:r w:rsidRPr="0065706A">
        <w:rPr>
          <w:rStyle w:val="Strong"/>
          <w:rFonts w:asciiTheme="minorHAnsi" w:eastAsiaTheme="majorEastAsia" w:hAnsiTheme="minorHAnsi" w:cstheme="minorHAnsi"/>
          <w:b w:val="0"/>
          <w:bCs w:val="0"/>
          <w:sz w:val="20"/>
          <w:szCs w:val="20"/>
        </w:rPr>
        <w:t xml:space="preserve">To maximise effectiveness, </w:t>
      </w:r>
      <w:proofErr w:type="spellStart"/>
      <w:r w:rsidRPr="0065706A">
        <w:rPr>
          <w:rStyle w:val="Strong"/>
          <w:rFonts w:asciiTheme="minorHAnsi" w:eastAsiaTheme="majorEastAsia" w:hAnsiTheme="minorHAnsi" w:cstheme="minorHAnsi"/>
          <w:b w:val="0"/>
          <w:bCs w:val="0"/>
          <w:sz w:val="20"/>
          <w:szCs w:val="20"/>
        </w:rPr>
        <w:t>ParcelCare</w:t>
      </w:r>
      <w:proofErr w:type="spellEnd"/>
      <w:r w:rsidRPr="0065706A">
        <w:rPr>
          <w:rStyle w:val="Strong"/>
          <w:rFonts w:asciiTheme="minorHAnsi" w:eastAsiaTheme="majorEastAsia" w:hAnsiTheme="minorHAnsi" w:cstheme="minorHAnsi"/>
          <w:b w:val="0"/>
          <w:bCs w:val="0"/>
          <w:sz w:val="20"/>
          <w:szCs w:val="20"/>
        </w:rPr>
        <w:t xml:space="preserve"> could offer structured incentives and track referral outcomes to ensure fairness and performance. Schemes should also be clearly communicated and monitored to ensure they don’t unintentionally favour one group over another.</w:t>
      </w:r>
      <w:r w:rsidRPr="0065706A">
        <w:rPr>
          <w:rFonts w:asciiTheme="minorHAnsi" w:hAnsiTheme="minorHAnsi" w:cstheme="minorHAnsi"/>
          <w:sz w:val="20"/>
          <w:szCs w:val="20"/>
        </w:rPr>
        <w:t xml:space="preserve"> In terms of selection, psychometric testing offers objective insight into a candidate’s abilities and traits, supporting more informed decisions, though these tests can be costly and may disadvantage those unfamiliar with the format (CIPD, 2023).</w:t>
      </w:r>
      <w:r w:rsidRPr="0065706A">
        <w:rPr>
          <w:rFonts w:asciiTheme="minorHAnsi" w:hAnsiTheme="minorHAnsi" w:cstheme="minorHAnsi"/>
          <w:b/>
          <w:bCs/>
          <w:sz w:val="20"/>
          <w:szCs w:val="20"/>
        </w:rPr>
        <w:t xml:space="preserve"> </w:t>
      </w:r>
      <w:r w:rsidRPr="0065706A">
        <w:rPr>
          <w:rStyle w:val="Strong"/>
          <w:rFonts w:asciiTheme="minorHAnsi" w:eastAsiaTheme="majorEastAsia" w:hAnsiTheme="minorHAnsi" w:cstheme="minorHAnsi"/>
          <w:b w:val="0"/>
          <w:bCs w:val="0"/>
          <w:sz w:val="20"/>
          <w:szCs w:val="20"/>
        </w:rPr>
        <w:t xml:space="preserve">To reduce this risk, </w:t>
      </w:r>
      <w:proofErr w:type="spellStart"/>
      <w:r w:rsidRPr="0065706A">
        <w:rPr>
          <w:rStyle w:val="Strong"/>
          <w:rFonts w:asciiTheme="minorHAnsi" w:eastAsiaTheme="majorEastAsia" w:hAnsiTheme="minorHAnsi" w:cstheme="minorHAnsi"/>
          <w:b w:val="0"/>
          <w:bCs w:val="0"/>
          <w:sz w:val="20"/>
          <w:szCs w:val="20"/>
        </w:rPr>
        <w:t>ParcelCare</w:t>
      </w:r>
      <w:proofErr w:type="spellEnd"/>
      <w:r w:rsidRPr="0065706A">
        <w:rPr>
          <w:rStyle w:val="Strong"/>
          <w:rFonts w:asciiTheme="minorHAnsi" w:eastAsiaTheme="majorEastAsia" w:hAnsiTheme="minorHAnsi" w:cstheme="minorHAnsi"/>
          <w:b w:val="0"/>
          <w:bCs w:val="0"/>
          <w:sz w:val="20"/>
          <w:szCs w:val="20"/>
        </w:rPr>
        <w:t xml:space="preserve"> could provide clear instructions and practice examples before the test, ensuring candidates are assessed on potential rather than test-taking experience.</w:t>
      </w:r>
    </w:p>
    <w:p w14:paraId="711FAB88" w14:textId="77777777" w:rsidR="00EF5EA9" w:rsidRPr="0065706A" w:rsidRDefault="00EF5EA9" w:rsidP="00EF5EA9">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Work sample tests or task-based assessments provide a practical way to evaluate job-specific skills and are highly predictive of on-the-job performance, but they can be time-intensive to develop and may not fully assess soft skills. </w:t>
      </w:r>
      <w:r w:rsidRPr="0065706A">
        <w:rPr>
          <w:rStyle w:val="Strong"/>
          <w:rFonts w:asciiTheme="minorHAnsi" w:eastAsiaTheme="majorEastAsia" w:hAnsiTheme="minorHAnsi" w:cstheme="minorHAnsi"/>
          <w:b w:val="0"/>
          <w:bCs w:val="0"/>
          <w:sz w:val="20"/>
          <w:szCs w:val="20"/>
        </w:rPr>
        <w:t xml:space="preserve">For example, </w:t>
      </w:r>
      <w:proofErr w:type="spellStart"/>
      <w:r w:rsidRPr="0065706A">
        <w:rPr>
          <w:rStyle w:val="Strong"/>
          <w:rFonts w:asciiTheme="minorHAnsi" w:eastAsiaTheme="majorEastAsia" w:hAnsiTheme="minorHAnsi" w:cstheme="minorHAnsi"/>
          <w:b w:val="0"/>
          <w:bCs w:val="0"/>
          <w:sz w:val="20"/>
          <w:szCs w:val="20"/>
        </w:rPr>
        <w:t>ParcelCare</w:t>
      </w:r>
      <w:proofErr w:type="spellEnd"/>
      <w:r w:rsidRPr="0065706A">
        <w:rPr>
          <w:rStyle w:val="Strong"/>
          <w:rFonts w:asciiTheme="minorHAnsi" w:eastAsiaTheme="majorEastAsia" w:hAnsiTheme="minorHAnsi" w:cstheme="minorHAnsi"/>
          <w:b w:val="0"/>
          <w:bCs w:val="0"/>
          <w:sz w:val="20"/>
          <w:szCs w:val="20"/>
        </w:rPr>
        <w:t xml:space="preserve"> could ask delivery driver candidates to plan an efficient delivery route or respond to a simulated customer service query. While this shows how well they’d handle real situations, it might not reflect how well they work in a team or adapt to last-minute changes.</w:t>
      </w:r>
      <w:r w:rsidRPr="0065706A">
        <w:rPr>
          <w:rFonts w:asciiTheme="minorHAnsi" w:hAnsiTheme="minorHAnsi" w:cstheme="minorHAnsi"/>
          <w:sz w:val="20"/>
          <w:szCs w:val="20"/>
        </w:rPr>
        <w:t xml:space="preserve"> Incorporating these methods alongside current practices would strengthen </w:t>
      </w:r>
      <w:proofErr w:type="spellStart"/>
      <w:r w:rsidRPr="0065706A">
        <w:rPr>
          <w:rFonts w:asciiTheme="minorHAnsi" w:hAnsiTheme="minorHAnsi" w:cstheme="minorHAnsi"/>
          <w:sz w:val="20"/>
          <w:szCs w:val="20"/>
        </w:rPr>
        <w:t>ParcelCare’s</w:t>
      </w:r>
      <w:proofErr w:type="spellEnd"/>
      <w:r w:rsidRPr="0065706A">
        <w:rPr>
          <w:rFonts w:asciiTheme="minorHAnsi" w:hAnsiTheme="minorHAnsi" w:cstheme="minorHAnsi"/>
          <w:sz w:val="20"/>
          <w:szCs w:val="20"/>
        </w:rPr>
        <w:t xml:space="preserve"> overall recruitment strategy, improving both efficiency and candidate quality (CIPD, 2023).</w:t>
      </w:r>
    </w:p>
    <w:p w14:paraId="4783B129" w14:textId="7EFCB58A" w:rsidR="00722190" w:rsidRPr="0065706A" w:rsidRDefault="00EF5EA9" w:rsidP="0065706A">
      <w:pPr>
        <w:pStyle w:val="NormalWeb"/>
        <w:rPr>
          <w:rStyle w:val="ui-provider"/>
          <w:rFonts w:asciiTheme="minorHAnsi" w:hAnsiTheme="minorHAnsi" w:cstheme="minorHAnsi"/>
          <w:sz w:val="20"/>
          <w:szCs w:val="20"/>
        </w:rPr>
      </w:pPr>
      <w:r w:rsidRPr="0065706A">
        <w:rPr>
          <w:rFonts w:asciiTheme="minorHAnsi" w:hAnsiTheme="minorHAnsi" w:cstheme="minorHAnsi"/>
          <w:sz w:val="20"/>
          <w:szCs w:val="20"/>
        </w:rPr>
        <w:t xml:space="preserve">Another important aspect to consider in enhancing </w:t>
      </w:r>
      <w:proofErr w:type="spellStart"/>
      <w:r w:rsidRPr="0065706A">
        <w:rPr>
          <w:rFonts w:asciiTheme="minorHAnsi" w:hAnsiTheme="minorHAnsi" w:cstheme="minorHAnsi"/>
          <w:sz w:val="20"/>
          <w:szCs w:val="20"/>
        </w:rPr>
        <w:t>ParcelCare’s</w:t>
      </w:r>
      <w:proofErr w:type="spellEnd"/>
      <w:r w:rsidRPr="0065706A">
        <w:rPr>
          <w:rFonts w:asciiTheme="minorHAnsi" w:hAnsiTheme="minorHAnsi" w:cstheme="minorHAnsi"/>
          <w:sz w:val="20"/>
          <w:szCs w:val="20"/>
        </w:rPr>
        <w:t xml:space="preserve"> recruitment strategy is the role of employer branding and candidate experience. A strong employer brand can differentiate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in a competitive job market, making it more attractive to high-calibre candidates (CIPD, 2023). This can be achieved through transparent communication of the organisation’s values, career development opportunities, and employee testimonials across digital platforms (Glassdoor, 2024</w:t>
      </w:r>
      <w:r w:rsidRPr="0065706A">
        <w:rPr>
          <w:rFonts w:asciiTheme="minorHAnsi" w:hAnsiTheme="minorHAnsi" w:cstheme="minorHAnsi"/>
          <w:b/>
          <w:bCs/>
          <w:sz w:val="20"/>
          <w:szCs w:val="20"/>
        </w:rPr>
        <w:t xml:space="preserve">). </w:t>
      </w:r>
      <w:proofErr w:type="spellStart"/>
      <w:r w:rsidRPr="0065706A">
        <w:rPr>
          <w:rStyle w:val="Strong"/>
          <w:rFonts w:asciiTheme="minorHAnsi" w:eastAsiaTheme="majorEastAsia" w:hAnsiTheme="minorHAnsi" w:cstheme="minorHAnsi"/>
          <w:b w:val="0"/>
          <w:bCs w:val="0"/>
          <w:sz w:val="20"/>
          <w:szCs w:val="20"/>
        </w:rPr>
        <w:t>ParcelCare</w:t>
      </w:r>
      <w:proofErr w:type="spellEnd"/>
      <w:r w:rsidRPr="0065706A">
        <w:rPr>
          <w:rStyle w:val="Strong"/>
          <w:rFonts w:asciiTheme="minorHAnsi" w:eastAsiaTheme="majorEastAsia" w:hAnsiTheme="minorHAnsi" w:cstheme="minorHAnsi"/>
          <w:b w:val="0"/>
          <w:bCs w:val="0"/>
          <w:sz w:val="20"/>
          <w:szCs w:val="20"/>
        </w:rPr>
        <w:t xml:space="preserve"> could also share behind-the-scenes content on social media, like a ‘day in the life’ of a driver or warehouse team member, giving candidates a real insight into the company culture and daily work life.</w:t>
      </w:r>
      <w:r w:rsidRPr="0065706A">
        <w:rPr>
          <w:rFonts w:asciiTheme="minorHAnsi" w:hAnsiTheme="minorHAnsi" w:cstheme="minorHAnsi"/>
          <w:sz w:val="20"/>
          <w:szCs w:val="20"/>
        </w:rPr>
        <w:t xml:space="preserve"> Furthermore, creating a positive candidate experience—through timely feedback, clear communication, and a streamlined application process—can improve perceptions of the company and increase the likelihood of offer acceptance (ACAS, 2024). </w:t>
      </w:r>
      <w:r w:rsidRPr="0065706A">
        <w:rPr>
          <w:rStyle w:val="Strong"/>
          <w:rFonts w:asciiTheme="minorHAnsi" w:eastAsiaTheme="majorEastAsia" w:hAnsiTheme="minorHAnsi" w:cstheme="minorHAnsi"/>
          <w:b w:val="0"/>
          <w:bCs w:val="0"/>
          <w:sz w:val="20"/>
          <w:szCs w:val="20"/>
        </w:rPr>
        <w:t xml:space="preserve">This is especially important for entry-level roles, where candidates may be applying to multiple companies at once. A smooth, respectful process can give </w:t>
      </w:r>
      <w:proofErr w:type="spellStart"/>
      <w:r w:rsidRPr="0065706A">
        <w:rPr>
          <w:rStyle w:val="Strong"/>
          <w:rFonts w:asciiTheme="minorHAnsi" w:eastAsiaTheme="majorEastAsia" w:hAnsiTheme="minorHAnsi" w:cstheme="minorHAnsi"/>
          <w:b w:val="0"/>
          <w:bCs w:val="0"/>
          <w:sz w:val="20"/>
          <w:szCs w:val="20"/>
        </w:rPr>
        <w:t>ParcelCare</w:t>
      </w:r>
      <w:proofErr w:type="spellEnd"/>
      <w:r w:rsidRPr="0065706A">
        <w:rPr>
          <w:rStyle w:val="Strong"/>
          <w:rFonts w:asciiTheme="minorHAnsi" w:eastAsiaTheme="majorEastAsia" w:hAnsiTheme="minorHAnsi" w:cstheme="minorHAnsi"/>
          <w:b w:val="0"/>
          <w:bCs w:val="0"/>
          <w:sz w:val="20"/>
          <w:szCs w:val="20"/>
        </w:rPr>
        <w:t xml:space="preserve"> the edge.</w:t>
      </w:r>
      <w:r w:rsidRPr="0065706A">
        <w:rPr>
          <w:rFonts w:asciiTheme="minorHAnsi" w:hAnsiTheme="minorHAnsi" w:cstheme="minorHAnsi"/>
          <w:sz w:val="20"/>
          <w:szCs w:val="20"/>
        </w:rPr>
        <w:t xml:space="preserve"> Even candidates who are not selected may speak positively about the process if treated respectfully, contributing to a stronger reputation and a wider talent network. </w:t>
      </w:r>
      <w:r w:rsidRPr="0065706A">
        <w:rPr>
          <w:rStyle w:val="Strong"/>
          <w:rFonts w:asciiTheme="minorHAnsi" w:eastAsiaTheme="majorEastAsia" w:hAnsiTheme="minorHAnsi" w:cstheme="minorHAnsi"/>
          <w:b w:val="0"/>
          <w:bCs w:val="0"/>
          <w:sz w:val="20"/>
          <w:szCs w:val="20"/>
        </w:rPr>
        <w:t>In turn, this can lead to higher application volumes and better long-term hiring outcomes</w:t>
      </w:r>
      <w:r w:rsidR="00AF51D8" w:rsidRPr="0065706A">
        <w:rPr>
          <w:rStyle w:val="Strong"/>
          <w:rFonts w:asciiTheme="minorHAnsi" w:eastAsiaTheme="majorEastAsia" w:hAnsiTheme="minorHAnsi" w:cstheme="minorHAnsi"/>
          <w:sz w:val="20"/>
          <w:szCs w:val="20"/>
        </w:rPr>
        <w:t>.</w:t>
      </w:r>
      <w:r w:rsidRPr="0065706A">
        <w:rPr>
          <w:rFonts w:asciiTheme="minorHAnsi" w:hAnsiTheme="minorHAnsi" w:cstheme="minorHAnsi"/>
          <w:sz w:val="20"/>
          <w:szCs w:val="20"/>
        </w:rPr>
        <w:t xml:space="preserve"> Investing in these softer elements of recruitment can yield long-term benefits by positioning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xml:space="preserve"> as an employer of choice in its sector (CIPD, 2023). </w:t>
      </w:r>
      <w:r w:rsidRPr="0065706A">
        <w:rPr>
          <w:rStyle w:val="Strong"/>
          <w:rFonts w:asciiTheme="minorHAnsi" w:eastAsiaTheme="majorEastAsia" w:hAnsiTheme="minorHAnsi" w:cstheme="minorHAnsi"/>
          <w:b w:val="0"/>
          <w:bCs w:val="0"/>
          <w:sz w:val="20"/>
          <w:szCs w:val="20"/>
        </w:rPr>
        <w:t>This not only supports immediate hiring needs but also builds a sustainable talent pipeline for future growth.</w:t>
      </w:r>
    </w:p>
    <w:p w14:paraId="5D6A8ACB" w14:textId="4AF581DC" w:rsidR="00A22DD3" w:rsidRPr="0065706A" w:rsidRDefault="0080717D">
      <w:pPr>
        <w:rPr>
          <w:rStyle w:val="ui-provider"/>
          <w:rFonts w:cstheme="minorHAnsi"/>
          <w:sz w:val="20"/>
          <w:szCs w:val="20"/>
        </w:rPr>
      </w:pPr>
      <w:r w:rsidRPr="0065706A">
        <w:rPr>
          <w:rStyle w:val="ui-provider"/>
          <w:rFonts w:cstheme="minorHAnsi"/>
          <w:sz w:val="20"/>
          <w:szCs w:val="20"/>
        </w:rPr>
        <w:lastRenderedPageBreak/>
        <w:t xml:space="preserve">AC </w:t>
      </w:r>
      <w:r w:rsidR="00E67BCF" w:rsidRPr="0065706A">
        <w:rPr>
          <w:rStyle w:val="ui-provider"/>
          <w:rFonts w:cstheme="minorHAnsi"/>
          <w:sz w:val="20"/>
          <w:szCs w:val="20"/>
        </w:rPr>
        <w:t>3.1</w:t>
      </w:r>
    </w:p>
    <w:p w14:paraId="27CAB4AD" w14:textId="77777777" w:rsidR="007B7AB8" w:rsidRPr="0065706A" w:rsidRDefault="0070580B">
      <w:pPr>
        <w:rPr>
          <w:rFonts w:cstheme="minorHAnsi"/>
          <w:sz w:val="20"/>
          <w:szCs w:val="20"/>
        </w:rPr>
      </w:pPr>
      <w:r w:rsidRPr="0065706A">
        <w:rPr>
          <w:rFonts w:cstheme="minorHAnsi"/>
          <w:sz w:val="20"/>
          <w:szCs w:val="20"/>
        </w:rPr>
        <w:t xml:space="preserve">On examining </w:t>
      </w:r>
      <w:proofErr w:type="spellStart"/>
      <w:r w:rsidRPr="0065706A">
        <w:rPr>
          <w:rFonts w:cstheme="minorHAnsi"/>
          <w:sz w:val="20"/>
          <w:szCs w:val="20"/>
        </w:rPr>
        <w:t>ParcelCare’s</w:t>
      </w:r>
      <w:proofErr w:type="spellEnd"/>
      <w:r w:rsidRPr="0065706A">
        <w:rPr>
          <w:rFonts w:cstheme="minorHAnsi"/>
          <w:sz w:val="20"/>
          <w:szCs w:val="20"/>
        </w:rPr>
        <w:t xml:space="preserve"> employee turnover rates, it is important to distinguish between avoidable and unavoidable turnover to identify areas where intervention may be effective. </w:t>
      </w:r>
      <w:r w:rsidRPr="0065706A">
        <w:rPr>
          <w:rStyle w:val="Strong"/>
          <w:rFonts w:cstheme="minorHAnsi"/>
          <w:b w:val="0"/>
          <w:bCs w:val="0"/>
          <w:sz w:val="20"/>
          <w:szCs w:val="20"/>
        </w:rPr>
        <w:t>Avoidable turnover</w:t>
      </w:r>
      <w:r w:rsidRPr="0065706A">
        <w:rPr>
          <w:rFonts w:cstheme="minorHAnsi"/>
          <w:sz w:val="20"/>
          <w:szCs w:val="20"/>
        </w:rPr>
        <w:t xml:space="preserve"> refers to resignations that could potentially be prevented through improved management practices, better working conditions, or career development opportunities—for example, employees leaving due to poor leadership, lack of progression, or uncompetitive pay. In contrast, </w:t>
      </w:r>
      <w:r w:rsidRPr="0065706A">
        <w:rPr>
          <w:rStyle w:val="Strong"/>
          <w:rFonts w:cstheme="minorHAnsi"/>
          <w:b w:val="0"/>
          <w:bCs w:val="0"/>
          <w:sz w:val="20"/>
          <w:szCs w:val="20"/>
        </w:rPr>
        <w:t>unavoidable turnover</w:t>
      </w:r>
      <w:r w:rsidRPr="0065706A">
        <w:rPr>
          <w:rFonts w:cstheme="minorHAnsi"/>
          <w:sz w:val="20"/>
          <w:szCs w:val="20"/>
        </w:rPr>
        <w:t xml:space="preserve"> includes departures due to retirement, relocation, or personal circumstances outside the employer’s </w:t>
      </w:r>
      <w:r w:rsidR="007B7AB8" w:rsidRPr="0065706A">
        <w:rPr>
          <w:rFonts w:cstheme="minorHAnsi"/>
          <w:sz w:val="20"/>
          <w:szCs w:val="20"/>
        </w:rPr>
        <w:t>control (Taylor, 2025)</w:t>
      </w:r>
      <w:r w:rsidRPr="0065706A">
        <w:rPr>
          <w:rFonts w:cstheme="minorHAnsi"/>
          <w:sz w:val="20"/>
          <w:szCs w:val="20"/>
        </w:rPr>
        <w:t xml:space="preserve">. </w:t>
      </w:r>
    </w:p>
    <w:p w14:paraId="600BCD2D" w14:textId="52DF5526" w:rsidR="0070580B" w:rsidRPr="0065706A" w:rsidRDefault="0070580B">
      <w:pPr>
        <w:rPr>
          <w:rFonts w:cstheme="minorHAnsi"/>
          <w:sz w:val="20"/>
          <w:szCs w:val="20"/>
        </w:rPr>
      </w:pPr>
      <w:r w:rsidRPr="0065706A">
        <w:rPr>
          <w:rFonts w:cstheme="minorHAnsi"/>
          <w:sz w:val="20"/>
          <w:szCs w:val="20"/>
        </w:rPr>
        <w:t xml:space="preserve">Additionally, understanding the difference between </w:t>
      </w:r>
      <w:r w:rsidRPr="0065706A">
        <w:rPr>
          <w:rStyle w:val="Strong"/>
          <w:rFonts w:cstheme="minorHAnsi"/>
          <w:b w:val="0"/>
          <w:bCs w:val="0"/>
          <w:sz w:val="20"/>
          <w:szCs w:val="20"/>
        </w:rPr>
        <w:t>push and pull factors</w:t>
      </w:r>
      <w:r w:rsidRPr="0065706A">
        <w:rPr>
          <w:rFonts w:cstheme="minorHAnsi"/>
          <w:sz w:val="20"/>
          <w:szCs w:val="20"/>
        </w:rPr>
        <w:t xml:space="preserve"> is essential. </w:t>
      </w:r>
      <w:r w:rsidRPr="0065706A">
        <w:rPr>
          <w:rStyle w:val="Strong"/>
          <w:rFonts w:cstheme="minorHAnsi"/>
          <w:b w:val="0"/>
          <w:bCs w:val="0"/>
          <w:sz w:val="20"/>
          <w:szCs w:val="20"/>
        </w:rPr>
        <w:t>Push factors</w:t>
      </w:r>
      <w:r w:rsidRPr="0065706A">
        <w:rPr>
          <w:rFonts w:cstheme="minorHAnsi"/>
          <w:b/>
          <w:bCs/>
          <w:sz w:val="20"/>
          <w:szCs w:val="20"/>
        </w:rPr>
        <w:t xml:space="preserve"> </w:t>
      </w:r>
      <w:r w:rsidRPr="0065706A">
        <w:rPr>
          <w:rFonts w:cstheme="minorHAnsi"/>
          <w:sz w:val="20"/>
          <w:szCs w:val="20"/>
        </w:rPr>
        <w:t>are internal issues within the organisation that drive employees to leave, such as a toxic work environment, lack of recognition, or excessive workload</w:t>
      </w:r>
      <w:r w:rsidR="00033675" w:rsidRPr="0065706A">
        <w:rPr>
          <w:rFonts w:cstheme="minorHAnsi"/>
          <w:sz w:val="20"/>
          <w:szCs w:val="20"/>
        </w:rPr>
        <w:t xml:space="preserve"> (Thomas,</w:t>
      </w:r>
      <w:r w:rsidR="00A31DF1" w:rsidRPr="0065706A">
        <w:rPr>
          <w:rFonts w:cstheme="minorHAnsi"/>
          <w:sz w:val="20"/>
          <w:szCs w:val="20"/>
        </w:rPr>
        <w:t xml:space="preserve"> 2015)</w:t>
      </w:r>
      <w:r w:rsidRPr="0065706A">
        <w:rPr>
          <w:rFonts w:cstheme="minorHAnsi"/>
          <w:sz w:val="20"/>
          <w:szCs w:val="20"/>
        </w:rPr>
        <w:t xml:space="preserve">. These are typically within HR’s ability to address. </w:t>
      </w:r>
      <w:r w:rsidR="000420C0" w:rsidRPr="0065706A">
        <w:rPr>
          <w:rFonts w:cstheme="minorHAnsi"/>
          <w:sz w:val="20"/>
          <w:szCs w:val="20"/>
        </w:rPr>
        <w:t>O</w:t>
      </w:r>
      <w:r w:rsidRPr="0065706A">
        <w:rPr>
          <w:rFonts w:cstheme="minorHAnsi"/>
          <w:sz w:val="20"/>
          <w:szCs w:val="20"/>
        </w:rPr>
        <w:t xml:space="preserve">n the other hand, are external attractions, such as a higher salary, better benefits, or career advancement opportunities elsewhere. While harder to control, strong employee engagement, competitive reward packages, and clear development pathways can help reduce the impact of pull factors. Identifying and addressing the key push and avoidable factors at </w:t>
      </w:r>
      <w:proofErr w:type="spellStart"/>
      <w:r w:rsidRPr="0065706A">
        <w:rPr>
          <w:rFonts w:cstheme="minorHAnsi"/>
          <w:sz w:val="20"/>
          <w:szCs w:val="20"/>
        </w:rPr>
        <w:t>ParcelCare</w:t>
      </w:r>
      <w:proofErr w:type="spellEnd"/>
      <w:r w:rsidRPr="0065706A">
        <w:rPr>
          <w:rFonts w:cstheme="minorHAnsi"/>
          <w:sz w:val="20"/>
          <w:szCs w:val="20"/>
        </w:rPr>
        <w:t xml:space="preserve"> will be crucial in lowering turnover and improving retention</w:t>
      </w:r>
      <w:r w:rsidR="009C3C2A" w:rsidRPr="0065706A">
        <w:rPr>
          <w:rFonts w:cstheme="minorHAnsi"/>
          <w:sz w:val="20"/>
          <w:szCs w:val="20"/>
        </w:rPr>
        <w:t xml:space="preserve"> (CIPD, 2024).</w:t>
      </w:r>
    </w:p>
    <w:p w14:paraId="3B292535" w14:textId="77777777" w:rsidR="00201EEE" w:rsidRPr="0065706A" w:rsidRDefault="00201EEE" w:rsidP="00201EEE">
      <w:pPr>
        <w:spacing w:before="100" w:beforeAutospacing="1" w:after="100" w:afterAutospacing="1" w:line="240" w:lineRule="auto"/>
        <w:rPr>
          <w:rFonts w:eastAsia="Times New Roman" w:cstheme="minorHAnsi"/>
          <w:kern w:val="0"/>
          <w:sz w:val="20"/>
          <w:szCs w:val="20"/>
          <w:lang w:eastAsia="en-GB"/>
          <w14:ligatures w14:val="none"/>
        </w:rPr>
      </w:pPr>
      <w:r w:rsidRPr="0065706A">
        <w:rPr>
          <w:rFonts w:eastAsia="Times New Roman" w:cstheme="minorHAnsi"/>
          <w:kern w:val="0"/>
          <w:sz w:val="20"/>
          <w:szCs w:val="20"/>
          <w:lang w:eastAsia="en-GB"/>
          <w14:ligatures w14:val="none"/>
        </w:rPr>
        <w:t xml:space="preserve">Beyond addressing turnover causes, it is important to analyse exit interview data systematically to uncover patterns and underlying issues leading to resignations. This data can highlight recurring themes such as dissatisfaction with management styles, lack of training, or work-life balance challenges (SHRM, 2023). By regularly reviewing and acting on these insights, </w:t>
      </w:r>
      <w:proofErr w:type="spellStart"/>
      <w:r w:rsidRPr="0065706A">
        <w:rPr>
          <w:rFonts w:eastAsia="Times New Roman" w:cstheme="minorHAnsi"/>
          <w:kern w:val="0"/>
          <w:sz w:val="20"/>
          <w:szCs w:val="20"/>
          <w:lang w:eastAsia="en-GB"/>
          <w14:ligatures w14:val="none"/>
        </w:rPr>
        <w:t>ParcelCare</w:t>
      </w:r>
      <w:proofErr w:type="spellEnd"/>
      <w:r w:rsidRPr="0065706A">
        <w:rPr>
          <w:rFonts w:eastAsia="Times New Roman" w:cstheme="minorHAnsi"/>
          <w:kern w:val="0"/>
          <w:sz w:val="20"/>
          <w:szCs w:val="20"/>
          <w:lang w:eastAsia="en-GB"/>
          <w14:ligatures w14:val="none"/>
        </w:rPr>
        <w:t xml:space="preserve"> can implement targeted interventions rather than generic policies, increasing their effectiveness (Ulrich et al., 2020).</w:t>
      </w:r>
    </w:p>
    <w:p w14:paraId="3485319B" w14:textId="77777777" w:rsidR="00201EEE" w:rsidRPr="0065706A" w:rsidRDefault="00201EEE" w:rsidP="00201EEE">
      <w:pPr>
        <w:spacing w:before="100" w:beforeAutospacing="1" w:after="100" w:afterAutospacing="1" w:line="240" w:lineRule="auto"/>
        <w:rPr>
          <w:rFonts w:eastAsia="Times New Roman" w:cstheme="minorHAnsi"/>
          <w:kern w:val="0"/>
          <w:sz w:val="20"/>
          <w:szCs w:val="20"/>
          <w:lang w:eastAsia="en-GB"/>
          <w14:ligatures w14:val="none"/>
        </w:rPr>
      </w:pPr>
      <w:r w:rsidRPr="0065706A">
        <w:rPr>
          <w:rFonts w:eastAsia="Times New Roman" w:cstheme="minorHAnsi"/>
          <w:kern w:val="0"/>
          <w:sz w:val="20"/>
          <w:szCs w:val="20"/>
          <w:lang w:eastAsia="en-GB"/>
          <w14:ligatures w14:val="none"/>
        </w:rPr>
        <w:t xml:space="preserve">Furthermore, creating a robust employee value proposition (EVP) can differentiate </w:t>
      </w:r>
      <w:proofErr w:type="spellStart"/>
      <w:r w:rsidRPr="0065706A">
        <w:rPr>
          <w:rFonts w:eastAsia="Times New Roman" w:cstheme="minorHAnsi"/>
          <w:kern w:val="0"/>
          <w:sz w:val="20"/>
          <w:szCs w:val="20"/>
          <w:lang w:eastAsia="en-GB"/>
          <w14:ligatures w14:val="none"/>
        </w:rPr>
        <w:t>ParcelCare</w:t>
      </w:r>
      <w:proofErr w:type="spellEnd"/>
      <w:r w:rsidRPr="0065706A">
        <w:rPr>
          <w:rFonts w:eastAsia="Times New Roman" w:cstheme="minorHAnsi"/>
          <w:kern w:val="0"/>
          <w:sz w:val="20"/>
          <w:szCs w:val="20"/>
          <w:lang w:eastAsia="en-GB"/>
          <w14:ligatures w14:val="none"/>
        </w:rPr>
        <w:t xml:space="preserve"> in a competitive labour market. An EVP communicates what the organisation offers employees beyond salary, including culture, career progression, work environment, and social responsibility initiatives (HBR, 2019). A compelling EVP not only attracts candidates but also fosters a sense of pride and belonging among current staff, reducing turnover risks (LinkedIn Talent Solutions, 2022).</w:t>
      </w:r>
    </w:p>
    <w:p w14:paraId="74CCC87E" w14:textId="13CE4032" w:rsidR="00201EEE" w:rsidRPr="0065706A" w:rsidRDefault="00201EEE" w:rsidP="00201EEE">
      <w:pPr>
        <w:spacing w:before="100" w:beforeAutospacing="1" w:after="100" w:afterAutospacing="1" w:line="240" w:lineRule="auto"/>
        <w:rPr>
          <w:rFonts w:eastAsia="Times New Roman" w:cstheme="minorHAnsi"/>
          <w:kern w:val="0"/>
          <w:sz w:val="20"/>
          <w:szCs w:val="20"/>
          <w:lang w:eastAsia="en-GB"/>
          <w14:ligatures w14:val="none"/>
        </w:rPr>
      </w:pPr>
      <w:r w:rsidRPr="0065706A">
        <w:rPr>
          <w:rFonts w:eastAsia="Times New Roman" w:cstheme="minorHAnsi"/>
          <w:kern w:val="0"/>
          <w:sz w:val="20"/>
          <w:szCs w:val="20"/>
          <w:lang w:eastAsia="en-GB"/>
          <w14:ligatures w14:val="none"/>
        </w:rPr>
        <w:t xml:space="preserve">Lastly, leveraging technology to enhance communication and feedback mechanisms can improve employee engagement. Platforms that facilitate real-time feedback, peer recognition, and transparent communication channels empower employees and managers to address concerns promptly (Gallup, 2021). When employees feel heard and valued, their commitment to the organisation strengthens, directly impacting retention rates. These innovative approaches position </w:t>
      </w:r>
      <w:proofErr w:type="spellStart"/>
      <w:r w:rsidRPr="0065706A">
        <w:rPr>
          <w:rFonts w:eastAsia="Times New Roman" w:cstheme="minorHAnsi"/>
          <w:kern w:val="0"/>
          <w:sz w:val="20"/>
          <w:szCs w:val="20"/>
          <w:lang w:eastAsia="en-GB"/>
          <w14:ligatures w14:val="none"/>
        </w:rPr>
        <w:t>ParcelCare</w:t>
      </w:r>
      <w:proofErr w:type="spellEnd"/>
      <w:r w:rsidRPr="0065706A">
        <w:rPr>
          <w:rFonts w:eastAsia="Times New Roman" w:cstheme="minorHAnsi"/>
          <w:kern w:val="0"/>
          <w:sz w:val="20"/>
          <w:szCs w:val="20"/>
          <w:lang w:eastAsia="en-GB"/>
          <w14:ligatures w14:val="none"/>
        </w:rPr>
        <w:t xml:space="preserve"> as a forward-thinking employer capable of adapting to evolving workforce expectations</w:t>
      </w:r>
      <w:r w:rsidR="006B52F8" w:rsidRPr="0065706A">
        <w:rPr>
          <w:rFonts w:eastAsia="Times New Roman" w:cstheme="minorHAnsi"/>
          <w:kern w:val="0"/>
          <w:sz w:val="20"/>
          <w:szCs w:val="20"/>
          <w:lang w:eastAsia="en-GB"/>
          <w14:ligatures w14:val="none"/>
        </w:rPr>
        <w:t>.</w:t>
      </w:r>
    </w:p>
    <w:p w14:paraId="61805407" w14:textId="77777777" w:rsidR="001C28E8" w:rsidRPr="0065706A" w:rsidRDefault="001C28E8">
      <w:pPr>
        <w:rPr>
          <w:rFonts w:cstheme="minorHAnsi"/>
          <w:sz w:val="20"/>
          <w:szCs w:val="20"/>
        </w:rPr>
      </w:pPr>
    </w:p>
    <w:p w14:paraId="78F4ED8B" w14:textId="77777777" w:rsidR="001C28E8" w:rsidRPr="0065706A" w:rsidRDefault="001C28E8">
      <w:pPr>
        <w:rPr>
          <w:rFonts w:cstheme="minorHAnsi"/>
          <w:sz w:val="20"/>
          <w:szCs w:val="20"/>
        </w:rPr>
      </w:pPr>
    </w:p>
    <w:p w14:paraId="19DA81A8" w14:textId="77777777" w:rsidR="001C28E8" w:rsidRPr="0065706A" w:rsidRDefault="001C28E8">
      <w:pPr>
        <w:rPr>
          <w:rFonts w:cstheme="minorHAnsi"/>
          <w:sz w:val="20"/>
          <w:szCs w:val="20"/>
        </w:rPr>
      </w:pPr>
    </w:p>
    <w:p w14:paraId="7630BBE7" w14:textId="77777777" w:rsidR="001C28E8" w:rsidRPr="0065706A" w:rsidRDefault="001C28E8">
      <w:pPr>
        <w:rPr>
          <w:rFonts w:cstheme="minorHAnsi"/>
          <w:sz w:val="20"/>
          <w:szCs w:val="20"/>
        </w:rPr>
      </w:pPr>
    </w:p>
    <w:p w14:paraId="54AE57D7" w14:textId="77777777" w:rsidR="001C28E8" w:rsidRPr="0065706A" w:rsidRDefault="001C28E8">
      <w:pPr>
        <w:rPr>
          <w:rFonts w:cstheme="minorHAnsi"/>
          <w:sz w:val="20"/>
          <w:szCs w:val="20"/>
        </w:rPr>
      </w:pPr>
    </w:p>
    <w:p w14:paraId="48AC20A5" w14:textId="77777777" w:rsidR="001C28E8" w:rsidRPr="0065706A" w:rsidRDefault="001C28E8">
      <w:pPr>
        <w:rPr>
          <w:rFonts w:cstheme="minorHAnsi"/>
          <w:sz w:val="20"/>
          <w:szCs w:val="20"/>
        </w:rPr>
      </w:pPr>
    </w:p>
    <w:p w14:paraId="0DECB6E4" w14:textId="77777777" w:rsidR="001C28E8" w:rsidRPr="0065706A" w:rsidRDefault="001C28E8">
      <w:pPr>
        <w:rPr>
          <w:rFonts w:cstheme="minorHAnsi"/>
          <w:sz w:val="20"/>
          <w:szCs w:val="20"/>
        </w:rPr>
      </w:pPr>
    </w:p>
    <w:p w14:paraId="6ECA05C9" w14:textId="77777777" w:rsidR="001C28E8" w:rsidRPr="0065706A" w:rsidRDefault="001C28E8">
      <w:pPr>
        <w:rPr>
          <w:rFonts w:cstheme="minorHAnsi"/>
          <w:sz w:val="20"/>
          <w:szCs w:val="20"/>
        </w:rPr>
      </w:pPr>
    </w:p>
    <w:p w14:paraId="3B3E882F" w14:textId="77777777" w:rsidR="001C28E8" w:rsidRPr="0065706A" w:rsidRDefault="001C28E8">
      <w:pPr>
        <w:rPr>
          <w:rFonts w:cstheme="minorHAnsi"/>
          <w:sz w:val="20"/>
          <w:szCs w:val="20"/>
        </w:rPr>
      </w:pPr>
    </w:p>
    <w:p w14:paraId="0C3E191F" w14:textId="77777777" w:rsidR="001C28E8" w:rsidRPr="0065706A" w:rsidRDefault="001C28E8">
      <w:pPr>
        <w:rPr>
          <w:rFonts w:cstheme="minorHAnsi"/>
          <w:sz w:val="20"/>
          <w:szCs w:val="20"/>
        </w:rPr>
      </w:pPr>
    </w:p>
    <w:p w14:paraId="21DC04E4" w14:textId="77777777" w:rsidR="001C28E8" w:rsidRPr="0065706A" w:rsidRDefault="001C28E8">
      <w:pPr>
        <w:rPr>
          <w:rFonts w:cstheme="minorHAnsi"/>
          <w:sz w:val="20"/>
          <w:szCs w:val="20"/>
        </w:rPr>
      </w:pPr>
    </w:p>
    <w:p w14:paraId="73B94361" w14:textId="3D49BADB" w:rsidR="00EA2FA9" w:rsidRPr="0065706A" w:rsidRDefault="0080717D">
      <w:pPr>
        <w:rPr>
          <w:rStyle w:val="ui-provider"/>
          <w:rFonts w:cstheme="minorHAnsi"/>
          <w:sz w:val="20"/>
          <w:szCs w:val="20"/>
        </w:rPr>
      </w:pPr>
      <w:r w:rsidRPr="0065706A">
        <w:rPr>
          <w:rStyle w:val="ui-provider"/>
          <w:rFonts w:cstheme="minorHAnsi"/>
          <w:sz w:val="20"/>
          <w:szCs w:val="20"/>
        </w:rPr>
        <w:t xml:space="preserve">AC </w:t>
      </w:r>
      <w:r w:rsidR="00E67BCF" w:rsidRPr="0065706A">
        <w:rPr>
          <w:rStyle w:val="ui-provider"/>
          <w:rFonts w:cstheme="minorHAnsi"/>
          <w:sz w:val="20"/>
          <w:szCs w:val="20"/>
        </w:rPr>
        <w:t>3.2</w:t>
      </w:r>
    </w:p>
    <w:p w14:paraId="2648638D" w14:textId="3E9F4EA5" w:rsidR="00FB6239" w:rsidRPr="0065706A" w:rsidRDefault="00DF6249">
      <w:pPr>
        <w:rPr>
          <w:rFonts w:cstheme="minorHAnsi"/>
          <w:sz w:val="20"/>
          <w:szCs w:val="20"/>
        </w:rPr>
      </w:pPr>
      <w:r w:rsidRPr="0065706A">
        <w:rPr>
          <w:rFonts w:cstheme="minorHAnsi"/>
          <w:sz w:val="20"/>
          <w:szCs w:val="20"/>
        </w:rPr>
        <w:t>To begin with</w:t>
      </w:r>
      <w:r w:rsidR="004C1547" w:rsidRPr="0065706A">
        <w:rPr>
          <w:rFonts w:cstheme="minorHAnsi"/>
          <w:sz w:val="20"/>
          <w:szCs w:val="20"/>
        </w:rPr>
        <w:t xml:space="preserve"> realistic job previews, </w:t>
      </w:r>
      <w:r w:rsidRPr="0065706A">
        <w:rPr>
          <w:rFonts w:cstheme="minorHAnsi"/>
          <w:sz w:val="20"/>
          <w:szCs w:val="20"/>
        </w:rPr>
        <w:t xml:space="preserve">this is </w:t>
      </w:r>
      <w:r w:rsidR="004C1547" w:rsidRPr="0065706A">
        <w:rPr>
          <w:rFonts w:cstheme="minorHAnsi"/>
          <w:sz w:val="20"/>
          <w:szCs w:val="20"/>
        </w:rPr>
        <w:t xml:space="preserve">where employers explain the role honestly before someone starts. This helps reduce early turnover, but it mainly affects short-term retention. </w:t>
      </w:r>
      <w:r w:rsidR="0087461B" w:rsidRPr="0065706A">
        <w:rPr>
          <w:rFonts w:cstheme="minorHAnsi"/>
          <w:sz w:val="20"/>
          <w:szCs w:val="20"/>
        </w:rPr>
        <w:t>(Indeed, 2024)</w:t>
      </w:r>
    </w:p>
    <w:p w14:paraId="3D72C828" w14:textId="14A59109" w:rsidR="00B27D16" w:rsidRPr="0065706A" w:rsidRDefault="004C1547">
      <w:pPr>
        <w:rPr>
          <w:rFonts w:cstheme="minorHAnsi"/>
          <w:sz w:val="20"/>
          <w:szCs w:val="20"/>
        </w:rPr>
      </w:pPr>
      <w:r w:rsidRPr="0065706A">
        <w:rPr>
          <w:rFonts w:cstheme="minorHAnsi"/>
          <w:sz w:val="20"/>
          <w:szCs w:val="20"/>
        </w:rPr>
        <w:t xml:space="preserve">In comparison, induction supports new staff in their first days or weeks, helping them feel welcome and confident. While both help early on, induction has a longer-lasting effect as it sets the tone for the employee’s experience. </w:t>
      </w:r>
      <w:r w:rsidR="00634950" w:rsidRPr="0065706A">
        <w:rPr>
          <w:rFonts w:cstheme="minorHAnsi"/>
          <w:sz w:val="20"/>
          <w:szCs w:val="20"/>
        </w:rPr>
        <w:t>(CIPD, 2025)</w:t>
      </w:r>
    </w:p>
    <w:p w14:paraId="3232E7A1" w14:textId="68418CB2" w:rsidR="00F26ABE" w:rsidRPr="0065706A" w:rsidRDefault="004C1547">
      <w:pPr>
        <w:rPr>
          <w:rFonts w:cstheme="minorHAnsi"/>
          <w:sz w:val="20"/>
          <w:szCs w:val="20"/>
        </w:rPr>
      </w:pPr>
      <w:r w:rsidRPr="0065706A">
        <w:rPr>
          <w:rFonts w:cstheme="minorHAnsi"/>
          <w:sz w:val="20"/>
          <w:szCs w:val="20"/>
        </w:rPr>
        <w:t>Job enrichment, on the other hand, focuses more on long-term retention by making work more varied and interesting. Compared to the first two, it keeps people engaged over time rather than just helping them settle in.</w:t>
      </w:r>
      <w:r w:rsidR="005D321B" w:rsidRPr="0065706A">
        <w:rPr>
          <w:rFonts w:cstheme="minorHAnsi"/>
          <w:sz w:val="20"/>
          <w:szCs w:val="20"/>
        </w:rPr>
        <w:t xml:space="preserve"> (Indeed, 2025)</w:t>
      </w:r>
    </w:p>
    <w:p w14:paraId="4C408167" w14:textId="6670DCBD" w:rsidR="006065EE" w:rsidRPr="0065706A" w:rsidRDefault="004C1547">
      <w:pPr>
        <w:rPr>
          <w:rFonts w:cstheme="minorHAnsi"/>
          <w:sz w:val="20"/>
          <w:szCs w:val="20"/>
        </w:rPr>
      </w:pPr>
      <w:r w:rsidRPr="0065706A">
        <w:rPr>
          <w:rFonts w:cstheme="minorHAnsi"/>
          <w:sz w:val="20"/>
          <w:szCs w:val="20"/>
        </w:rPr>
        <w:t xml:space="preserve">Reward, such as fair pay and bonuses, is often the most direct way to improve retention. Unlike the others, it gives an immediate benefit and can attract and keep staff in a competitive job market. However, rewards alone may not keep people if the job is boring or poorly managed. </w:t>
      </w:r>
      <w:r w:rsidR="002A406A" w:rsidRPr="0065706A">
        <w:rPr>
          <w:rFonts w:cstheme="minorHAnsi"/>
          <w:sz w:val="20"/>
          <w:szCs w:val="20"/>
        </w:rPr>
        <w:t>(CIPD, 2024)</w:t>
      </w:r>
    </w:p>
    <w:p w14:paraId="6A8EA7BC" w14:textId="09BC2E2D" w:rsidR="00A657FC" w:rsidRPr="0065706A" w:rsidRDefault="004C1547" w:rsidP="001C28E8">
      <w:pPr>
        <w:rPr>
          <w:rFonts w:cstheme="minorHAnsi"/>
          <w:sz w:val="20"/>
          <w:szCs w:val="20"/>
        </w:rPr>
      </w:pPr>
      <w:r w:rsidRPr="0065706A">
        <w:rPr>
          <w:rFonts w:cstheme="minorHAnsi"/>
          <w:sz w:val="20"/>
          <w:szCs w:val="20"/>
        </w:rPr>
        <w:t xml:space="preserve">So, while realistic job previews and induction help early on, job </w:t>
      </w:r>
      <w:r w:rsidR="00D51FFB" w:rsidRPr="0065706A">
        <w:rPr>
          <w:rFonts w:cstheme="minorHAnsi"/>
          <w:sz w:val="20"/>
          <w:szCs w:val="20"/>
        </w:rPr>
        <w:t>enrichment</w:t>
      </w:r>
      <w:r w:rsidRPr="0065706A">
        <w:rPr>
          <w:rFonts w:cstheme="minorHAnsi"/>
          <w:sz w:val="20"/>
          <w:szCs w:val="20"/>
        </w:rPr>
        <w:t xml:space="preserve"> and reward are more about keeping staff in the long run. Out of the four, reward might have the strongest short-term impact, but job enrichment could be more effective for motivation and satisfaction over time. In the end, each approach has strengths and weaknesses. The best results usually come from using them together – being honest from the start, welcoming people properly, keeping the work interesting, and rewarding effort fairly. This combined approach gives staff more reasons to stay, both in the short and long term.</w:t>
      </w:r>
    </w:p>
    <w:p w14:paraId="407336BB" w14:textId="7669A90A" w:rsidR="0080717D" w:rsidRPr="0065706A" w:rsidRDefault="0080717D" w:rsidP="0026575F">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AC </w:t>
      </w:r>
      <w:r w:rsidR="00E67BCF" w:rsidRPr="0065706A">
        <w:rPr>
          <w:rFonts w:asciiTheme="minorHAnsi" w:hAnsiTheme="minorHAnsi" w:cstheme="minorHAnsi"/>
          <w:sz w:val="20"/>
          <w:szCs w:val="20"/>
        </w:rPr>
        <w:t>3.3</w:t>
      </w:r>
    </w:p>
    <w:p w14:paraId="08EEB49A" w14:textId="1BEBC1CE" w:rsidR="0026575F" w:rsidRPr="0065706A" w:rsidRDefault="0026575F" w:rsidP="0026575F">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Dysfunctional employee turnover is when good, skilled, or experienced staff leave a </w:t>
      </w:r>
      <w:proofErr w:type="gramStart"/>
      <w:r w:rsidRPr="0065706A">
        <w:rPr>
          <w:rFonts w:asciiTheme="minorHAnsi" w:hAnsiTheme="minorHAnsi" w:cstheme="minorHAnsi"/>
          <w:sz w:val="20"/>
          <w:szCs w:val="20"/>
        </w:rPr>
        <w:t>business</w:t>
      </w:r>
      <w:proofErr w:type="gramEnd"/>
      <w:r w:rsidR="00EF0ECD" w:rsidRPr="0065706A">
        <w:rPr>
          <w:rFonts w:asciiTheme="minorHAnsi" w:hAnsiTheme="minorHAnsi" w:cstheme="minorHAnsi"/>
          <w:sz w:val="20"/>
          <w:szCs w:val="20"/>
        </w:rPr>
        <w:t xml:space="preserve"> </w:t>
      </w:r>
      <w:r w:rsidRPr="0065706A">
        <w:rPr>
          <w:rFonts w:asciiTheme="minorHAnsi" w:hAnsiTheme="minorHAnsi" w:cstheme="minorHAnsi"/>
          <w:sz w:val="20"/>
          <w:szCs w:val="20"/>
        </w:rPr>
        <w:t>and it has a negative effect. This type of turnover can seriously harm a company’s performance, especially in places like warehouses where reliable staff are essential. One of the biggest impacts is the loss of knowledge and skills. When experienced workers leave, they take their knowledge with them, and it often takes time and money to train new people to the same level. This can lead to delays, more mistakes, and lower productivity</w:t>
      </w:r>
      <w:r w:rsidR="00334816" w:rsidRPr="0065706A">
        <w:rPr>
          <w:rFonts w:asciiTheme="minorHAnsi" w:hAnsiTheme="minorHAnsi" w:cstheme="minorHAnsi"/>
          <w:sz w:val="20"/>
          <w:szCs w:val="20"/>
        </w:rPr>
        <w:t xml:space="preserve"> (Taylor, 2025).</w:t>
      </w:r>
    </w:p>
    <w:p w14:paraId="489329B3" w14:textId="7C912F82" w:rsidR="0026575F" w:rsidRPr="0065706A" w:rsidRDefault="0026575F" w:rsidP="0026575F">
      <w:pPr>
        <w:pStyle w:val="NormalWeb"/>
        <w:rPr>
          <w:rFonts w:asciiTheme="minorHAnsi" w:hAnsiTheme="minorHAnsi" w:cstheme="minorHAnsi"/>
          <w:sz w:val="20"/>
          <w:szCs w:val="20"/>
        </w:rPr>
      </w:pPr>
      <w:r w:rsidRPr="0065706A">
        <w:rPr>
          <w:rFonts w:asciiTheme="minorHAnsi" w:hAnsiTheme="minorHAnsi" w:cstheme="minorHAnsi"/>
          <w:sz w:val="20"/>
          <w:szCs w:val="20"/>
        </w:rPr>
        <w:t>Another issue is the cost. Hiring and training new staff is expensive. Advertising the job, interviewing, onboarding, and training all take time and money. If turnover stays high, these costs keep adding up. It also puts extra pressure on the remaining team, who may have to work harder to cover shifts or train new starters. This can lead to stress, low morale, and even more people leaving, creating a cycle that’s hard to break</w:t>
      </w:r>
      <w:r w:rsidR="00E65E76" w:rsidRPr="0065706A">
        <w:rPr>
          <w:rFonts w:asciiTheme="minorHAnsi" w:hAnsiTheme="minorHAnsi" w:cstheme="minorHAnsi"/>
          <w:sz w:val="20"/>
          <w:szCs w:val="20"/>
        </w:rPr>
        <w:t xml:space="preserve"> (Rees, 2023).</w:t>
      </w:r>
    </w:p>
    <w:p w14:paraId="50B382E1" w14:textId="170CAD0C" w:rsidR="0026575F" w:rsidRPr="0065706A" w:rsidRDefault="0026575F" w:rsidP="0026575F">
      <w:pPr>
        <w:pStyle w:val="NormalWeb"/>
        <w:rPr>
          <w:rFonts w:asciiTheme="minorHAnsi" w:hAnsiTheme="minorHAnsi" w:cstheme="minorHAnsi"/>
          <w:sz w:val="20"/>
          <w:szCs w:val="20"/>
        </w:rPr>
      </w:pPr>
      <w:r w:rsidRPr="0065706A">
        <w:rPr>
          <w:rFonts w:asciiTheme="minorHAnsi" w:hAnsiTheme="minorHAnsi" w:cstheme="minorHAnsi"/>
          <w:sz w:val="20"/>
          <w:szCs w:val="20"/>
        </w:rPr>
        <w:t>Dysfunctional turnover also affects customer service. In many warehouse roles, speed and accuracy are important. If staff are constantly changing, it’s harder to maintain high standards. Mistakes and delays can damage the company’s reputation and lead to complaints or lost customers.</w:t>
      </w:r>
      <w:r w:rsidR="006F5B39" w:rsidRPr="0065706A">
        <w:rPr>
          <w:rFonts w:asciiTheme="minorHAnsi" w:hAnsiTheme="minorHAnsi" w:cstheme="minorHAnsi"/>
          <w:sz w:val="20"/>
          <w:szCs w:val="20"/>
        </w:rPr>
        <w:t xml:space="preserve"> (CIPD, 2024)</w:t>
      </w:r>
    </w:p>
    <w:p w14:paraId="4922400C" w14:textId="6853811B" w:rsidR="0026575F" w:rsidRPr="0065706A" w:rsidRDefault="0026575F" w:rsidP="0026575F">
      <w:pPr>
        <w:pStyle w:val="NormalWeb"/>
        <w:rPr>
          <w:rFonts w:asciiTheme="minorHAnsi" w:hAnsiTheme="minorHAnsi" w:cstheme="minorHAnsi"/>
          <w:sz w:val="20"/>
          <w:szCs w:val="20"/>
        </w:rPr>
      </w:pPr>
      <w:r w:rsidRPr="0065706A">
        <w:rPr>
          <w:rFonts w:asciiTheme="minorHAnsi" w:hAnsiTheme="minorHAnsi" w:cstheme="minorHAnsi"/>
          <w:sz w:val="20"/>
          <w:szCs w:val="20"/>
        </w:rPr>
        <w:t>Finally, high turnover can make it harder to attract new staff. If people hear that others don’t stay long, they may not want to apply. This means the business could struggle to fill roles with the right people</w:t>
      </w:r>
      <w:r w:rsidR="008D35A3" w:rsidRPr="0065706A">
        <w:rPr>
          <w:rFonts w:asciiTheme="minorHAnsi" w:hAnsiTheme="minorHAnsi" w:cstheme="minorHAnsi"/>
          <w:sz w:val="20"/>
          <w:szCs w:val="20"/>
        </w:rPr>
        <w:t xml:space="preserve"> (Indeed, 2025). </w:t>
      </w:r>
      <w:r w:rsidRPr="0065706A">
        <w:rPr>
          <w:rFonts w:asciiTheme="minorHAnsi" w:hAnsiTheme="minorHAnsi" w:cstheme="minorHAnsi"/>
          <w:sz w:val="20"/>
          <w:szCs w:val="20"/>
        </w:rPr>
        <w:t>Overall, dysfunctional turnover causes lost skills, higher costs, lower team morale, and poor service – all of which can seriously damage a business. For these reasons, it’s important that the senior leadership team take it seriously and work to reduce it.</w:t>
      </w:r>
    </w:p>
    <w:p w14:paraId="3B987A38" w14:textId="77777777" w:rsidR="001C28E8" w:rsidRPr="0065706A" w:rsidRDefault="001C28E8" w:rsidP="0026575F">
      <w:pPr>
        <w:pStyle w:val="NormalWeb"/>
        <w:rPr>
          <w:rFonts w:asciiTheme="minorHAnsi" w:hAnsiTheme="minorHAnsi" w:cstheme="minorHAnsi"/>
          <w:sz w:val="20"/>
          <w:szCs w:val="20"/>
        </w:rPr>
      </w:pPr>
    </w:p>
    <w:p w14:paraId="78D80EA0" w14:textId="77777777" w:rsidR="001C28E8" w:rsidRPr="0065706A" w:rsidRDefault="001C28E8" w:rsidP="0026575F">
      <w:pPr>
        <w:pStyle w:val="NormalWeb"/>
        <w:rPr>
          <w:rFonts w:asciiTheme="minorHAnsi" w:hAnsiTheme="minorHAnsi" w:cstheme="minorHAnsi"/>
          <w:sz w:val="20"/>
          <w:szCs w:val="20"/>
        </w:rPr>
      </w:pPr>
    </w:p>
    <w:p w14:paraId="4B60AF78" w14:textId="77777777" w:rsidR="001C28E8" w:rsidRPr="0065706A" w:rsidRDefault="001C28E8" w:rsidP="0026575F">
      <w:pPr>
        <w:pStyle w:val="NormalWeb"/>
        <w:rPr>
          <w:rFonts w:asciiTheme="minorHAnsi" w:hAnsiTheme="minorHAnsi" w:cstheme="minorHAnsi"/>
          <w:sz w:val="20"/>
          <w:szCs w:val="20"/>
        </w:rPr>
      </w:pPr>
    </w:p>
    <w:p w14:paraId="3E77DF7C" w14:textId="637DE645" w:rsidR="00743081" w:rsidRPr="0065706A" w:rsidRDefault="0080717D">
      <w:pPr>
        <w:rPr>
          <w:rStyle w:val="ui-provider"/>
          <w:rFonts w:cstheme="minorHAnsi"/>
          <w:sz w:val="20"/>
          <w:szCs w:val="20"/>
        </w:rPr>
      </w:pPr>
      <w:r w:rsidRPr="0065706A">
        <w:rPr>
          <w:rStyle w:val="ui-provider"/>
          <w:rFonts w:cstheme="minorHAnsi"/>
          <w:sz w:val="20"/>
          <w:szCs w:val="20"/>
        </w:rPr>
        <w:t xml:space="preserve">AC </w:t>
      </w:r>
      <w:r w:rsidR="0025044E" w:rsidRPr="0065706A">
        <w:rPr>
          <w:rStyle w:val="ui-provider"/>
          <w:rFonts w:cstheme="minorHAnsi"/>
          <w:sz w:val="20"/>
          <w:szCs w:val="20"/>
        </w:rPr>
        <w:t>4.1</w:t>
      </w:r>
    </w:p>
    <w:p w14:paraId="711E7915" w14:textId="391B3693" w:rsidR="00743081" w:rsidRPr="0065706A" w:rsidRDefault="00743081" w:rsidP="00743081">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Permanent, full-time contracts are a solid option for delivery drivers because they offer stability for both the employee and the business. Drivers on these contracts are more likely to be loyal, experienced, and reliable. They know the company’s systems and routes, which helps keep service levels high. It also helps with planning, as managers know who is available and when. However, permanent contracts can be less flexible when demand changes. During quiet periods, the business still </w:t>
      </w:r>
      <w:proofErr w:type="gramStart"/>
      <w:r w:rsidRPr="0065706A">
        <w:rPr>
          <w:rFonts w:asciiTheme="minorHAnsi" w:hAnsiTheme="minorHAnsi" w:cstheme="minorHAnsi"/>
          <w:sz w:val="20"/>
          <w:szCs w:val="20"/>
        </w:rPr>
        <w:t>has to</w:t>
      </w:r>
      <w:proofErr w:type="gramEnd"/>
      <w:r w:rsidRPr="0065706A">
        <w:rPr>
          <w:rFonts w:asciiTheme="minorHAnsi" w:hAnsiTheme="minorHAnsi" w:cstheme="minorHAnsi"/>
          <w:sz w:val="20"/>
          <w:szCs w:val="20"/>
        </w:rPr>
        <w:t xml:space="preserve"> pay full-time staff, even if there isn’t enough work for them</w:t>
      </w:r>
      <w:r w:rsidR="00AB5F09" w:rsidRPr="0065706A">
        <w:rPr>
          <w:rFonts w:asciiTheme="minorHAnsi" w:hAnsiTheme="minorHAnsi" w:cstheme="minorHAnsi"/>
          <w:sz w:val="20"/>
          <w:szCs w:val="20"/>
        </w:rPr>
        <w:t xml:space="preserve"> (ACAS, 2025).</w:t>
      </w:r>
    </w:p>
    <w:p w14:paraId="39180075" w14:textId="051ADD83" w:rsidR="00743081" w:rsidRPr="0065706A" w:rsidRDefault="00743081" w:rsidP="00743081">
      <w:pPr>
        <w:pStyle w:val="NormalWeb"/>
        <w:rPr>
          <w:rFonts w:asciiTheme="minorHAnsi" w:hAnsiTheme="minorHAnsi" w:cstheme="minorHAnsi"/>
          <w:sz w:val="20"/>
          <w:szCs w:val="20"/>
        </w:rPr>
      </w:pPr>
      <w:r w:rsidRPr="0065706A">
        <w:rPr>
          <w:rFonts w:asciiTheme="minorHAnsi" w:hAnsiTheme="minorHAnsi" w:cstheme="minorHAnsi"/>
          <w:sz w:val="20"/>
          <w:szCs w:val="20"/>
        </w:rPr>
        <w:t>A second option is zero-hours contracts. These offer more flexibility for the employer, as staff are only called in when needed. This is useful during busy periods, like Christmas or sales seasons, when demand goes up. However, they can lead to problems with loyalty and reliability, as workers may not feel committed to the company. Some may leave if they get a more secure job elsewhere, and it can be harder to keep the same quality of service</w:t>
      </w:r>
      <w:r w:rsidR="005C3B1F" w:rsidRPr="0065706A">
        <w:rPr>
          <w:rFonts w:asciiTheme="minorHAnsi" w:hAnsiTheme="minorHAnsi" w:cstheme="minorHAnsi"/>
          <w:sz w:val="20"/>
          <w:szCs w:val="20"/>
        </w:rPr>
        <w:t xml:space="preserve"> (ACAS, 2025).</w:t>
      </w:r>
    </w:p>
    <w:p w14:paraId="68D65CA5" w14:textId="1E2CD549" w:rsidR="00743081" w:rsidRPr="0065706A" w:rsidRDefault="00743081" w:rsidP="00743081">
      <w:pPr>
        <w:pStyle w:val="NormalWeb"/>
        <w:rPr>
          <w:rFonts w:asciiTheme="minorHAnsi" w:hAnsiTheme="minorHAnsi" w:cstheme="minorHAnsi"/>
          <w:sz w:val="20"/>
          <w:szCs w:val="20"/>
        </w:rPr>
      </w:pPr>
      <w:r w:rsidRPr="0065706A">
        <w:rPr>
          <w:rFonts w:asciiTheme="minorHAnsi" w:hAnsiTheme="minorHAnsi" w:cstheme="minorHAnsi"/>
          <w:sz w:val="20"/>
          <w:szCs w:val="20"/>
        </w:rPr>
        <w:t>A third type is fixed-term contracts, where staff are employed for a set period – for example, three or six months. These are useful when the business knows demand will be higher for a short time. It gives a clear end date, which can help with planning and budgeting. Fixed-term staff can also be trained properly, unlike some casual staff, so service remains professional. But again, there’s a risk of losing skilled workers once the contract ends.</w:t>
      </w:r>
      <w:r w:rsidR="00CE0092" w:rsidRPr="0065706A">
        <w:rPr>
          <w:rFonts w:asciiTheme="minorHAnsi" w:hAnsiTheme="minorHAnsi" w:cstheme="minorHAnsi"/>
          <w:sz w:val="20"/>
          <w:szCs w:val="20"/>
        </w:rPr>
        <w:t xml:space="preserve"> (GOV.UK, </w:t>
      </w:r>
      <w:r w:rsidR="00E8412F" w:rsidRPr="0065706A">
        <w:rPr>
          <w:rFonts w:asciiTheme="minorHAnsi" w:hAnsiTheme="minorHAnsi" w:cstheme="minorHAnsi"/>
          <w:sz w:val="20"/>
          <w:szCs w:val="20"/>
        </w:rPr>
        <w:t>2025)</w:t>
      </w:r>
    </w:p>
    <w:p w14:paraId="14000F16" w14:textId="6B6C2DDB" w:rsidR="00E8412F" w:rsidRPr="0065706A" w:rsidRDefault="00743081" w:rsidP="00265DEF">
      <w:pPr>
        <w:pStyle w:val="NormalWeb"/>
        <w:rPr>
          <w:rStyle w:val="ui-provider"/>
          <w:rFonts w:asciiTheme="minorHAnsi" w:hAnsiTheme="minorHAnsi" w:cstheme="minorHAnsi"/>
          <w:sz w:val="20"/>
          <w:szCs w:val="20"/>
        </w:rPr>
      </w:pPr>
      <w:r w:rsidRPr="0065706A">
        <w:rPr>
          <w:rFonts w:asciiTheme="minorHAnsi" w:hAnsiTheme="minorHAnsi" w:cstheme="minorHAnsi"/>
          <w:sz w:val="20"/>
          <w:szCs w:val="20"/>
        </w:rPr>
        <w:t xml:space="preserve">In conclusion, permanent, full-time contracts are great for stability and quality, but not ideal for changing demand. Zero-hours and fixed-term contracts add flexibility, but they come with risks like lower loyalty and staff turnover. A mix of all three could work best for </w:t>
      </w:r>
      <w:proofErr w:type="spellStart"/>
      <w:r w:rsidRPr="0065706A">
        <w:rPr>
          <w:rFonts w:asciiTheme="minorHAnsi" w:hAnsiTheme="minorHAnsi" w:cstheme="minorHAnsi"/>
          <w:sz w:val="20"/>
          <w:szCs w:val="20"/>
        </w:rPr>
        <w:t>ParcelCare</w:t>
      </w:r>
      <w:proofErr w:type="spellEnd"/>
      <w:r w:rsidRPr="0065706A">
        <w:rPr>
          <w:rFonts w:asciiTheme="minorHAnsi" w:hAnsiTheme="minorHAnsi" w:cstheme="minorHAnsi"/>
          <w:sz w:val="20"/>
          <w:szCs w:val="20"/>
        </w:rPr>
        <w:t>, depending on the time of year and demand levels.</w:t>
      </w:r>
    </w:p>
    <w:p w14:paraId="00429ABD" w14:textId="4B9B74B9" w:rsidR="00785F0D" w:rsidRPr="0065706A" w:rsidRDefault="0080717D" w:rsidP="00265DEF">
      <w:pPr>
        <w:pStyle w:val="NormalWeb"/>
        <w:rPr>
          <w:rFonts w:asciiTheme="minorHAnsi" w:hAnsiTheme="minorHAnsi" w:cstheme="minorHAnsi"/>
          <w:b/>
          <w:bCs/>
          <w:sz w:val="20"/>
          <w:szCs w:val="20"/>
        </w:rPr>
      </w:pPr>
      <w:r w:rsidRPr="0065706A">
        <w:rPr>
          <w:rStyle w:val="ui-provider"/>
          <w:rFonts w:asciiTheme="minorHAnsi" w:eastAsiaTheme="majorEastAsia" w:hAnsiTheme="minorHAnsi" w:cstheme="minorHAnsi"/>
          <w:b/>
          <w:bCs/>
          <w:sz w:val="20"/>
          <w:szCs w:val="20"/>
        </w:rPr>
        <w:t xml:space="preserve">AC </w:t>
      </w:r>
      <w:r w:rsidR="0025044E" w:rsidRPr="0065706A">
        <w:rPr>
          <w:rStyle w:val="ui-provider"/>
          <w:rFonts w:asciiTheme="minorHAnsi" w:eastAsiaTheme="majorEastAsia" w:hAnsiTheme="minorHAnsi" w:cstheme="minorHAnsi"/>
          <w:b/>
          <w:bCs/>
          <w:sz w:val="20"/>
          <w:szCs w:val="20"/>
        </w:rPr>
        <w:t>4.2</w:t>
      </w:r>
    </w:p>
    <w:p w14:paraId="7258F314" w14:textId="318A45CA" w:rsidR="00265DEF" w:rsidRPr="0065706A" w:rsidRDefault="00265DEF" w:rsidP="00265DEF">
      <w:pPr>
        <w:pStyle w:val="NormalWeb"/>
        <w:rPr>
          <w:rFonts w:asciiTheme="minorHAnsi" w:hAnsiTheme="minorHAnsi" w:cstheme="minorHAnsi"/>
          <w:sz w:val="20"/>
          <w:szCs w:val="20"/>
        </w:rPr>
      </w:pPr>
      <w:r w:rsidRPr="0065706A">
        <w:rPr>
          <w:rFonts w:asciiTheme="minorHAnsi" w:hAnsiTheme="minorHAnsi" w:cstheme="minorHAnsi"/>
          <w:sz w:val="20"/>
          <w:szCs w:val="20"/>
        </w:rPr>
        <w:t>Effective onboarding brings several important benefits to a business and is worth investing in. First, it helps new employees feel welcome and supported from day one. When someone starts a new job, they often feel nervous or unsure. A proper onboarding process gives them the information, tools, and confidence they need to settle in quickly. This can lead to higher job satisfaction and makes it more likely they will stay with the company long term</w:t>
      </w:r>
      <w:r w:rsidR="00425170" w:rsidRPr="0065706A">
        <w:rPr>
          <w:rFonts w:asciiTheme="minorHAnsi" w:hAnsiTheme="minorHAnsi" w:cstheme="minorHAnsi"/>
          <w:sz w:val="20"/>
          <w:szCs w:val="20"/>
        </w:rPr>
        <w:t xml:space="preserve"> (HM Revenue &amp; Customs, 2025).</w:t>
      </w:r>
      <w:r w:rsidRPr="0065706A">
        <w:rPr>
          <w:rFonts w:asciiTheme="minorHAnsi" w:hAnsiTheme="minorHAnsi" w:cstheme="minorHAnsi"/>
          <w:sz w:val="20"/>
          <w:szCs w:val="20"/>
        </w:rPr>
        <w:t xml:space="preserve"> </w:t>
      </w:r>
      <w:r w:rsidR="001B5EEF" w:rsidRPr="0065706A">
        <w:rPr>
          <w:rFonts w:asciiTheme="minorHAnsi" w:hAnsiTheme="minorHAnsi" w:cstheme="minorHAnsi"/>
          <w:sz w:val="20"/>
          <w:szCs w:val="20"/>
        </w:rPr>
        <w:t>O</w:t>
      </w:r>
      <w:r w:rsidRPr="0065706A">
        <w:rPr>
          <w:rFonts w:asciiTheme="minorHAnsi" w:hAnsiTheme="minorHAnsi" w:cstheme="minorHAnsi"/>
          <w:sz w:val="20"/>
          <w:szCs w:val="20"/>
        </w:rPr>
        <w:t>nboarding helps new staff become productive faster. If they understand their role, know who to go to for help, and are trained properly from the start, they can begin contributing much sooner. This saves time for managers and reduces mistakes, which can improve the overall performance of the team.</w:t>
      </w:r>
    </w:p>
    <w:p w14:paraId="59724D0F" w14:textId="2149A518" w:rsidR="00265DEF" w:rsidRPr="0065706A" w:rsidRDefault="00265DEF" w:rsidP="00265DEF">
      <w:pPr>
        <w:pStyle w:val="NormalWeb"/>
        <w:rPr>
          <w:rFonts w:asciiTheme="minorHAnsi" w:hAnsiTheme="minorHAnsi" w:cstheme="minorHAnsi"/>
          <w:sz w:val="20"/>
          <w:szCs w:val="20"/>
        </w:rPr>
      </w:pPr>
      <w:r w:rsidRPr="0065706A">
        <w:rPr>
          <w:rFonts w:asciiTheme="minorHAnsi" w:hAnsiTheme="minorHAnsi" w:cstheme="minorHAnsi"/>
          <w:sz w:val="20"/>
          <w:szCs w:val="20"/>
        </w:rPr>
        <w:t>Another benefit is that good onboarding helps build a strong connection between the employee and the company. When new starters learn about the company’s values, culture, and goals, they feel part of something bigger. This can increase motivation, teamwork, and loyalty. Staff who feel connected to the business are also more likely to go the extra mile in their work</w:t>
      </w:r>
      <w:r w:rsidR="00C70BE9" w:rsidRPr="0065706A">
        <w:rPr>
          <w:rFonts w:asciiTheme="minorHAnsi" w:hAnsiTheme="minorHAnsi" w:cstheme="minorHAnsi"/>
          <w:sz w:val="20"/>
          <w:szCs w:val="20"/>
        </w:rPr>
        <w:t xml:space="preserve"> (ACAS, 2015)</w:t>
      </w:r>
    </w:p>
    <w:p w14:paraId="11032FF7" w14:textId="3F4FF51C" w:rsidR="00265DEF" w:rsidRPr="0065706A" w:rsidRDefault="00265DEF" w:rsidP="00265DEF">
      <w:pPr>
        <w:pStyle w:val="NormalWeb"/>
        <w:rPr>
          <w:rFonts w:asciiTheme="minorHAnsi" w:hAnsiTheme="minorHAnsi" w:cstheme="minorHAnsi"/>
          <w:sz w:val="20"/>
          <w:szCs w:val="20"/>
        </w:rPr>
      </w:pPr>
      <w:r w:rsidRPr="0065706A">
        <w:rPr>
          <w:rFonts w:asciiTheme="minorHAnsi" w:hAnsiTheme="minorHAnsi" w:cstheme="minorHAnsi"/>
          <w:sz w:val="20"/>
          <w:szCs w:val="20"/>
        </w:rPr>
        <w:t>Effective onboarding also improves consistency. When there’s a clear, organised process, every new employee gets the same important information, training, and support. This makes sure nothing is missed and helps maintain high standards, especially in areas like health and safety, customer service, and company policies</w:t>
      </w:r>
      <w:r w:rsidR="00C72C2F" w:rsidRPr="0065706A">
        <w:rPr>
          <w:rFonts w:asciiTheme="minorHAnsi" w:hAnsiTheme="minorHAnsi" w:cstheme="minorHAnsi"/>
          <w:sz w:val="20"/>
          <w:szCs w:val="20"/>
        </w:rPr>
        <w:t xml:space="preserve"> (LinkedIn, 2025).</w:t>
      </w:r>
    </w:p>
    <w:p w14:paraId="2843510E" w14:textId="3E4B7EDB" w:rsidR="009B0346" w:rsidRPr="0065706A" w:rsidRDefault="00265DEF" w:rsidP="00A355DD">
      <w:pPr>
        <w:pStyle w:val="NormalWeb"/>
        <w:rPr>
          <w:rFonts w:asciiTheme="minorHAnsi" w:hAnsiTheme="minorHAnsi" w:cstheme="minorHAnsi"/>
          <w:sz w:val="20"/>
          <w:szCs w:val="20"/>
        </w:rPr>
      </w:pPr>
      <w:r w:rsidRPr="0065706A">
        <w:rPr>
          <w:rFonts w:asciiTheme="minorHAnsi" w:hAnsiTheme="minorHAnsi" w:cstheme="minorHAnsi"/>
          <w:sz w:val="20"/>
          <w:szCs w:val="20"/>
        </w:rPr>
        <w:t xml:space="preserve">In contrast, a poor or rushed onboarding process can lead to confusion, low morale, early resignations, and wasted time and money. </w:t>
      </w:r>
      <w:proofErr w:type="gramStart"/>
      <w:r w:rsidRPr="0065706A">
        <w:rPr>
          <w:rFonts w:asciiTheme="minorHAnsi" w:hAnsiTheme="minorHAnsi" w:cstheme="minorHAnsi"/>
          <w:sz w:val="20"/>
          <w:szCs w:val="20"/>
        </w:rPr>
        <w:t>So</w:t>
      </w:r>
      <w:proofErr w:type="gramEnd"/>
      <w:r w:rsidRPr="0065706A">
        <w:rPr>
          <w:rFonts w:asciiTheme="minorHAnsi" w:hAnsiTheme="minorHAnsi" w:cstheme="minorHAnsi"/>
          <w:sz w:val="20"/>
          <w:szCs w:val="20"/>
        </w:rPr>
        <w:t xml:space="preserve"> while a good onboarding system may take a bit of time and money to set up, the long-term benefits for staff performance, engagement, and retention make it a smart investmen</w:t>
      </w:r>
      <w:r w:rsidR="00872D32" w:rsidRPr="0065706A">
        <w:rPr>
          <w:rFonts w:asciiTheme="minorHAnsi" w:hAnsiTheme="minorHAnsi" w:cstheme="minorHAnsi"/>
          <w:sz w:val="20"/>
          <w:szCs w:val="20"/>
        </w:rPr>
        <w:t>t.</w:t>
      </w:r>
      <w:r w:rsidR="00F94085" w:rsidRPr="0065706A">
        <w:rPr>
          <w:rFonts w:asciiTheme="minorHAnsi" w:hAnsiTheme="minorHAnsi" w:cstheme="minorHAnsi"/>
          <w:sz w:val="20"/>
          <w:szCs w:val="20"/>
        </w:rPr>
        <w:t xml:space="preserve"> (Thomas</w:t>
      </w:r>
      <w:r w:rsidR="003611A2" w:rsidRPr="0065706A">
        <w:rPr>
          <w:rFonts w:asciiTheme="minorHAnsi" w:hAnsiTheme="minorHAnsi" w:cstheme="minorHAnsi"/>
          <w:sz w:val="20"/>
          <w:szCs w:val="20"/>
        </w:rPr>
        <w:t>, 2016)</w:t>
      </w:r>
    </w:p>
    <w:p w14:paraId="55CC72C4" w14:textId="77777777" w:rsidR="00224DB5" w:rsidRDefault="00224DB5" w:rsidP="00A355DD">
      <w:pPr>
        <w:pStyle w:val="NormalWeb"/>
        <w:rPr>
          <w:rFonts w:ascii="Calibri" w:hAnsi="Calibri" w:cs="Calibri"/>
          <w:sz w:val="20"/>
          <w:szCs w:val="20"/>
        </w:rPr>
      </w:pPr>
    </w:p>
    <w:p w14:paraId="47878B6F" w14:textId="30281F60" w:rsidR="00224DB5" w:rsidRDefault="00224DB5" w:rsidP="00A355DD">
      <w:pPr>
        <w:pStyle w:val="NormalWeb"/>
        <w:rPr>
          <w:rFonts w:ascii="Calibri" w:hAnsi="Calibri" w:cs="Calibri"/>
          <w:sz w:val="20"/>
          <w:szCs w:val="20"/>
        </w:rPr>
      </w:pPr>
    </w:p>
    <w:p w14:paraId="06DCFD3E" w14:textId="64F691A3" w:rsidR="00FB35BB" w:rsidRDefault="00FB35BB" w:rsidP="00A355DD">
      <w:pPr>
        <w:pStyle w:val="NormalWeb"/>
        <w:rPr>
          <w:rFonts w:ascii="Calibri" w:hAnsi="Calibri" w:cs="Calibri"/>
          <w:sz w:val="20"/>
          <w:szCs w:val="20"/>
        </w:rPr>
      </w:pPr>
    </w:p>
    <w:p w14:paraId="01046984" w14:textId="77777777" w:rsidR="00FB35BB" w:rsidRDefault="00FB35BB" w:rsidP="00A355DD">
      <w:pPr>
        <w:pStyle w:val="NormalWeb"/>
        <w:rPr>
          <w:rFonts w:ascii="Calibri" w:hAnsi="Calibri" w:cs="Calibri"/>
          <w:sz w:val="20"/>
          <w:szCs w:val="20"/>
        </w:rPr>
      </w:pPr>
    </w:p>
    <w:p w14:paraId="2D722A46" w14:textId="77777777" w:rsidR="00FB35BB" w:rsidRDefault="00FB35BB" w:rsidP="00A355DD">
      <w:pPr>
        <w:pStyle w:val="NormalWeb"/>
        <w:rPr>
          <w:rFonts w:ascii="Calibri" w:hAnsi="Calibri" w:cs="Calibri"/>
          <w:sz w:val="20"/>
          <w:szCs w:val="20"/>
        </w:rPr>
      </w:pPr>
    </w:p>
    <w:p w14:paraId="3439AF2C" w14:textId="77777777" w:rsidR="00FB35BB" w:rsidRDefault="00FB35BB" w:rsidP="00A355DD">
      <w:pPr>
        <w:pStyle w:val="NormalWeb"/>
        <w:rPr>
          <w:rFonts w:ascii="Calibri" w:hAnsi="Calibri" w:cs="Calibri"/>
          <w:sz w:val="20"/>
          <w:szCs w:val="20"/>
        </w:rPr>
      </w:pPr>
    </w:p>
    <w:p w14:paraId="783A2588" w14:textId="77777777" w:rsidR="00FB35BB" w:rsidRDefault="00FB35BB" w:rsidP="00A355DD">
      <w:pPr>
        <w:pStyle w:val="NormalWeb"/>
        <w:rPr>
          <w:rFonts w:ascii="Calibri" w:hAnsi="Calibri" w:cs="Calibri"/>
          <w:sz w:val="20"/>
          <w:szCs w:val="20"/>
        </w:rPr>
      </w:pPr>
    </w:p>
    <w:p w14:paraId="54F7F6AE" w14:textId="77777777" w:rsidR="00FB35BB" w:rsidRDefault="00FB35BB" w:rsidP="00A355DD">
      <w:pPr>
        <w:pStyle w:val="NormalWeb"/>
        <w:rPr>
          <w:rFonts w:ascii="Calibri" w:hAnsi="Calibri" w:cs="Calibri"/>
          <w:sz w:val="20"/>
          <w:szCs w:val="20"/>
        </w:rPr>
      </w:pPr>
    </w:p>
    <w:p w14:paraId="129A8D48" w14:textId="70B6AD0A" w:rsidR="00FB35BB" w:rsidRDefault="00FB35BB" w:rsidP="00A355DD">
      <w:pPr>
        <w:pStyle w:val="NormalWeb"/>
        <w:rPr>
          <w:rFonts w:ascii="Calibri" w:hAnsi="Calibri" w:cs="Calibri"/>
          <w:sz w:val="20"/>
          <w:szCs w:val="20"/>
        </w:rPr>
      </w:pPr>
    </w:p>
    <w:p w14:paraId="03C2DA54" w14:textId="77777777" w:rsidR="00FB35BB" w:rsidRDefault="00FB35BB" w:rsidP="00A355DD">
      <w:pPr>
        <w:pStyle w:val="NormalWeb"/>
        <w:rPr>
          <w:rFonts w:ascii="Calibri" w:hAnsi="Calibri" w:cs="Calibri"/>
          <w:sz w:val="20"/>
          <w:szCs w:val="20"/>
        </w:rPr>
      </w:pPr>
    </w:p>
    <w:p w14:paraId="010BE47D" w14:textId="77777777" w:rsidR="00FB35BB" w:rsidRDefault="00FB35BB" w:rsidP="00A355DD">
      <w:pPr>
        <w:pStyle w:val="NormalWeb"/>
        <w:rPr>
          <w:rFonts w:ascii="Calibri" w:hAnsi="Calibri" w:cs="Calibri"/>
          <w:sz w:val="20"/>
          <w:szCs w:val="20"/>
        </w:rPr>
      </w:pPr>
    </w:p>
    <w:p w14:paraId="6B74BFA9" w14:textId="77777777" w:rsidR="00707C36" w:rsidRDefault="00707C36" w:rsidP="00A355DD">
      <w:pPr>
        <w:pStyle w:val="NormalWeb"/>
        <w:rPr>
          <w:rFonts w:ascii="Calibri" w:hAnsi="Calibri" w:cs="Calibri"/>
          <w:sz w:val="20"/>
          <w:szCs w:val="20"/>
        </w:rPr>
      </w:pPr>
    </w:p>
    <w:p w14:paraId="376290AD" w14:textId="77777777" w:rsidR="00707C36" w:rsidRDefault="00707C36" w:rsidP="00A355DD">
      <w:pPr>
        <w:pStyle w:val="NormalWeb"/>
        <w:rPr>
          <w:rFonts w:ascii="Calibri" w:hAnsi="Calibri" w:cs="Calibri"/>
          <w:sz w:val="20"/>
          <w:szCs w:val="20"/>
        </w:rPr>
      </w:pPr>
    </w:p>
    <w:p w14:paraId="66A55A07" w14:textId="77777777" w:rsidR="00707C36" w:rsidRDefault="00707C36" w:rsidP="00A355DD">
      <w:pPr>
        <w:pStyle w:val="NormalWeb"/>
        <w:rPr>
          <w:rFonts w:ascii="Calibri" w:hAnsi="Calibri" w:cs="Calibri"/>
          <w:sz w:val="20"/>
          <w:szCs w:val="20"/>
        </w:rPr>
      </w:pPr>
    </w:p>
    <w:p w14:paraId="51D96A88" w14:textId="77777777" w:rsidR="00707C36" w:rsidRDefault="00707C36" w:rsidP="00A355DD">
      <w:pPr>
        <w:pStyle w:val="NormalWeb"/>
        <w:rPr>
          <w:rFonts w:ascii="Calibri" w:hAnsi="Calibri" w:cs="Calibri"/>
          <w:sz w:val="20"/>
          <w:szCs w:val="20"/>
        </w:rPr>
      </w:pPr>
    </w:p>
    <w:p w14:paraId="40657CA1" w14:textId="77777777" w:rsidR="00707C36" w:rsidRDefault="00707C36" w:rsidP="00A355DD">
      <w:pPr>
        <w:pStyle w:val="NormalWeb"/>
        <w:rPr>
          <w:rFonts w:ascii="Calibri" w:hAnsi="Calibri" w:cs="Calibri"/>
          <w:sz w:val="20"/>
          <w:szCs w:val="20"/>
        </w:rPr>
      </w:pPr>
    </w:p>
    <w:p w14:paraId="75D5CB10" w14:textId="77777777" w:rsidR="00707C36" w:rsidRDefault="00707C36" w:rsidP="00A355DD">
      <w:pPr>
        <w:pStyle w:val="NormalWeb"/>
        <w:rPr>
          <w:rFonts w:ascii="Calibri" w:hAnsi="Calibri" w:cs="Calibri"/>
          <w:sz w:val="20"/>
          <w:szCs w:val="20"/>
        </w:rPr>
      </w:pPr>
    </w:p>
    <w:p w14:paraId="0814ECC2" w14:textId="77777777" w:rsidR="00707C36" w:rsidRDefault="00707C36" w:rsidP="00A355DD">
      <w:pPr>
        <w:pStyle w:val="NormalWeb"/>
        <w:rPr>
          <w:rFonts w:ascii="Calibri" w:hAnsi="Calibri" w:cs="Calibri"/>
          <w:sz w:val="20"/>
          <w:szCs w:val="20"/>
        </w:rPr>
      </w:pPr>
    </w:p>
    <w:p w14:paraId="0ACF649E" w14:textId="77777777" w:rsidR="00707C36" w:rsidRPr="00A355DD" w:rsidRDefault="00707C36" w:rsidP="00A355DD">
      <w:pPr>
        <w:pStyle w:val="NormalWeb"/>
        <w:rPr>
          <w:rFonts w:ascii="Calibri" w:hAnsi="Calibri" w:cs="Calibri"/>
          <w:sz w:val="20"/>
          <w:szCs w:val="20"/>
        </w:rPr>
      </w:pPr>
    </w:p>
    <w:p w14:paraId="63B97538" w14:textId="08FA8277" w:rsidR="009B0346" w:rsidRDefault="009B0346">
      <w:pPr>
        <w:rPr>
          <w:rFonts w:ascii="Calibri" w:hAnsi="Calibri" w:cs="Calibri"/>
          <w:b/>
          <w:bCs/>
          <w:sz w:val="20"/>
          <w:szCs w:val="20"/>
          <w:u w:val="single"/>
        </w:rPr>
      </w:pPr>
      <w:r w:rsidRPr="00A355DD">
        <w:rPr>
          <w:rFonts w:ascii="Calibri" w:hAnsi="Calibri" w:cs="Calibri"/>
          <w:b/>
          <w:bCs/>
          <w:sz w:val="20"/>
          <w:szCs w:val="20"/>
          <w:u w:val="single"/>
        </w:rPr>
        <w:t xml:space="preserve">Bibliography </w:t>
      </w:r>
    </w:p>
    <w:p w14:paraId="5726005B" w14:textId="02280DE8" w:rsidR="008879F0" w:rsidRDefault="008879F0">
      <w:pPr>
        <w:rPr>
          <w:rFonts w:ascii="Calibri" w:hAnsi="Calibri" w:cs="Calibri"/>
          <w:sz w:val="20"/>
          <w:szCs w:val="20"/>
        </w:rPr>
      </w:pPr>
      <w:r w:rsidRPr="008879F0">
        <w:rPr>
          <w:rFonts w:ascii="Calibri" w:hAnsi="Calibri" w:cs="Calibri"/>
          <w:sz w:val="20"/>
          <w:szCs w:val="20"/>
        </w:rPr>
        <w:t xml:space="preserve">ACAS (2024) </w:t>
      </w:r>
      <w:r w:rsidRPr="008879F0">
        <w:rPr>
          <w:rStyle w:val="Emphasis"/>
          <w:rFonts w:ascii="Calibri" w:hAnsi="Calibri" w:cs="Calibri"/>
          <w:sz w:val="20"/>
          <w:szCs w:val="20"/>
        </w:rPr>
        <w:t>Choosing who to interview</w:t>
      </w:r>
      <w:r w:rsidRPr="008879F0">
        <w:rPr>
          <w:rFonts w:ascii="Calibri" w:hAnsi="Calibri" w:cs="Calibri"/>
          <w:sz w:val="20"/>
          <w:szCs w:val="20"/>
        </w:rPr>
        <w:t xml:space="preserve">. Available at: </w:t>
      </w:r>
      <w:hyperlink r:id="rId4" w:tgtFrame="_new" w:history="1">
        <w:r w:rsidRPr="008879F0">
          <w:rPr>
            <w:rStyle w:val="Hyperlink"/>
            <w:rFonts w:ascii="Calibri" w:hAnsi="Calibri" w:cs="Calibri"/>
            <w:sz w:val="20"/>
            <w:szCs w:val="20"/>
          </w:rPr>
          <w:t>https://www.acas.org.uk/recruitment/choosing-who-to-interview</w:t>
        </w:r>
      </w:hyperlink>
      <w:r w:rsidRPr="008879F0">
        <w:rPr>
          <w:rFonts w:ascii="Calibri" w:hAnsi="Calibri" w:cs="Calibri"/>
          <w:sz w:val="20"/>
          <w:szCs w:val="20"/>
        </w:rPr>
        <w:t xml:space="preserve"> (Accessed: </w:t>
      </w:r>
      <w:r w:rsidR="005A4871">
        <w:rPr>
          <w:rFonts w:ascii="Calibri" w:hAnsi="Calibri" w:cs="Calibri"/>
          <w:sz w:val="20"/>
          <w:szCs w:val="20"/>
        </w:rPr>
        <w:t>4</w:t>
      </w:r>
      <w:proofErr w:type="gramStart"/>
      <w:r w:rsidR="005A4871" w:rsidRPr="005A4871">
        <w:rPr>
          <w:rFonts w:ascii="Calibri" w:hAnsi="Calibri" w:cs="Calibri"/>
          <w:sz w:val="20"/>
          <w:szCs w:val="20"/>
          <w:vertAlign w:val="superscript"/>
        </w:rPr>
        <w:t>th</w:t>
      </w:r>
      <w:r w:rsidR="005A4871">
        <w:rPr>
          <w:rFonts w:ascii="Calibri" w:hAnsi="Calibri" w:cs="Calibri"/>
          <w:sz w:val="20"/>
          <w:szCs w:val="20"/>
        </w:rPr>
        <w:t xml:space="preserve">  </w:t>
      </w:r>
      <w:r w:rsidRPr="008879F0">
        <w:rPr>
          <w:rFonts w:ascii="Calibri" w:hAnsi="Calibri" w:cs="Calibri"/>
          <w:sz w:val="20"/>
          <w:szCs w:val="20"/>
        </w:rPr>
        <w:t>June</w:t>
      </w:r>
      <w:proofErr w:type="gramEnd"/>
      <w:r w:rsidRPr="008879F0">
        <w:rPr>
          <w:rFonts w:ascii="Calibri" w:hAnsi="Calibri" w:cs="Calibri"/>
          <w:sz w:val="20"/>
          <w:szCs w:val="20"/>
        </w:rPr>
        <w:t xml:space="preserve"> 2025).</w:t>
      </w:r>
    </w:p>
    <w:p w14:paraId="5CDB52BE" w14:textId="21FF7009" w:rsidR="004735EE" w:rsidRPr="00661E5C" w:rsidRDefault="004735EE">
      <w:pPr>
        <w:rPr>
          <w:rFonts w:ascii="Calibri" w:hAnsi="Calibri" w:cs="Calibri"/>
          <w:b/>
          <w:bCs/>
          <w:sz w:val="20"/>
          <w:szCs w:val="20"/>
          <w:u w:val="single"/>
        </w:rPr>
      </w:pPr>
      <w:r w:rsidRPr="00661E5C">
        <w:rPr>
          <w:rFonts w:ascii="Calibri" w:hAnsi="Calibri" w:cs="Calibri"/>
          <w:sz w:val="20"/>
          <w:szCs w:val="20"/>
        </w:rPr>
        <w:t xml:space="preserve">ACAS. (2025) </w:t>
      </w:r>
      <w:r w:rsidRPr="00661E5C">
        <w:rPr>
          <w:rStyle w:val="Emphasis"/>
          <w:rFonts w:ascii="Calibri" w:hAnsi="Calibri" w:cs="Calibri"/>
          <w:sz w:val="20"/>
          <w:szCs w:val="20"/>
        </w:rPr>
        <w:t>Diversity and inclusion in the workplace</w:t>
      </w:r>
      <w:r w:rsidRPr="00661E5C">
        <w:rPr>
          <w:rFonts w:ascii="Calibri" w:hAnsi="Calibri" w:cs="Calibri"/>
          <w:sz w:val="20"/>
          <w:szCs w:val="20"/>
        </w:rPr>
        <w:t>. Available at: https://www.acas.org.uk/diversity-and-inclusion [Accessed 1</w:t>
      </w:r>
      <w:r w:rsidR="00724C6E">
        <w:rPr>
          <w:rFonts w:ascii="Calibri" w:hAnsi="Calibri" w:cs="Calibri"/>
          <w:sz w:val="20"/>
          <w:szCs w:val="20"/>
        </w:rPr>
        <w:t>1th</w:t>
      </w:r>
      <w:r w:rsidRPr="00661E5C">
        <w:rPr>
          <w:rFonts w:ascii="Calibri" w:hAnsi="Calibri" w:cs="Calibri"/>
          <w:sz w:val="20"/>
          <w:szCs w:val="20"/>
        </w:rPr>
        <w:t xml:space="preserve"> June 2025].</w:t>
      </w:r>
    </w:p>
    <w:p w14:paraId="05515856" w14:textId="6762C092" w:rsidR="0074275F" w:rsidRDefault="0074275F">
      <w:pPr>
        <w:rPr>
          <w:rFonts w:ascii="Calibri" w:hAnsi="Calibri" w:cs="Calibri"/>
          <w:sz w:val="20"/>
          <w:szCs w:val="20"/>
        </w:rPr>
      </w:pPr>
      <w:proofErr w:type="spellStart"/>
      <w:r w:rsidRPr="0074275F">
        <w:rPr>
          <w:rFonts w:ascii="Calibri" w:hAnsi="Calibri" w:cs="Calibri"/>
          <w:sz w:val="20"/>
          <w:szCs w:val="20"/>
        </w:rPr>
        <w:t>Acas</w:t>
      </w:r>
      <w:proofErr w:type="spellEnd"/>
      <w:r w:rsidRPr="0074275F">
        <w:rPr>
          <w:rFonts w:ascii="Calibri" w:hAnsi="Calibri" w:cs="Calibri"/>
          <w:sz w:val="20"/>
          <w:szCs w:val="20"/>
        </w:rPr>
        <w:t xml:space="preserve"> (2025) </w:t>
      </w:r>
      <w:r w:rsidRPr="0074275F">
        <w:rPr>
          <w:rStyle w:val="Emphasis"/>
          <w:rFonts w:ascii="Calibri" w:hAnsi="Calibri" w:cs="Calibri"/>
          <w:sz w:val="20"/>
          <w:szCs w:val="20"/>
        </w:rPr>
        <w:t>Flexible working</w:t>
      </w:r>
      <w:r w:rsidRPr="0074275F">
        <w:rPr>
          <w:rFonts w:ascii="Calibri" w:hAnsi="Calibri" w:cs="Calibri"/>
          <w:sz w:val="20"/>
          <w:szCs w:val="20"/>
        </w:rPr>
        <w:t xml:space="preserve">. Available at: </w:t>
      </w:r>
      <w:hyperlink r:id="rId5" w:tgtFrame="_new" w:history="1">
        <w:r w:rsidRPr="0074275F">
          <w:rPr>
            <w:rStyle w:val="Hyperlink"/>
            <w:rFonts w:ascii="Calibri" w:hAnsi="Calibri" w:cs="Calibri"/>
            <w:sz w:val="20"/>
            <w:szCs w:val="20"/>
          </w:rPr>
          <w:t>https://www.acas.org.uk/flexible-working</w:t>
        </w:r>
      </w:hyperlink>
      <w:r w:rsidRPr="0074275F">
        <w:rPr>
          <w:rFonts w:ascii="Calibri" w:hAnsi="Calibri" w:cs="Calibri"/>
          <w:sz w:val="20"/>
          <w:szCs w:val="20"/>
        </w:rPr>
        <w:t xml:space="preserve"> (</w:t>
      </w:r>
      <w:r>
        <w:rPr>
          <w:rFonts w:ascii="Calibri" w:hAnsi="Calibri" w:cs="Calibri"/>
          <w:sz w:val="20"/>
          <w:szCs w:val="20"/>
        </w:rPr>
        <w:t>2</w:t>
      </w:r>
      <w:r w:rsidRPr="0074275F">
        <w:rPr>
          <w:rFonts w:ascii="Calibri" w:hAnsi="Calibri" w:cs="Calibri"/>
          <w:sz w:val="20"/>
          <w:szCs w:val="20"/>
          <w:vertAlign w:val="superscript"/>
        </w:rPr>
        <w:t>nd</w:t>
      </w:r>
      <w:r>
        <w:rPr>
          <w:rFonts w:ascii="Calibri" w:hAnsi="Calibri" w:cs="Calibri"/>
          <w:sz w:val="20"/>
          <w:szCs w:val="20"/>
        </w:rPr>
        <w:t xml:space="preserve"> June</w:t>
      </w:r>
      <w:r w:rsidR="00263A59">
        <w:rPr>
          <w:rFonts w:ascii="Calibri" w:hAnsi="Calibri" w:cs="Calibri"/>
          <w:sz w:val="20"/>
          <w:szCs w:val="20"/>
        </w:rPr>
        <w:t xml:space="preserve"> 2025</w:t>
      </w:r>
      <w:r w:rsidRPr="0074275F">
        <w:rPr>
          <w:rFonts w:ascii="Calibri" w:hAnsi="Calibri" w:cs="Calibri"/>
          <w:sz w:val="20"/>
          <w:szCs w:val="20"/>
        </w:rPr>
        <w:t>).</w:t>
      </w:r>
    </w:p>
    <w:p w14:paraId="66445AF8" w14:textId="19DB000E" w:rsidR="008B7926" w:rsidRDefault="008B7926">
      <w:pPr>
        <w:rPr>
          <w:rFonts w:ascii="Calibri" w:hAnsi="Calibri" w:cs="Calibri"/>
          <w:sz w:val="20"/>
          <w:szCs w:val="20"/>
        </w:rPr>
      </w:pPr>
      <w:r w:rsidRPr="008B7926">
        <w:rPr>
          <w:rFonts w:ascii="Calibri" w:hAnsi="Calibri" w:cs="Calibri"/>
          <w:sz w:val="20"/>
          <w:szCs w:val="20"/>
        </w:rPr>
        <w:t xml:space="preserve">ACAS, 2025. </w:t>
      </w:r>
      <w:r w:rsidRPr="008B7926">
        <w:rPr>
          <w:rStyle w:val="Emphasis"/>
          <w:rFonts w:ascii="Calibri" w:hAnsi="Calibri" w:cs="Calibri"/>
          <w:sz w:val="20"/>
          <w:szCs w:val="20"/>
        </w:rPr>
        <w:t>If your employer introduces a contract change without your agreement</w:t>
      </w:r>
      <w:r w:rsidRPr="008B7926">
        <w:rPr>
          <w:rFonts w:ascii="Calibri" w:hAnsi="Calibri" w:cs="Calibri"/>
          <w:sz w:val="20"/>
          <w:szCs w:val="20"/>
        </w:rPr>
        <w:t xml:space="preserve">. Available at: </w:t>
      </w:r>
      <w:hyperlink r:id="rId6" w:tgtFrame="_new" w:history="1">
        <w:r w:rsidRPr="008B7926">
          <w:rPr>
            <w:rStyle w:val="Hyperlink"/>
            <w:rFonts w:ascii="Calibri" w:hAnsi="Calibri" w:cs="Calibri"/>
            <w:sz w:val="20"/>
            <w:szCs w:val="20"/>
          </w:rPr>
          <w:t>https://www.acas.org.uk/changing-an-employment-contract/advice-for-employees/if-your-employer-introduces-a-contract-change-without-your-agreement</w:t>
        </w:r>
      </w:hyperlink>
      <w:r w:rsidRPr="008B7926">
        <w:rPr>
          <w:rFonts w:ascii="Calibri" w:hAnsi="Calibri" w:cs="Calibri"/>
          <w:sz w:val="20"/>
          <w:szCs w:val="20"/>
        </w:rPr>
        <w:t xml:space="preserve"> [Accessed </w:t>
      </w:r>
      <w:r w:rsidR="00AB431A">
        <w:rPr>
          <w:rFonts w:ascii="Calibri" w:hAnsi="Calibri" w:cs="Calibri"/>
          <w:sz w:val="20"/>
          <w:szCs w:val="20"/>
        </w:rPr>
        <w:t>9</w:t>
      </w:r>
      <w:r w:rsidR="00AB431A">
        <w:rPr>
          <w:rFonts w:ascii="Calibri" w:hAnsi="Calibri" w:cs="Calibri"/>
          <w:sz w:val="20"/>
          <w:szCs w:val="20"/>
          <w:vertAlign w:val="superscript"/>
        </w:rPr>
        <w:t xml:space="preserve">th </w:t>
      </w:r>
      <w:r w:rsidR="00AB431A">
        <w:rPr>
          <w:rFonts w:ascii="Calibri" w:hAnsi="Calibri" w:cs="Calibri"/>
          <w:sz w:val="20"/>
          <w:szCs w:val="20"/>
        </w:rPr>
        <w:t>Ju</w:t>
      </w:r>
      <w:r w:rsidRPr="008B7926">
        <w:rPr>
          <w:rFonts w:ascii="Calibri" w:hAnsi="Calibri" w:cs="Calibri"/>
          <w:sz w:val="20"/>
          <w:szCs w:val="20"/>
        </w:rPr>
        <w:t>ne 2025].</w:t>
      </w:r>
    </w:p>
    <w:p w14:paraId="68439895" w14:textId="6B2EBCC1" w:rsidR="003F26E0" w:rsidRPr="003F26E0" w:rsidRDefault="003F26E0">
      <w:pPr>
        <w:rPr>
          <w:rFonts w:ascii="Calibri" w:hAnsi="Calibri" w:cs="Calibri"/>
          <w:sz w:val="20"/>
          <w:szCs w:val="20"/>
        </w:rPr>
      </w:pPr>
      <w:r w:rsidRPr="003F26E0">
        <w:rPr>
          <w:rFonts w:ascii="Calibri" w:hAnsi="Calibri" w:cs="Calibri"/>
          <w:sz w:val="20"/>
          <w:szCs w:val="20"/>
        </w:rPr>
        <w:t xml:space="preserve">ACAS. (2024) </w:t>
      </w:r>
      <w:r w:rsidRPr="003F26E0">
        <w:rPr>
          <w:rStyle w:val="Emphasis"/>
          <w:rFonts w:ascii="Calibri" w:hAnsi="Calibri" w:cs="Calibri"/>
          <w:sz w:val="20"/>
          <w:szCs w:val="20"/>
        </w:rPr>
        <w:t>Using social media for recruitment</w:t>
      </w:r>
      <w:r w:rsidRPr="003F26E0">
        <w:rPr>
          <w:rFonts w:ascii="Calibri" w:hAnsi="Calibri" w:cs="Calibri"/>
          <w:sz w:val="20"/>
          <w:szCs w:val="20"/>
        </w:rPr>
        <w:t>. Available at: https://www.acas.org.uk/social-media-and-recruitment [Accessed 1</w:t>
      </w:r>
      <w:r>
        <w:rPr>
          <w:rFonts w:ascii="Calibri" w:hAnsi="Calibri" w:cs="Calibri"/>
          <w:sz w:val="20"/>
          <w:szCs w:val="20"/>
        </w:rPr>
        <w:t>1th</w:t>
      </w:r>
      <w:r w:rsidRPr="003F26E0">
        <w:rPr>
          <w:rFonts w:ascii="Calibri" w:hAnsi="Calibri" w:cs="Calibri"/>
          <w:sz w:val="20"/>
          <w:szCs w:val="20"/>
        </w:rPr>
        <w:t xml:space="preserve"> June 2025].</w:t>
      </w:r>
    </w:p>
    <w:p w14:paraId="75907867" w14:textId="71E8E381" w:rsidR="00AF7927" w:rsidRPr="003E6263" w:rsidRDefault="00AF7927">
      <w:pPr>
        <w:rPr>
          <w:rFonts w:ascii="Calibri" w:hAnsi="Calibri" w:cs="Calibri"/>
          <w:sz w:val="20"/>
          <w:szCs w:val="20"/>
        </w:rPr>
      </w:pPr>
      <w:r w:rsidRPr="003E6263">
        <w:rPr>
          <w:rStyle w:val="relative"/>
          <w:rFonts w:ascii="Calibri" w:hAnsi="Calibri" w:cs="Calibri"/>
          <w:sz w:val="20"/>
          <w:szCs w:val="20"/>
        </w:rPr>
        <w:lastRenderedPageBreak/>
        <w:t xml:space="preserve">ACAS, 2015. </w:t>
      </w:r>
      <w:r w:rsidRPr="003E6263">
        <w:rPr>
          <w:rStyle w:val="Emphasis"/>
          <w:rFonts w:ascii="Calibri" w:hAnsi="Calibri" w:cs="Calibri"/>
          <w:sz w:val="20"/>
          <w:szCs w:val="20"/>
        </w:rPr>
        <w:t>Starting staff: induction</w:t>
      </w:r>
      <w:r w:rsidRPr="003E6263">
        <w:rPr>
          <w:rStyle w:val="relative"/>
          <w:rFonts w:ascii="Calibri" w:hAnsi="Calibri" w:cs="Calibri"/>
          <w:sz w:val="20"/>
          <w:szCs w:val="20"/>
        </w:rPr>
        <w:t>. Available at:</w:t>
      </w:r>
      <w:r w:rsidRPr="003E6263">
        <w:rPr>
          <w:rFonts w:ascii="Calibri" w:hAnsi="Calibri" w:cs="Calibri"/>
          <w:sz w:val="20"/>
          <w:szCs w:val="20"/>
        </w:rPr>
        <w:t xml:space="preserve"> https://www.acas.org.uk/sites/default/files/2021-03/Starting-staff-induction.pdf </w:t>
      </w:r>
      <w:r w:rsidRPr="003E6263">
        <w:rPr>
          <w:rStyle w:val="relative"/>
          <w:rFonts w:ascii="Calibri" w:hAnsi="Calibri" w:cs="Calibri"/>
          <w:sz w:val="20"/>
          <w:szCs w:val="20"/>
        </w:rPr>
        <w:t>[Accessed 1</w:t>
      </w:r>
      <w:r w:rsidR="003E6263">
        <w:rPr>
          <w:rStyle w:val="relative"/>
          <w:rFonts w:ascii="Calibri" w:hAnsi="Calibri" w:cs="Calibri"/>
          <w:sz w:val="20"/>
          <w:szCs w:val="20"/>
        </w:rPr>
        <w:t>0th</w:t>
      </w:r>
      <w:r w:rsidRPr="003E6263">
        <w:rPr>
          <w:rStyle w:val="relative"/>
          <w:rFonts w:ascii="Calibri" w:hAnsi="Calibri" w:cs="Calibri"/>
          <w:sz w:val="20"/>
          <w:szCs w:val="20"/>
        </w:rPr>
        <w:t xml:space="preserve"> June 2025]</w:t>
      </w:r>
    </w:p>
    <w:p w14:paraId="4050A60E" w14:textId="3864E09D" w:rsidR="00F30EB4" w:rsidRPr="008B7926" w:rsidRDefault="00F30EB4" w:rsidP="00F30EB4">
      <w:pPr>
        <w:pStyle w:val="NormalWeb"/>
        <w:rPr>
          <w:rFonts w:ascii="Calibri" w:hAnsi="Calibri" w:cs="Calibri"/>
          <w:sz w:val="20"/>
          <w:szCs w:val="20"/>
        </w:rPr>
      </w:pPr>
      <w:r w:rsidRPr="00F30EB4">
        <w:rPr>
          <w:rFonts w:ascii="Calibri" w:hAnsi="Calibri" w:cs="Calibri"/>
          <w:sz w:val="20"/>
          <w:szCs w:val="20"/>
        </w:rPr>
        <w:t xml:space="preserve">ACAS, 2025. </w:t>
      </w:r>
      <w:r w:rsidRPr="00F30EB4">
        <w:rPr>
          <w:rStyle w:val="Emphasis"/>
          <w:rFonts w:ascii="Calibri" w:eastAsiaTheme="majorEastAsia" w:hAnsi="Calibri" w:cs="Calibri"/>
          <w:sz w:val="20"/>
          <w:szCs w:val="20"/>
        </w:rPr>
        <w:t>Zero-hours contracts</w:t>
      </w:r>
      <w:r w:rsidRPr="00F30EB4">
        <w:rPr>
          <w:rFonts w:ascii="Calibri" w:hAnsi="Calibri" w:cs="Calibri"/>
          <w:sz w:val="20"/>
          <w:szCs w:val="20"/>
        </w:rPr>
        <w:t>.</w:t>
      </w:r>
      <w:r>
        <w:rPr>
          <w:rFonts w:ascii="Calibri" w:hAnsi="Calibri" w:cs="Calibri"/>
          <w:sz w:val="20"/>
          <w:szCs w:val="20"/>
        </w:rPr>
        <w:t xml:space="preserve"> </w:t>
      </w:r>
      <w:r w:rsidRPr="00F30EB4">
        <w:rPr>
          <w:rFonts w:ascii="Calibri" w:hAnsi="Calibri" w:cs="Calibri"/>
          <w:sz w:val="20"/>
          <w:szCs w:val="20"/>
        </w:rPr>
        <w:t xml:space="preserve">Available at: </w:t>
      </w:r>
      <w:hyperlink r:id="rId7" w:tgtFrame="_new" w:history="1">
        <w:r w:rsidRPr="00F30EB4">
          <w:rPr>
            <w:rStyle w:val="Hyperlink"/>
            <w:rFonts w:ascii="Calibri" w:eastAsiaTheme="majorEastAsia" w:hAnsi="Calibri" w:cs="Calibri"/>
            <w:sz w:val="20"/>
            <w:szCs w:val="20"/>
          </w:rPr>
          <w:t>https://www.acas.org.uk/zero-hours-contracts</w:t>
        </w:r>
      </w:hyperlink>
      <w:r w:rsidRPr="00F30EB4">
        <w:rPr>
          <w:rFonts w:ascii="Calibri" w:hAnsi="Calibri" w:cs="Calibri"/>
          <w:sz w:val="20"/>
          <w:szCs w:val="20"/>
        </w:rPr>
        <w:t xml:space="preserve"> [Accessed </w:t>
      </w:r>
      <w:r>
        <w:rPr>
          <w:rFonts w:ascii="Calibri" w:hAnsi="Calibri" w:cs="Calibri"/>
          <w:sz w:val="20"/>
          <w:szCs w:val="20"/>
        </w:rPr>
        <w:t>10th</w:t>
      </w:r>
      <w:r w:rsidRPr="00F30EB4">
        <w:rPr>
          <w:rFonts w:ascii="Calibri" w:hAnsi="Calibri" w:cs="Calibri"/>
          <w:sz w:val="20"/>
          <w:szCs w:val="20"/>
        </w:rPr>
        <w:t xml:space="preserve"> June 2025].</w:t>
      </w:r>
    </w:p>
    <w:p w14:paraId="184C9633" w14:textId="0BAA7DD8" w:rsidR="008D535B" w:rsidRDefault="00FF5C76">
      <w:pPr>
        <w:rPr>
          <w:rFonts w:ascii="Calibri" w:hAnsi="Calibri" w:cs="Calibri"/>
          <w:sz w:val="20"/>
          <w:szCs w:val="20"/>
        </w:rPr>
      </w:pPr>
      <w:r w:rsidRPr="00A077F8">
        <w:rPr>
          <w:rFonts w:ascii="Calibri" w:hAnsi="Calibri" w:cs="Calibri"/>
          <w:sz w:val="20"/>
          <w:szCs w:val="20"/>
        </w:rPr>
        <w:t xml:space="preserve">Bennett, T., Prior, M. and </w:t>
      </w:r>
      <w:proofErr w:type="spellStart"/>
      <w:r w:rsidRPr="00A077F8">
        <w:rPr>
          <w:rFonts w:ascii="Calibri" w:hAnsi="Calibri" w:cs="Calibri"/>
          <w:sz w:val="20"/>
          <w:szCs w:val="20"/>
        </w:rPr>
        <w:t>Saundry</w:t>
      </w:r>
      <w:proofErr w:type="spellEnd"/>
      <w:r w:rsidRPr="00A077F8">
        <w:rPr>
          <w:rFonts w:ascii="Calibri" w:hAnsi="Calibri" w:cs="Calibri"/>
          <w:sz w:val="20"/>
          <w:szCs w:val="20"/>
        </w:rPr>
        <w:t xml:space="preserve">, R. (2024) </w:t>
      </w:r>
      <w:r w:rsidRPr="00A077F8">
        <w:rPr>
          <w:rStyle w:val="Emphasis"/>
          <w:rFonts w:ascii="Calibri" w:hAnsi="Calibri" w:cs="Calibri"/>
          <w:sz w:val="20"/>
          <w:szCs w:val="20"/>
        </w:rPr>
        <w:t>Employment relations: theory, policy and practice</w:t>
      </w:r>
      <w:r w:rsidRPr="00A077F8">
        <w:rPr>
          <w:rFonts w:ascii="Calibri" w:hAnsi="Calibri" w:cs="Calibri"/>
          <w:sz w:val="20"/>
          <w:szCs w:val="20"/>
        </w:rPr>
        <w:t xml:space="preserve">. 8th </w:t>
      </w:r>
      <w:proofErr w:type="spellStart"/>
      <w:r w:rsidRPr="00A077F8">
        <w:rPr>
          <w:rFonts w:ascii="Calibri" w:hAnsi="Calibri" w:cs="Calibri"/>
          <w:sz w:val="20"/>
          <w:szCs w:val="20"/>
        </w:rPr>
        <w:t>edn</w:t>
      </w:r>
      <w:proofErr w:type="spellEnd"/>
      <w:r w:rsidRPr="00A077F8">
        <w:rPr>
          <w:rFonts w:ascii="Calibri" w:hAnsi="Calibri" w:cs="Calibri"/>
          <w:sz w:val="20"/>
          <w:szCs w:val="20"/>
        </w:rPr>
        <w:t>. London: CIPD.</w:t>
      </w:r>
    </w:p>
    <w:p w14:paraId="06E9C11E" w14:textId="7AFE2278" w:rsidR="008B76FA" w:rsidRPr="008B76FA" w:rsidRDefault="008B76FA">
      <w:pPr>
        <w:rPr>
          <w:rFonts w:ascii="Calibri" w:hAnsi="Calibri" w:cs="Calibri"/>
          <w:sz w:val="20"/>
          <w:szCs w:val="20"/>
        </w:rPr>
      </w:pPr>
      <w:r w:rsidRPr="008B76FA">
        <w:rPr>
          <w:rFonts w:ascii="Calibri" w:hAnsi="Calibri" w:cs="Calibri"/>
          <w:sz w:val="20"/>
          <w:szCs w:val="20"/>
        </w:rPr>
        <w:t xml:space="preserve">CIPD, 2024. </w:t>
      </w:r>
      <w:r w:rsidRPr="008B76FA">
        <w:rPr>
          <w:rStyle w:val="Emphasis"/>
          <w:rFonts w:ascii="Calibri" w:hAnsi="Calibri" w:cs="Calibri"/>
          <w:sz w:val="20"/>
          <w:szCs w:val="20"/>
        </w:rPr>
        <w:t>Benchmarking employee turnover: What are the latest trends and insights?</w:t>
      </w:r>
      <w:r w:rsidRPr="008B76FA">
        <w:rPr>
          <w:rFonts w:ascii="Calibri" w:hAnsi="Calibri" w:cs="Calibri"/>
          <w:sz w:val="20"/>
          <w:szCs w:val="20"/>
        </w:rPr>
        <w:t xml:space="preserve"> [online] Available at: </w:t>
      </w:r>
      <w:hyperlink r:id="rId8" w:tgtFrame="_new" w:history="1">
        <w:r w:rsidRPr="008B76FA">
          <w:rPr>
            <w:rStyle w:val="Hyperlink"/>
            <w:rFonts w:ascii="Calibri" w:hAnsi="Calibri" w:cs="Calibri"/>
            <w:sz w:val="20"/>
            <w:szCs w:val="20"/>
          </w:rPr>
          <w:t>https://www.cipd.org/uk/views-and-insights/thought-leadership/cipd-voice/benchmarking-employee-turnover/</w:t>
        </w:r>
      </w:hyperlink>
      <w:r w:rsidRPr="008B76FA">
        <w:rPr>
          <w:rFonts w:ascii="Calibri" w:hAnsi="Calibri" w:cs="Calibri"/>
          <w:sz w:val="20"/>
          <w:szCs w:val="20"/>
        </w:rPr>
        <w:t xml:space="preserve"> [Accessed </w:t>
      </w:r>
      <w:r>
        <w:rPr>
          <w:rFonts w:ascii="Calibri" w:hAnsi="Calibri" w:cs="Calibri"/>
          <w:sz w:val="20"/>
          <w:szCs w:val="20"/>
        </w:rPr>
        <w:t>8</w:t>
      </w:r>
      <w:r>
        <w:rPr>
          <w:rFonts w:ascii="Calibri" w:hAnsi="Calibri" w:cs="Calibri"/>
          <w:sz w:val="20"/>
          <w:szCs w:val="20"/>
          <w:vertAlign w:val="superscript"/>
        </w:rPr>
        <w:t xml:space="preserve">th </w:t>
      </w:r>
      <w:r>
        <w:rPr>
          <w:rFonts w:ascii="Calibri" w:hAnsi="Calibri" w:cs="Calibri"/>
          <w:sz w:val="20"/>
          <w:szCs w:val="20"/>
        </w:rPr>
        <w:t>June</w:t>
      </w:r>
      <w:r w:rsidRPr="008B76FA">
        <w:rPr>
          <w:rFonts w:ascii="Calibri" w:hAnsi="Calibri" w:cs="Calibri"/>
          <w:sz w:val="20"/>
          <w:szCs w:val="20"/>
        </w:rPr>
        <w:t xml:space="preserve"> 2025]</w:t>
      </w:r>
    </w:p>
    <w:p w14:paraId="055538A0" w14:textId="57AB5A82" w:rsidR="005927EE" w:rsidRDefault="005927EE" w:rsidP="005927EE">
      <w:pPr>
        <w:pStyle w:val="NormalWeb"/>
        <w:rPr>
          <w:rFonts w:ascii="Calibri" w:hAnsi="Calibri" w:cs="Calibri"/>
          <w:sz w:val="20"/>
          <w:szCs w:val="20"/>
        </w:rPr>
      </w:pPr>
      <w:r w:rsidRPr="00235289">
        <w:rPr>
          <w:rFonts w:ascii="Calibri" w:hAnsi="Calibri" w:cs="Calibri"/>
          <w:sz w:val="20"/>
          <w:szCs w:val="20"/>
        </w:rPr>
        <w:t xml:space="preserve">CIPD (2023) </w:t>
      </w:r>
      <w:r w:rsidRPr="00235289">
        <w:rPr>
          <w:rStyle w:val="Emphasis"/>
          <w:rFonts w:ascii="Calibri" w:eastAsiaTheme="majorEastAsia" w:hAnsi="Calibri" w:cs="Calibri"/>
          <w:sz w:val="20"/>
          <w:szCs w:val="20"/>
        </w:rPr>
        <w:t>Bonuses and incentives</w:t>
      </w:r>
      <w:r w:rsidRPr="00235289">
        <w:rPr>
          <w:rFonts w:ascii="Calibri" w:hAnsi="Calibri" w:cs="Calibri"/>
          <w:sz w:val="20"/>
          <w:szCs w:val="20"/>
        </w:rPr>
        <w:t xml:space="preserve">. Available at: </w:t>
      </w:r>
      <w:hyperlink r:id="rId9" w:tgtFrame="_new" w:history="1">
        <w:r w:rsidRPr="00235289">
          <w:rPr>
            <w:rStyle w:val="Hyperlink"/>
            <w:rFonts w:ascii="Calibri" w:eastAsiaTheme="majorEastAsia" w:hAnsi="Calibri" w:cs="Calibri"/>
            <w:sz w:val="20"/>
            <w:szCs w:val="20"/>
          </w:rPr>
          <w:t>https://www.cipd.org/uk/knowledge/factsheets/bonuses-factsheet/</w:t>
        </w:r>
      </w:hyperlink>
      <w:r w:rsidRPr="00235289">
        <w:rPr>
          <w:rFonts w:ascii="Calibri" w:hAnsi="Calibri" w:cs="Calibri"/>
          <w:sz w:val="20"/>
          <w:szCs w:val="20"/>
        </w:rPr>
        <w:t xml:space="preserve"> (Accessed: </w:t>
      </w:r>
      <w:r w:rsidR="00235289">
        <w:rPr>
          <w:rFonts w:ascii="Calibri" w:hAnsi="Calibri" w:cs="Calibri"/>
          <w:sz w:val="20"/>
          <w:szCs w:val="20"/>
        </w:rPr>
        <w:t>4th</w:t>
      </w:r>
      <w:r w:rsidRPr="00235289">
        <w:rPr>
          <w:rFonts w:ascii="Calibri" w:hAnsi="Calibri" w:cs="Calibri"/>
          <w:sz w:val="20"/>
          <w:szCs w:val="20"/>
        </w:rPr>
        <w:t xml:space="preserve"> June 2025).</w:t>
      </w:r>
    </w:p>
    <w:p w14:paraId="63952958" w14:textId="14334B62" w:rsidR="004D0481" w:rsidRDefault="004D0481" w:rsidP="005927EE">
      <w:pPr>
        <w:pStyle w:val="NormalWeb"/>
        <w:rPr>
          <w:rFonts w:ascii="Calibri" w:hAnsi="Calibri" w:cs="Calibri"/>
          <w:sz w:val="20"/>
          <w:szCs w:val="20"/>
        </w:rPr>
      </w:pPr>
      <w:r w:rsidRPr="0040020A">
        <w:rPr>
          <w:rFonts w:ascii="Calibri" w:hAnsi="Calibri" w:cs="Calibri"/>
          <w:sz w:val="20"/>
          <w:szCs w:val="20"/>
        </w:rPr>
        <w:t xml:space="preserve">CIPD (2024) </w:t>
      </w:r>
      <w:r w:rsidRPr="0040020A">
        <w:rPr>
          <w:rStyle w:val="Emphasis"/>
          <w:rFonts w:ascii="Calibri" w:eastAsiaTheme="majorEastAsia" w:hAnsi="Calibri" w:cs="Calibri"/>
          <w:sz w:val="20"/>
          <w:szCs w:val="20"/>
        </w:rPr>
        <w:t>Employee turnover and retention</w:t>
      </w:r>
      <w:r w:rsidRPr="0040020A">
        <w:rPr>
          <w:rFonts w:ascii="Calibri" w:hAnsi="Calibri" w:cs="Calibri"/>
          <w:sz w:val="20"/>
          <w:szCs w:val="20"/>
        </w:rPr>
        <w:t xml:space="preserve">. Available at: </w:t>
      </w:r>
      <w:hyperlink r:id="rId10" w:tgtFrame="_new" w:history="1">
        <w:r w:rsidRPr="0040020A">
          <w:rPr>
            <w:rStyle w:val="Hyperlink"/>
            <w:rFonts w:ascii="Calibri" w:eastAsiaTheme="majorEastAsia" w:hAnsi="Calibri" w:cs="Calibri"/>
            <w:sz w:val="20"/>
            <w:szCs w:val="20"/>
          </w:rPr>
          <w:t>https://www.cipd.org/uk/knowledge/factsheets/turnover-retention-factsheet/</w:t>
        </w:r>
      </w:hyperlink>
      <w:r w:rsidRPr="0040020A">
        <w:rPr>
          <w:rFonts w:ascii="Calibri" w:hAnsi="Calibri" w:cs="Calibri"/>
          <w:sz w:val="20"/>
          <w:szCs w:val="20"/>
        </w:rPr>
        <w:t xml:space="preserve"> (Accessed: </w:t>
      </w:r>
      <w:r>
        <w:rPr>
          <w:rFonts w:ascii="Calibri" w:hAnsi="Calibri" w:cs="Calibri"/>
          <w:sz w:val="20"/>
          <w:szCs w:val="20"/>
        </w:rPr>
        <w:t>6</w:t>
      </w:r>
      <w:r w:rsidRPr="0040020A">
        <w:rPr>
          <w:rFonts w:ascii="Calibri" w:hAnsi="Calibri" w:cs="Calibri"/>
          <w:sz w:val="20"/>
          <w:szCs w:val="20"/>
          <w:vertAlign w:val="superscript"/>
        </w:rPr>
        <w:t>th</w:t>
      </w:r>
      <w:r>
        <w:rPr>
          <w:rFonts w:ascii="Calibri" w:hAnsi="Calibri" w:cs="Calibri"/>
          <w:sz w:val="20"/>
          <w:szCs w:val="20"/>
        </w:rPr>
        <w:t xml:space="preserve"> June</w:t>
      </w:r>
      <w:r w:rsidRPr="0040020A">
        <w:rPr>
          <w:rFonts w:ascii="Calibri" w:hAnsi="Calibri" w:cs="Calibri"/>
          <w:sz w:val="20"/>
          <w:szCs w:val="20"/>
        </w:rPr>
        <w:t xml:space="preserve"> 2025)</w:t>
      </w:r>
    </w:p>
    <w:p w14:paraId="39647B98" w14:textId="13C0A778" w:rsidR="00F56D3A" w:rsidRPr="00F56D3A" w:rsidRDefault="00F56D3A" w:rsidP="005927EE">
      <w:pPr>
        <w:pStyle w:val="NormalWeb"/>
        <w:rPr>
          <w:rFonts w:ascii="Calibri" w:hAnsi="Calibri" w:cs="Calibri"/>
          <w:sz w:val="20"/>
          <w:szCs w:val="20"/>
        </w:rPr>
      </w:pPr>
      <w:r w:rsidRPr="00F56D3A">
        <w:rPr>
          <w:rStyle w:val="Strong"/>
          <w:rFonts w:ascii="Calibri" w:eastAsiaTheme="majorEastAsia" w:hAnsi="Calibri" w:cs="Calibri"/>
          <w:b w:val="0"/>
          <w:bCs w:val="0"/>
          <w:sz w:val="20"/>
          <w:szCs w:val="20"/>
        </w:rPr>
        <w:t>CIPD. (2023)</w:t>
      </w:r>
      <w:r w:rsidRPr="00F56D3A">
        <w:rPr>
          <w:rFonts w:ascii="Calibri" w:hAnsi="Calibri" w:cs="Calibri"/>
          <w:sz w:val="20"/>
          <w:szCs w:val="20"/>
        </w:rPr>
        <w:t xml:space="preserve"> </w:t>
      </w:r>
      <w:r w:rsidRPr="00F56D3A">
        <w:rPr>
          <w:rStyle w:val="Emphasis"/>
          <w:rFonts w:ascii="Calibri" w:eastAsiaTheme="majorEastAsia" w:hAnsi="Calibri" w:cs="Calibri"/>
          <w:sz w:val="20"/>
          <w:szCs w:val="20"/>
        </w:rPr>
        <w:t>Employee wellbeing and retention</w:t>
      </w:r>
      <w:r w:rsidRPr="00F56D3A">
        <w:rPr>
          <w:rFonts w:ascii="Calibri" w:hAnsi="Calibri" w:cs="Calibri"/>
          <w:sz w:val="20"/>
          <w:szCs w:val="20"/>
        </w:rPr>
        <w:t xml:space="preserve">. Available at: </w:t>
      </w:r>
      <w:hyperlink r:id="rId11" w:tgtFrame="_new" w:history="1">
        <w:r w:rsidRPr="00F56D3A">
          <w:rPr>
            <w:rStyle w:val="Hyperlink"/>
            <w:rFonts w:ascii="Calibri" w:eastAsiaTheme="majorEastAsia" w:hAnsi="Calibri" w:cs="Calibri"/>
            <w:sz w:val="20"/>
            <w:szCs w:val="20"/>
          </w:rPr>
          <w:t>https://www.cipd.co.uk</w:t>
        </w:r>
      </w:hyperlink>
      <w:r w:rsidRPr="00F56D3A">
        <w:rPr>
          <w:rFonts w:ascii="Calibri" w:hAnsi="Calibri" w:cs="Calibri"/>
          <w:sz w:val="20"/>
          <w:szCs w:val="20"/>
        </w:rPr>
        <w:t xml:space="preserve"> [Accessed 1</w:t>
      </w:r>
      <w:r>
        <w:rPr>
          <w:rFonts w:ascii="Calibri" w:hAnsi="Calibri" w:cs="Calibri"/>
          <w:sz w:val="20"/>
          <w:szCs w:val="20"/>
        </w:rPr>
        <w:t>1th</w:t>
      </w:r>
      <w:r w:rsidRPr="00F56D3A">
        <w:rPr>
          <w:rFonts w:ascii="Calibri" w:hAnsi="Calibri" w:cs="Calibri"/>
          <w:sz w:val="20"/>
          <w:szCs w:val="20"/>
        </w:rPr>
        <w:t xml:space="preserve"> June 2025].</w:t>
      </w:r>
    </w:p>
    <w:p w14:paraId="41129218" w14:textId="764D26B7" w:rsidR="00114355" w:rsidRDefault="00114355" w:rsidP="005927EE">
      <w:pPr>
        <w:pStyle w:val="NormalWeb"/>
        <w:rPr>
          <w:rFonts w:ascii="Calibri" w:hAnsi="Calibri" w:cs="Calibri"/>
          <w:sz w:val="20"/>
          <w:szCs w:val="20"/>
        </w:rPr>
      </w:pPr>
      <w:r w:rsidRPr="00114355">
        <w:rPr>
          <w:rFonts w:ascii="Calibri" w:hAnsi="Calibri" w:cs="Calibri"/>
          <w:sz w:val="20"/>
          <w:szCs w:val="20"/>
        </w:rPr>
        <w:t xml:space="preserve">CIPD, 2025. </w:t>
      </w:r>
      <w:r w:rsidRPr="00114355">
        <w:rPr>
          <w:rStyle w:val="Emphasis"/>
          <w:rFonts w:ascii="Calibri" w:eastAsiaTheme="majorEastAsia" w:hAnsi="Calibri" w:cs="Calibri"/>
          <w:sz w:val="20"/>
          <w:szCs w:val="20"/>
        </w:rPr>
        <w:t>Induction factsheet</w:t>
      </w:r>
      <w:r w:rsidRPr="00114355">
        <w:rPr>
          <w:rFonts w:ascii="Calibri" w:hAnsi="Calibri" w:cs="Calibri"/>
          <w:sz w:val="20"/>
          <w:szCs w:val="20"/>
        </w:rPr>
        <w:t xml:space="preserve">. Available at: </w:t>
      </w:r>
      <w:hyperlink r:id="rId12" w:anchor=":~:text=Induction%20is%20an%20opportunity%20for%20an%20organisation%20to,positively%20affect%20employee%20turnover%2C%20absenteeism%20and%20employer%20brand" w:tgtFrame="_new" w:history="1">
        <w:r w:rsidRPr="00114355">
          <w:rPr>
            <w:rStyle w:val="Hyperlink"/>
            <w:rFonts w:ascii="Calibri" w:eastAsiaTheme="majorEastAsia" w:hAnsi="Calibri" w:cs="Calibri"/>
            <w:sz w:val="20"/>
            <w:szCs w:val="20"/>
          </w:rPr>
          <w:t>https://www.cipd.org/uk/knowledge/factsheets/induction-factsheet/#:~:text=Induction%20is%20an%20opportunity%20for%20an%20organisation%20to,positively%20affect%20employee%20turnover%2C%20absenteeism%20and%20employer%20brand</w:t>
        </w:r>
      </w:hyperlink>
      <w:r w:rsidRPr="00114355">
        <w:rPr>
          <w:rFonts w:ascii="Calibri" w:hAnsi="Calibri" w:cs="Calibri"/>
          <w:sz w:val="20"/>
          <w:szCs w:val="20"/>
        </w:rPr>
        <w:t xml:space="preserve"> [Accessed </w:t>
      </w:r>
      <w:r>
        <w:rPr>
          <w:rFonts w:ascii="Calibri" w:hAnsi="Calibri" w:cs="Calibri"/>
          <w:sz w:val="20"/>
          <w:szCs w:val="20"/>
        </w:rPr>
        <w:t>8th</w:t>
      </w:r>
      <w:r w:rsidRPr="00114355">
        <w:rPr>
          <w:rFonts w:ascii="Calibri" w:hAnsi="Calibri" w:cs="Calibri"/>
          <w:sz w:val="20"/>
          <w:szCs w:val="20"/>
        </w:rPr>
        <w:t xml:space="preserve"> June 2025].</w:t>
      </w:r>
    </w:p>
    <w:p w14:paraId="32F30051" w14:textId="2F5FF240" w:rsidR="00244587" w:rsidRPr="00114355" w:rsidRDefault="00244587" w:rsidP="005927EE">
      <w:pPr>
        <w:pStyle w:val="NormalWeb"/>
        <w:rPr>
          <w:rFonts w:ascii="Calibri" w:hAnsi="Calibri" w:cs="Calibri"/>
          <w:sz w:val="20"/>
          <w:szCs w:val="20"/>
        </w:rPr>
      </w:pPr>
      <w:r w:rsidRPr="00A742DF">
        <w:rPr>
          <w:rFonts w:ascii="Calibri" w:hAnsi="Calibri" w:cs="Calibri"/>
          <w:sz w:val="20"/>
          <w:szCs w:val="20"/>
        </w:rPr>
        <w:t xml:space="preserve">CIPD. (2024) </w:t>
      </w:r>
      <w:r w:rsidRPr="00A742DF">
        <w:rPr>
          <w:rStyle w:val="Emphasis"/>
          <w:rFonts w:ascii="Calibri" w:eastAsiaTheme="majorEastAsia" w:hAnsi="Calibri" w:cs="Calibri"/>
          <w:sz w:val="20"/>
          <w:szCs w:val="20"/>
        </w:rPr>
        <w:t>Managing employee turnover</w:t>
      </w:r>
      <w:r w:rsidRPr="00A742DF">
        <w:rPr>
          <w:rFonts w:ascii="Calibri" w:hAnsi="Calibri" w:cs="Calibri"/>
          <w:sz w:val="20"/>
          <w:szCs w:val="20"/>
        </w:rPr>
        <w:t xml:space="preserve">. Available at: </w:t>
      </w:r>
      <w:hyperlink r:id="rId13" w:tgtFrame="_new" w:history="1">
        <w:r w:rsidRPr="00A742DF">
          <w:rPr>
            <w:rStyle w:val="Hyperlink"/>
            <w:rFonts w:ascii="Calibri" w:eastAsiaTheme="majorEastAsia" w:hAnsi="Calibri" w:cs="Calibri"/>
            <w:sz w:val="20"/>
            <w:szCs w:val="20"/>
          </w:rPr>
          <w:t>https://www.cipd.co.uk</w:t>
        </w:r>
      </w:hyperlink>
      <w:r w:rsidRPr="00A742DF">
        <w:rPr>
          <w:rFonts w:ascii="Calibri" w:hAnsi="Calibri" w:cs="Calibri"/>
          <w:sz w:val="20"/>
          <w:szCs w:val="20"/>
        </w:rPr>
        <w:t xml:space="preserve"> [Accessed 11th June 2025].</w:t>
      </w:r>
    </w:p>
    <w:p w14:paraId="611E036E" w14:textId="6967281A" w:rsidR="00A742DF" w:rsidRPr="00A742DF" w:rsidRDefault="004A3A44">
      <w:pPr>
        <w:rPr>
          <w:rFonts w:ascii="Calibri" w:hAnsi="Calibri" w:cs="Calibri"/>
          <w:sz w:val="20"/>
          <w:szCs w:val="20"/>
        </w:rPr>
      </w:pPr>
      <w:r w:rsidRPr="00A077F8">
        <w:rPr>
          <w:rFonts w:ascii="Calibri" w:hAnsi="Calibri" w:cs="Calibri"/>
          <w:sz w:val="20"/>
          <w:szCs w:val="20"/>
        </w:rPr>
        <w:t xml:space="preserve">CIPD (2024) </w:t>
      </w:r>
      <w:r w:rsidRPr="00A077F8">
        <w:rPr>
          <w:rStyle w:val="Emphasis"/>
          <w:rFonts w:ascii="Calibri" w:hAnsi="Calibri" w:cs="Calibri"/>
          <w:sz w:val="20"/>
          <w:szCs w:val="20"/>
        </w:rPr>
        <w:t>Organisational development</w:t>
      </w:r>
      <w:r w:rsidRPr="00A077F8">
        <w:rPr>
          <w:rFonts w:ascii="Calibri" w:hAnsi="Calibri" w:cs="Calibri"/>
          <w:sz w:val="20"/>
          <w:szCs w:val="20"/>
        </w:rPr>
        <w:t xml:space="preserve">. Available at: </w:t>
      </w:r>
      <w:hyperlink r:id="rId14" w:tgtFrame="_new" w:history="1">
        <w:r w:rsidRPr="00A077F8">
          <w:rPr>
            <w:rStyle w:val="Hyperlink"/>
            <w:rFonts w:ascii="Calibri" w:hAnsi="Calibri" w:cs="Calibri"/>
            <w:sz w:val="20"/>
            <w:szCs w:val="20"/>
          </w:rPr>
          <w:t>https://www.cipd.org/uk/knowledge/factsheets/organisational-development-factsheet/</w:t>
        </w:r>
      </w:hyperlink>
      <w:r w:rsidRPr="00A077F8">
        <w:rPr>
          <w:rFonts w:ascii="Calibri" w:hAnsi="Calibri" w:cs="Calibri"/>
          <w:sz w:val="20"/>
          <w:szCs w:val="20"/>
        </w:rPr>
        <w:t xml:space="preserve"> (Accessed: 27th May 2025).</w:t>
      </w:r>
    </w:p>
    <w:p w14:paraId="06666BEF" w14:textId="4252AB13" w:rsidR="00F6469E" w:rsidRDefault="00F6469E">
      <w:pPr>
        <w:rPr>
          <w:rFonts w:ascii="Calibri" w:hAnsi="Calibri" w:cs="Calibri"/>
          <w:sz w:val="20"/>
          <w:szCs w:val="20"/>
        </w:rPr>
      </w:pPr>
      <w:r w:rsidRPr="00F6469E">
        <w:rPr>
          <w:rFonts w:ascii="Calibri" w:hAnsi="Calibri" w:cs="Calibri"/>
          <w:sz w:val="20"/>
          <w:szCs w:val="20"/>
        </w:rPr>
        <w:t xml:space="preserve">CIPD (2023) </w:t>
      </w:r>
      <w:r w:rsidRPr="00F6469E">
        <w:rPr>
          <w:rStyle w:val="Emphasis"/>
          <w:rFonts w:ascii="Calibri" w:hAnsi="Calibri" w:cs="Calibri"/>
          <w:sz w:val="20"/>
          <w:szCs w:val="20"/>
        </w:rPr>
        <w:t>Recruitment: an introduction</w:t>
      </w:r>
      <w:r w:rsidRPr="00F6469E">
        <w:rPr>
          <w:rFonts w:ascii="Calibri" w:hAnsi="Calibri" w:cs="Calibri"/>
          <w:sz w:val="20"/>
          <w:szCs w:val="20"/>
        </w:rPr>
        <w:t xml:space="preserve">. Available at: </w:t>
      </w:r>
      <w:hyperlink r:id="rId15" w:tgtFrame="_new" w:history="1">
        <w:r w:rsidRPr="00F6469E">
          <w:rPr>
            <w:rStyle w:val="Hyperlink"/>
            <w:rFonts w:ascii="Calibri" w:hAnsi="Calibri" w:cs="Calibri"/>
            <w:sz w:val="20"/>
            <w:szCs w:val="20"/>
          </w:rPr>
          <w:t>https://www.cipd.org/uk/knowledge/factsheets/recruitment-factsheet/</w:t>
        </w:r>
      </w:hyperlink>
      <w:r w:rsidRPr="00F6469E">
        <w:rPr>
          <w:rFonts w:ascii="Calibri" w:hAnsi="Calibri" w:cs="Calibri"/>
          <w:sz w:val="20"/>
          <w:szCs w:val="20"/>
        </w:rPr>
        <w:t xml:space="preserve"> (Accessed: 1</w:t>
      </w:r>
      <w:r>
        <w:rPr>
          <w:rFonts w:ascii="Calibri" w:hAnsi="Calibri" w:cs="Calibri"/>
          <w:sz w:val="20"/>
          <w:szCs w:val="20"/>
        </w:rPr>
        <w:t>st</w:t>
      </w:r>
      <w:r w:rsidRPr="00F6469E">
        <w:rPr>
          <w:rFonts w:ascii="Calibri" w:hAnsi="Calibri" w:cs="Calibri"/>
          <w:sz w:val="20"/>
          <w:szCs w:val="20"/>
        </w:rPr>
        <w:t xml:space="preserve"> June 2025).</w:t>
      </w:r>
    </w:p>
    <w:p w14:paraId="690742D1" w14:textId="330FD717" w:rsidR="003A69C6" w:rsidRPr="003A69C6" w:rsidRDefault="003A69C6">
      <w:pPr>
        <w:rPr>
          <w:rFonts w:ascii="Calibri" w:hAnsi="Calibri" w:cs="Calibri"/>
          <w:sz w:val="20"/>
          <w:szCs w:val="20"/>
        </w:rPr>
      </w:pPr>
      <w:r w:rsidRPr="003A69C6">
        <w:rPr>
          <w:rFonts w:ascii="Calibri" w:hAnsi="Calibri" w:cs="Calibri"/>
          <w:sz w:val="20"/>
          <w:szCs w:val="20"/>
        </w:rPr>
        <w:t xml:space="preserve">CIPD, 2024. </w:t>
      </w:r>
      <w:r w:rsidRPr="003A69C6">
        <w:rPr>
          <w:rStyle w:val="Emphasis"/>
          <w:rFonts w:ascii="Calibri" w:hAnsi="Calibri" w:cs="Calibri"/>
          <w:sz w:val="20"/>
          <w:szCs w:val="20"/>
        </w:rPr>
        <w:t>Reward factsheet</w:t>
      </w:r>
      <w:r w:rsidRPr="003A69C6">
        <w:rPr>
          <w:rFonts w:ascii="Calibri" w:hAnsi="Calibri" w:cs="Calibri"/>
          <w:sz w:val="20"/>
          <w:szCs w:val="20"/>
        </w:rPr>
        <w:t xml:space="preserve">.  Available at: </w:t>
      </w:r>
      <w:hyperlink r:id="rId16" w:tgtFrame="_new" w:history="1">
        <w:r w:rsidRPr="003A69C6">
          <w:rPr>
            <w:rStyle w:val="Hyperlink"/>
            <w:rFonts w:ascii="Calibri" w:hAnsi="Calibri" w:cs="Calibri"/>
            <w:sz w:val="20"/>
            <w:szCs w:val="20"/>
          </w:rPr>
          <w:t>https://www.cipd.org/uk/knowledge/factsheets/reward-factsheet/</w:t>
        </w:r>
      </w:hyperlink>
      <w:r w:rsidRPr="003A69C6">
        <w:rPr>
          <w:rFonts w:ascii="Calibri" w:hAnsi="Calibri" w:cs="Calibri"/>
          <w:sz w:val="20"/>
          <w:szCs w:val="20"/>
        </w:rPr>
        <w:t xml:space="preserve"> [Accessed </w:t>
      </w:r>
      <w:r>
        <w:rPr>
          <w:rFonts w:ascii="Calibri" w:hAnsi="Calibri" w:cs="Calibri"/>
          <w:sz w:val="20"/>
          <w:szCs w:val="20"/>
        </w:rPr>
        <w:t>8th</w:t>
      </w:r>
      <w:r w:rsidRPr="003A69C6">
        <w:rPr>
          <w:rFonts w:ascii="Calibri" w:hAnsi="Calibri" w:cs="Calibri"/>
          <w:sz w:val="20"/>
          <w:szCs w:val="20"/>
        </w:rPr>
        <w:t xml:space="preserve"> June 2025].</w:t>
      </w:r>
    </w:p>
    <w:p w14:paraId="491E62B2" w14:textId="094A56C0" w:rsidR="001E487D" w:rsidRPr="001E487D" w:rsidRDefault="001E487D">
      <w:pPr>
        <w:rPr>
          <w:rFonts w:ascii="Calibri" w:hAnsi="Calibri" w:cs="Calibri"/>
          <w:sz w:val="20"/>
          <w:szCs w:val="20"/>
        </w:rPr>
      </w:pPr>
      <w:r w:rsidRPr="001E487D">
        <w:rPr>
          <w:rFonts w:ascii="Calibri" w:hAnsi="Calibri" w:cs="Calibri"/>
          <w:sz w:val="20"/>
          <w:szCs w:val="20"/>
        </w:rPr>
        <w:t xml:space="preserve">CIPD (2023) </w:t>
      </w:r>
      <w:r w:rsidRPr="001E487D">
        <w:rPr>
          <w:rStyle w:val="Emphasis"/>
          <w:rFonts w:ascii="Calibri" w:hAnsi="Calibri" w:cs="Calibri"/>
          <w:sz w:val="20"/>
          <w:szCs w:val="20"/>
        </w:rPr>
        <w:t>Selection methods</w:t>
      </w:r>
      <w:r w:rsidRPr="001E487D">
        <w:rPr>
          <w:rFonts w:ascii="Calibri" w:hAnsi="Calibri" w:cs="Calibri"/>
          <w:sz w:val="20"/>
          <w:szCs w:val="20"/>
        </w:rPr>
        <w:t xml:space="preserve">. Available at: </w:t>
      </w:r>
      <w:hyperlink r:id="rId17" w:tgtFrame="_new" w:history="1">
        <w:r w:rsidRPr="001E487D">
          <w:rPr>
            <w:rStyle w:val="Hyperlink"/>
            <w:rFonts w:ascii="Calibri" w:hAnsi="Calibri" w:cs="Calibri"/>
            <w:sz w:val="20"/>
            <w:szCs w:val="20"/>
          </w:rPr>
          <w:t>https://www.cipd.org/uk/knowledge/factsheets/selection-factsheet/</w:t>
        </w:r>
      </w:hyperlink>
      <w:r w:rsidRPr="001E487D">
        <w:rPr>
          <w:rFonts w:ascii="Calibri" w:hAnsi="Calibri" w:cs="Calibri"/>
          <w:sz w:val="20"/>
          <w:szCs w:val="20"/>
        </w:rPr>
        <w:t xml:space="preserve"> (Accessed: </w:t>
      </w:r>
      <w:r w:rsidR="00213753">
        <w:rPr>
          <w:rFonts w:ascii="Calibri" w:hAnsi="Calibri" w:cs="Calibri"/>
          <w:sz w:val="20"/>
          <w:szCs w:val="20"/>
        </w:rPr>
        <w:t>5</w:t>
      </w:r>
      <w:r w:rsidR="00213753" w:rsidRPr="00213753">
        <w:rPr>
          <w:rFonts w:ascii="Calibri" w:hAnsi="Calibri" w:cs="Calibri"/>
          <w:sz w:val="20"/>
          <w:szCs w:val="20"/>
          <w:vertAlign w:val="superscript"/>
        </w:rPr>
        <w:t>th</w:t>
      </w:r>
      <w:r w:rsidRPr="001E487D">
        <w:rPr>
          <w:rFonts w:ascii="Calibri" w:hAnsi="Calibri" w:cs="Calibri"/>
          <w:sz w:val="20"/>
          <w:szCs w:val="20"/>
        </w:rPr>
        <w:t xml:space="preserve"> June 2025).</w:t>
      </w:r>
    </w:p>
    <w:p w14:paraId="39D7D163" w14:textId="23BA4A08" w:rsidR="008A3038" w:rsidRDefault="008A3038" w:rsidP="008A3038">
      <w:pPr>
        <w:pStyle w:val="NormalWeb"/>
        <w:rPr>
          <w:rFonts w:ascii="Calibri" w:hAnsi="Calibri" w:cs="Calibri"/>
          <w:sz w:val="20"/>
          <w:szCs w:val="20"/>
        </w:rPr>
      </w:pPr>
      <w:r w:rsidRPr="008A3038">
        <w:rPr>
          <w:rFonts w:ascii="Calibri" w:hAnsi="Calibri" w:cs="Calibri"/>
          <w:sz w:val="20"/>
          <w:szCs w:val="20"/>
        </w:rPr>
        <w:t xml:space="preserve">CIPD (2024) </w:t>
      </w:r>
      <w:r w:rsidRPr="008A3038">
        <w:rPr>
          <w:rStyle w:val="Emphasis"/>
          <w:rFonts w:ascii="Calibri" w:eastAsiaTheme="majorEastAsia" w:hAnsi="Calibri" w:cs="Calibri"/>
          <w:sz w:val="20"/>
          <w:szCs w:val="20"/>
        </w:rPr>
        <w:t>Succession planning</w:t>
      </w:r>
      <w:r w:rsidRPr="008A3038">
        <w:rPr>
          <w:rFonts w:ascii="Calibri" w:hAnsi="Calibri" w:cs="Calibri"/>
          <w:sz w:val="20"/>
          <w:szCs w:val="20"/>
        </w:rPr>
        <w:t xml:space="preserve">. Available at: </w:t>
      </w:r>
      <w:hyperlink r:id="rId18" w:tgtFrame="_new" w:history="1">
        <w:r w:rsidRPr="008A3038">
          <w:rPr>
            <w:rStyle w:val="Hyperlink"/>
            <w:rFonts w:ascii="Calibri" w:eastAsiaTheme="majorEastAsia" w:hAnsi="Calibri" w:cs="Calibri"/>
            <w:sz w:val="20"/>
            <w:szCs w:val="20"/>
          </w:rPr>
          <w:t>https://www.cipd.org/uk/knowledge/factsheets/succession-planning-factsheet/</w:t>
        </w:r>
      </w:hyperlink>
      <w:r w:rsidRPr="008A3038">
        <w:rPr>
          <w:rFonts w:ascii="Calibri" w:hAnsi="Calibri" w:cs="Calibri"/>
          <w:sz w:val="20"/>
          <w:szCs w:val="20"/>
        </w:rPr>
        <w:t xml:space="preserve"> (Accessed: </w:t>
      </w:r>
      <w:r>
        <w:rPr>
          <w:rFonts w:ascii="Calibri" w:hAnsi="Calibri" w:cs="Calibri"/>
          <w:sz w:val="20"/>
          <w:szCs w:val="20"/>
        </w:rPr>
        <w:t>3</w:t>
      </w:r>
      <w:r w:rsidRPr="008A3038">
        <w:rPr>
          <w:rFonts w:ascii="Calibri" w:hAnsi="Calibri" w:cs="Calibri"/>
          <w:sz w:val="20"/>
          <w:szCs w:val="20"/>
          <w:vertAlign w:val="superscript"/>
        </w:rPr>
        <w:t>rd</w:t>
      </w:r>
      <w:r>
        <w:rPr>
          <w:rFonts w:ascii="Calibri" w:hAnsi="Calibri" w:cs="Calibri"/>
          <w:sz w:val="20"/>
          <w:szCs w:val="20"/>
        </w:rPr>
        <w:t xml:space="preserve"> </w:t>
      </w:r>
      <w:r w:rsidRPr="008A3038">
        <w:rPr>
          <w:rFonts w:ascii="Calibri" w:hAnsi="Calibri" w:cs="Calibri"/>
          <w:sz w:val="20"/>
          <w:szCs w:val="20"/>
        </w:rPr>
        <w:t>June 2025).</w:t>
      </w:r>
    </w:p>
    <w:p w14:paraId="772131BA" w14:textId="290BEE56" w:rsidR="008D535B" w:rsidRDefault="008D535B" w:rsidP="008D535B">
      <w:pPr>
        <w:pStyle w:val="NormalWeb"/>
        <w:rPr>
          <w:rFonts w:asciiTheme="minorHAnsi" w:hAnsiTheme="minorHAnsi" w:cstheme="minorHAnsi"/>
          <w:sz w:val="20"/>
          <w:szCs w:val="20"/>
        </w:rPr>
      </w:pPr>
      <w:r w:rsidRPr="008D535B">
        <w:rPr>
          <w:rFonts w:asciiTheme="minorHAnsi" w:hAnsiTheme="minorHAnsi" w:cstheme="minorHAnsi"/>
          <w:sz w:val="20"/>
          <w:szCs w:val="20"/>
        </w:rPr>
        <w:t xml:space="preserve">CIPD (2022) </w:t>
      </w:r>
      <w:r w:rsidRPr="008D535B">
        <w:rPr>
          <w:rStyle w:val="Emphasis"/>
          <w:rFonts w:asciiTheme="minorHAnsi" w:eastAsiaTheme="majorEastAsia" w:hAnsiTheme="minorHAnsi" w:cstheme="minorHAnsi"/>
          <w:sz w:val="20"/>
          <w:szCs w:val="20"/>
        </w:rPr>
        <w:t>Tight labour market will force organisations to strengthen employment offer to attract and retain staff</w:t>
      </w:r>
      <w:r w:rsidRPr="008D535B">
        <w:rPr>
          <w:rFonts w:asciiTheme="minorHAnsi" w:hAnsiTheme="minorHAnsi" w:cstheme="minorHAnsi"/>
          <w:sz w:val="20"/>
          <w:szCs w:val="20"/>
        </w:rPr>
        <w:t xml:space="preserve">. Available at: </w:t>
      </w:r>
      <w:hyperlink r:id="rId19" w:tgtFrame="_new" w:history="1">
        <w:r w:rsidRPr="008D535B">
          <w:rPr>
            <w:rStyle w:val="Hyperlink"/>
            <w:rFonts w:asciiTheme="minorHAnsi" w:eastAsiaTheme="majorEastAsia" w:hAnsiTheme="minorHAnsi" w:cstheme="minorHAnsi"/>
            <w:sz w:val="20"/>
            <w:szCs w:val="20"/>
          </w:rPr>
          <w:t>https://www.cipd.org/uk/about/press-releases/150222tight-labour-market-employment-offer/</w:t>
        </w:r>
      </w:hyperlink>
      <w:r w:rsidRPr="008D535B">
        <w:rPr>
          <w:rFonts w:asciiTheme="minorHAnsi" w:hAnsiTheme="minorHAnsi" w:cstheme="minorHAnsi"/>
          <w:sz w:val="20"/>
          <w:szCs w:val="20"/>
        </w:rPr>
        <w:t xml:space="preserve"> (Accessed: </w:t>
      </w:r>
      <w:r>
        <w:rPr>
          <w:rFonts w:asciiTheme="minorHAnsi" w:hAnsiTheme="minorHAnsi" w:cstheme="minorHAnsi"/>
          <w:sz w:val="20"/>
          <w:szCs w:val="20"/>
        </w:rPr>
        <w:t>2</w:t>
      </w:r>
      <w:r w:rsidR="00A01D8D">
        <w:rPr>
          <w:rFonts w:asciiTheme="minorHAnsi" w:hAnsiTheme="minorHAnsi" w:cstheme="minorHAnsi"/>
          <w:sz w:val="20"/>
          <w:szCs w:val="20"/>
          <w:vertAlign w:val="superscript"/>
        </w:rPr>
        <w:t>nd</w:t>
      </w:r>
      <w:r>
        <w:rPr>
          <w:rFonts w:asciiTheme="minorHAnsi" w:hAnsiTheme="minorHAnsi" w:cstheme="minorHAnsi"/>
          <w:sz w:val="20"/>
          <w:szCs w:val="20"/>
        </w:rPr>
        <w:t xml:space="preserve"> </w:t>
      </w:r>
      <w:r w:rsidRPr="008D535B">
        <w:rPr>
          <w:rFonts w:asciiTheme="minorHAnsi" w:hAnsiTheme="minorHAnsi" w:cstheme="minorHAnsi"/>
          <w:sz w:val="20"/>
          <w:szCs w:val="20"/>
        </w:rPr>
        <w:t>June 2025).</w:t>
      </w:r>
    </w:p>
    <w:p w14:paraId="425555AC" w14:textId="7673B89A" w:rsidR="00A355DD" w:rsidRDefault="00A355DD" w:rsidP="008D535B">
      <w:pPr>
        <w:pStyle w:val="NormalWeb"/>
        <w:rPr>
          <w:rFonts w:ascii="Calibri" w:hAnsi="Calibri" w:cs="Calibri"/>
          <w:sz w:val="20"/>
          <w:szCs w:val="20"/>
        </w:rPr>
      </w:pPr>
      <w:r w:rsidRPr="00A355DD">
        <w:rPr>
          <w:rFonts w:ascii="Calibri" w:hAnsi="Calibri" w:cs="Calibri"/>
          <w:sz w:val="20"/>
          <w:szCs w:val="20"/>
        </w:rPr>
        <w:t xml:space="preserve">CIPD (2024) </w:t>
      </w:r>
      <w:r w:rsidRPr="00A355DD">
        <w:rPr>
          <w:rStyle w:val="Emphasis"/>
          <w:rFonts w:ascii="Calibri" w:eastAsiaTheme="majorEastAsia" w:hAnsi="Calibri" w:cs="Calibri"/>
          <w:sz w:val="20"/>
          <w:szCs w:val="20"/>
        </w:rPr>
        <w:t>Understanding the economy and labour market</w:t>
      </w:r>
      <w:r w:rsidRPr="00A355DD">
        <w:rPr>
          <w:rFonts w:ascii="Calibri" w:hAnsi="Calibri" w:cs="Calibri"/>
          <w:sz w:val="20"/>
          <w:szCs w:val="20"/>
        </w:rPr>
        <w:t xml:space="preserve">. Available at: </w:t>
      </w:r>
      <w:hyperlink r:id="rId20" w:tgtFrame="_new" w:history="1">
        <w:r w:rsidRPr="00A355DD">
          <w:rPr>
            <w:rStyle w:val="Hyperlink"/>
            <w:rFonts w:ascii="Calibri" w:eastAsiaTheme="majorEastAsia" w:hAnsi="Calibri" w:cs="Calibri"/>
            <w:sz w:val="20"/>
            <w:szCs w:val="20"/>
          </w:rPr>
          <w:t>https://www.cipd.org/uk/knowledge/factsheets/economy-labour-market-factsheet/</w:t>
        </w:r>
      </w:hyperlink>
      <w:r w:rsidRPr="00A355DD">
        <w:rPr>
          <w:rFonts w:ascii="Calibri" w:hAnsi="Calibri" w:cs="Calibri"/>
          <w:sz w:val="20"/>
          <w:szCs w:val="20"/>
        </w:rPr>
        <w:t xml:space="preserve"> (Accessed: </w:t>
      </w:r>
      <w:r>
        <w:rPr>
          <w:rFonts w:ascii="Calibri" w:hAnsi="Calibri" w:cs="Calibri"/>
          <w:sz w:val="20"/>
          <w:szCs w:val="20"/>
        </w:rPr>
        <w:t>3</w:t>
      </w:r>
      <w:r>
        <w:rPr>
          <w:rFonts w:ascii="Calibri" w:hAnsi="Calibri" w:cs="Calibri"/>
          <w:sz w:val="20"/>
          <w:szCs w:val="20"/>
          <w:vertAlign w:val="superscript"/>
        </w:rPr>
        <w:t xml:space="preserve">rd </w:t>
      </w:r>
      <w:r w:rsidRPr="00A355DD">
        <w:rPr>
          <w:rFonts w:ascii="Calibri" w:hAnsi="Calibri" w:cs="Calibri"/>
          <w:sz w:val="20"/>
          <w:szCs w:val="20"/>
        </w:rPr>
        <w:t>June 2025).</w:t>
      </w:r>
    </w:p>
    <w:p w14:paraId="62CE1967" w14:textId="0728D084" w:rsidR="00EA647A" w:rsidRPr="00EA647A" w:rsidRDefault="00EA647A" w:rsidP="008D535B">
      <w:pPr>
        <w:pStyle w:val="NormalWeb"/>
        <w:rPr>
          <w:rFonts w:ascii="Calibri" w:hAnsi="Calibri" w:cs="Calibri"/>
          <w:sz w:val="20"/>
          <w:szCs w:val="20"/>
        </w:rPr>
      </w:pPr>
      <w:r w:rsidRPr="00EA647A">
        <w:rPr>
          <w:rStyle w:val="Strong"/>
          <w:rFonts w:ascii="Calibri" w:eastAsiaTheme="majorEastAsia" w:hAnsi="Calibri" w:cs="Calibri"/>
          <w:b w:val="0"/>
          <w:bCs w:val="0"/>
          <w:sz w:val="20"/>
          <w:szCs w:val="20"/>
        </w:rPr>
        <w:t>CIPD. (2022)</w:t>
      </w:r>
      <w:r w:rsidRPr="00EA647A">
        <w:rPr>
          <w:rFonts w:ascii="Calibri" w:hAnsi="Calibri" w:cs="Calibri"/>
          <w:sz w:val="20"/>
          <w:szCs w:val="20"/>
        </w:rPr>
        <w:t xml:space="preserve"> </w:t>
      </w:r>
      <w:r w:rsidRPr="00EA647A">
        <w:rPr>
          <w:rStyle w:val="Emphasis"/>
          <w:rFonts w:ascii="Calibri" w:eastAsiaTheme="majorEastAsia" w:hAnsi="Calibri" w:cs="Calibri"/>
          <w:sz w:val="20"/>
          <w:szCs w:val="20"/>
        </w:rPr>
        <w:t>Workforce planning and talent management</w:t>
      </w:r>
      <w:r w:rsidRPr="00EA647A">
        <w:rPr>
          <w:rFonts w:ascii="Calibri" w:hAnsi="Calibri" w:cs="Calibri"/>
          <w:sz w:val="20"/>
          <w:szCs w:val="20"/>
        </w:rPr>
        <w:t xml:space="preserve">.  Available at: </w:t>
      </w:r>
      <w:hyperlink r:id="rId21" w:tgtFrame="_new" w:history="1">
        <w:r w:rsidRPr="00EA647A">
          <w:rPr>
            <w:rStyle w:val="Hyperlink"/>
            <w:rFonts w:ascii="Calibri" w:eastAsiaTheme="majorEastAsia" w:hAnsi="Calibri" w:cs="Calibri"/>
            <w:sz w:val="20"/>
            <w:szCs w:val="20"/>
          </w:rPr>
          <w:t>https://www.cipd.co.uk</w:t>
        </w:r>
      </w:hyperlink>
      <w:r w:rsidRPr="00EA647A">
        <w:rPr>
          <w:rFonts w:ascii="Calibri" w:hAnsi="Calibri" w:cs="Calibri"/>
          <w:sz w:val="20"/>
          <w:szCs w:val="20"/>
        </w:rPr>
        <w:t xml:space="preserve"> [Accessed 12 June 2025].</w:t>
      </w:r>
    </w:p>
    <w:p w14:paraId="610E2992" w14:textId="5035E41C" w:rsidR="005A2A07" w:rsidRDefault="005A2A07">
      <w:pPr>
        <w:rPr>
          <w:sz w:val="20"/>
          <w:szCs w:val="20"/>
        </w:rPr>
      </w:pPr>
      <w:r w:rsidRPr="005A2A07">
        <w:rPr>
          <w:sz w:val="20"/>
          <w:szCs w:val="20"/>
        </w:rPr>
        <w:lastRenderedPageBreak/>
        <w:t xml:space="preserve">Dale, G. (2020) </w:t>
      </w:r>
      <w:r w:rsidRPr="005A2A07">
        <w:rPr>
          <w:rStyle w:val="Emphasis"/>
          <w:sz w:val="20"/>
          <w:szCs w:val="20"/>
        </w:rPr>
        <w:t>Flexible working: how to implement flexibility in the workplace to improve employee and business performance</w:t>
      </w:r>
      <w:r w:rsidRPr="005A2A07">
        <w:rPr>
          <w:sz w:val="20"/>
          <w:szCs w:val="20"/>
        </w:rPr>
        <w:t>. London: Kogan Page.</w:t>
      </w:r>
    </w:p>
    <w:p w14:paraId="36CE1CE0" w14:textId="39619803" w:rsidR="00364B55" w:rsidRDefault="00364B55">
      <w:pPr>
        <w:rPr>
          <w:rFonts w:ascii="Calibri" w:hAnsi="Calibri" w:cs="Calibri"/>
          <w:sz w:val="20"/>
          <w:szCs w:val="20"/>
        </w:rPr>
      </w:pPr>
      <w:r w:rsidRPr="00AC5E06">
        <w:rPr>
          <w:rFonts w:ascii="Calibri" w:hAnsi="Calibri" w:cs="Calibri"/>
          <w:sz w:val="20"/>
          <w:szCs w:val="20"/>
        </w:rPr>
        <w:t xml:space="preserve">Daniels, K. (2022) </w:t>
      </w:r>
      <w:r w:rsidRPr="00AC5E06">
        <w:rPr>
          <w:rStyle w:val="Emphasis"/>
          <w:rFonts w:ascii="Calibri" w:hAnsi="Calibri" w:cs="Calibri"/>
          <w:sz w:val="20"/>
          <w:szCs w:val="20"/>
        </w:rPr>
        <w:t>Introduction to employment law: fundamentals for HR and business students</w:t>
      </w:r>
      <w:r w:rsidRPr="00AC5E06">
        <w:rPr>
          <w:rFonts w:ascii="Calibri" w:hAnsi="Calibri" w:cs="Calibri"/>
          <w:sz w:val="20"/>
          <w:szCs w:val="20"/>
        </w:rPr>
        <w:t>. London: CIPD.</w:t>
      </w:r>
    </w:p>
    <w:p w14:paraId="38E6F85A" w14:textId="371CBFB3" w:rsidR="00796DAC" w:rsidRPr="00796DAC" w:rsidRDefault="00796DAC">
      <w:pPr>
        <w:rPr>
          <w:rFonts w:ascii="Calibri" w:hAnsi="Calibri" w:cs="Calibri"/>
          <w:sz w:val="20"/>
          <w:szCs w:val="20"/>
        </w:rPr>
      </w:pPr>
      <w:r w:rsidRPr="00796DAC">
        <w:rPr>
          <w:rFonts w:ascii="Calibri" w:hAnsi="Calibri" w:cs="Calibri"/>
          <w:sz w:val="20"/>
          <w:szCs w:val="20"/>
        </w:rPr>
        <w:t xml:space="preserve">Glassdoor. (2024) </w:t>
      </w:r>
      <w:r w:rsidRPr="00796DAC">
        <w:rPr>
          <w:rStyle w:val="Emphasis"/>
          <w:rFonts w:ascii="Calibri" w:hAnsi="Calibri" w:cs="Calibri"/>
          <w:sz w:val="20"/>
          <w:szCs w:val="20"/>
        </w:rPr>
        <w:t>Employer branding best practices</w:t>
      </w:r>
      <w:r w:rsidRPr="00796DAC">
        <w:rPr>
          <w:rFonts w:ascii="Calibri" w:hAnsi="Calibri" w:cs="Calibri"/>
          <w:sz w:val="20"/>
          <w:szCs w:val="20"/>
        </w:rPr>
        <w:t>. Available at: https://www.glassdoor.com/blog/employer-branding-best-practices/ [Accessed 1</w:t>
      </w:r>
      <w:r>
        <w:rPr>
          <w:rFonts w:ascii="Calibri" w:hAnsi="Calibri" w:cs="Calibri"/>
          <w:sz w:val="20"/>
          <w:szCs w:val="20"/>
        </w:rPr>
        <w:t>1th</w:t>
      </w:r>
      <w:r w:rsidRPr="00796DAC">
        <w:rPr>
          <w:rFonts w:ascii="Calibri" w:hAnsi="Calibri" w:cs="Calibri"/>
          <w:sz w:val="20"/>
          <w:szCs w:val="20"/>
        </w:rPr>
        <w:t xml:space="preserve"> June 2025].</w:t>
      </w:r>
    </w:p>
    <w:p w14:paraId="2E57DACE" w14:textId="622DE736" w:rsidR="00E8412F" w:rsidRDefault="00E8412F">
      <w:pPr>
        <w:rPr>
          <w:rStyle w:val="relative"/>
          <w:rFonts w:ascii="Calibri" w:hAnsi="Calibri" w:cs="Calibri"/>
          <w:sz w:val="20"/>
          <w:szCs w:val="20"/>
        </w:rPr>
      </w:pPr>
      <w:r w:rsidRPr="00E8412F">
        <w:rPr>
          <w:rStyle w:val="relative"/>
          <w:rFonts w:ascii="Calibri" w:hAnsi="Calibri" w:cs="Calibri"/>
          <w:sz w:val="20"/>
          <w:szCs w:val="20"/>
        </w:rPr>
        <w:t xml:space="preserve">GOV.UK, 2025. </w:t>
      </w:r>
      <w:r w:rsidRPr="00E8412F">
        <w:rPr>
          <w:rStyle w:val="Emphasis"/>
          <w:rFonts w:ascii="Calibri" w:hAnsi="Calibri" w:cs="Calibri"/>
          <w:sz w:val="20"/>
          <w:szCs w:val="20"/>
        </w:rPr>
        <w:t>Fixed-term employment contracts</w:t>
      </w:r>
      <w:r w:rsidRPr="00E8412F">
        <w:rPr>
          <w:rStyle w:val="relative"/>
          <w:rFonts w:ascii="Calibri" w:hAnsi="Calibri" w:cs="Calibri"/>
          <w:sz w:val="20"/>
          <w:szCs w:val="20"/>
        </w:rPr>
        <w:t>.</w:t>
      </w:r>
      <w:r>
        <w:rPr>
          <w:rStyle w:val="relative"/>
          <w:rFonts w:ascii="Calibri" w:hAnsi="Calibri" w:cs="Calibri"/>
          <w:sz w:val="20"/>
          <w:szCs w:val="20"/>
        </w:rPr>
        <w:t xml:space="preserve"> </w:t>
      </w:r>
      <w:r w:rsidRPr="00E8412F">
        <w:rPr>
          <w:rStyle w:val="relative"/>
          <w:rFonts w:ascii="Calibri" w:hAnsi="Calibri" w:cs="Calibri"/>
          <w:sz w:val="20"/>
          <w:szCs w:val="20"/>
        </w:rPr>
        <w:t>Available at:</w:t>
      </w:r>
      <w:r w:rsidRPr="00E8412F">
        <w:rPr>
          <w:rFonts w:ascii="Calibri" w:hAnsi="Calibri" w:cs="Calibri"/>
          <w:sz w:val="20"/>
          <w:szCs w:val="20"/>
        </w:rPr>
        <w:t xml:space="preserve"> </w:t>
      </w:r>
      <w:hyperlink r:id="rId22" w:tgtFrame="_new" w:history="1">
        <w:r w:rsidRPr="00E8412F">
          <w:rPr>
            <w:rStyle w:val="Hyperlink"/>
            <w:rFonts w:ascii="Calibri" w:hAnsi="Calibri" w:cs="Calibri"/>
            <w:sz w:val="20"/>
            <w:szCs w:val="20"/>
          </w:rPr>
          <w:t>https://www.gov.uk/fixed-term-contracts</w:t>
        </w:r>
      </w:hyperlink>
      <w:r w:rsidRPr="00E8412F">
        <w:rPr>
          <w:rFonts w:ascii="Calibri" w:hAnsi="Calibri" w:cs="Calibri"/>
          <w:sz w:val="20"/>
          <w:szCs w:val="20"/>
        </w:rPr>
        <w:t xml:space="preserve"> </w:t>
      </w:r>
      <w:r w:rsidRPr="00E8412F">
        <w:rPr>
          <w:rStyle w:val="relative"/>
          <w:rFonts w:ascii="Calibri" w:hAnsi="Calibri" w:cs="Calibri"/>
          <w:sz w:val="20"/>
          <w:szCs w:val="20"/>
        </w:rPr>
        <w:t>[Accessed 1</w:t>
      </w:r>
      <w:r>
        <w:rPr>
          <w:rStyle w:val="relative"/>
          <w:rFonts w:ascii="Calibri" w:hAnsi="Calibri" w:cs="Calibri"/>
          <w:sz w:val="20"/>
          <w:szCs w:val="20"/>
        </w:rPr>
        <w:t>0th</w:t>
      </w:r>
      <w:r w:rsidRPr="00E8412F">
        <w:rPr>
          <w:rStyle w:val="relative"/>
          <w:rFonts w:ascii="Calibri" w:hAnsi="Calibri" w:cs="Calibri"/>
          <w:sz w:val="20"/>
          <w:szCs w:val="20"/>
        </w:rPr>
        <w:t xml:space="preserve"> June 2025].</w:t>
      </w:r>
    </w:p>
    <w:p w14:paraId="624D9BD3" w14:textId="2C59927C" w:rsidR="00F70266" w:rsidRDefault="00707C36" w:rsidP="00707C36">
      <w:pPr>
        <w:pStyle w:val="NormalWeb"/>
        <w:rPr>
          <w:rStyle w:val="relative"/>
          <w:rFonts w:ascii="Calibri" w:hAnsi="Calibri" w:cs="Calibri"/>
          <w:sz w:val="20"/>
          <w:szCs w:val="20"/>
        </w:rPr>
      </w:pPr>
      <w:r w:rsidRPr="00707C36">
        <w:rPr>
          <w:rFonts w:ascii="Calibri" w:hAnsi="Calibri" w:cs="Calibri"/>
          <w:sz w:val="20"/>
          <w:szCs w:val="20"/>
        </w:rPr>
        <w:t xml:space="preserve">Harvard Business Review (HBR). (2019) </w:t>
      </w:r>
      <w:r w:rsidRPr="00707C36">
        <w:rPr>
          <w:rStyle w:val="Emphasis"/>
          <w:rFonts w:ascii="Calibri" w:eastAsiaTheme="majorEastAsia" w:hAnsi="Calibri" w:cs="Calibri"/>
          <w:sz w:val="20"/>
          <w:szCs w:val="20"/>
        </w:rPr>
        <w:t>What is an employee value proposition?</w:t>
      </w:r>
      <w:r w:rsidRPr="00707C36">
        <w:rPr>
          <w:rFonts w:ascii="Calibri" w:hAnsi="Calibri" w:cs="Calibri"/>
          <w:sz w:val="20"/>
          <w:szCs w:val="20"/>
        </w:rPr>
        <w:t xml:space="preserve"> Available at: </w:t>
      </w:r>
      <w:hyperlink r:id="rId23" w:tgtFrame="_new" w:history="1">
        <w:r w:rsidRPr="00707C36">
          <w:rPr>
            <w:rStyle w:val="Hyperlink"/>
            <w:rFonts w:ascii="Calibri" w:eastAsiaTheme="majorEastAsia" w:hAnsi="Calibri" w:cs="Calibri"/>
            <w:sz w:val="20"/>
            <w:szCs w:val="20"/>
          </w:rPr>
          <w:t>https://hbr.org</w:t>
        </w:r>
      </w:hyperlink>
      <w:r w:rsidRPr="00707C36">
        <w:rPr>
          <w:rFonts w:ascii="Calibri" w:hAnsi="Calibri" w:cs="Calibri"/>
          <w:sz w:val="20"/>
          <w:szCs w:val="20"/>
        </w:rPr>
        <w:t xml:space="preserve"> [Accessed 12 June 2025]. </w:t>
      </w:r>
    </w:p>
    <w:p w14:paraId="67BDA03F" w14:textId="3C245F48" w:rsidR="00182E0E" w:rsidRPr="00182E0E" w:rsidRDefault="00182E0E">
      <w:pPr>
        <w:rPr>
          <w:rFonts w:ascii="Calibri" w:hAnsi="Calibri" w:cs="Calibri"/>
          <w:sz w:val="20"/>
          <w:szCs w:val="20"/>
        </w:rPr>
      </w:pPr>
      <w:r w:rsidRPr="00182E0E">
        <w:rPr>
          <w:rStyle w:val="relative"/>
          <w:rFonts w:ascii="Calibri" w:hAnsi="Calibri" w:cs="Calibri"/>
          <w:sz w:val="20"/>
          <w:szCs w:val="20"/>
        </w:rPr>
        <w:t xml:space="preserve">HM Revenue &amp; Customs, 2025. </w:t>
      </w:r>
      <w:r w:rsidRPr="00182E0E">
        <w:rPr>
          <w:rStyle w:val="Emphasis"/>
          <w:rFonts w:ascii="Calibri" w:hAnsi="Calibri" w:cs="Calibri"/>
          <w:sz w:val="20"/>
          <w:szCs w:val="20"/>
        </w:rPr>
        <w:t>Simplifying the onboarding process for new starters: communication resources</w:t>
      </w:r>
      <w:r w:rsidRPr="00182E0E">
        <w:rPr>
          <w:rStyle w:val="relative"/>
          <w:rFonts w:ascii="Calibri" w:hAnsi="Calibri" w:cs="Calibri"/>
          <w:sz w:val="20"/>
          <w:szCs w:val="20"/>
        </w:rPr>
        <w:t>. [online] Available at:</w:t>
      </w:r>
      <w:r w:rsidRPr="00182E0E">
        <w:rPr>
          <w:rFonts w:ascii="Calibri" w:hAnsi="Calibri" w:cs="Calibri"/>
          <w:sz w:val="20"/>
          <w:szCs w:val="20"/>
        </w:rPr>
        <w:t xml:space="preserve"> </w:t>
      </w:r>
      <w:hyperlink r:id="rId24" w:tgtFrame="_new" w:history="1">
        <w:r w:rsidRPr="00182E0E">
          <w:rPr>
            <w:rStyle w:val="Hyperlink"/>
            <w:rFonts w:ascii="Calibri" w:hAnsi="Calibri" w:cs="Calibri"/>
            <w:sz w:val="20"/>
            <w:szCs w:val="20"/>
          </w:rPr>
          <w:t>https://www.gov.uk/government/publications/simplifying-the-onboarding-process-for-new-starters-communication-resources</w:t>
        </w:r>
      </w:hyperlink>
      <w:r w:rsidRPr="00182E0E">
        <w:rPr>
          <w:rFonts w:ascii="Calibri" w:hAnsi="Calibri" w:cs="Calibri"/>
          <w:sz w:val="20"/>
          <w:szCs w:val="20"/>
        </w:rPr>
        <w:t xml:space="preserve"> </w:t>
      </w:r>
      <w:r w:rsidRPr="00182E0E">
        <w:rPr>
          <w:rStyle w:val="relative"/>
          <w:rFonts w:ascii="Calibri" w:hAnsi="Calibri" w:cs="Calibri"/>
          <w:sz w:val="20"/>
          <w:szCs w:val="20"/>
        </w:rPr>
        <w:t>[Accessed 1</w:t>
      </w:r>
      <w:r w:rsidR="00ED543F">
        <w:rPr>
          <w:rStyle w:val="relative"/>
          <w:rFonts w:ascii="Calibri" w:hAnsi="Calibri" w:cs="Calibri"/>
          <w:sz w:val="20"/>
          <w:szCs w:val="20"/>
        </w:rPr>
        <w:t>0th</w:t>
      </w:r>
      <w:r w:rsidRPr="00182E0E">
        <w:rPr>
          <w:rStyle w:val="relative"/>
          <w:rFonts w:ascii="Calibri" w:hAnsi="Calibri" w:cs="Calibri"/>
          <w:sz w:val="20"/>
          <w:szCs w:val="20"/>
        </w:rPr>
        <w:t xml:space="preserve"> June 2025].</w:t>
      </w:r>
    </w:p>
    <w:p w14:paraId="2FD74C2B" w14:textId="27A72970" w:rsidR="00CA036E" w:rsidRDefault="00CA036E" w:rsidP="00CA036E">
      <w:pPr>
        <w:pStyle w:val="NormalWeb"/>
        <w:rPr>
          <w:rFonts w:ascii="Calibri" w:hAnsi="Calibri" w:cs="Calibri"/>
          <w:sz w:val="20"/>
          <w:szCs w:val="20"/>
        </w:rPr>
      </w:pPr>
      <w:r w:rsidRPr="00CA036E">
        <w:rPr>
          <w:rFonts w:ascii="Calibri" w:hAnsi="Calibri" w:cs="Calibri"/>
          <w:sz w:val="20"/>
          <w:szCs w:val="20"/>
        </w:rPr>
        <w:t xml:space="preserve">Indeed, 2025. </w:t>
      </w:r>
      <w:r w:rsidRPr="00CA036E">
        <w:rPr>
          <w:rStyle w:val="Emphasis"/>
          <w:rFonts w:ascii="Calibri" w:eastAsiaTheme="majorEastAsia" w:hAnsi="Calibri" w:cs="Calibri"/>
          <w:sz w:val="20"/>
          <w:szCs w:val="20"/>
        </w:rPr>
        <w:t>9 causes of high employee turnover and how to prevent it</w:t>
      </w:r>
      <w:r w:rsidRPr="00CA036E">
        <w:rPr>
          <w:rFonts w:ascii="Calibri" w:hAnsi="Calibri" w:cs="Calibri"/>
          <w:sz w:val="20"/>
          <w:szCs w:val="20"/>
        </w:rPr>
        <w:t xml:space="preserve">. Available at: </w:t>
      </w:r>
      <w:hyperlink r:id="rId25" w:tgtFrame="_new" w:history="1">
        <w:r w:rsidRPr="00CA036E">
          <w:rPr>
            <w:rStyle w:val="Hyperlink"/>
            <w:rFonts w:ascii="Calibri" w:eastAsiaTheme="majorEastAsia" w:hAnsi="Calibri" w:cs="Calibri"/>
            <w:sz w:val="20"/>
            <w:szCs w:val="20"/>
          </w:rPr>
          <w:t>https://www.indeed.com/career-advice/career-development/high-employee-turnover</w:t>
        </w:r>
      </w:hyperlink>
      <w:r w:rsidRPr="00CA036E">
        <w:rPr>
          <w:rFonts w:ascii="Calibri" w:hAnsi="Calibri" w:cs="Calibri"/>
          <w:sz w:val="20"/>
          <w:szCs w:val="20"/>
        </w:rPr>
        <w:t xml:space="preserve"> [Accessed </w:t>
      </w:r>
      <w:r>
        <w:rPr>
          <w:rFonts w:ascii="Calibri" w:hAnsi="Calibri" w:cs="Calibri"/>
          <w:sz w:val="20"/>
          <w:szCs w:val="20"/>
        </w:rPr>
        <w:t>8th</w:t>
      </w:r>
      <w:r w:rsidRPr="00CA036E">
        <w:rPr>
          <w:rFonts w:ascii="Calibri" w:hAnsi="Calibri" w:cs="Calibri"/>
          <w:sz w:val="20"/>
          <w:szCs w:val="20"/>
        </w:rPr>
        <w:t xml:space="preserve"> June 2025].</w:t>
      </w:r>
    </w:p>
    <w:p w14:paraId="358A2894" w14:textId="57C12A0F" w:rsidR="002F63D2" w:rsidRPr="002F63D2" w:rsidRDefault="002F63D2">
      <w:pPr>
        <w:rPr>
          <w:rFonts w:cstheme="minorHAnsi"/>
          <w:sz w:val="20"/>
          <w:szCs w:val="20"/>
        </w:rPr>
      </w:pPr>
      <w:r w:rsidRPr="002F63D2">
        <w:rPr>
          <w:rFonts w:cstheme="minorHAnsi"/>
          <w:sz w:val="20"/>
          <w:szCs w:val="20"/>
        </w:rPr>
        <w:t xml:space="preserve">Indeed, 2025. </w:t>
      </w:r>
      <w:r w:rsidRPr="002F63D2">
        <w:rPr>
          <w:rStyle w:val="Emphasis"/>
          <w:rFonts w:cstheme="minorHAnsi"/>
          <w:sz w:val="20"/>
          <w:szCs w:val="20"/>
        </w:rPr>
        <w:t>Advantages and disadvantages of job enrichment</w:t>
      </w:r>
      <w:r w:rsidRPr="002F63D2">
        <w:rPr>
          <w:rFonts w:cstheme="minorHAnsi"/>
          <w:sz w:val="20"/>
          <w:szCs w:val="20"/>
        </w:rPr>
        <w:t xml:space="preserve">. Available at: </w:t>
      </w:r>
      <w:hyperlink r:id="rId26" w:tgtFrame="_new" w:history="1">
        <w:r w:rsidRPr="002F63D2">
          <w:rPr>
            <w:rStyle w:val="Hyperlink"/>
            <w:rFonts w:cstheme="minorHAnsi"/>
            <w:sz w:val="20"/>
            <w:szCs w:val="20"/>
          </w:rPr>
          <w:t>https://uk.indeed.com/career-advice/career-development/advantages-and-disadvantages-of-job-enrichment</w:t>
        </w:r>
      </w:hyperlink>
      <w:r w:rsidRPr="002F63D2">
        <w:rPr>
          <w:rFonts w:cstheme="minorHAnsi"/>
          <w:sz w:val="20"/>
          <w:szCs w:val="20"/>
        </w:rPr>
        <w:t xml:space="preserve"> [Accessed </w:t>
      </w:r>
      <w:r>
        <w:rPr>
          <w:rFonts w:cstheme="minorHAnsi"/>
          <w:sz w:val="20"/>
          <w:szCs w:val="20"/>
        </w:rPr>
        <w:t>8th</w:t>
      </w:r>
      <w:r w:rsidRPr="002F63D2">
        <w:rPr>
          <w:rFonts w:cstheme="minorHAnsi"/>
          <w:sz w:val="20"/>
          <w:szCs w:val="20"/>
        </w:rPr>
        <w:t xml:space="preserve"> June 2025].</w:t>
      </w:r>
    </w:p>
    <w:p w14:paraId="736BB273" w14:textId="37825643" w:rsidR="006A6C00" w:rsidRDefault="006A6C00">
      <w:pPr>
        <w:rPr>
          <w:rFonts w:ascii="Calibri" w:hAnsi="Calibri" w:cs="Calibri"/>
          <w:sz w:val="20"/>
          <w:szCs w:val="20"/>
        </w:rPr>
      </w:pPr>
      <w:r w:rsidRPr="006A6C00">
        <w:rPr>
          <w:rFonts w:ascii="Calibri" w:hAnsi="Calibri" w:cs="Calibri"/>
          <w:sz w:val="20"/>
          <w:szCs w:val="20"/>
        </w:rPr>
        <w:t xml:space="preserve">Indeed, 2024. </w:t>
      </w:r>
      <w:r w:rsidRPr="006A6C00">
        <w:rPr>
          <w:rStyle w:val="Emphasis"/>
          <w:rFonts w:ascii="Calibri" w:hAnsi="Calibri" w:cs="Calibri"/>
          <w:sz w:val="20"/>
          <w:szCs w:val="20"/>
        </w:rPr>
        <w:t>Realistic job preview: What is it and why is it important?</w:t>
      </w:r>
      <w:r w:rsidRPr="006A6C00">
        <w:rPr>
          <w:rFonts w:ascii="Calibri" w:hAnsi="Calibri" w:cs="Calibri"/>
          <w:sz w:val="20"/>
          <w:szCs w:val="20"/>
        </w:rPr>
        <w:t xml:space="preserve"> Available at: </w:t>
      </w:r>
      <w:hyperlink r:id="rId27" w:tgtFrame="_new" w:history="1">
        <w:r w:rsidRPr="006A6C00">
          <w:rPr>
            <w:rStyle w:val="Hyperlink"/>
            <w:rFonts w:ascii="Calibri" w:hAnsi="Calibri" w:cs="Calibri"/>
            <w:sz w:val="20"/>
            <w:szCs w:val="20"/>
          </w:rPr>
          <w:t>https://www.indeed.com/career-advice/career-development/realistic-job-preview</w:t>
        </w:r>
      </w:hyperlink>
      <w:r w:rsidRPr="006A6C00">
        <w:rPr>
          <w:rFonts w:ascii="Calibri" w:hAnsi="Calibri" w:cs="Calibri"/>
          <w:sz w:val="20"/>
          <w:szCs w:val="20"/>
        </w:rPr>
        <w:t xml:space="preserve"> [Accessed </w:t>
      </w:r>
      <w:r w:rsidR="00F51962">
        <w:rPr>
          <w:rFonts w:ascii="Calibri" w:hAnsi="Calibri" w:cs="Calibri"/>
          <w:sz w:val="20"/>
          <w:szCs w:val="20"/>
        </w:rPr>
        <w:t>8</w:t>
      </w:r>
      <w:r w:rsidR="00F51962">
        <w:rPr>
          <w:rFonts w:ascii="Calibri" w:hAnsi="Calibri" w:cs="Calibri"/>
          <w:sz w:val="20"/>
          <w:szCs w:val="20"/>
          <w:vertAlign w:val="superscript"/>
        </w:rPr>
        <w:t>th</w:t>
      </w:r>
      <w:r w:rsidRPr="006A6C00">
        <w:rPr>
          <w:rFonts w:ascii="Calibri" w:hAnsi="Calibri" w:cs="Calibri"/>
          <w:sz w:val="20"/>
          <w:szCs w:val="20"/>
        </w:rPr>
        <w:t xml:space="preserve"> June 2025]</w:t>
      </w:r>
    </w:p>
    <w:p w14:paraId="78E36E96" w14:textId="0B2038F2" w:rsidR="00A873B9" w:rsidRDefault="00A873B9">
      <w:pPr>
        <w:rPr>
          <w:rFonts w:ascii="Calibri" w:hAnsi="Calibri" w:cs="Calibri"/>
          <w:sz w:val="20"/>
          <w:szCs w:val="20"/>
        </w:rPr>
      </w:pPr>
      <w:r w:rsidRPr="00A077F8">
        <w:rPr>
          <w:rFonts w:ascii="Calibri" w:hAnsi="Calibri" w:cs="Calibri"/>
          <w:sz w:val="20"/>
          <w:szCs w:val="20"/>
        </w:rPr>
        <w:t xml:space="preserve">Indeed (2025) 'What is a recruiting ATS and how does it work? A guide'. </w:t>
      </w:r>
      <w:r w:rsidRPr="00A077F8">
        <w:rPr>
          <w:rStyle w:val="Emphasis"/>
          <w:rFonts w:ascii="Calibri" w:hAnsi="Calibri" w:cs="Calibri"/>
          <w:sz w:val="20"/>
          <w:szCs w:val="20"/>
        </w:rPr>
        <w:t>Indeed.com UK</w:t>
      </w:r>
      <w:r w:rsidRPr="00A077F8">
        <w:rPr>
          <w:rFonts w:ascii="Calibri" w:hAnsi="Calibri" w:cs="Calibri"/>
          <w:sz w:val="20"/>
          <w:szCs w:val="20"/>
        </w:rPr>
        <w:t xml:space="preserve">. Available at: </w:t>
      </w:r>
      <w:hyperlink r:id="rId28" w:tgtFrame="_new" w:history="1">
        <w:r w:rsidRPr="00A077F8">
          <w:rPr>
            <w:rStyle w:val="Hyperlink"/>
            <w:rFonts w:ascii="Calibri" w:hAnsi="Calibri" w:cs="Calibri"/>
            <w:sz w:val="20"/>
            <w:szCs w:val="20"/>
          </w:rPr>
          <w:t>https://uk.indeed.com/career-advice/career-development/recruiting-ats</w:t>
        </w:r>
      </w:hyperlink>
      <w:r w:rsidRPr="00A077F8">
        <w:rPr>
          <w:rFonts w:ascii="Calibri" w:hAnsi="Calibri" w:cs="Calibri"/>
          <w:sz w:val="20"/>
          <w:szCs w:val="20"/>
        </w:rPr>
        <w:t xml:space="preserve"> (Accessed: 27</w:t>
      </w:r>
      <w:r w:rsidRPr="00A077F8">
        <w:rPr>
          <w:rFonts w:ascii="Calibri" w:hAnsi="Calibri" w:cs="Calibri"/>
          <w:sz w:val="20"/>
          <w:szCs w:val="20"/>
          <w:vertAlign w:val="superscript"/>
        </w:rPr>
        <w:t>th</w:t>
      </w:r>
      <w:r w:rsidRPr="00A077F8">
        <w:rPr>
          <w:rFonts w:ascii="Calibri" w:hAnsi="Calibri" w:cs="Calibri"/>
          <w:sz w:val="20"/>
          <w:szCs w:val="20"/>
        </w:rPr>
        <w:t xml:space="preserve"> May 2025).</w:t>
      </w:r>
    </w:p>
    <w:p w14:paraId="3BA0913E" w14:textId="2A3A0FFA" w:rsidR="00A873B9" w:rsidRPr="00A873B9" w:rsidRDefault="00A873B9">
      <w:pPr>
        <w:rPr>
          <w:rFonts w:ascii="Calibri" w:hAnsi="Calibri" w:cs="Calibri"/>
          <w:sz w:val="20"/>
          <w:szCs w:val="20"/>
        </w:rPr>
      </w:pPr>
      <w:r w:rsidRPr="00A873B9">
        <w:rPr>
          <w:sz w:val="20"/>
          <w:szCs w:val="20"/>
        </w:rPr>
        <w:t xml:space="preserve">LinkedIn Talent Solutions. (2022) </w:t>
      </w:r>
      <w:r w:rsidRPr="00A873B9">
        <w:rPr>
          <w:rStyle w:val="Emphasis"/>
          <w:sz w:val="20"/>
          <w:szCs w:val="20"/>
        </w:rPr>
        <w:t>The importance of EVP in talent retention</w:t>
      </w:r>
      <w:r w:rsidRPr="00A873B9">
        <w:rPr>
          <w:sz w:val="20"/>
          <w:szCs w:val="20"/>
        </w:rPr>
        <w:t xml:space="preserve">. Available at: </w:t>
      </w:r>
      <w:hyperlink r:id="rId29" w:tgtFrame="_new" w:history="1">
        <w:r w:rsidRPr="00A873B9">
          <w:rPr>
            <w:rStyle w:val="Hyperlink"/>
            <w:sz w:val="20"/>
            <w:szCs w:val="20"/>
          </w:rPr>
          <w:t>https://business.linkedin.com/talent-solutions</w:t>
        </w:r>
      </w:hyperlink>
      <w:r w:rsidRPr="00A873B9">
        <w:rPr>
          <w:sz w:val="20"/>
          <w:szCs w:val="20"/>
        </w:rPr>
        <w:t xml:space="preserve"> [Accessed 1</w:t>
      </w:r>
      <w:r>
        <w:rPr>
          <w:sz w:val="20"/>
          <w:szCs w:val="20"/>
        </w:rPr>
        <w:t>1th</w:t>
      </w:r>
      <w:r w:rsidRPr="00A873B9">
        <w:rPr>
          <w:sz w:val="20"/>
          <w:szCs w:val="20"/>
        </w:rPr>
        <w:t xml:space="preserve"> June 2025]. </w:t>
      </w:r>
    </w:p>
    <w:p w14:paraId="1A95AAC3" w14:textId="6FF9DE41" w:rsidR="00516F92" w:rsidRPr="00A077F8" w:rsidRDefault="00516F92" w:rsidP="00516F92">
      <w:pPr>
        <w:pStyle w:val="NormalWeb"/>
        <w:rPr>
          <w:rFonts w:ascii="Calibri" w:hAnsi="Calibri" w:cs="Calibri"/>
          <w:sz w:val="20"/>
          <w:szCs w:val="20"/>
        </w:rPr>
      </w:pPr>
      <w:proofErr w:type="spellStart"/>
      <w:r w:rsidRPr="00516F92">
        <w:rPr>
          <w:rFonts w:ascii="Calibri" w:hAnsi="Calibri" w:cs="Calibri"/>
          <w:sz w:val="20"/>
          <w:szCs w:val="20"/>
        </w:rPr>
        <w:t>Nüsing</w:t>
      </w:r>
      <w:proofErr w:type="spellEnd"/>
      <w:r w:rsidRPr="00516F92">
        <w:rPr>
          <w:rFonts w:ascii="Calibri" w:hAnsi="Calibri" w:cs="Calibri"/>
          <w:sz w:val="20"/>
          <w:szCs w:val="20"/>
        </w:rPr>
        <w:t xml:space="preserve">, S. (2023) </w:t>
      </w:r>
      <w:r w:rsidRPr="00516F92">
        <w:rPr>
          <w:rStyle w:val="Emphasis"/>
          <w:rFonts w:ascii="Calibri" w:eastAsiaTheme="majorEastAsia" w:hAnsi="Calibri" w:cs="Calibri"/>
          <w:sz w:val="20"/>
          <w:szCs w:val="20"/>
        </w:rPr>
        <w:t>Using scenario building to think through options for your service or policy</w:t>
      </w:r>
      <w:r w:rsidRPr="00516F92">
        <w:rPr>
          <w:rFonts w:ascii="Calibri" w:hAnsi="Calibri" w:cs="Calibri"/>
          <w:sz w:val="20"/>
          <w:szCs w:val="20"/>
        </w:rPr>
        <w:t xml:space="preserve">. Available at: </w:t>
      </w:r>
      <w:hyperlink r:id="rId30" w:tgtFrame="_new" w:history="1">
        <w:r w:rsidRPr="00516F92">
          <w:rPr>
            <w:rStyle w:val="Hyperlink"/>
            <w:rFonts w:ascii="Calibri" w:eastAsiaTheme="majorEastAsia" w:hAnsi="Calibri" w:cs="Calibri"/>
            <w:sz w:val="20"/>
            <w:szCs w:val="20"/>
          </w:rPr>
          <w:t>https://designnotes.blog.gov.uk/2023/03/13/using-scenario-building-to-think-through-options-for-your-service-or-policy/</w:t>
        </w:r>
      </w:hyperlink>
      <w:r w:rsidRPr="00516F92">
        <w:rPr>
          <w:rFonts w:ascii="Calibri" w:hAnsi="Calibri" w:cs="Calibri"/>
          <w:sz w:val="20"/>
          <w:szCs w:val="20"/>
        </w:rPr>
        <w:t xml:space="preserve"> (Accessed: </w:t>
      </w:r>
      <w:r>
        <w:rPr>
          <w:rFonts w:ascii="Calibri" w:hAnsi="Calibri" w:cs="Calibri"/>
          <w:sz w:val="20"/>
          <w:szCs w:val="20"/>
        </w:rPr>
        <w:t>3rd</w:t>
      </w:r>
      <w:r w:rsidRPr="00516F92">
        <w:rPr>
          <w:rFonts w:ascii="Calibri" w:hAnsi="Calibri" w:cs="Calibri"/>
          <w:sz w:val="20"/>
          <w:szCs w:val="20"/>
        </w:rPr>
        <w:t xml:space="preserve"> June 2025).</w:t>
      </w:r>
    </w:p>
    <w:p w14:paraId="77AD6F87" w14:textId="25D0CA95" w:rsidR="00A077F8" w:rsidRPr="00A077F8" w:rsidRDefault="00A077F8">
      <w:pPr>
        <w:rPr>
          <w:rFonts w:ascii="Calibri" w:hAnsi="Calibri" w:cs="Calibri"/>
          <w:sz w:val="20"/>
          <w:szCs w:val="20"/>
        </w:rPr>
      </w:pPr>
      <w:r w:rsidRPr="00A077F8">
        <w:rPr>
          <w:rFonts w:ascii="Calibri" w:hAnsi="Calibri" w:cs="Calibri"/>
          <w:sz w:val="20"/>
          <w:szCs w:val="20"/>
        </w:rPr>
        <w:t xml:space="preserve">Perkins, S.J. and Jones, S.E. (2020) </w:t>
      </w:r>
      <w:r w:rsidRPr="00A077F8">
        <w:rPr>
          <w:rStyle w:val="Emphasis"/>
          <w:rFonts w:ascii="Calibri" w:hAnsi="Calibri" w:cs="Calibri"/>
          <w:sz w:val="20"/>
          <w:szCs w:val="20"/>
        </w:rPr>
        <w:t>Reward management: alternatives, consequences and context</w:t>
      </w:r>
      <w:r w:rsidRPr="00A077F8">
        <w:rPr>
          <w:rFonts w:ascii="Calibri" w:hAnsi="Calibri" w:cs="Calibri"/>
          <w:sz w:val="20"/>
          <w:szCs w:val="20"/>
        </w:rPr>
        <w:t xml:space="preserve">. 4th </w:t>
      </w:r>
      <w:proofErr w:type="spellStart"/>
      <w:r w:rsidRPr="00A077F8">
        <w:rPr>
          <w:rFonts w:ascii="Calibri" w:hAnsi="Calibri" w:cs="Calibri"/>
          <w:sz w:val="20"/>
          <w:szCs w:val="20"/>
        </w:rPr>
        <w:t>edn</w:t>
      </w:r>
      <w:proofErr w:type="spellEnd"/>
      <w:r w:rsidRPr="00A077F8">
        <w:rPr>
          <w:rFonts w:ascii="Calibri" w:hAnsi="Calibri" w:cs="Calibri"/>
          <w:sz w:val="20"/>
          <w:szCs w:val="20"/>
        </w:rPr>
        <w:t>. London: CIPD.</w:t>
      </w:r>
    </w:p>
    <w:p w14:paraId="0E2FE320" w14:textId="61804FAD" w:rsidR="00E56420" w:rsidRDefault="00E56420">
      <w:pPr>
        <w:rPr>
          <w:rFonts w:ascii="Calibri" w:hAnsi="Calibri" w:cs="Calibri"/>
          <w:i/>
          <w:iCs/>
          <w:sz w:val="20"/>
          <w:szCs w:val="20"/>
        </w:rPr>
      </w:pPr>
      <w:r w:rsidRPr="00A077F8">
        <w:rPr>
          <w:rFonts w:ascii="Calibri" w:hAnsi="Calibri" w:cs="Calibri"/>
          <w:i/>
          <w:iCs/>
          <w:sz w:val="20"/>
          <w:szCs w:val="20"/>
        </w:rPr>
        <w:t xml:space="preserve">Rees, G. (2023) </w:t>
      </w:r>
      <w:r w:rsidRPr="00A077F8">
        <w:rPr>
          <w:rStyle w:val="Emphasis"/>
          <w:rFonts w:ascii="Calibri" w:hAnsi="Calibri" w:cs="Calibri"/>
          <w:i w:val="0"/>
          <w:iCs w:val="0"/>
          <w:sz w:val="20"/>
          <w:szCs w:val="20"/>
        </w:rPr>
        <w:t>Strategic People Management and Development</w:t>
      </w:r>
      <w:r w:rsidRPr="00A077F8">
        <w:rPr>
          <w:rFonts w:ascii="Calibri" w:hAnsi="Calibri" w:cs="Calibri"/>
          <w:i/>
          <w:iCs/>
          <w:sz w:val="20"/>
          <w:szCs w:val="20"/>
        </w:rPr>
        <w:t xml:space="preserve">. 6th </w:t>
      </w:r>
      <w:proofErr w:type="spellStart"/>
      <w:r w:rsidRPr="00A077F8">
        <w:rPr>
          <w:rFonts w:ascii="Calibri" w:hAnsi="Calibri" w:cs="Calibri"/>
          <w:i/>
          <w:iCs/>
          <w:sz w:val="20"/>
          <w:szCs w:val="20"/>
        </w:rPr>
        <w:t>edn</w:t>
      </w:r>
      <w:proofErr w:type="spellEnd"/>
      <w:r w:rsidRPr="00A077F8">
        <w:rPr>
          <w:rFonts w:ascii="Calibri" w:hAnsi="Calibri" w:cs="Calibri"/>
          <w:i/>
          <w:iCs/>
          <w:sz w:val="20"/>
          <w:szCs w:val="20"/>
        </w:rPr>
        <w:t>. London: CIPD.</w:t>
      </w:r>
    </w:p>
    <w:p w14:paraId="3D3D1652" w14:textId="39648B40" w:rsidR="009B5223" w:rsidRPr="009B5223" w:rsidRDefault="009B5223" w:rsidP="009B5223">
      <w:pPr>
        <w:pStyle w:val="NormalWeb"/>
        <w:rPr>
          <w:rFonts w:ascii="Calibri" w:hAnsi="Calibri" w:cs="Calibri"/>
          <w:sz w:val="20"/>
          <w:szCs w:val="20"/>
        </w:rPr>
      </w:pPr>
      <w:r w:rsidRPr="009B5223">
        <w:rPr>
          <w:rFonts w:ascii="Calibri" w:hAnsi="Calibri" w:cs="Calibri"/>
          <w:sz w:val="20"/>
          <w:szCs w:val="20"/>
        </w:rPr>
        <w:t xml:space="preserve">Taylor, J. (2025) </w:t>
      </w:r>
      <w:r w:rsidRPr="009B5223">
        <w:rPr>
          <w:rStyle w:val="Emphasis"/>
          <w:rFonts w:ascii="Calibri" w:eastAsiaTheme="majorEastAsia" w:hAnsi="Calibri" w:cs="Calibri"/>
          <w:sz w:val="20"/>
          <w:szCs w:val="20"/>
        </w:rPr>
        <w:t>Understanding employee turnover</w:t>
      </w:r>
      <w:r w:rsidRPr="009B5223">
        <w:rPr>
          <w:rFonts w:ascii="Calibri" w:hAnsi="Calibri" w:cs="Calibri"/>
          <w:sz w:val="20"/>
          <w:szCs w:val="20"/>
        </w:rPr>
        <w:t xml:space="preserve">. </w:t>
      </w:r>
      <w:r w:rsidRPr="009B5223">
        <w:rPr>
          <w:rStyle w:val="Emphasis"/>
          <w:rFonts w:ascii="Calibri" w:eastAsiaTheme="majorEastAsia" w:hAnsi="Calibri" w:cs="Calibri"/>
          <w:sz w:val="20"/>
          <w:szCs w:val="20"/>
        </w:rPr>
        <w:t>Journal of HR Management</w:t>
      </w:r>
      <w:r w:rsidRPr="009B5223">
        <w:rPr>
          <w:rFonts w:ascii="Calibri" w:hAnsi="Calibri" w:cs="Calibri"/>
          <w:sz w:val="20"/>
          <w:szCs w:val="20"/>
        </w:rPr>
        <w:t>, 12(2), pp. 45-58.</w:t>
      </w:r>
    </w:p>
    <w:p w14:paraId="78E5D943" w14:textId="47B4C8E7" w:rsidR="009B0346" w:rsidRDefault="009B0346">
      <w:pPr>
        <w:rPr>
          <w:rFonts w:ascii="Calibri" w:hAnsi="Calibri" w:cs="Calibri"/>
          <w:i/>
          <w:iCs/>
          <w:sz w:val="20"/>
          <w:szCs w:val="20"/>
        </w:rPr>
      </w:pPr>
      <w:r w:rsidRPr="00A077F8">
        <w:rPr>
          <w:rFonts w:ascii="Calibri" w:hAnsi="Calibri" w:cs="Calibri"/>
          <w:i/>
          <w:iCs/>
          <w:sz w:val="20"/>
          <w:szCs w:val="20"/>
        </w:rPr>
        <w:t xml:space="preserve">Taylor, S. (2025) </w:t>
      </w:r>
      <w:r w:rsidRPr="00A077F8">
        <w:rPr>
          <w:rStyle w:val="Emphasis"/>
          <w:rFonts w:ascii="Calibri" w:hAnsi="Calibri" w:cs="Calibri"/>
          <w:i w:val="0"/>
          <w:iCs w:val="0"/>
          <w:sz w:val="20"/>
          <w:szCs w:val="20"/>
        </w:rPr>
        <w:t>Resourcing and Talent Management</w:t>
      </w:r>
      <w:r w:rsidRPr="00A077F8">
        <w:rPr>
          <w:rFonts w:ascii="Calibri" w:hAnsi="Calibri" w:cs="Calibri"/>
          <w:i/>
          <w:iCs/>
          <w:sz w:val="20"/>
          <w:szCs w:val="20"/>
        </w:rPr>
        <w:t>.</w:t>
      </w:r>
      <w:r w:rsidR="004037EE" w:rsidRPr="00A077F8">
        <w:rPr>
          <w:rFonts w:ascii="Calibri" w:hAnsi="Calibri" w:cs="Calibri"/>
          <w:i/>
          <w:iCs/>
          <w:sz w:val="20"/>
          <w:szCs w:val="20"/>
        </w:rPr>
        <w:t xml:space="preserve"> 9</w:t>
      </w:r>
      <w:r w:rsidR="004037EE" w:rsidRPr="00A077F8">
        <w:rPr>
          <w:rFonts w:ascii="Calibri" w:hAnsi="Calibri" w:cs="Calibri"/>
          <w:i/>
          <w:iCs/>
          <w:sz w:val="20"/>
          <w:szCs w:val="20"/>
          <w:vertAlign w:val="superscript"/>
        </w:rPr>
        <w:t>th</w:t>
      </w:r>
      <w:r w:rsidR="004037EE" w:rsidRPr="00A077F8">
        <w:rPr>
          <w:rFonts w:ascii="Calibri" w:hAnsi="Calibri" w:cs="Calibri"/>
          <w:i/>
          <w:iCs/>
          <w:sz w:val="20"/>
          <w:szCs w:val="20"/>
        </w:rPr>
        <w:t xml:space="preserve"> </w:t>
      </w:r>
      <w:proofErr w:type="spellStart"/>
      <w:r w:rsidR="004037EE" w:rsidRPr="00A077F8">
        <w:rPr>
          <w:rFonts w:ascii="Calibri" w:hAnsi="Calibri" w:cs="Calibri"/>
          <w:i/>
          <w:iCs/>
          <w:sz w:val="20"/>
          <w:szCs w:val="20"/>
        </w:rPr>
        <w:t>edn</w:t>
      </w:r>
      <w:proofErr w:type="spellEnd"/>
      <w:r w:rsidR="004037EE" w:rsidRPr="00A077F8">
        <w:rPr>
          <w:rFonts w:ascii="Calibri" w:hAnsi="Calibri" w:cs="Calibri"/>
          <w:i/>
          <w:iCs/>
          <w:sz w:val="20"/>
          <w:szCs w:val="20"/>
        </w:rPr>
        <w:t>.</w:t>
      </w:r>
      <w:r w:rsidRPr="00A077F8">
        <w:rPr>
          <w:rFonts w:ascii="Calibri" w:hAnsi="Calibri" w:cs="Calibri"/>
          <w:i/>
          <w:iCs/>
          <w:sz w:val="20"/>
          <w:szCs w:val="20"/>
        </w:rPr>
        <w:t xml:space="preserve"> London: CIPD.</w:t>
      </w:r>
    </w:p>
    <w:p w14:paraId="1AEB8DA6" w14:textId="74857C68" w:rsidR="009B5223" w:rsidRPr="009B5223" w:rsidRDefault="009B5223" w:rsidP="009B5223">
      <w:pPr>
        <w:pStyle w:val="NormalWeb"/>
        <w:rPr>
          <w:rFonts w:ascii="Calibri" w:hAnsi="Calibri" w:cs="Calibri"/>
          <w:sz w:val="20"/>
          <w:szCs w:val="20"/>
        </w:rPr>
      </w:pPr>
      <w:r w:rsidRPr="009B5223">
        <w:rPr>
          <w:rFonts w:ascii="Calibri" w:hAnsi="Calibri" w:cs="Calibri"/>
          <w:sz w:val="20"/>
          <w:szCs w:val="20"/>
        </w:rPr>
        <w:t xml:space="preserve">Thomas, L. (2015) </w:t>
      </w:r>
      <w:r w:rsidRPr="009B5223">
        <w:rPr>
          <w:rStyle w:val="Emphasis"/>
          <w:rFonts w:ascii="Calibri" w:eastAsiaTheme="majorEastAsia" w:hAnsi="Calibri" w:cs="Calibri"/>
          <w:sz w:val="20"/>
          <w:szCs w:val="20"/>
        </w:rPr>
        <w:t>Push and pull factors in employee turnover</w:t>
      </w:r>
      <w:r w:rsidRPr="009B5223">
        <w:rPr>
          <w:rFonts w:ascii="Calibri" w:hAnsi="Calibri" w:cs="Calibri"/>
          <w:sz w:val="20"/>
          <w:szCs w:val="20"/>
        </w:rPr>
        <w:t xml:space="preserve">. </w:t>
      </w:r>
      <w:r w:rsidRPr="009B5223">
        <w:rPr>
          <w:rStyle w:val="Emphasis"/>
          <w:rFonts w:ascii="Calibri" w:eastAsiaTheme="majorEastAsia" w:hAnsi="Calibri" w:cs="Calibri"/>
          <w:sz w:val="20"/>
          <w:szCs w:val="20"/>
        </w:rPr>
        <w:t>International Journal of Business Research</w:t>
      </w:r>
      <w:r w:rsidRPr="009B5223">
        <w:rPr>
          <w:rFonts w:ascii="Calibri" w:hAnsi="Calibri" w:cs="Calibri"/>
          <w:sz w:val="20"/>
          <w:szCs w:val="20"/>
        </w:rPr>
        <w:t>, 7(4), pp. 72-84.</w:t>
      </w:r>
    </w:p>
    <w:p w14:paraId="2DC331A4" w14:textId="10243FF8" w:rsidR="00BB355E" w:rsidRPr="00224DB5" w:rsidRDefault="00BB355E">
      <w:pPr>
        <w:rPr>
          <w:rFonts w:ascii="Calibri" w:hAnsi="Calibri" w:cs="Calibri"/>
          <w:i/>
          <w:iCs/>
          <w:sz w:val="20"/>
          <w:szCs w:val="20"/>
        </w:rPr>
      </w:pPr>
      <w:r w:rsidRPr="00224DB5">
        <w:rPr>
          <w:rStyle w:val="relative"/>
          <w:rFonts w:ascii="Calibri" w:hAnsi="Calibri" w:cs="Calibri"/>
          <w:sz w:val="20"/>
          <w:szCs w:val="20"/>
        </w:rPr>
        <w:t xml:space="preserve">Thomas, S.J., 2016. </w:t>
      </w:r>
      <w:r w:rsidRPr="00224DB5">
        <w:rPr>
          <w:rStyle w:val="Emphasis"/>
          <w:rFonts w:ascii="Calibri" w:hAnsi="Calibri" w:cs="Calibri"/>
          <w:sz w:val="20"/>
          <w:szCs w:val="20"/>
        </w:rPr>
        <w:t>A poor induction process – what’s the effect on your business?</w:t>
      </w:r>
      <w:r w:rsidRPr="00224DB5">
        <w:rPr>
          <w:rStyle w:val="relative"/>
          <w:rFonts w:ascii="Calibri" w:hAnsi="Calibri" w:cs="Calibri"/>
          <w:sz w:val="20"/>
          <w:szCs w:val="20"/>
        </w:rPr>
        <w:t xml:space="preserve"> [online] Available at:</w:t>
      </w:r>
      <w:r w:rsidRPr="00224DB5">
        <w:rPr>
          <w:rFonts w:ascii="Calibri" w:hAnsi="Calibri" w:cs="Calibri"/>
          <w:sz w:val="20"/>
          <w:szCs w:val="20"/>
        </w:rPr>
        <w:t xml:space="preserve"> </w:t>
      </w:r>
      <w:hyperlink r:id="rId31" w:tgtFrame="_new" w:history="1">
        <w:r w:rsidRPr="00224DB5">
          <w:rPr>
            <w:rStyle w:val="Hyperlink"/>
            <w:rFonts w:ascii="Calibri" w:hAnsi="Calibri" w:cs="Calibri"/>
            <w:sz w:val="20"/>
            <w:szCs w:val="20"/>
          </w:rPr>
          <w:t>https://www.linkedin.com/pulse/poor-induction-process-whats-effect-your-business-sarah-jane-thomas</w:t>
        </w:r>
      </w:hyperlink>
      <w:r w:rsidRPr="00224DB5">
        <w:rPr>
          <w:rFonts w:ascii="Calibri" w:hAnsi="Calibri" w:cs="Calibri"/>
          <w:sz w:val="20"/>
          <w:szCs w:val="20"/>
        </w:rPr>
        <w:t xml:space="preserve"> </w:t>
      </w:r>
      <w:r w:rsidRPr="00224DB5">
        <w:rPr>
          <w:rStyle w:val="relative"/>
          <w:rFonts w:ascii="Calibri" w:hAnsi="Calibri" w:cs="Calibri"/>
          <w:sz w:val="20"/>
          <w:szCs w:val="20"/>
        </w:rPr>
        <w:t>[Accessed 1</w:t>
      </w:r>
      <w:r w:rsidR="00224DB5">
        <w:rPr>
          <w:rStyle w:val="relative"/>
          <w:rFonts w:ascii="Calibri" w:hAnsi="Calibri" w:cs="Calibri"/>
          <w:sz w:val="20"/>
          <w:szCs w:val="20"/>
        </w:rPr>
        <w:t>0th</w:t>
      </w:r>
      <w:r w:rsidRPr="00224DB5">
        <w:rPr>
          <w:rStyle w:val="relative"/>
          <w:rFonts w:ascii="Calibri" w:hAnsi="Calibri" w:cs="Calibri"/>
          <w:sz w:val="20"/>
          <w:szCs w:val="20"/>
        </w:rPr>
        <w:t xml:space="preserve"> June 2025].</w:t>
      </w:r>
    </w:p>
    <w:p w14:paraId="381DAE53" w14:textId="2F6159AB" w:rsidR="00A31DF1" w:rsidRDefault="00A31DF1" w:rsidP="00A31DF1">
      <w:pPr>
        <w:pStyle w:val="NormalWeb"/>
        <w:rPr>
          <w:rFonts w:ascii="Calibri" w:hAnsi="Calibri" w:cs="Calibri"/>
          <w:sz w:val="20"/>
          <w:szCs w:val="20"/>
        </w:rPr>
      </w:pPr>
      <w:r w:rsidRPr="00A31DF1">
        <w:rPr>
          <w:rFonts w:ascii="Calibri" w:hAnsi="Calibri" w:cs="Calibri"/>
          <w:sz w:val="20"/>
          <w:szCs w:val="20"/>
        </w:rPr>
        <w:lastRenderedPageBreak/>
        <w:t xml:space="preserve">Thomas, J. (2019) 'Retaining talent with leadership that cares', </w:t>
      </w:r>
      <w:r w:rsidRPr="00A31DF1">
        <w:rPr>
          <w:rStyle w:val="Emphasis"/>
          <w:rFonts w:ascii="Calibri" w:eastAsiaTheme="majorEastAsia" w:hAnsi="Calibri" w:cs="Calibri"/>
          <w:sz w:val="20"/>
          <w:szCs w:val="20"/>
        </w:rPr>
        <w:t>HR Magazine</w:t>
      </w:r>
      <w:r w:rsidRPr="00A31DF1">
        <w:rPr>
          <w:rFonts w:ascii="Calibri" w:hAnsi="Calibri" w:cs="Calibri"/>
          <w:sz w:val="20"/>
          <w:szCs w:val="20"/>
        </w:rPr>
        <w:t xml:space="preserve">. Available at: </w:t>
      </w:r>
      <w:hyperlink r:id="rId32" w:tgtFrame="_new" w:history="1">
        <w:r w:rsidRPr="00A31DF1">
          <w:rPr>
            <w:rStyle w:val="Hyperlink"/>
            <w:rFonts w:ascii="Calibri" w:eastAsiaTheme="majorEastAsia" w:hAnsi="Calibri" w:cs="Calibri"/>
            <w:sz w:val="20"/>
            <w:szCs w:val="20"/>
          </w:rPr>
          <w:t>https://www.hrmagazine.co.uk/content/features/retaining-talent-with-leadership-that-cares</w:t>
        </w:r>
      </w:hyperlink>
      <w:r w:rsidRPr="00A31DF1">
        <w:rPr>
          <w:rFonts w:ascii="Calibri" w:hAnsi="Calibri" w:cs="Calibri"/>
          <w:sz w:val="20"/>
          <w:szCs w:val="20"/>
        </w:rPr>
        <w:t xml:space="preserve"> (Accessed</w:t>
      </w:r>
      <w:r>
        <w:rPr>
          <w:rFonts w:ascii="Calibri" w:hAnsi="Calibri" w:cs="Calibri"/>
          <w:sz w:val="20"/>
          <w:szCs w:val="20"/>
        </w:rPr>
        <w:t>: 6</w:t>
      </w:r>
      <w:r w:rsidRPr="00A31DF1">
        <w:rPr>
          <w:rFonts w:ascii="Calibri" w:hAnsi="Calibri" w:cs="Calibri"/>
          <w:sz w:val="20"/>
          <w:szCs w:val="20"/>
          <w:vertAlign w:val="superscript"/>
        </w:rPr>
        <w:t>th</w:t>
      </w:r>
      <w:r>
        <w:rPr>
          <w:rFonts w:ascii="Calibri" w:hAnsi="Calibri" w:cs="Calibri"/>
          <w:sz w:val="20"/>
          <w:szCs w:val="20"/>
        </w:rPr>
        <w:t xml:space="preserve"> June 2025)</w:t>
      </w:r>
    </w:p>
    <w:p w14:paraId="4FCCD4CE" w14:textId="47EE9DA4" w:rsidR="004079C6" w:rsidRPr="004079C6" w:rsidRDefault="004079C6" w:rsidP="00A31DF1">
      <w:pPr>
        <w:pStyle w:val="NormalWeb"/>
        <w:rPr>
          <w:rFonts w:ascii="Calibri" w:hAnsi="Calibri" w:cs="Calibri"/>
          <w:sz w:val="20"/>
          <w:szCs w:val="20"/>
        </w:rPr>
      </w:pPr>
      <w:r w:rsidRPr="004079C6">
        <w:rPr>
          <w:rFonts w:ascii="Calibri" w:hAnsi="Calibri" w:cs="Calibri"/>
          <w:sz w:val="20"/>
          <w:szCs w:val="20"/>
        </w:rPr>
        <w:t xml:space="preserve">Ulrich, D., Brockbank, W. and Yeung, A. (2020) </w:t>
      </w:r>
      <w:r w:rsidRPr="004079C6">
        <w:rPr>
          <w:rStyle w:val="Emphasis"/>
          <w:rFonts w:ascii="Calibri" w:eastAsiaTheme="majorEastAsia" w:hAnsi="Calibri" w:cs="Calibri"/>
          <w:sz w:val="20"/>
          <w:szCs w:val="20"/>
        </w:rPr>
        <w:t>HR competencies: Mastery at the intersection of people and business</w:t>
      </w:r>
      <w:r w:rsidRPr="004079C6">
        <w:rPr>
          <w:rFonts w:ascii="Calibri" w:hAnsi="Calibri" w:cs="Calibri"/>
          <w:sz w:val="20"/>
          <w:szCs w:val="20"/>
        </w:rPr>
        <w:t>. 3rd ed. Alexandria: SHRM.</w:t>
      </w:r>
    </w:p>
    <w:p w14:paraId="6E895819" w14:textId="77777777" w:rsidR="00A31DF1" w:rsidRPr="00A077F8" w:rsidRDefault="00A31DF1">
      <w:pPr>
        <w:rPr>
          <w:rFonts w:ascii="Calibri" w:hAnsi="Calibri" w:cs="Calibri"/>
          <w:i/>
          <w:iCs/>
          <w:sz w:val="20"/>
          <w:szCs w:val="20"/>
        </w:rPr>
      </w:pPr>
    </w:p>
    <w:p w14:paraId="5FAEEB96" w14:textId="77777777" w:rsidR="009B0346" w:rsidRPr="0067125F" w:rsidRDefault="009B0346">
      <w:pPr>
        <w:rPr>
          <w:rFonts w:ascii="Calibri" w:hAnsi="Calibri" w:cs="Calibri"/>
          <w:i/>
          <w:iCs/>
          <w:sz w:val="20"/>
          <w:szCs w:val="20"/>
        </w:rPr>
      </w:pPr>
    </w:p>
    <w:p w14:paraId="6C2433DF" w14:textId="7863AC77" w:rsidR="009B0346" w:rsidRDefault="00442E39">
      <w:pPr>
        <w:rPr>
          <w:rFonts w:ascii="Calibri" w:hAnsi="Calibri" w:cs="Calibri"/>
          <w:sz w:val="20"/>
          <w:szCs w:val="20"/>
        </w:rPr>
      </w:pPr>
      <w:r>
        <w:rPr>
          <w:rFonts w:ascii="Calibri" w:hAnsi="Calibri" w:cs="Calibri"/>
          <w:sz w:val="20"/>
          <w:szCs w:val="20"/>
        </w:rPr>
        <w:t xml:space="preserve"> </w:t>
      </w:r>
    </w:p>
    <w:p w14:paraId="0CAAC7F5" w14:textId="77777777" w:rsidR="009B0346" w:rsidRDefault="009B0346">
      <w:pPr>
        <w:rPr>
          <w:rFonts w:ascii="Calibri" w:hAnsi="Calibri" w:cs="Calibri"/>
          <w:sz w:val="20"/>
          <w:szCs w:val="20"/>
        </w:rPr>
      </w:pPr>
    </w:p>
    <w:p w14:paraId="51BBE243" w14:textId="77777777" w:rsidR="009B0346" w:rsidRDefault="009B0346">
      <w:pPr>
        <w:rPr>
          <w:rFonts w:ascii="Calibri" w:hAnsi="Calibri" w:cs="Calibri"/>
          <w:sz w:val="20"/>
          <w:szCs w:val="20"/>
        </w:rPr>
      </w:pPr>
    </w:p>
    <w:p w14:paraId="571CAD95" w14:textId="77777777" w:rsidR="009B0346" w:rsidRDefault="009B0346">
      <w:pPr>
        <w:rPr>
          <w:rFonts w:ascii="Calibri" w:hAnsi="Calibri" w:cs="Calibri"/>
          <w:sz w:val="20"/>
          <w:szCs w:val="20"/>
        </w:rPr>
      </w:pPr>
    </w:p>
    <w:p w14:paraId="55797788" w14:textId="77777777" w:rsidR="009B0346" w:rsidRDefault="009B0346">
      <w:pPr>
        <w:rPr>
          <w:rFonts w:ascii="Calibri" w:hAnsi="Calibri" w:cs="Calibri"/>
          <w:sz w:val="20"/>
          <w:szCs w:val="20"/>
        </w:rPr>
      </w:pPr>
    </w:p>
    <w:p w14:paraId="763B6209" w14:textId="77777777" w:rsidR="009B0346" w:rsidRDefault="009B0346">
      <w:pPr>
        <w:rPr>
          <w:rFonts w:ascii="Calibri" w:hAnsi="Calibri" w:cs="Calibri"/>
          <w:sz w:val="20"/>
          <w:szCs w:val="20"/>
        </w:rPr>
      </w:pPr>
    </w:p>
    <w:p w14:paraId="57605EEA" w14:textId="77777777" w:rsidR="009B0346" w:rsidRPr="006F4E02" w:rsidRDefault="009B0346">
      <w:pPr>
        <w:rPr>
          <w:rFonts w:ascii="Calibri" w:hAnsi="Calibri" w:cs="Calibri"/>
          <w:sz w:val="20"/>
          <w:szCs w:val="20"/>
        </w:rPr>
      </w:pPr>
    </w:p>
    <w:sectPr w:rsidR="009B0346" w:rsidRPr="006F4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B1D"/>
    <w:rsid w:val="0000021D"/>
    <w:rsid w:val="00031AD3"/>
    <w:rsid w:val="00033675"/>
    <w:rsid w:val="000420C0"/>
    <w:rsid w:val="000C75A7"/>
    <w:rsid w:val="0011012E"/>
    <w:rsid w:val="00114355"/>
    <w:rsid w:val="00120C1C"/>
    <w:rsid w:val="00162388"/>
    <w:rsid w:val="00180316"/>
    <w:rsid w:val="00182E0E"/>
    <w:rsid w:val="001B5EEF"/>
    <w:rsid w:val="001C28E8"/>
    <w:rsid w:val="001E487D"/>
    <w:rsid w:val="00201AA8"/>
    <w:rsid w:val="00201EEE"/>
    <w:rsid w:val="00213753"/>
    <w:rsid w:val="00217F60"/>
    <w:rsid w:val="00224DB5"/>
    <w:rsid w:val="00235289"/>
    <w:rsid w:val="00244587"/>
    <w:rsid w:val="0025044E"/>
    <w:rsid w:val="00263A59"/>
    <w:rsid w:val="0026575F"/>
    <w:rsid w:val="00265DEF"/>
    <w:rsid w:val="002A406A"/>
    <w:rsid w:val="002E6B65"/>
    <w:rsid w:val="002F19EE"/>
    <w:rsid w:val="002F63D2"/>
    <w:rsid w:val="00310610"/>
    <w:rsid w:val="00334816"/>
    <w:rsid w:val="00336F5D"/>
    <w:rsid w:val="003611A2"/>
    <w:rsid w:val="00364B55"/>
    <w:rsid w:val="00380EED"/>
    <w:rsid w:val="00385B1D"/>
    <w:rsid w:val="003A69C6"/>
    <w:rsid w:val="003E6263"/>
    <w:rsid w:val="003F26E0"/>
    <w:rsid w:val="0040020A"/>
    <w:rsid w:val="004037EE"/>
    <w:rsid w:val="004079C6"/>
    <w:rsid w:val="00425170"/>
    <w:rsid w:val="00442E39"/>
    <w:rsid w:val="00444477"/>
    <w:rsid w:val="0044630E"/>
    <w:rsid w:val="00451B8C"/>
    <w:rsid w:val="00463A30"/>
    <w:rsid w:val="004735EE"/>
    <w:rsid w:val="0048486D"/>
    <w:rsid w:val="004960F4"/>
    <w:rsid w:val="004A3A44"/>
    <w:rsid w:val="004C1547"/>
    <w:rsid w:val="004D0481"/>
    <w:rsid w:val="004D271E"/>
    <w:rsid w:val="004D6141"/>
    <w:rsid w:val="004E5D16"/>
    <w:rsid w:val="00503F32"/>
    <w:rsid w:val="00516F92"/>
    <w:rsid w:val="005864C9"/>
    <w:rsid w:val="005927EE"/>
    <w:rsid w:val="005A2A07"/>
    <w:rsid w:val="005A4871"/>
    <w:rsid w:val="005A52E5"/>
    <w:rsid w:val="005B121F"/>
    <w:rsid w:val="005C3B1F"/>
    <w:rsid w:val="005D321B"/>
    <w:rsid w:val="006065EE"/>
    <w:rsid w:val="006138DA"/>
    <w:rsid w:val="00615B9F"/>
    <w:rsid w:val="0061632F"/>
    <w:rsid w:val="00634950"/>
    <w:rsid w:val="0065706A"/>
    <w:rsid w:val="00661E5C"/>
    <w:rsid w:val="0067125F"/>
    <w:rsid w:val="006A6C00"/>
    <w:rsid w:val="006A75F2"/>
    <w:rsid w:val="006B52F8"/>
    <w:rsid w:val="006F4E02"/>
    <w:rsid w:val="006F5B39"/>
    <w:rsid w:val="0070153B"/>
    <w:rsid w:val="0070580B"/>
    <w:rsid w:val="00707C36"/>
    <w:rsid w:val="00722190"/>
    <w:rsid w:val="00724C6E"/>
    <w:rsid w:val="00727BF0"/>
    <w:rsid w:val="0074275F"/>
    <w:rsid w:val="00743081"/>
    <w:rsid w:val="007466E5"/>
    <w:rsid w:val="00782151"/>
    <w:rsid w:val="00785F0D"/>
    <w:rsid w:val="00796DAC"/>
    <w:rsid w:val="007A467C"/>
    <w:rsid w:val="007B7AB8"/>
    <w:rsid w:val="007F4B32"/>
    <w:rsid w:val="007F7E83"/>
    <w:rsid w:val="0080717D"/>
    <w:rsid w:val="00863911"/>
    <w:rsid w:val="00870089"/>
    <w:rsid w:val="00872D32"/>
    <w:rsid w:val="0087461B"/>
    <w:rsid w:val="008879F0"/>
    <w:rsid w:val="008A3038"/>
    <w:rsid w:val="008B76FA"/>
    <w:rsid w:val="008B7926"/>
    <w:rsid w:val="008D35A3"/>
    <w:rsid w:val="008D535B"/>
    <w:rsid w:val="008D563B"/>
    <w:rsid w:val="00903CBF"/>
    <w:rsid w:val="0091615A"/>
    <w:rsid w:val="00936245"/>
    <w:rsid w:val="00954D6C"/>
    <w:rsid w:val="00955558"/>
    <w:rsid w:val="009B0346"/>
    <w:rsid w:val="009B2608"/>
    <w:rsid w:val="009B5223"/>
    <w:rsid w:val="009C3C2A"/>
    <w:rsid w:val="00A01D8D"/>
    <w:rsid w:val="00A0728A"/>
    <w:rsid w:val="00A077F8"/>
    <w:rsid w:val="00A22DD3"/>
    <w:rsid w:val="00A31DF1"/>
    <w:rsid w:val="00A355DD"/>
    <w:rsid w:val="00A44BF1"/>
    <w:rsid w:val="00A657FC"/>
    <w:rsid w:val="00A742DF"/>
    <w:rsid w:val="00A81225"/>
    <w:rsid w:val="00A873B9"/>
    <w:rsid w:val="00AB431A"/>
    <w:rsid w:val="00AB5F09"/>
    <w:rsid w:val="00AC4307"/>
    <w:rsid w:val="00AC5E06"/>
    <w:rsid w:val="00AF51D8"/>
    <w:rsid w:val="00AF7927"/>
    <w:rsid w:val="00B10453"/>
    <w:rsid w:val="00B27D16"/>
    <w:rsid w:val="00B378F2"/>
    <w:rsid w:val="00B4247E"/>
    <w:rsid w:val="00B428CF"/>
    <w:rsid w:val="00B8176F"/>
    <w:rsid w:val="00B93704"/>
    <w:rsid w:val="00BB0D2F"/>
    <w:rsid w:val="00BB355E"/>
    <w:rsid w:val="00C444EF"/>
    <w:rsid w:val="00C70BE9"/>
    <w:rsid w:val="00C72C2F"/>
    <w:rsid w:val="00CA036E"/>
    <w:rsid w:val="00CB6050"/>
    <w:rsid w:val="00CE0092"/>
    <w:rsid w:val="00D00F38"/>
    <w:rsid w:val="00D51FFB"/>
    <w:rsid w:val="00D972BA"/>
    <w:rsid w:val="00DA3774"/>
    <w:rsid w:val="00DE4A24"/>
    <w:rsid w:val="00DF6249"/>
    <w:rsid w:val="00E06B73"/>
    <w:rsid w:val="00E307C0"/>
    <w:rsid w:val="00E42168"/>
    <w:rsid w:val="00E56420"/>
    <w:rsid w:val="00E65E76"/>
    <w:rsid w:val="00E67BCF"/>
    <w:rsid w:val="00E758B8"/>
    <w:rsid w:val="00E8412F"/>
    <w:rsid w:val="00E965BB"/>
    <w:rsid w:val="00EA2FA9"/>
    <w:rsid w:val="00EA647A"/>
    <w:rsid w:val="00ED543F"/>
    <w:rsid w:val="00EE04A5"/>
    <w:rsid w:val="00EF0ECD"/>
    <w:rsid w:val="00EF5EA9"/>
    <w:rsid w:val="00F0423A"/>
    <w:rsid w:val="00F26ABE"/>
    <w:rsid w:val="00F30EB4"/>
    <w:rsid w:val="00F51962"/>
    <w:rsid w:val="00F56D3A"/>
    <w:rsid w:val="00F6469E"/>
    <w:rsid w:val="00F659A0"/>
    <w:rsid w:val="00F70266"/>
    <w:rsid w:val="00F94085"/>
    <w:rsid w:val="00F969DE"/>
    <w:rsid w:val="00FB35BB"/>
    <w:rsid w:val="00FB6239"/>
    <w:rsid w:val="00FF5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B4AD5"/>
  <w15:chartTrackingRefBased/>
  <w15:docId w15:val="{47430459-BCB6-4831-9877-2D268B13F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B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5B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5B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5B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5B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5B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B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B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B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B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5B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5B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5B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5B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5B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B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B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B1D"/>
    <w:rPr>
      <w:rFonts w:eastAsiaTheme="majorEastAsia" w:cstheme="majorBidi"/>
      <w:color w:val="272727" w:themeColor="text1" w:themeTint="D8"/>
    </w:rPr>
  </w:style>
  <w:style w:type="paragraph" w:styleId="Title">
    <w:name w:val="Title"/>
    <w:basedOn w:val="Normal"/>
    <w:next w:val="Normal"/>
    <w:link w:val="TitleChar"/>
    <w:uiPriority w:val="10"/>
    <w:qFormat/>
    <w:rsid w:val="00385B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B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B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B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B1D"/>
    <w:pPr>
      <w:spacing w:before="160"/>
      <w:jc w:val="center"/>
    </w:pPr>
    <w:rPr>
      <w:i/>
      <w:iCs/>
      <w:color w:val="404040" w:themeColor="text1" w:themeTint="BF"/>
    </w:rPr>
  </w:style>
  <w:style w:type="character" w:customStyle="1" w:styleId="QuoteChar">
    <w:name w:val="Quote Char"/>
    <w:basedOn w:val="DefaultParagraphFont"/>
    <w:link w:val="Quote"/>
    <w:uiPriority w:val="29"/>
    <w:rsid w:val="00385B1D"/>
    <w:rPr>
      <w:i/>
      <w:iCs/>
      <w:color w:val="404040" w:themeColor="text1" w:themeTint="BF"/>
    </w:rPr>
  </w:style>
  <w:style w:type="paragraph" w:styleId="ListParagraph">
    <w:name w:val="List Paragraph"/>
    <w:basedOn w:val="Normal"/>
    <w:uiPriority w:val="34"/>
    <w:qFormat/>
    <w:rsid w:val="00385B1D"/>
    <w:pPr>
      <w:ind w:left="720"/>
      <w:contextualSpacing/>
    </w:pPr>
  </w:style>
  <w:style w:type="character" w:styleId="IntenseEmphasis">
    <w:name w:val="Intense Emphasis"/>
    <w:basedOn w:val="DefaultParagraphFont"/>
    <w:uiPriority w:val="21"/>
    <w:qFormat/>
    <w:rsid w:val="00385B1D"/>
    <w:rPr>
      <w:i/>
      <w:iCs/>
      <w:color w:val="2F5496" w:themeColor="accent1" w:themeShade="BF"/>
    </w:rPr>
  </w:style>
  <w:style w:type="paragraph" w:styleId="IntenseQuote">
    <w:name w:val="Intense Quote"/>
    <w:basedOn w:val="Normal"/>
    <w:next w:val="Normal"/>
    <w:link w:val="IntenseQuoteChar"/>
    <w:uiPriority w:val="30"/>
    <w:qFormat/>
    <w:rsid w:val="00385B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5B1D"/>
    <w:rPr>
      <w:i/>
      <w:iCs/>
      <w:color w:val="2F5496" w:themeColor="accent1" w:themeShade="BF"/>
    </w:rPr>
  </w:style>
  <w:style w:type="character" w:styleId="IntenseReference">
    <w:name w:val="Intense Reference"/>
    <w:basedOn w:val="DefaultParagraphFont"/>
    <w:uiPriority w:val="32"/>
    <w:qFormat/>
    <w:rsid w:val="00385B1D"/>
    <w:rPr>
      <w:b/>
      <w:bCs/>
      <w:smallCaps/>
      <w:color w:val="2F5496" w:themeColor="accent1" w:themeShade="BF"/>
      <w:spacing w:val="5"/>
    </w:rPr>
  </w:style>
  <w:style w:type="character" w:customStyle="1" w:styleId="ui-provider">
    <w:name w:val="ui-provider"/>
    <w:rsid w:val="00385B1D"/>
  </w:style>
  <w:style w:type="character" w:styleId="Strong">
    <w:name w:val="Strong"/>
    <w:basedOn w:val="DefaultParagraphFont"/>
    <w:uiPriority w:val="22"/>
    <w:qFormat/>
    <w:rsid w:val="00385B1D"/>
    <w:rPr>
      <w:b/>
      <w:bCs/>
    </w:rPr>
  </w:style>
  <w:style w:type="paragraph" w:styleId="NormalWeb">
    <w:name w:val="Normal (Web)"/>
    <w:basedOn w:val="Normal"/>
    <w:uiPriority w:val="99"/>
    <w:unhideWhenUsed/>
    <w:rsid w:val="00385B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B0346"/>
    <w:rPr>
      <w:i/>
      <w:iCs/>
    </w:rPr>
  </w:style>
  <w:style w:type="character" w:styleId="Hyperlink">
    <w:name w:val="Hyperlink"/>
    <w:basedOn w:val="DefaultParagraphFont"/>
    <w:uiPriority w:val="99"/>
    <w:semiHidden/>
    <w:unhideWhenUsed/>
    <w:rsid w:val="004A3A44"/>
    <w:rPr>
      <w:color w:val="0000FF"/>
      <w:u w:val="single"/>
    </w:rPr>
  </w:style>
  <w:style w:type="character" w:customStyle="1" w:styleId="relative">
    <w:name w:val="relative"/>
    <w:basedOn w:val="DefaultParagraphFont"/>
    <w:rsid w:val="00E8412F"/>
  </w:style>
  <w:style w:type="paragraph" w:styleId="NoSpacing">
    <w:name w:val="No Spacing"/>
    <w:uiPriority w:val="1"/>
    <w:qFormat/>
    <w:rsid w:val="002E6B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26778">
      <w:bodyDiv w:val="1"/>
      <w:marLeft w:val="0"/>
      <w:marRight w:val="0"/>
      <w:marTop w:val="0"/>
      <w:marBottom w:val="0"/>
      <w:divBdr>
        <w:top w:val="none" w:sz="0" w:space="0" w:color="auto"/>
        <w:left w:val="none" w:sz="0" w:space="0" w:color="auto"/>
        <w:bottom w:val="none" w:sz="0" w:space="0" w:color="auto"/>
        <w:right w:val="none" w:sz="0" w:space="0" w:color="auto"/>
      </w:divBdr>
    </w:div>
    <w:div w:id="128674627">
      <w:bodyDiv w:val="1"/>
      <w:marLeft w:val="0"/>
      <w:marRight w:val="0"/>
      <w:marTop w:val="0"/>
      <w:marBottom w:val="0"/>
      <w:divBdr>
        <w:top w:val="none" w:sz="0" w:space="0" w:color="auto"/>
        <w:left w:val="none" w:sz="0" w:space="0" w:color="auto"/>
        <w:bottom w:val="none" w:sz="0" w:space="0" w:color="auto"/>
        <w:right w:val="none" w:sz="0" w:space="0" w:color="auto"/>
      </w:divBdr>
    </w:div>
    <w:div w:id="144275892">
      <w:bodyDiv w:val="1"/>
      <w:marLeft w:val="0"/>
      <w:marRight w:val="0"/>
      <w:marTop w:val="0"/>
      <w:marBottom w:val="0"/>
      <w:divBdr>
        <w:top w:val="none" w:sz="0" w:space="0" w:color="auto"/>
        <w:left w:val="none" w:sz="0" w:space="0" w:color="auto"/>
        <w:bottom w:val="none" w:sz="0" w:space="0" w:color="auto"/>
        <w:right w:val="none" w:sz="0" w:space="0" w:color="auto"/>
      </w:divBdr>
    </w:div>
    <w:div w:id="235363909">
      <w:bodyDiv w:val="1"/>
      <w:marLeft w:val="0"/>
      <w:marRight w:val="0"/>
      <w:marTop w:val="0"/>
      <w:marBottom w:val="0"/>
      <w:divBdr>
        <w:top w:val="none" w:sz="0" w:space="0" w:color="auto"/>
        <w:left w:val="none" w:sz="0" w:space="0" w:color="auto"/>
        <w:bottom w:val="none" w:sz="0" w:space="0" w:color="auto"/>
        <w:right w:val="none" w:sz="0" w:space="0" w:color="auto"/>
      </w:divBdr>
    </w:div>
    <w:div w:id="290939457">
      <w:bodyDiv w:val="1"/>
      <w:marLeft w:val="0"/>
      <w:marRight w:val="0"/>
      <w:marTop w:val="0"/>
      <w:marBottom w:val="0"/>
      <w:divBdr>
        <w:top w:val="none" w:sz="0" w:space="0" w:color="auto"/>
        <w:left w:val="none" w:sz="0" w:space="0" w:color="auto"/>
        <w:bottom w:val="none" w:sz="0" w:space="0" w:color="auto"/>
        <w:right w:val="none" w:sz="0" w:space="0" w:color="auto"/>
      </w:divBdr>
    </w:div>
    <w:div w:id="322240561">
      <w:bodyDiv w:val="1"/>
      <w:marLeft w:val="0"/>
      <w:marRight w:val="0"/>
      <w:marTop w:val="0"/>
      <w:marBottom w:val="0"/>
      <w:divBdr>
        <w:top w:val="none" w:sz="0" w:space="0" w:color="auto"/>
        <w:left w:val="none" w:sz="0" w:space="0" w:color="auto"/>
        <w:bottom w:val="none" w:sz="0" w:space="0" w:color="auto"/>
        <w:right w:val="none" w:sz="0" w:space="0" w:color="auto"/>
      </w:divBdr>
    </w:div>
    <w:div w:id="563181803">
      <w:bodyDiv w:val="1"/>
      <w:marLeft w:val="0"/>
      <w:marRight w:val="0"/>
      <w:marTop w:val="0"/>
      <w:marBottom w:val="0"/>
      <w:divBdr>
        <w:top w:val="none" w:sz="0" w:space="0" w:color="auto"/>
        <w:left w:val="none" w:sz="0" w:space="0" w:color="auto"/>
        <w:bottom w:val="none" w:sz="0" w:space="0" w:color="auto"/>
        <w:right w:val="none" w:sz="0" w:space="0" w:color="auto"/>
      </w:divBdr>
    </w:div>
    <w:div w:id="657222889">
      <w:bodyDiv w:val="1"/>
      <w:marLeft w:val="0"/>
      <w:marRight w:val="0"/>
      <w:marTop w:val="0"/>
      <w:marBottom w:val="0"/>
      <w:divBdr>
        <w:top w:val="none" w:sz="0" w:space="0" w:color="auto"/>
        <w:left w:val="none" w:sz="0" w:space="0" w:color="auto"/>
        <w:bottom w:val="none" w:sz="0" w:space="0" w:color="auto"/>
        <w:right w:val="none" w:sz="0" w:space="0" w:color="auto"/>
      </w:divBdr>
    </w:div>
    <w:div w:id="812451333">
      <w:bodyDiv w:val="1"/>
      <w:marLeft w:val="0"/>
      <w:marRight w:val="0"/>
      <w:marTop w:val="0"/>
      <w:marBottom w:val="0"/>
      <w:divBdr>
        <w:top w:val="none" w:sz="0" w:space="0" w:color="auto"/>
        <w:left w:val="none" w:sz="0" w:space="0" w:color="auto"/>
        <w:bottom w:val="none" w:sz="0" w:space="0" w:color="auto"/>
        <w:right w:val="none" w:sz="0" w:space="0" w:color="auto"/>
      </w:divBdr>
    </w:div>
    <w:div w:id="819930547">
      <w:bodyDiv w:val="1"/>
      <w:marLeft w:val="0"/>
      <w:marRight w:val="0"/>
      <w:marTop w:val="0"/>
      <w:marBottom w:val="0"/>
      <w:divBdr>
        <w:top w:val="none" w:sz="0" w:space="0" w:color="auto"/>
        <w:left w:val="none" w:sz="0" w:space="0" w:color="auto"/>
        <w:bottom w:val="none" w:sz="0" w:space="0" w:color="auto"/>
        <w:right w:val="none" w:sz="0" w:space="0" w:color="auto"/>
      </w:divBdr>
    </w:div>
    <w:div w:id="830604103">
      <w:bodyDiv w:val="1"/>
      <w:marLeft w:val="0"/>
      <w:marRight w:val="0"/>
      <w:marTop w:val="0"/>
      <w:marBottom w:val="0"/>
      <w:divBdr>
        <w:top w:val="none" w:sz="0" w:space="0" w:color="auto"/>
        <w:left w:val="none" w:sz="0" w:space="0" w:color="auto"/>
        <w:bottom w:val="none" w:sz="0" w:space="0" w:color="auto"/>
        <w:right w:val="none" w:sz="0" w:space="0" w:color="auto"/>
      </w:divBdr>
    </w:div>
    <w:div w:id="836505905">
      <w:bodyDiv w:val="1"/>
      <w:marLeft w:val="0"/>
      <w:marRight w:val="0"/>
      <w:marTop w:val="0"/>
      <w:marBottom w:val="0"/>
      <w:divBdr>
        <w:top w:val="none" w:sz="0" w:space="0" w:color="auto"/>
        <w:left w:val="none" w:sz="0" w:space="0" w:color="auto"/>
        <w:bottom w:val="none" w:sz="0" w:space="0" w:color="auto"/>
        <w:right w:val="none" w:sz="0" w:space="0" w:color="auto"/>
      </w:divBdr>
    </w:div>
    <w:div w:id="857086832">
      <w:bodyDiv w:val="1"/>
      <w:marLeft w:val="0"/>
      <w:marRight w:val="0"/>
      <w:marTop w:val="0"/>
      <w:marBottom w:val="0"/>
      <w:divBdr>
        <w:top w:val="none" w:sz="0" w:space="0" w:color="auto"/>
        <w:left w:val="none" w:sz="0" w:space="0" w:color="auto"/>
        <w:bottom w:val="none" w:sz="0" w:space="0" w:color="auto"/>
        <w:right w:val="none" w:sz="0" w:space="0" w:color="auto"/>
      </w:divBdr>
    </w:div>
    <w:div w:id="860359672">
      <w:bodyDiv w:val="1"/>
      <w:marLeft w:val="0"/>
      <w:marRight w:val="0"/>
      <w:marTop w:val="0"/>
      <w:marBottom w:val="0"/>
      <w:divBdr>
        <w:top w:val="none" w:sz="0" w:space="0" w:color="auto"/>
        <w:left w:val="none" w:sz="0" w:space="0" w:color="auto"/>
        <w:bottom w:val="none" w:sz="0" w:space="0" w:color="auto"/>
        <w:right w:val="none" w:sz="0" w:space="0" w:color="auto"/>
      </w:divBdr>
    </w:div>
    <w:div w:id="1092433152">
      <w:bodyDiv w:val="1"/>
      <w:marLeft w:val="0"/>
      <w:marRight w:val="0"/>
      <w:marTop w:val="0"/>
      <w:marBottom w:val="0"/>
      <w:divBdr>
        <w:top w:val="none" w:sz="0" w:space="0" w:color="auto"/>
        <w:left w:val="none" w:sz="0" w:space="0" w:color="auto"/>
        <w:bottom w:val="none" w:sz="0" w:space="0" w:color="auto"/>
        <w:right w:val="none" w:sz="0" w:space="0" w:color="auto"/>
      </w:divBdr>
    </w:div>
    <w:div w:id="1149445089">
      <w:bodyDiv w:val="1"/>
      <w:marLeft w:val="0"/>
      <w:marRight w:val="0"/>
      <w:marTop w:val="0"/>
      <w:marBottom w:val="0"/>
      <w:divBdr>
        <w:top w:val="none" w:sz="0" w:space="0" w:color="auto"/>
        <w:left w:val="none" w:sz="0" w:space="0" w:color="auto"/>
        <w:bottom w:val="none" w:sz="0" w:space="0" w:color="auto"/>
        <w:right w:val="none" w:sz="0" w:space="0" w:color="auto"/>
      </w:divBdr>
    </w:div>
    <w:div w:id="1351178504">
      <w:bodyDiv w:val="1"/>
      <w:marLeft w:val="0"/>
      <w:marRight w:val="0"/>
      <w:marTop w:val="0"/>
      <w:marBottom w:val="0"/>
      <w:divBdr>
        <w:top w:val="none" w:sz="0" w:space="0" w:color="auto"/>
        <w:left w:val="none" w:sz="0" w:space="0" w:color="auto"/>
        <w:bottom w:val="none" w:sz="0" w:space="0" w:color="auto"/>
        <w:right w:val="none" w:sz="0" w:space="0" w:color="auto"/>
      </w:divBdr>
    </w:div>
    <w:div w:id="1382098079">
      <w:bodyDiv w:val="1"/>
      <w:marLeft w:val="0"/>
      <w:marRight w:val="0"/>
      <w:marTop w:val="0"/>
      <w:marBottom w:val="0"/>
      <w:divBdr>
        <w:top w:val="none" w:sz="0" w:space="0" w:color="auto"/>
        <w:left w:val="none" w:sz="0" w:space="0" w:color="auto"/>
        <w:bottom w:val="none" w:sz="0" w:space="0" w:color="auto"/>
        <w:right w:val="none" w:sz="0" w:space="0" w:color="auto"/>
      </w:divBdr>
    </w:div>
    <w:div w:id="1455634537">
      <w:bodyDiv w:val="1"/>
      <w:marLeft w:val="0"/>
      <w:marRight w:val="0"/>
      <w:marTop w:val="0"/>
      <w:marBottom w:val="0"/>
      <w:divBdr>
        <w:top w:val="none" w:sz="0" w:space="0" w:color="auto"/>
        <w:left w:val="none" w:sz="0" w:space="0" w:color="auto"/>
        <w:bottom w:val="none" w:sz="0" w:space="0" w:color="auto"/>
        <w:right w:val="none" w:sz="0" w:space="0" w:color="auto"/>
      </w:divBdr>
    </w:div>
    <w:div w:id="1592079336">
      <w:bodyDiv w:val="1"/>
      <w:marLeft w:val="0"/>
      <w:marRight w:val="0"/>
      <w:marTop w:val="0"/>
      <w:marBottom w:val="0"/>
      <w:divBdr>
        <w:top w:val="none" w:sz="0" w:space="0" w:color="auto"/>
        <w:left w:val="none" w:sz="0" w:space="0" w:color="auto"/>
        <w:bottom w:val="none" w:sz="0" w:space="0" w:color="auto"/>
        <w:right w:val="none" w:sz="0" w:space="0" w:color="auto"/>
      </w:divBdr>
    </w:div>
    <w:div w:id="1733698523">
      <w:bodyDiv w:val="1"/>
      <w:marLeft w:val="0"/>
      <w:marRight w:val="0"/>
      <w:marTop w:val="0"/>
      <w:marBottom w:val="0"/>
      <w:divBdr>
        <w:top w:val="none" w:sz="0" w:space="0" w:color="auto"/>
        <w:left w:val="none" w:sz="0" w:space="0" w:color="auto"/>
        <w:bottom w:val="none" w:sz="0" w:space="0" w:color="auto"/>
        <w:right w:val="none" w:sz="0" w:space="0" w:color="auto"/>
      </w:divBdr>
    </w:div>
    <w:div w:id="1735662183">
      <w:bodyDiv w:val="1"/>
      <w:marLeft w:val="0"/>
      <w:marRight w:val="0"/>
      <w:marTop w:val="0"/>
      <w:marBottom w:val="0"/>
      <w:divBdr>
        <w:top w:val="none" w:sz="0" w:space="0" w:color="auto"/>
        <w:left w:val="none" w:sz="0" w:space="0" w:color="auto"/>
        <w:bottom w:val="none" w:sz="0" w:space="0" w:color="auto"/>
        <w:right w:val="none" w:sz="0" w:space="0" w:color="auto"/>
      </w:divBdr>
    </w:div>
    <w:div w:id="1883983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 TargetMode="External"/><Relationship Id="rId18" Type="http://schemas.openxmlformats.org/officeDocument/2006/relationships/hyperlink" Target="https://www.cipd.org/uk/knowledge/factsheets/succession-planning-factsheet/" TargetMode="External"/><Relationship Id="rId26" Type="http://schemas.openxmlformats.org/officeDocument/2006/relationships/hyperlink" Target="https://uk.indeed.com/career-advice/career-development/advantages-and-disadvantages-of-job-enrichment" TargetMode="External"/><Relationship Id="rId3" Type="http://schemas.openxmlformats.org/officeDocument/2006/relationships/webSettings" Target="webSettings.xml"/><Relationship Id="rId21" Type="http://schemas.openxmlformats.org/officeDocument/2006/relationships/hyperlink" Target="https://www.cipd.co.uk" TargetMode="External"/><Relationship Id="rId34" Type="http://schemas.openxmlformats.org/officeDocument/2006/relationships/theme" Target="theme/theme1.xml"/><Relationship Id="rId7" Type="http://schemas.openxmlformats.org/officeDocument/2006/relationships/hyperlink" Target="https://www.acas.org.uk/zero-hours-contracts" TargetMode="External"/><Relationship Id="rId12" Type="http://schemas.openxmlformats.org/officeDocument/2006/relationships/hyperlink" Target="https://www.cipd.org/uk/knowledge/factsheets/induction-factsheet/" TargetMode="External"/><Relationship Id="rId17" Type="http://schemas.openxmlformats.org/officeDocument/2006/relationships/hyperlink" Target="https://www.cipd.org/uk/knowledge/factsheets/selection-factsheet/" TargetMode="External"/><Relationship Id="rId25" Type="http://schemas.openxmlformats.org/officeDocument/2006/relationships/hyperlink" Target="https://www.indeed.com/career-advice/career-development/high-employee-turnover"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ipd.org/uk/knowledge/factsheets/reward-factsheet/" TargetMode="External"/><Relationship Id="rId20" Type="http://schemas.openxmlformats.org/officeDocument/2006/relationships/hyperlink" Target="https://www.cipd.org/uk/knowledge/factsheets/economy-labour-market-factsheet/" TargetMode="External"/><Relationship Id="rId29" Type="http://schemas.openxmlformats.org/officeDocument/2006/relationships/hyperlink" Target="https://business.linkedin.com/talent-solutions" TargetMode="External"/><Relationship Id="rId1" Type="http://schemas.openxmlformats.org/officeDocument/2006/relationships/styles" Target="styles.xml"/><Relationship Id="rId6" Type="http://schemas.openxmlformats.org/officeDocument/2006/relationships/hyperlink" Target="https://www.acas.org.uk/changing-an-employment-contract/advice-for-employees/if-your-employer-introduces-a-contract-change-without-your-agreement" TargetMode="External"/><Relationship Id="rId11" Type="http://schemas.openxmlformats.org/officeDocument/2006/relationships/hyperlink" Target="https://www.cipd.co.uk" TargetMode="External"/><Relationship Id="rId24" Type="http://schemas.openxmlformats.org/officeDocument/2006/relationships/hyperlink" Target="https://www.gov.uk/government/publications/simplifying-the-onboarding-process-for-new-starters-communication-resources" TargetMode="External"/><Relationship Id="rId32" Type="http://schemas.openxmlformats.org/officeDocument/2006/relationships/hyperlink" Target="https://www.hrmagazine.co.uk/content/features/retaining-talent-with-leadership-that-cares" TargetMode="External"/><Relationship Id="rId5" Type="http://schemas.openxmlformats.org/officeDocument/2006/relationships/hyperlink" Target="https://www.acas.org.uk/flexible-working" TargetMode="External"/><Relationship Id="rId15" Type="http://schemas.openxmlformats.org/officeDocument/2006/relationships/hyperlink" Target="https://www.cipd.org/uk/knowledge/factsheets/recruitment-factsheet/" TargetMode="External"/><Relationship Id="rId23" Type="http://schemas.openxmlformats.org/officeDocument/2006/relationships/hyperlink" Target="https://hbr.org" TargetMode="External"/><Relationship Id="rId28" Type="http://schemas.openxmlformats.org/officeDocument/2006/relationships/hyperlink" Target="https://uk.indeed.com/career-advice/career-development/recruiting-ats" TargetMode="External"/><Relationship Id="rId10" Type="http://schemas.openxmlformats.org/officeDocument/2006/relationships/hyperlink" Target="https://www.cipd.org/uk/knowledge/factsheets/turnover-retention-factsheet/" TargetMode="External"/><Relationship Id="rId19" Type="http://schemas.openxmlformats.org/officeDocument/2006/relationships/hyperlink" Target="https://www.cipd.org/uk/about/press-releases/150222tight-labour-market-employment-offer/" TargetMode="External"/><Relationship Id="rId31" Type="http://schemas.openxmlformats.org/officeDocument/2006/relationships/hyperlink" Target="https://www.linkedin.com/pulse/poor-induction-process-whats-effect-your-business-sarah-jane-thomas" TargetMode="External"/><Relationship Id="rId4" Type="http://schemas.openxmlformats.org/officeDocument/2006/relationships/hyperlink" Target="https://www.acas.org.uk/recruitment/choosing-who-to-interview" TargetMode="External"/><Relationship Id="rId9" Type="http://schemas.openxmlformats.org/officeDocument/2006/relationships/hyperlink" Target="https://www.cipd.org/uk/knowledge/factsheets/bonuses-factsheet/" TargetMode="External"/><Relationship Id="rId14" Type="http://schemas.openxmlformats.org/officeDocument/2006/relationships/hyperlink" Target="https://www.cipd.org/uk/knowledge/factsheets/organisational-development-factsheet/" TargetMode="External"/><Relationship Id="rId22" Type="http://schemas.openxmlformats.org/officeDocument/2006/relationships/hyperlink" Target="https://www.gov.uk/fixed-term-contracts" TargetMode="External"/><Relationship Id="rId27" Type="http://schemas.openxmlformats.org/officeDocument/2006/relationships/hyperlink" Target="https://www.indeed.com/career-advice/career-development/realistic-job-preview" TargetMode="External"/><Relationship Id="rId30" Type="http://schemas.openxmlformats.org/officeDocument/2006/relationships/hyperlink" Target="https://designnotes.blog.gov.uk/2023/03/13/using-scenario-building-to-think-through-options-for-your-service-or-policy/" TargetMode="External"/><Relationship Id="rId8" Type="http://schemas.openxmlformats.org/officeDocument/2006/relationships/hyperlink" Target="https://www.cipd.org/uk/views-and-insights/thought-leadership/cipd-voice/benchmarking-employee-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10</Pages>
  <Words>4925</Words>
  <Characters>28079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20</cp:revision>
  <dcterms:created xsi:type="dcterms:W3CDTF">2025-06-18T10:15:00Z</dcterms:created>
  <dcterms:modified xsi:type="dcterms:W3CDTF">2025-06-27T15:44:00Z</dcterms:modified>
</cp:coreProperties>
</file>