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center"/>
        <w:rPr>
          <w:rFonts w:ascii="Times New Roman" w:hAnsi="Times New Roman" w:cs="Times New Roman" w:eastAsia="Times New Roman"/>
          <w:b/>
          <w:color w:val="000000"/>
          <w:spacing w:val="-10"/>
          <w:position w:val="0"/>
          <w:sz w:val="36"/>
          <w:u w:val="single"/>
          <w:shd w:fill="FFFFFF" w:val="clear"/>
        </w:rPr>
      </w:pPr>
      <w:r>
        <w:rPr>
          <w:rFonts w:ascii="Times New Roman" w:hAnsi="Times New Roman" w:cs="Times New Roman" w:eastAsia="Times New Roman"/>
          <w:b/>
          <w:color w:val="000000"/>
          <w:spacing w:val="-10"/>
          <w:position w:val="0"/>
          <w:sz w:val="36"/>
          <w:u w:val="single"/>
          <w:shd w:fill="FFFFFF" w:val="clear"/>
        </w:rPr>
        <w:t xml:space="preserve"> </w:t>
      </w:r>
    </w:p>
    <w:p>
      <w:pPr>
        <w:spacing w:before="0" w:after="0" w:line="360"/>
        <w:ind w:right="0" w:left="0" w:firstLine="0"/>
        <w:jc w:val="center"/>
        <w:rPr>
          <w:rFonts w:ascii="Times New Roman" w:hAnsi="Times New Roman" w:cs="Times New Roman" w:eastAsia="Times New Roman"/>
          <w:b/>
          <w:color w:val="000000"/>
          <w:spacing w:val="-10"/>
          <w:position w:val="0"/>
          <w:sz w:val="36"/>
          <w:u w:val="single"/>
          <w:shd w:fill="FFFFFF" w:val="clear"/>
        </w:rPr>
      </w:pPr>
    </w:p>
    <w:p>
      <w:pPr>
        <w:spacing w:before="0" w:after="0" w:line="360"/>
        <w:ind w:right="0" w:left="0" w:firstLine="0"/>
        <w:jc w:val="center"/>
        <w:rPr>
          <w:rFonts w:ascii="Times New Roman" w:hAnsi="Times New Roman" w:cs="Times New Roman" w:eastAsia="Times New Roman"/>
          <w:b/>
          <w:color w:val="000000"/>
          <w:spacing w:val="-10"/>
          <w:position w:val="0"/>
          <w:sz w:val="36"/>
          <w:u w:val="single"/>
          <w:shd w:fill="FFFFFF" w:val="clear"/>
        </w:rPr>
      </w:pPr>
    </w:p>
    <w:p>
      <w:pPr>
        <w:spacing w:before="0" w:after="0" w:line="360"/>
        <w:ind w:right="0" w:left="0" w:firstLine="0"/>
        <w:jc w:val="center"/>
        <w:rPr>
          <w:rFonts w:ascii="Times New Roman" w:hAnsi="Times New Roman" w:cs="Times New Roman" w:eastAsia="Times New Roman"/>
          <w:b/>
          <w:color w:val="000000"/>
          <w:spacing w:val="-10"/>
          <w:position w:val="0"/>
          <w:sz w:val="36"/>
          <w:u w:val="single"/>
          <w:shd w:fill="FFFFFF" w:val="clear"/>
        </w:rPr>
      </w:pPr>
    </w:p>
    <w:p>
      <w:pPr>
        <w:spacing w:before="0" w:after="0" w:line="360"/>
        <w:ind w:right="0" w:left="0" w:firstLine="0"/>
        <w:jc w:val="center"/>
        <w:rPr>
          <w:rFonts w:ascii="Times New Roman" w:hAnsi="Times New Roman" w:cs="Times New Roman" w:eastAsia="Times New Roman"/>
          <w:b/>
          <w:color w:val="000000"/>
          <w:spacing w:val="-10"/>
          <w:position w:val="0"/>
          <w:sz w:val="36"/>
          <w:u w:val="single"/>
          <w:shd w:fill="FFFFFF" w:val="clear"/>
        </w:rPr>
      </w:pPr>
    </w:p>
    <w:p>
      <w:pPr>
        <w:spacing w:before="0" w:after="0" w:line="360"/>
        <w:ind w:right="0" w:left="0" w:firstLine="0"/>
        <w:jc w:val="center"/>
        <w:rPr>
          <w:rFonts w:ascii="Times New Roman" w:hAnsi="Times New Roman" w:cs="Times New Roman" w:eastAsia="Times New Roman"/>
          <w:b/>
          <w:color w:val="000000"/>
          <w:spacing w:val="-10"/>
          <w:position w:val="0"/>
          <w:sz w:val="36"/>
          <w:u w:val="single"/>
          <w:shd w:fill="FFFFFF" w:val="clear"/>
        </w:rPr>
      </w:pPr>
    </w:p>
    <w:p>
      <w:pPr>
        <w:spacing w:before="0" w:after="0" w:line="360"/>
        <w:ind w:right="0" w:left="0" w:firstLine="0"/>
        <w:jc w:val="center"/>
        <w:rPr>
          <w:rFonts w:ascii="Times New Roman" w:hAnsi="Times New Roman" w:cs="Times New Roman" w:eastAsia="Times New Roman"/>
          <w:b/>
          <w:color w:val="000000"/>
          <w:spacing w:val="-10"/>
          <w:position w:val="0"/>
          <w:sz w:val="36"/>
          <w:u w:val="single"/>
          <w:shd w:fill="FFFFFF" w:val="clear"/>
        </w:rPr>
      </w:pPr>
    </w:p>
    <w:p>
      <w:pPr>
        <w:spacing w:before="0" w:after="0" w:line="360"/>
        <w:ind w:right="0" w:left="0" w:firstLine="0"/>
        <w:jc w:val="center"/>
        <w:rPr>
          <w:rFonts w:ascii="Times New Roman" w:hAnsi="Times New Roman" w:cs="Times New Roman" w:eastAsia="Times New Roman"/>
          <w:b/>
          <w:color w:val="000000"/>
          <w:spacing w:val="-10"/>
          <w:position w:val="0"/>
          <w:sz w:val="36"/>
          <w:u w:val="single"/>
          <w:shd w:fill="FFFFFF" w:val="clear"/>
        </w:rPr>
      </w:pPr>
    </w:p>
    <w:p>
      <w:pPr>
        <w:spacing w:before="0" w:after="0" w:line="360"/>
        <w:ind w:right="0" w:left="0" w:firstLine="0"/>
        <w:jc w:val="center"/>
        <w:rPr>
          <w:rFonts w:ascii="Times New Roman" w:hAnsi="Times New Roman" w:cs="Times New Roman" w:eastAsia="Times New Roman"/>
          <w:b/>
          <w:color w:val="000000"/>
          <w:spacing w:val="-10"/>
          <w:position w:val="0"/>
          <w:sz w:val="36"/>
          <w:u w:val="single"/>
          <w:shd w:fill="FFFFFF" w:val="clear"/>
        </w:rPr>
      </w:pPr>
    </w:p>
    <w:p>
      <w:pPr>
        <w:spacing w:before="0" w:after="0" w:line="360"/>
        <w:ind w:right="0" w:left="0" w:firstLine="0"/>
        <w:jc w:val="center"/>
        <w:rPr>
          <w:rFonts w:ascii="Times New Roman" w:hAnsi="Times New Roman" w:cs="Times New Roman" w:eastAsia="Times New Roman"/>
          <w:b/>
          <w:color w:val="000000"/>
          <w:spacing w:val="-10"/>
          <w:position w:val="0"/>
          <w:sz w:val="36"/>
          <w:u w:val="single"/>
          <w:shd w:fill="FFFFFF" w:val="clear"/>
        </w:rPr>
      </w:pPr>
    </w:p>
    <w:p>
      <w:pPr>
        <w:spacing w:before="0" w:after="0" w:line="360"/>
        <w:ind w:right="0" w:left="0" w:firstLine="0"/>
        <w:jc w:val="center"/>
        <w:rPr>
          <w:rFonts w:ascii="Times New Roman" w:hAnsi="Times New Roman" w:cs="Times New Roman" w:eastAsia="Times New Roman"/>
          <w:b/>
          <w:color w:val="000000"/>
          <w:spacing w:val="-10"/>
          <w:position w:val="0"/>
          <w:sz w:val="36"/>
          <w:u w:val="single"/>
          <w:shd w:fill="FFFFFF" w:val="clear"/>
        </w:rPr>
      </w:pPr>
      <w:r>
        <w:rPr>
          <w:rFonts w:ascii="Times New Roman" w:hAnsi="Times New Roman" w:cs="Times New Roman" w:eastAsia="Times New Roman"/>
          <w:b/>
          <w:color w:val="000000"/>
          <w:spacing w:val="-10"/>
          <w:position w:val="0"/>
          <w:sz w:val="36"/>
          <w:u w:val="single"/>
          <w:shd w:fill="FFFFFF" w:val="clear"/>
        </w:rPr>
        <w:t xml:space="preserve">CRIMINAL LAW </w:t>
      </w:r>
    </w:p>
    <w:p>
      <w:pPr>
        <w:spacing w:before="0" w:after="160" w:line="259"/>
        <w:ind w:right="0" w:left="0" w:firstLine="0"/>
        <w:jc w:val="left"/>
        <w:rPr>
          <w:rFonts w:ascii="Times New Roman" w:hAnsi="Times New Roman" w:cs="Times New Roman" w:eastAsia="Times New Roman"/>
          <w:color w:val="auto"/>
          <w:spacing w:val="0"/>
          <w:position w:val="0"/>
          <w:sz w:val="24"/>
          <w:u w:val="single"/>
          <w:shd w:fill="FFFFFF" w:val="clear"/>
        </w:rPr>
      </w:pPr>
      <w:r>
        <w:rPr>
          <w:rFonts w:ascii="Times New Roman" w:hAnsi="Times New Roman" w:cs="Times New Roman" w:eastAsia="Times New Roman"/>
          <w:color w:val="auto"/>
          <w:spacing w:val="0"/>
          <w:position w:val="0"/>
          <w:sz w:val="24"/>
          <w:u w:val="single"/>
          <w:shd w:fill="FFFFFF" w:val="clear"/>
        </w:rPr>
        <w:t xml:space="preserve"> </w:t>
      </w:r>
    </w:p>
    <w:p>
      <w:pPr>
        <w:spacing w:before="0" w:after="160" w:line="259"/>
        <w:ind w:right="0" w:left="0" w:firstLine="0"/>
        <w:jc w:val="left"/>
        <w:rPr>
          <w:rFonts w:ascii="Times New Roman" w:hAnsi="Times New Roman" w:cs="Times New Roman" w:eastAsia="Times New Roman"/>
          <w:b/>
          <w:color w:val="000000"/>
          <w:spacing w:val="-10"/>
          <w:position w:val="0"/>
          <w:sz w:val="36"/>
          <w:u w:val="single"/>
          <w:shd w:fill="FFFFFF"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Name : Elena-Teodora Galban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 no. 2209098</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Introduction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is a discussion about criminal law and other relevant legislation concerning explaining the need for it. It will try to address the different aspects of criminal-related legislation with the help of the case scenario. where will help in knowing about the general principle concerning criminal liability. It will address all the consequences with the help of relevant case laws for a better understanding of the circumstances. </w:t>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Task 1</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primary issues in this situation are Mohammed's death along with Polly's potential criminal liability. The offences that must be considered are criminal damage as well as assault as well as murder.</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First, Polly's actions of disconnecting Roxanne's moped's brake lines with smashed glass constitute criminal damage under </w:t>
      </w:r>
      <w:r>
        <w:rPr>
          <w:rFonts w:ascii="Times New Roman" w:hAnsi="Times New Roman" w:cs="Times New Roman" w:eastAsia="Times New Roman"/>
          <w:b/>
          <w:color w:val="auto"/>
          <w:spacing w:val="0"/>
          <w:position w:val="0"/>
          <w:sz w:val="24"/>
          <w:shd w:fill="auto" w:val="clear"/>
        </w:rPr>
        <w:t xml:space="preserve">Section 1 </w:t>
      </w:r>
      <w:r>
        <w:rPr>
          <w:rFonts w:ascii="Times New Roman" w:hAnsi="Times New Roman" w:cs="Times New Roman" w:eastAsia="Times New Roman"/>
          <w:color w:val="auto"/>
          <w:spacing w:val="0"/>
          <w:position w:val="0"/>
          <w:sz w:val="24"/>
          <w:shd w:fill="auto" w:val="clear"/>
        </w:rPr>
        <w:t xml:space="preserve">of the </w:t>
      </w:r>
      <w:r>
        <w:rPr>
          <w:rFonts w:ascii="Times New Roman" w:hAnsi="Times New Roman" w:cs="Times New Roman" w:eastAsia="Times New Roman"/>
          <w:b/>
          <w:color w:val="auto"/>
          <w:spacing w:val="0"/>
          <w:position w:val="0"/>
          <w:sz w:val="24"/>
          <w:shd w:fill="auto" w:val="clear"/>
        </w:rPr>
        <w:t xml:space="preserve">Criminal Damage Act of 1971</w:t>
      </w:r>
      <w:r>
        <w:rPr>
          <w:rFonts w:ascii="Times New Roman" w:hAnsi="Times New Roman" w:cs="Times New Roman" w:eastAsia="Times New Roman"/>
          <w:color w:val="auto"/>
          <w:spacing w:val="0"/>
          <w:position w:val="0"/>
          <w:sz w:val="24"/>
          <w:shd w:fill="auto" w:val="clear"/>
        </w:rPr>
        <w:t xml:space="preserve">. The </w:t>
      </w:r>
      <w:r>
        <w:rPr>
          <w:rFonts w:ascii="Times New Roman" w:hAnsi="Times New Roman" w:cs="Times New Roman" w:eastAsia="Times New Roman"/>
          <w:b/>
          <w:color w:val="auto"/>
          <w:spacing w:val="0"/>
          <w:position w:val="0"/>
          <w:sz w:val="24"/>
          <w:shd w:fill="auto" w:val="clear"/>
        </w:rPr>
        <w:t xml:space="preserve">actus reus</w:t>
      </w:r>
      <w:r>
        <w:rPr>
          <w:rFonts w:ascii="Times New Roman" w:hAnsi="Times New Roman" w:cs="Times New Roman" w:eastAsia="Times New Roman"/>
          <w:color w:val="auto"/>
          <w:spacing w:val="0"/>
          <w:position w:val="0"/>
          <w:sz w:val="24"/>
          <w:shd w:fill="auto" w:val="clear"/>
        </w:rPr>
        <w:t xml:space="preserve"> of the offence is the purposeful or possibly careless destruction or damage to another person's property without a legal cause (legislation.gov.uk, 2023).  Polly maliciously injured Roxanne's property in this case by cutting the brake lines on her scooter. Polly is held liable for the offence of criminal damage because her actions had no justifiable justification. This is demonstrated by the case in which the defendant, Harjinder Singh Sangha was found guilty of inflicting criminal damage to a victim's car in </w:t>
      </w:r>
      <w:r>
        <w:rPr>
          <w:rFonts w:ascii="Times New Roman" w:hAnsi="Times New Roman" w:cs="Times New Roman" w:eastAsia="Times New Roman"/>
          <w:b/>
          <w:color w:val="auto"/>
          <w:spacing w:val="0"/>
          <w:position w:val="0"/>
          <w:sz w:val="24"/>
          <w:shd w:fill="auto" w:val="clear"/>
        </w:rPr>
        <w:t xml:space="preserve">R v Sangha [1988] 2 All ER 385</w:t>
      </w:r>
      <w:r>
        <w:rPr>
          <w:rFonts w:ascii="Times New Roman" w:hAnsi="Times New Roman" w:cs="Times New Roman" w:eastAsia="Times New Roman"/>
          <w:color w:val="auto"/>
          <w:spacing w:val="0"/>
          <w:position w:val="0"/>
          <w:sz w:val="24"/>
          <w:shd w:fill="auto" w:val="clear"/>
        </w:rPr>
        <w:t xml:space="preserve"> During an argument with the victim, Sangha used a hammer to smash the car's windows as well as the bonnet. At the Wolverhampton Crown Court where the case was heard the prosecution contended that Sangha intentionally damaged the victim's car which resulted in financial loss. Sangha, on the other hand, was merely acting in self-defence, according to the defence, during the altercation. However, he was found to have damaged the car intentionally and without any certain cause, according to the court. Sangha received a four-month prison term with a two-year suspension from the judge. This case emphasizes the criminal repercussions of harming property without a valid justification. Additionally, it emphasizes how crucial personal accountability along with restraint are in dispute or conflict situations.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Second, Polly assaulted Roxanne by calling her a "bitch" and pointing her middle finger at her, according to </w:t>
      </w:r>
      <w:r>
        <w:rPr>
          <w:rFonts w:ascii="Times New Roman" w:hAnsi="Times New Roman" w:cs="Times New Roman" w:eastAsia="Times New Roman"/>
          <w:b/>
          <w:color w:val="auto"/>
          <w:spacing w:val="0"/>
          <w:position w:val="0"/>
          <w:sz w:val="24"/>
          <w:shd w:fill="auto" w:val="clear"/>
        </w:rPr>
        <w:t xml:space="preserve">section 39</w:t>
      </w:r>
      <w:r>
        <w:rPr>
          <w:rFonts w:ascii="Times New Roman" w:hAnsi="Times New Roman" w:cs="Times New Roman" w:eastAsia="Times New Roman"/>
          <w:color w:val="auto"/>
          <w:spacing w:val="0"/>
          <w:position w:val="0"/>
          <w:sz w:val="24"/>
          <w:shd w:fill="auto" w:val="clear"/>
        </w:rPr>
        <w:t xml:space="preserve"> of the </w:t>
      </w:r>
      <w:r>
        <w:rPr>
          <w:rFonts w:ascii="Times New Roman" w:hAnsi="Times New Roman" w:cs="Times New Roman" w:eastAsia="Times New Roman"/>
          <w:b/>
          <w:color w:val="auto"/>
          <w:spacing w:val="0"/>
          <w:position w:val="0"/>
          <w:sz w:val="24"/>
          <w:shd w:fill="auto" w:val="clear"/>
        </w:rPr>
        <w:t xml:space="preserve">Criminal Justice Act of 1988</w:t>
      </w:r>
      <w:r>
        <w:rPr>
          <w:rFonts w:ascii="Times New Roman" w:hAnsi="Times New Roman" w:cs="Times New Roman" w:eastAsia="Times New Roman"/>
          <w:color w:val="auto"/>
          <w:spacing w:val="0"/>
          <w:position w:val="0"/>
          <w:sz w:val="24"/>
          <w:shd w:fill="auto" w:val="clear"/>
        </w:rPr>
        <w:t xml:space="preserve">. An attack is defined as the planned or thoughtless act of making another person fear the impending use of criminal force (legislation.gov.uk, 2023).  Polly's behaviour, in this case, made Roxanne fearful that Polly might physically assault her. As a result, Polly is held accountable for the assault. This is supported by the case of </w:t>
      </w:r>
      <w:r>
        <w:rPr>
          <w:rFonts w:ascii="Times New Roman" w:hAnsi="Times New Roman" w:cs="Times New Roman" w:eastAsia="Times New Roman"/>
          <w:b/>
          <w:color w:val="auto"/>
          <w:spacing w:val="0"/>
          <w:position w:val="0"/>
          <w:sz w:val="24"/>
          <w:shd w:fill="auto" w:val="clear"/>
        </w:rPr>
        <w:t xml:space="preserve">R v Constanza [1997] Crim LR 576 </w:t>
      </w:r>
      <w:r>
        <w:rPr>
          <w:rFonts w:ascii="Times New Roman" w:hAnsi="Times New Roman" w:cs="Times New Roman" w:eastAsia="Times New Roman"/>
          <w:color w:val="auto"/>
          <w:spacing w:val="0"/>
          <w:position w:val="0"/>
          <w:sz w:val="24"/>
          <w:shd w:fill="auto" w:val="clear"/>
        </w:rPr>
        <w:t xml:space="preserve">the defendant was found guilty of assault after threatening the victim in a string of letters. The defendant was found to have caused the victim fear and distress despite not physically injuring them. The victim's perception and comprehension of the danger play a critical role in deciding guilt, the court decided, because assault is defined as both bodily hurt and the threat of violence. This situation underscores the value of taking into account how words, as well as deeds, affect victims and how they can still constitute violence even in the absence of physical contact.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Moving on to the most heinous crime which is Mohammed's death. Mohammed was killed by Polly beating him over the head with a glass ashtray. According to </w:t>
      </w:r>
      <w:r>
        <w:rPr>
          <w:rFonts w:ascii="Times New Roman" w:hAnsi="Times New Roman" w:cs="Times New Roman" w:eastAsia="Times New Roman"/>
          <w:b/>
          <w:color w:val="auto"/>
          <w:spacing w:val="0"/>
          <w:position w:val="0"/>
          <w:sz w:val="24"/>
          <w:shd w:fill="auto" w:val="clear"/>
        </w:rPr>
        <w:t xml:space="preserve">Section 1</w:t>
      </w:r>
      <w:r>
        <w:rPr>
          <w:rFonts w:ascii="Times New Roman" w:hAnsi="Times New Roman" w:cs="Times New Roman" w:eastAsia="Times New Roman"/>
          <w:color w:val="auto"/>
          <w:spacing w:val="0"/>
          <w:position w:val="0"/>
          <w:sz w:val="24"/>
          <w:shd w:fill="auto" w:val="clear"/>
        </w:rPr>
        <w:t xml:space="preserve"> of the </w:t>
      </w:r>
      <w:r>
        <w:rPr>
          <w:rFonts w:ascii="Times New Roman" w:hAnsi="Times New Roman" w:cs="Times New Roman" w:eastAsia="Times New Roman"/>
          <w:b/>
          <w:color w:val="auto"/>
          <w:spacing w:val="0"/>
          <w:position w:val="0"/>
          <w:sz w:val="24"/>
          <w:shd w:fill="auto" w:val="clear"/>
        </w:rPr>
        <w:t xml:space="preserve">Murder Act of 1965</w:t>
      </w:r>
      <w:r>
        <w:rPr>
          <w:rFonts w:ascii="Times New Roman" w:hAnsi="Times New Roman" w:cs="Times New Roman" w:eastAsia="Times New Roman"/>
          <w:color w:val="auto"/>
          <w:spacing w:val="0"/>
          <w:position w:val="0"/>
          <w:sz w:val="24"/>
          <w:shd w:fill="auto" w:val="clear"/>
        </w:rPr>
        <w:t xml:space="preserve"> Murder is defined as the unlawful killing of a person while they are subject to the Queen's peace with the intent to kill or cause serious bodily injury (legislation.gov.uk, 2023).  In this case, Mohammed was killed by Polly's premeditated use of a glass ashtray to strike him in the head. She is guilty of murder since she planned to inflict great injury. This is confirmed by the case of </w:t>
      </w:r>
      <w:r>
        <w:rPr>
          <w:rFonts w:ascii="Times New Roman" w:hAnsi="Times New Roman" w:cs="Times New Roman" w:eastAsia="Times New Roman"/>
          <w:b/>
          <w:color w:val="auto"/>
          <w:spacing w:val="0"/>
          <w:position w:val="0"/>
          <w:sz w:val="24"/>
          <w:shd w:fill="auto" w:val="clear"/>
        </w:rPr>
        <w:t xml:space="preserve">R v Woollin [1999] AC 82 </w:t>
      </w:r>
      <w:r>
        <w:rPr>
          <w:rFonts w:ascii="Times New Roman" w:hAnsi="Times New Roman" w:cs="Times New Roman" w:eastAsia="Times New Roman"/>
          <w:color w:val="auto"/>
          <w:spacing w:val="0"/>
          <w:position w:val="0"/>
          <w:sz w:val="24"/>
          <w:shd w:fill="auto" w:val="clear"/>
        </w:rPr>
        <w:t xml:space="preserve">under which the defendant was found guilty of murder after tossing his newborn against a wall with the purpose to cause significant harm which resulted in the baby's death.</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Polly's actions towards Mohammed during the offence she perpetrated against him appear to have progressed from a verbal quarrel to a physical altercation, which ultimately resulted in Mohammed's death. Polly specifically struck Mohammed with a glass ashtray, causing an instantaneous head injury death. Murder is the unlawful killing of a person while they are still in the Queen's peace, and </w:t>
      </w:r>
      <w:r>
        <w:rPr>
          <w:rFonts w:ascii="Times New Roman" w:hAnsi="Times New Roman" w:cs="Times New Roman" w:eastAsia="Times New Roman"/>
          <w:b/>
          <w:color w:val="auto"/>
          <w:spacing w:val="0"/>
          <w:position w:val="0"/>
          <w:sz w:val="24"/>
          <w:shd w:fill="auto" w:val="clear"/>
        </w:rPr>
        <w:t xml:space="preserve">mens rea</w:t>
      </w:r>
      <w:r>
        <w:rPr>
          <w:rFonts w:ascii="Times New Roman" w:hAnsi="Times New Roman" w:cs="Times New Roman" w:eastAsia="Times New Roman"/>
          <w:color w:val="auto"/>
          <w:spacing w:val="0"/>
          <w:position w:val="0"/>
          <w:sz w:val="24"/>
          <w:shd w:fill="auto" w:val="clear"/>
        </w:rPr>
        <w:t xml:space="preserve"> is the desire to kill or do grievous bodily harm (GBH) to another person (</w:t>
      </w:r>
      <w:r>
        <w:rPr>
          <w:rFonts w:ascii="Times New Roman" w:hAnsi="Times New Roman" w:cs="Times New Roman" w:eastAsia="Times New Roman"/>
          <w:color w:val="auto"/>
          <w:spacing w:val="0"/>
          <w:position w:val="0"/>
          <w:sz w:val="24"/>
          <w:shd w:fill="FFFFFF" w:val="clear"/>
        </w:rPr>
        <w:t xml:space="preserve">Gledhill, 2019). </w:t>
      </w:r>
      <w:r>
        <w:rPr>
          <w:rFonts w:ascii="Times New Roman" w:hAnsi="Times New Roman" w:cs="Times New Roman" w:eastAsia="Times New Roman"/>
          <w:color w:val="auto"/>
          <w:spacing w:val="0"/>
          <w:position w:val="0"/>
          <w:sz w:val="24"/>
          <w:shd w:fill="auto" w:val="clear"/>
        </w:rPr>
        <w:t xml:space="preserve"> Here, it is apparent that Polly unlawfully killed Mohammed by striking him with a glass ashtray with the purpose to kill or cause GBH. This is due to Polly's constant implication that Mohammed preferred Roxanne above her and accused him of having an affair with her, provoking her rage and leading to an attack on Mohammed.</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Polly on the other hand, may invoke the defence of diminished culpability under </w:t>
      </w:r>
      <w:r>
        <w:rPr>
          <w:rFonts w:ascii="Times New Roman" w:hAnsi="Times New Roman" w:cs="Times New Roman" w:eastAsia="Times New Roman"/>
          <w:b/>
          <w:color w:val="auto"/>
          <w:spacing w:val="0"/>
          <w:position w:val="0"/>
          <w:sz w:val="24"/>
          <w:shd w:fill="auto" w:val="clear"/>
        </w:rPr>
        <w:t xml:space="preserve">Section 2</w:t>
      </w:r>
      <w:r>
        <w:rPr>
          <w:rFonts w:ascii="Times New Roman" w:hAnsi="Times New Roman" w:cs="Times New Roman" w:eastAsia="Times New Roman"/>
          <w:color w:val="auto"/>
          <w:spacing w:val="0"/>
          <w:position w:val="0"/>
          <w:sz w:val="24"/>
          <w:shd w:fill="auto" w:val="clear"/>
        </w:rPr>
        <w:t xml:space="preserve"> of the </w:t>
      </w:r>
      <w:r>
        <w:rPr>
          <w:rFonts w:ascii="Times New Roman" w:hAnsi="Times New Roman" w:cs="Times New Roman" w:eastAsia="Times New Roman"/>
          <w:b/>
          <w:color w:val="auto"/>
          <w:spacing w:val="0"/>
          <w:position w:val="0"/>
          <w:sz w:val="24"/>
          <w:shd w:fill="auto" w:val="clear"/>
        </w:rPr>
        <w:t xml:space="preserve">Homicide Act of 1957</w:t>
      </w:r>
      <w:r>
        <w:rPr>
          <w:rFonts w:ascii="Times New Roman" w:hAnsi="Times New Roman" w:cs="Times New Roman" w:eastAsia="Times New Roman"/>
          <w:color w:val="auto"/>
          <w:spacing w:val="0"/>
          <w:position w:val="0"/>
          <w:sz w:val="24"/>
          <w:shd w:fill="auto" w:val="clear"/>
        </w:rPr>
        <w:t xml:space="preserve">. The defence applies when a defendant has a mental functioning disorder that significantly hinders their ability to understand the nature of their activities and further develop a reasoned judgement or exercise self-control (legislation.gov.uk, 2023).  Polly has a history of schizophrenia which may have contributed to her acting erratically as well as losing control when she attacked Mohammed with the ashtray. In the case of </w:t>
      </w:r>
      <w:r>
        <w:rPr>
          <w:rFonts w:ascii="Times New Roman" w:hAnsi="Times New Roman" w:cs="Times New Roman" w:eastAsia="Times New Roman"/>
          <w:b/>
          <w:color w:val="auto"/>
          <w:spacing w:val="0"/>
          <w:position w:val="0"/>
          <w:sz w:val="24"/>
          <w:shd w:fill="auto" w:val="clear"/>
        </w:rPr>
        <w:t xml:space="preserve">R v Hatter [2013] WLR(D) 130</w:t>
      </w:r>
      <w:r>
        <w:rPr>
          <w:rFonts w:ascii="Times New Roman" w:hAnsi="Times New Roman" w:cs="Times New Roman" w:eastAsia="Times New Roman"/>
          <w:color w:val="auto"/>
          <w:spacing w:val="0"/>
          <w:position w:val="0"/>
          <w:sz w:val="24"/>
          <w:shd w:fill="auto" w:val="clear"/>
        </w:rPr>
        <w:t xml:space="preserve">, the defendant successfully asserted this argument to prevent the jury from convicting him of murder due to decreased culpability caused by a personality disorder.</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Polly may also invoke the provocation defence under </w:t>
      </w:r>
      <w:r>
        <w:rPr>
          <w:rFonts w:ascii="Times New Roman" w:hAnsi="Times New Roman" w:cs="Times New Roman" w:eastAsia="Times New Roman"/>
          <w:b/>
          <w:color w:val="auto"/>
          <w:spacing w:val="0"/>
          <w:position w:val="0"/>
          <w:sz w:val="24"/>
          <w:shd w:fill="auto" w:val="clear"/>
        </w:rPr>
        <w:t xml:space="preserve">Section 3</w:t>
      </w:r>
      <w:r>
        <w:rPr>
          <w:rFonts w:ascii="Times New Roman" w:hAnsi="Times New Roman" w:cs="Times New Roman" w:eastAsia="Times New Roman"/>
          <w:color w:val="auto"/>
          <w:spacing w:val="0"/>
          <w:position w:val="0"/>
          <w:sz w:val="24"/>
          <w:shd w:fill="auto" w:val="clear"/>
        </w:rPr>
        <w:t xml:space="preserve"> of the </w:t>
      </w:r>
      <w:r>
        <w:rPr>
          <w:rFonts w:ascii="Times New Roman" w:hAnsi="Times New Roman" w:cs="Times New Roman" w:eastAsia="Times New Roman"/>
          <w:b/>
          <w:color w:val="auto"/>
          <w:spacing w:val="0"/>
          <w:position w:val="0"/>
          <w:sz w:val="24"/>
          <w:shd w:fill="auto" w:val="clear"/>
        </w:rPr>
        <w:t xml:space="preserve">Homicide Act of 1957</w:t>
      </w:r>
      <w:r>
        <w:rPr>
          <w:rFonts w:ascii="Times New Roman" w:hAnsi="Times New Roman" w:cs="Times New Roman" w:eastAsia="Times New Roman"/>
          <w:color w:val="auto"/>
          <w:spacing w:val="0"/>
          <w:position w:val="0"/>
          <w:sz w:val="24"/>
          <w:shd w:fill="auto" w:val="clear"/>
        </w:rPr>
        <w:t xml:space="preserve">. The defence applies when a defendant loses control and further kills someone as a result of a sudden as well as any transitory loss of control caused by a qualifying trigger. In this case, Polly was aroused by Mohammed's admission of an affair with Roxanne and his resolve to abandon Polly for Roxanne. In </w:t>
      </w:r>
      <w:r>
        <w:rPr>
          <w:rFonts w:ascii="Times New Roman" w:hAnsi="Times New Roman" w:cs="Times New Roman" w:eastAsia="Times New Roman"/>
          <w:b/>
          <w:color w:val="auto"/>
          <w:spacing w:val="0"/>
          <w:position w:val="0"/>
          <w:sz w:val="24"/>
          <w:shd w:fill="auto" w:val="clear"/>
        </w:rPr>
        <w:t xml:space="preserve">R v Brennan [2014] EWCA Crim 2387</w:t>
      </w:r>
      <w:r>
        <w:rPr>
          <w:rFonts w:ascii="Times New Roman" w:hAnsi="Times New Roman" w:cs="Times New Roman" w:eastAsia="Times New Roman"/>
          <w:color w:val="auto"/>
          <w:spacing w:val="0"/>
          <w:position w:val="0"/>
          <w:sz w:val="24"/>
          <w:shd w:fill="auto" w:val="clear"/>
        </w:rPr>
        <w:t xml:space="preserve"> the defendant's defence was successful as he was found guilty of manslaughter rather than murder as a result of provocation caused by the victim's taunting.</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has been observed that there was a long period of time between the provocation and the murder therefore the provocation argument may not hold up in this case. The defendant, according to the law needs to have committed the offence when incensed by the provocation and before it had a chance to cool. In </w:t>
      </w:r>
      <w:r>
        <w:rPr>
          <w:rFonts w:ascii="Times New Roman" w:hAnsi="Times New Roman" w:cs="Times New Roman" w:eastAsia="Times New Roman"/>
          <w:b/>
          <w:color w:val="auto"/>
          <w:spacing w:val="0"/>
          <w:position w:val="0"/>
          <w:sz w:val="24"/>
          <w:shd w:fill="auto" w:val="clear"/>
        </w:rPr>
        <w:t xml:space="preserve">R v Ahluwalia [1992] 4 All ER 889 </w:t>
      </w:r>
      <w:r>
        <w:rPr>
          <w:rFonts w:ascii="Times New Roman" w:hAnsi="Times New Roman" w:cs="Times New Roman" w:eastAsia="Times New Roman"/>
          <w:color w:val="auto"/>
          <w:spacing w:val="0"/>
          <w:position w:val="0"/>
          <w:sz w:val="24"/>
          <w:shd w:fill="auto" w:val="clear"/>
        </w:rPr>
        <w:t xml:space="preserve">it was decided that if there was a sufficiently long gap between the provocation and the murder then the provocation defence would be inadmissible. Here Polly's fury had lessened by the time she killed Mohammed due to the amount of time between the provocation (Mohammed's confession of the affair). As a result, the provocation defence is unlikely to succeed.</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Polly's actions may be considered harassment under the </w:t>
      </w:r>
      <w:r>
        <w:rPr>
          <w:rFonts w:ascii="Times New Roman" w:hAnsi="Times New Roman" w:cs="Times New Roman" w:eastAsia="Times New Roman"/>
          <w:b/>
          <w:color w:val="auto"/>
          <w:spacing w:val="0"/>
          <w:position w:val="0"/>
          <w:sz w:val="24"/>
          <w:shd w:fill="auto" w:val="clear"/>
        </w:rPr>
        <w:t xml:space="preserve">Protection from</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Harassment Act 1997</w:t>
      </w:r>
      <w:r>
        <w:rPr>
          <w:rFonts w:ascii="Times New Roman" w:hAnsi="Times New Roman" w:cs="Times New Roman" w:eastAsia="Times New Roman"/>
          <w:color w:val="auto"/>
          <w:spacing w:val="0"/>
          <w:position w:val="0"/>
          <w:sz w:val="24"/>
          <w:shd w:fill="auto" w:val="clear"/>
        </w:rPr>
        <w:t xml:space="preserve"> because they were intended to disturb as well as get terrify or may distress Roxanne. Polly's harsh words as well as middle finger gestures at Roxanne certainly qualify as such actions. It should be noted that the crime of harassment requires a pattern of activity rather than a single incident therefore determining the elements of this crime based on the evidence supplied may be difficult (legislation.gov.uk, 2023). Reduced responsibility as if accepted can be further used as a partial defence to murder that can result in a manslaughter conviction rather than a murder conviction. Polly must demonstrate that she was experiencing abnormal mental functioning at the time of the murder as a result of a recognized medical condition such as </w:t>
      </w:r>
      <w:r>
        <w:rPr>
          <w:rFonts w:ascii="Times New Roman" w:hAnsi="Times New Roman" w:cs="Times New Roman" w:eastAsia="Times New Roman"/>
          <w:b/>
          <w:color w:val="auto"/>
          <w:spacing w:val="0"/>
          <w:position w:val="0"/>
          <w:sz w:val="24"/>
          <w:shd w:fill="auto" w:val="clear"/>
        </w:rPr>
        <w:t xml:space="preserve">schizophrenia. </w:t>
      </w:r>
      <w:r>
        <w:rPr>
          <w:rFonts w:ascii="Times New Roman" w:hAnsi="Times New Roman" w:cs="Times New Roman" w:eastAsia="Times New Roman"/>
          <w:color w:val="auto"/>
          <w:spacing w:val="0"/>
          <w:position w:val="0"/>
          <w:sz w:val="24"/>
          <w:shd w:fill="auto" w:val="clear"/>
        </w:rPr>
        <w:t xml:space="preserve">Which significantly hampered her ability to comprehend the reason for her actions form an objective judgement or might be exercise self-control. Polly's schizophrenia could be interpreted in this context as a diagnosed mental condition that made it difficult for her to manage her behaviours as evidenced by her paranoid acts against Roxanne in the pub and her unreasonable charges against Mohammed. It should be noted, however, that in order for Polly's mental handicap to qualify as the principal cause of the homicide, as required by the reduced responsibility defence, the jury must decide that the impairment was satisfied at that level. Furthermore, rather than absolving Polly of responsibility, the claim of diminished responsibility reduces her crime from murder to manslaughter, which still carries a serious prison term.</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Finally, the evidence shows that Polly has engaged in a variety of criminal activities that includes harassment as well as criminal property destruction and even murder. Polly may be able to argue diminished responsibility if charged with murder but the data suggests that she is more likely to be found guilty of these acts as per the case scenario.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Conclusion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has explained and helped in learning about the social as well as moral and ethical values as well as has firmly described the issue. It has explained the scenario in a possible learning outcome that has addressed the different legislation one by one with the help of the relevant case laws. Which has helped and explained the terms and perception of the case scenario.</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References </w:t>
      </w:r>
    </w:p>
    <w:p>
      <w:pPr>
        <w:spacing w:before="0" w:after="160" w:line="360"/>
        <w:ind w:right="0" w:left="1440" w:hanging="14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legislation.gov.uk, (2023). Criminal Damage Act 1971 [Online] Available at: </w:t>
      </w:r>
      <w:hyperlink xmlns:r="http://schemas.openxmlformats.org/officeDocument/2006/relationships" r:id="docRId0">
        <w:r>
          <w:rPr>
            <w:rFonts w:ascii="Times New Roman" w:hAnsi="Times New Roman" w:cs="Times New Roman" w:eastAsia="Times New Roman"/>
            <w:color w:val="0000FF"/>
            <w:spacing w:val="0"/>
            <w:position w:val="0"/>
            <w:sz w:val="24"/>
            <w:u w:val="single"/>
            <w:shd w:fill="auto" w:val="clear"/>
          </w:rPr>
          <w:t xml:space="preserve">https://www.legislation.gov.uk/ukpga/1971/48/section/1</w:t>
        </w:r>
      </w:hyperlink>
      <w:r>
        <w:rPr>
          <w:rFonts w:ascii="Times New Roman" w:hAnsi="Times New Roman" w:cs="Times New Roman" w:eastAsia="Times New Roman"/>
          <w:color w:val="auto"/>
          <w:spacing w:val="0"/>
          <w:position w:val="0"/>
          <w:sz w:val="24"/>
          <w:shd w:fill="auto" w:val="clear"/>
        </w:rPr>
        <w:t xml:space="preserve"> [Accessed on 4 May 2023]. </w:t>
      </w:r>
    </w:p>
    <w:p>
      <w:pPr>
        <w:spacing w:before="0" w:after="160" w:line="360"/>
        <w:ind w:right="0" w:left="1440" w:hanging="14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legislation.gov.uk, (2023). Criminal Justice Act 1988 [Online] Available at: </w:t>
      </w:r>
      <w:hyperlink xmlns:r="http://schemas.openxmlformats.org/officeDocument/2006/relationships" r:id="docRId1">
        <w:r>
          <w:rPr>
            <w:rFonts w:ascii="Times New Roman" w:hAnsi="Times New Roman" w:cs="Times New Roman" w:eastAsia="Times New Roman"/>
            <w:color w:val="0000FF"/>
            <w:spacing w:val="0"/>
            <w:position w:val="0"/>
            <w:sz w:val="24"/>
            <w:u w:val="single"/>
            <w:shd w:fill="auto" w:val="clear"/>
          </w:rPr>
          <w:t xml:space="preserve">https://www.legislation.gov.uk/ukpga/1988/33/section/39</w:t>
        </w:r>
      </w:hyperlink>
      <w:r>
        <w:rPr>
          <w:rFonts w:ascii="Times New Roman" w:hAnsi="Times New Roman" w:cs="Times New Roman" w:eastAsia="Times New Roman"/>
          <w:color w:val="auto"/>
          <w:spacing w:val="0"/>
          <w:position w:val="0"/>
          <w:sz w:val="24"/>
          <w:shd w:fill="auto" w:val="clear"/>
        </w:rPr>
        <w:t xml:space="preserve"> [Accessed on 4 May 2023].</w:t>
      </w:r>
    </w:p>
    <w:p>
      <w:pPr>
        <w:spacing w:before="0" w:after="160" w:line="360"/>
        <w:ind w:right="0" w:left="1440" w:hanging="14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legislation.gov.uk, (2023). Murder (Abolition of Death Penalty) Act 1965 [Online] Available at: </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auto" w:val="clear"/>
          </w:rPr>
          <w:t xml:space="preserve">https://www.legislation.gov.uk/ukpga/1965/71</w:t>
        </w:r>
      </w:hyperlink>
      <w:r>
        <w:rPr>
          <w:rFonts w:ascii="Times New Roman" w:hAnsi="Times New Roman" w:cs="Times New Roman" w:eastAsia="Times New Roman"/>
          <w:color w:val="auto"/>
          <w:spacing w:val="0"/>
          <w:position w:val="0"/>
          <w:sz w:val="24"/>
          <w:shd w:fill="auto" w:val="clear"/>
        </w:rPr>
        <w:t xml:space="preserve"> [Accessed on 4 May 2023].</w:t>
      </w:r>
    </w:p>
    <w:p>
      <w:pPr>
        <w:spacing w:before="0" w:after="160" w:line="360"/>
        <w:ind w:right="0" w:left="1440" w:hanging="14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legislation.gov.uk, (2023). Homicide Act 1957 [Online] Available at: </w:t>
      </w:r>
      <w:hyperlink xmlns:r="http://schemas.openxmlformats.org/officeDocument/2006/relationships" r:id="docRId3">
        <w:r>
          <w:rPr>
            <w:rFonts w:ascii="Times New Roman" w:hAnsi="Times New Roman" w:cs="Times New Roman" w:eastAsia="Times New Roman"/>
            <w:color w:val="0000FF"/>
            <w:spacing w:val="0"/>
            <w:position w:val="0"/>
            <w:sz w:val="24"/>
            <w:u w:val="single"/>
            <w:shd w:fill="auto" w:val="clear"/>
          </w:rPr>
          <w:t xml:space="preserve">https://www.legislation.gov.uk/ukpga/Eliz2/5-6/11/section/2/enacted</w:t>
        </w:r>
      </w:hyperlink>
      <w:r>
        <w:rPr>
          <w:rFonts w:ascii="Times New Roman" w:hAnsi="Times New Roman" w:cs="Times New Roman" w:eastAsia="Times New Roman"/>
          <w:color w:val="auto"/>
          <w:spacing w:val="0"/>
          <w:position w:val="0"/>
          <w:sz w:val="24"/>
          <w:shd w:fill="auto" w:val="clear"/>
        </w:rPr>
        <w:t xml:space="preserve"> [Accessed on 4 May 2023].</w:t>
      </w:r>
    </w:p>
    <w:p>
      <w:pPr>
        <w:spacing w:before="0" w:after="160" w:line="360"/>
        <w:ind w:right="0" w:left="1440" w:hanging="14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legislation.gov.uk, (2023). Protection from Harassment Act 1997 [Online] Available at: </w:t>
      </w:r>
      <w:hyperlink xmlns:r="http://schemas.openxmlformats.org/officeDocument/2006/relationships" r:id="docRId4">
        <w:r>
          <w:rPr>
            <w:rFonts w:ascii="Times New Roman" w:hAnsi="Times New Roman" w:cs="Times New Roman" w:eastAsia="Times New Roman"/>
            <w:color w:val="0000FF"/>
            <w:spacing w:val="0"/>
            <w:position w:val="0"/>
            <w:sz w:val="24"/>
            <w:u w:val="single"/>
            <w:shd w:fill="auto" w:val="clear"/>
          </w:rPr>
          <w:t xml:space="preserve">https://www.legislation.gov.uk/ukpga/1997/40/contents</w:t>
        </w:r>
      </w:hyperlink>
      <w:r>
        <w:rPr>
          <w:rFonts w:ascii="Times New Roman" w:hAnsi="Times New Roman" w:cs="Times New Roman" w:eastAsia="Times New Roman"/>
          <w:color w:val="auto"/>
          <w:spacing w:val="0"/>
          <w:position w:val="0"/>
          <w:sz w:val="24"/>
          <w:shd w:fill="auto" w:val="clear"/>
        </w:rPr>
        <w:t xml:space="preserve"> [Accessed on 4 May 2023].</w:t>
      </w:r>
    </w:p>
    <w:p>
      <w:pPr>
        <w:spacing w:before="0" w:after="160" w:line="360"/>
        <w:ind w:right="0" w:left="1440" w:hanging="14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FFFFFF" w:val="clear"/>
        </w:rPr>
        <w:t xml:space="preserve">Gledhill, K., (2019). The meaning of knowledge as a criminal fault element: Is to know to believe?. </w:t>
      </w:r>
      <w:r>
        <w:rPr>
          <w:rFonts w:ascii="Times New Roman" w:hAnsi="Times New Roman" w:cs="Times New Roman" w:eastAsia="Times New Roman"/>
          <w:i/>
          <w:color w:val="auto"/>
          <w:spacing w:val="0"/>
          <w:position w:val="0"/>
          <w:sz w:val="24"/>
          <w:shd w:fill="FFFFFF" w:val="clear"/>
        </w:rPr>
        <w:t xml:space="preserve">University of Western Australia Law Review</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45</w:t>
      </w:r>
      <w:r>
        <w:rPr>
          <w:rFonts w:ascii="Times New Roman" w:hAnsi="Times New Roman" w:cs="Times New Roman" w:eastAsia="Times New Roman"/>
          <w:color w:val="auto"/>
          <w:spacing w:val="0"/>
          <w:position w:val="0"/>
          <w:sz w:val="24"/>
          <w:shd w:fill="FFFFFF" w:val="clear"/>
        </w:rPr>
        <w:t xml:space="preserve">(2), pp.216-248.</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legislation.gov.uk/ukpga/1988/33/section/39" Id="docRId1" Type="http://schemas.openxmlformats.org/officeDocument/2006/relationships/hyperlink" /><Relationship TargetMode="External" Target="https://www.legislation.gov.uk/ukpga/Eliz2/5-6/11/section/2/enacted" Id="docRId3" Type="http://schemas.openxmlformats.org/officeDocument/2006/relationships/hyperlink" /><Relationship Target="numbering.xml" Id="docRId5" Type="http://schemas.openxmlformats.org/officeDocument/2006/relationships/numbering" /><Relationship TargetMode="External" Target="https://www.legislation.gov.uk/ukpga/1971/48/section/1" Id="docRId0" Type="http://schemas.openxmlformats.org/officeDocument/2006/relationships/hyperlink" /><Relationship TargetMode="External" Target="https://www.legislation.gov.uk/ukpga/1965/71" Id="docRId2" Type="http://schemas.openxmlformats.org/officeDocument/2006/relationships/hyperlink" /><Relationship TargetMode="External" Target="https://www.legislation.gov.uk/ukpga/1997/40/contents" Id="docRId4" Type="http://schemas.openxmlformats.org/officeDocument/2006/relationships/hyperlink" /><Relationship Target="styles.xml" Id="docRId6" Type="http://schemas.openxmlformats.org/officeDocument/2006/relationships/styles" /></Relationships>
</file>