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49A3E75"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0F63F2">
              <w:rPr>
                <w:b/>
                <w:color w:val="auto"/>
                <w:sz w:val="32"/>
              </w:rPr>
              <w:t>: _Hayley James</w:t>
            </w:r>
            <w:r w:rsidR="005A1BA3" w:rsidRPr="00E676F7">
              <w:rPr>
                <w:b/>
                <w:color w:val="auto"/>
                <w:sz w:val="32"/>
              </w:rPr>
              <w:t>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4A52B61" w:rsidR="005A1BA3" w:rsidRPr="00E676F7" w:rsidRDefault="00F66384" w:rsidP="00340E9A">
            <w:pPr>
              <w:overflowPunct/>
              <w:autoSpaceDE/>
              <w:autoSpaceDN/>
              <w:adjustRightInd/>
              <w:ind w:right="237"/>
              <w:textAlignment w:val="auto"/>
              <w:rPr>
                <w:b/>
                <w:color w:val="auto"/>
                <w:sz w:val="32"/>
              </w:rPr>
            </w:pPr>
            <w:r>
              <w:rPr>
                <w:b/>
                <w:color w:val="auto"/>
                <w:sz w:val="32"/>
              </w:rPr>
              <w:t>____</w:t>
            </w:r>
            <w:r w:rsidR="005A1BA3" w:rsidRPr="00E676F7">
              <w:rPr>
                <w:b/>
                <w:color w:val="auto"/>
                <w:sz w:val="32"/>
              </w:rPr>
              <w:t>_</w:t>
            </w:r>
            <w:r>
              <w:rPr>
                <w:b/>
                <w:color w:val="auto"/>
                <w:sz w:val="32"/>
              </w:rPr>
              <w:t>1910652</w:t>
            </w:r>
            <w:r w:rsidR="005A1BA3" w:rsidRPr="00E676F7">
              <w:rPr>
                <w:b/>
                <w:color w:val="auto"/>
                <w:sz w:val="32"/>
              </w:rPr>
              <w:t>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0F63F2">
      <w:pPr>
        <w:pStyle w:val="ListParagraph"/>
        <w:numPr>
          <w:ilvl w:val="0"/>
          <w:numId w:val="5"/>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0F63F2">
      <w:pPr>
        <w:pStyle w:val="ListParagraph"/>
        <w:numPr>
          <w:ilvl w:val="0"/>
          <w:numId w:val="5"/>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0F63F2">
      <w:pPr>
        <w:pStyle w:val="ListParagraph"/>
        <w:numPr>
          <w:ilvl w:val="0"/>
          <w:numId w:val="5"/>
        </w:numPr>
        <w:ind w:right="237"/>
        <w:jc w:val="both"/>
        <w:rPr>
          <w:sz w:val="24"/>
          <w:szCs w:val="24"/>
          <w:highlight w:val="yellow"/>
        </w:rPr>
      </w:pPr>
      <w:r w:rsidRPr="2C16586C">
        <w:rPr>
          <w:sz w:val="24"/>
          <w:szCs w:val="24"/>
        </w:rPr>
        <w:t>Road Policing.</w:t>
      </w:r>
    </w:p>
    <w:p w14:paraId="2F4F47A1" w14:textId="173DB995" w:rsidR="002423B2" w:rsidRPr="00F96E4B" w:rsidRDefault="002423B2" w:rsidP="000F63F2">
      <w:pPr>
        <w:pStyle w:val="ListParagraph"/>
        <w:numPr>
          <w:ilvl w:val="0"/>
          <w:numId w:val="5"/>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0F63F2">
      <w:pPr>
        <w:pStyle w:val="ListParagraph"/>
        <w:numPr>
          <w:ilvl w:val="0"/>
          <w:numId w:val="5"/>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lastRenderedPageBreak/>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BA6538"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0F63F2">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0F63F2">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0F63F2">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0F63F2">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F63F2">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0F63F2">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0F63F2">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7117956A" w:rsidR="00F6ACA0" w:rsidRPr="00044409" w:rsidRDefault="00F6ACA0" w:rsidP="000F63F2">
      <w:pPr>
        <w:numPr>
          <w:ilvl w:val="0"/>
          <w:numId w:val="2"/>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options; as only one of these options will be considered for marking. </w:t>
      </w:r>
    </w:p>
    <w:p w14:paraId="593D7881" w14:textId="4DF0BE77" w:rsidR="7D00799C" w:rsidRDefault="7D00799C" w:rsidP="000F63F2">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4C501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0755220D" w14:textId="77777777" w:rsidR="00B07F9E" w:rsidRDefault="00B07F9E" w:rsidP="00061423">
            <w:pPr>
              <w:overflowPunct/>
              <w:autoSpaceDE/>
              <w:autoSpaceDN/>
              <w:adjustRightInd/>
              <w:rPr>
                <w:sz w:val="22"/>
                <w:szCs w:val="22"/>
                <w:lang w:eastAsia="zh-TW"/>
              </w:rPr>
            </w:pPr>
          </w:p>
          <w:p w14:paraId="3D4E00AD" w14:textId="17D6EA7B"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66CA76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2C93A17"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3E3A669" w14:textId="77777777" w:rsidR="00B07F9E" w:rsidRDefault="00B07F9E" w:rsidP="00061423">
            <w:pPr>
              <w:overflowPunct/>
              <w:autoSpaceDE/>
              <w:autoSpaceDN/>
              <w:adjustRightInd/>
              <w:rPr>
                <w:sz w:val="22"/>
                <w:szCs w:val="22"/>
                <w:lang w:eastAsia="zh-TW"/>
              </w:rPr>
            </w:pPr>
          </w:p>
          <w:p w14:paraId="3C10A73F" w14:textId="689623B5"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FAC3613" w14:textId="77777777" w:rsidR="00061423" w:rsidRDefault="00061423" w:rsidP="00061423">
            <w:pPr>
              <w:overflowPunct/>
              <w:autoSpaceDE/>
              <w:autoSpaceDN/>
              <w:adjustRightInd/>
              <w:rPr>
                <w:sz w:val="22"/>
                <w:szCs w:val="22"/>
                <w:lang w:eastAsia="zh-TW"/>
              </w:rPr>
            </w:pPr>
            <w:r w:rsidRPr="009249F8">
              <w:rPr>
                <w:sz w:val="22"/>
                <w:szCs w:val="22"/>
                <w:lang w:eastAsia="zh-TW"/>
              </w:rPr>
              <w:t> </w:t>
            </w:r>
            <w:r w:rsidR="003C55B1">
              <w:rPr>
                <w:sz w:val="22"/>
                <w:szCs w:val="22"/>
                <w:lang w:eastAsia="zh-TW"/>
              </w:rPr>
              <w:t xml:space="preserve">Since joining SWP I feel my knowledge has increased much more through experiencing different ranges of incidents, ongoing knowledge checks and learning within a team environment. </w:t>
            </w:r>
          </w:p>
          <w:p w14:paraId="2292D131" w14:textId="77777777" w:rsidR="003C55B1" w:rsidRDefault="003C55B1" w:rsidP="00061423">
            <w:pPr>
              <w:overflowPunct/>
              <w:autoSpaceDE/>
              <w:autoSpaceDN/>
              <w:adjustRightInd/>
              <w:rPr>
                <w:sz w:val="22"/>
                <w:szCs w:val="22"/>
                <w:lang w:eastAsia="zh-TW"/>
              </w:rPr>
            </w:pPr>
          </w:p>
          <w:p w14:paraId="65ECE04B" w14:textId="5F200509" w:rsidR="003C55B1" w:rsidRPr="009249F8" w:rsidRDefault="003C55B1" w:rsidP="00061423">
            <w:pPr>
              <w:overflowPunct/>
              <w:autoSpaceDE/>
              <w:autoSpaceDN/>
              <w:adjustRightInd/>
              <w:rPr>
                <w:rFonts w:ascii="Times New Roman" w:hAnsi="Times New Roman" w:cs="Times New Roman"/>
                <w:sz w:val="24"/>
                <w:szCs w:val="24"/>
                <w:lang w:eastAsia="zh-TW"/>
              </w:rPr>
            </w:pPr>
            <w:r>
              <w:rPr>
                <w:sz w:val="22"/>
                <w:szCs w:val="22"/>
                <w:lang w:eastAsia="zh-TW"/>
              </w:rPr>
              <w:t>I am continuing to develop my academic writing skills. I have revisited Harvard referencing and the writing structure/ layout that is required.</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3D958C"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A36ED7C" w14:textId="77777777" w:rsidR="00B07F9E" w:rsidRDefault="00B07F9E" w:rsidP="00061423">
            <w:pPr>
              <w:overflowPunct/>
              <w:autoSpaceDE/>
              <w:autoSpaceDN/>
              <w:adjustRightInd/>
              <w:rPr>
                <w:sz w:val="22"/>
                <w:szCs w:val="22"/>
                <w:lang w:eastAsia="zh-TW"/>
              </w:rPr>
            </w:pPr>
          </w:p>
          <w:p w14:paraId="3A04ACC0" w14:textId="043355F8"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A70406D"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57C8380" w14:textId="77777777" w:rsidR="00B07F9E" w:rsidRDefault="00B07F9E" w:rsidP="00061423">
            <w:pPr>
              <w:overflowPunct/>
              <w:autoSpaceDE/>
              <w:autoSpaceDN/>
              <w:adjustRightInd/>
              <w:rPr>
                <w:sz w:val="22"/>
                <w:szCs w:val="22"/>
                <w:lang w:eastAsia="zh-TW"/>
              </w:rPr>
            </w:pPr>
          </w:p>
          <w:p w14:paraId="11F36294" w14:textId="003669E5"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1C0FF492" w14:textId="6185C988" w:rsidR="00550DD9" w:rsidRDefault="00061423" w:rsidP="00061423">
            <w:pPr>
              <w:overflowPunct/>
              <w:autoSpaceDE/>
              <w:autoSpaceDN/>
              <w:adjustRightInd/>
              <w:rPr>
                <w:sz w:val="22"/>
                <w:szCs w:val="22"/>
                <w:lang w:eastAsia="zh-TW"/>
              </w:rPr>
            </w:pPr>
            <w:r w:rsidRPr="009249F8">
              <w:rPr>
                <w:sz w:val="22"/>
                <w:szCs w:val="22"/>
                <w:lang w:eastAsia="zh-TW"/>
              </w:rPr>
              <w:t> </w:t>
            </w:r>
            <w:r w:rsidR="004C37AF">
              <w:rPr>
                <w:sz w:val="22"/>
                <w:szCs w:val="22"/>
                <w:lang w:eastAsia="zh-TW"/>
              </w:rPr>
              <w:t>I have completed a Taser course w</w:t>
            </w:r>
            <w:r w:rsidR="00550DD9">
              <w:rPr>
                <w:sz w:val="22"/>
                <w:szCs w:val="22"/>
                <w:lang w:eastAsia="zh-TW"/>
              </w:rPr>
              <w:t xml:space="preserve">hich has taught me a new skill. </w:t>
            </w:r>
            <w:r w:rsidR="004C37AF">
              <w:rPr>
                <w:sz w:val="22"/>
                <w:szCs w:val="22"/>
                <w:lang w:eastAsia="zh-TW"/>
              </w:rPr>
              <w:t>During this I was refreshed/recapped on different skills such as Use of force, NDM legislation and policies.</w:t>
            </w:r>
            <w:r w:rsidR="00550DD9">
              <w:rPr>
                <w:sz w:val="22"/>
                <w:szCs w:val="22"/>
                <w:lang w:eastAsia="zh-TW"/>
              </w:rPr>
              <w:t xml:space="preserve"> I am due to have a refresher on Taser in the next few months.</w:t>
            </w:r>
          </w:p>
          <w:p w14:paraId="649155D3" w14:textId="77777777" w:rsidR="00550DD9" w:rsidRDefault="00550DD9" w:rsidP="00061423">
            <w:pPr>
              <w:overflowPunct/>
              <w:autoSpaceDE/>
              <w:autoSpaceDN/>
              <w:adjustRightInd/>
              <w:rPr>
                <w:sz w:val="22"/>
                <w:szCs w:val="22"/>
                <w:lang w:eastAsia="zh-TW"/>
              </w:rPr>
            </w:pPr>
          </w:p>
          <w:p w14:paraId="3C57F9EA" w14:textId="77777777" w:rsidR="00061423" w:rsidRDefault="00550DD9" w:rsidP="00061423">
            <w:pPr>
              <w:overflowPunct/>
              <w:autoSpaceDE/>
              <w:autoSpaceDN/>
              <w:adjustRightInd/>
              <w:rPr>
                <w:sz w:val="22"/>
                <w:szCs w:val="22"/>
                <w:lang w:eastAsia="zh-TW"/>
              </w:rPr>
            </w:pPr>
            <w:r>
              <w:rPr>
                <w:sz w:val="22"/>
                <w:szCs w:val="22"/>
                <w:lang w:eastAsia="zh-TW"/>
              </w:rPr>
              <w:t xml:space="preserve">I have completed a blue light driving course. This skill has taught me skills on how to drive a vehicle whilst under pressure and taking on information whilst driving at higher speeds. This new driving skill has also helped my driving skills even when I am driving my personal vehicle. I has taught me to be more aware of my surroundings, to read the road at a further distance </w:t>
            </w:r>
            <w:r>
              <w:rPr>
                <w:sz w:val="22"/>
                <w:szCs w:val="22"/>
                <w:lang w:eastAsia="zh-TW"/>
              </w:rPr>
              <w:lastRenderedPageBreak/>
              <w:t xml:space="preserve">and to be more aware of other drivers using the road. </w:t>
            </w:r>
            <w:r w:rsidR="004C37AF">
              <w:rPr>
                <w:sz w:val="22"/>
                <w:szCs w:val="22"/>
                <w:lang w:eastAsia="zh-TW"/>
              </w:rPr>
              <w:t xml:space="preserve">  </w:t>
            </w:r>
          </w:p>
          <w:p w14:paraId="2033ABD3" w14:textId="77777777" w:rsidR="00383848" w:rsidRDefault="00383848" w:rsidP="00061423">
            <w:pPr>
              <w:overflowPunct/>
              <w:autoSpaceDE/>
              <w:autoSpaceDN/>
              <w:adjustRightInd/>
              <w:rPr>
                <w:sz w:val="22"/>
                <w:szCs w:val="22"/>
                <w:lang w:eastAsia="zh-TW"/>
              </w:rPr>
            </w:pPr>
          </w:p>
          <w:p w14:paraId="58F8A40E" w14:textId="77777777" w:rsidR="00383848" w:rsidRDefault="00383848" w:rsidP="00061423">
            <w:pPr>
              <w:overflowPunct/>
              <w:autoSpaceDE/>
              <w:autoSpaceDN/>
              <w:adjustRightInd/>
              <w:rPr>
                <w:sz w:val="22"/>
                <w:szCs w:val="22"/>
                <w:lang w:eastAsia="zh-TW"/>
              </w:rPr>
            </w:pPr>
            <w:r>
              <w:rPr>
                <w:sz w:val="22"/>
                <w:szCs w:val="22"/>
                <w:lang w:eastAsia="zh-TW"/>
              </w:rPr>
              <w:t xml:space="preserve">To help develop my further skills I plan to apply to the HUB department during my career, this will benefit me in interviewing suspects, help my knowledge of building case files to send to CPS, I also plan to complete interview courses for interviewing victims and suspects at a higher level. I feel this will help me in my future plans for applying to the CID department. </w:t>
            </w:r>
          </w:p>
          <w:p w14:paraId="41197E17" w14:textId="0F7BD52C" w:rsidR="00383848" w:rsidRPr="009249F8" w:rsidRDefault="00383848"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My interest for the CID department stemmed from the attachment in year two of my probation and I feel I would like to pursue this in the future. </w:t>
            </w: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57D65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FBFD70A"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DA9807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AB2030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A2A634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72E944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0FBFFCC"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E912D4B"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2837D9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69753662"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0B4407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E1A0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B8A2CEF"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8F239D7" w14:textId="77777777" w:rsidR="00B07F9E" w:rsidRDefault="00B07F9E" w:rsidP="00061423">
            <w:pPr>
              <w:overflowPunct/>
              <w:autoSpaceDE/>
              <w:autoSpaceDN/>
              <w:adjustRightInd/>
              <w:rPr>
                <w:sz w:val="22"/>
                <w:szCs w:val="22"/>
                <w:lang w:eastAsia="zh-TW"/>
              </w:rPr>
            </w:pPr>
          </w:p>
          <w:p w14:paraId="0C3E65DF" w14:textId="1F5121BB"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F1BBA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B7D02E"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0C2AA05" w14:textId="77777777" w:rsidR="00B07F9E" w:rsidRDefault="00B07F9E" w:rsidP="00061423">
            <w:pPr>
              <w:overflowPunct/>
              <w:autoSpaceDE/>
              <w:autoSpaceDN/>
              <w:adjustRightInd/>
              <w:rPr>
                <w:sz w:val="22"/>
                <w:szCs w:val="22"/>
                <w:lang w:eastAsia="zh-TW"/>
              </w:rPr>
            </w:pPr>
          </w:p>
          <w:p w14:paraId="6334D9E0" w14:textId="0658A4F1" w:rsidR="00B07F9E" w:rsidRPr="009249F8" w:rsidRDefault="00B07F9E"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A9A29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9CF5A18" w14:textId="1724848D" w:rsidR="00B07F9E"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EC4C2F3" w14:textId="77777777" w:rsidR="00B07F9E" w:rsidRDefault="00B07F9E" w:rsidP="00B07F9E">
            <w:pPr>
              <w:rPr>
                <w:rFonts w:ascii="Times New Roman" w:hAnsi="Times New Roman" w:cs="Times New Roman"/>
                <w:sz w:val="24"/>
                <w:szCs w:val="24"/>
                <w:lang w:eastAsia="zh-TW"/>
              </w:rPr>
            </w:pPr>
            <w:r>
              <w:rPr>
                <w:rFonts w:ascii="Times New Roman" w:hAnsi="Times New Roman" w:cs="Times New Roman"/>
                <w:sz w:val="24"/>
                <w:szCs w:val="24"/>
                <w:lang w:eastAsia="zh-TW"/>
              </w:rPr>
              <w:t>I feel as I am an officer who is young in service, therefore I need much more selection of different experiences and I will need to develop my skills and knowledge much more within my role as a response officer.</w:t>
            </w:r>
          </w:p>
          <w:p w14:paraId="49040473" w14:textId="77777777" w:rsidR="00061423" w:rsidRDefault="00B07F9E" w:rsidP="00B07F9E">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 I have been exposed to many different types of incidents and challenges, however, compared to an individual with 5 plus years I feel my experiences will be at a much lower level. </w:t>
            </w:r>
          </w:p>
          <w:p w14:paraId="106F01D9" w14:textId="77777777" w:rsidR="00383848" w:rsidRDefault="00383848" w:rsidP="00B07F9E">
            <w:pPr>
              <w:rPr>
                <w:rFonts w:ascii="Times New Roman" w:hAnsi="Times New Roman" w:cs="Times New Roman"/>
                <w:sz w:val="24"/>
                <w:szCs w:val="24"/>
                <w:lang w:eastAsia="zh-TW"/>
              </w:rPr>
            </w:pPr>
          </w:p>
          <w:p w14:paraId="6EFDDBCD" w14:textId="0AA8911E" w:rsidR="00383848" w:rsidRPr="00B07F9E" w:rsidRDefault="00383848" w:rsidP="00B07F9E">
            <w:pPr>
              <w:rPr>
                <w:rFonts w:ascii="Times New Roman" w:hAnsi="Times New Roman" w:cs="Times New Roman"/>
                <w:sz w:val="24"/>
                <w:szCs w:val="24"/>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21E59C73" w:rsidR="2C16586C" w:rsidRDefault="2C16586C" w:rsidP="2C16586C">
      <w:pPr>
        <w:ind w:right="237"/>
        <w:jc w:val="both"/>
        <w:rPr>
          <w:b/>
          <w:bCs/>
          <w:sz w:val="24"/>
          <w:szCs w:val="24"/>
        </w:rPr>
      </w:pPr>
    </w:p>
    <w:p w14:paraId="511202C4" w14:textId="77777777" w:rsidR="00E273E5" w:rsidRDefault="00E273E5" w:rsidP="00340E9A">
      <w:pPr>
        <w:ind w:right="237"/>
        <w:jc w:val="both"/>
        <w:rPr>
          <w:b/>
          <w:bCs/>
          <w:sz w:val="24"/>
          <w:szCs w:val="24"/>
        </w:rPr>
      </w:pPr>
    </w:p>
    <w:p w14:paraId="3B00EF72" w14:textId="77777777" w:rsidR="00E273E5" w:rsidRDefault="00E273E5" w:rsidP="00340E9A">
      <w:pPr>
        <w:ind w:right="237"/>
        <w:jc w:val="both"/>
        <w:rPr>
          <w:b/>
          <w:bCs/>
          <w:sz w:val="24"/>
          <w:szCs w:val="24"/>
        </w:rPr>
      </w:pPr>
    </w:p>
    <w:p w14:paraId="3748BAEC" w14:textId="77777777" w:rsidR="003C6AA3" w:rsidRDefault="003C6AA3" w:rsidP="00A67D70">
      <w:pPr>
        <w:pStyle w:val="paragraph"/>
        <w:spacing w:before="0" w:beforeAutospacing="0" w:after="0" w:afterAutospacing="0"/>
        <w:ind w:left="3600"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77777777"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_ _ _ _ _ _ _ _ _ _ _ _ (Learner – electronic signature accepted, </w:t>
      </w:r>
    </w:p>
    <w:p w14:paraId="57DE4E46" w14:textId="65844916"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sidR="000F63F2">
        <w:rPr>
          <w:rStyle w:val="normaltextrun"/>
          <w:rFonts w:ascii="Arial" w:hAnsi="Arial" w:cs="Arial"/>
          <w:color w:val="000000"/>
        </w:rPr>
        <w:t>Hayley James</w:t>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65D836C9"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_ _ </w:t>
      </w:r>
      <w:r w:rsidR="000F63F2">
        <w:rPr>
          <w:rStyle w:val="normaltextrun"/>
          <w:rFonts w:ascii="Arial" w:hAnsi="Arial" w:cs="Arial"/>
          <w:color w:val="000000"/>
        </w:rPr>
        <w:t>07/06/22</w:t>
      </w:r>
      <w:r>
        <w:rPr>
          <w:rStyle w:val="normaltextrun"/>
          <w:rFonts w:ascii="Arial" w:hAnsi="Arial" w:cs="Arial"/>
          <w:color w:val="000000"/>
        </w:rPr>
        <w:t>_ _ _ _ _ _</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3EEB6616" w:rsidR="003555D5" w:rsidRDefault="003555D5" w:rsidP="003555D5">
      <w:pPr>
        <w:ind w:right="237"/>
        <w:jc w:val="both"/>
        <w:rPr>
          <w:b/>
          <w:sz w:val="24"/>
          <w:szCs w:val="24"/>
        </w:rPr>
      </w:pPr>
      <w:r w:rsidRPr="00E676F7">
        <w:rPr>
          <w:b/>
          <w:sz w:val="24"/>
          <w:szCs w:val="24"/>
        </w:rPr>
        <w:t>ANSWER:</w:t>
      </w:r>
    </w:p>
    <w:p w14:paraId="67B82AB0" w14:textId="67756E05" w:rsidR="000F63F2" w:rsidRDefault="000F63F2" w:rsidP="003555D5">
      <w:pPr>
        <w:ind w:right="237"/>
        <w:jc w:val="both"/>
        <w:rPr>
          <w:b/>
          <w:sz w:val="24"/>
          <w:szCs w:val="24"/>
        </w:rPr>
      </w:pPr>
    </w:p>
    <w:p w14:paraId="7612C055"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purpose of this assignment is firstly to critically analyse the social, political and strategic drivers that had an impact on a police responding incident that I attended when I was in the second year of my policing probation period. This incident was of a complex nature in which I played a significant role in, becoming the officer in charge of this case. A consideration for the strategic priorities that South Wales Police are currently facing, this will also relate to this policing incident I attended. This incident involved three separate crimes. One of Actual Bodily Harm (ABH), a crime of Theft and a Hate Crime. These crimes were committed during a neighbourly dispute. Secondly this assignment will consider how strategies have evolved for the response policing and how they can remain effective in a challenging environment. </w:t>
      </w:r>
    </w:p>
    <w:p w14:paraId="486971FE"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lastRenderedPageBreak/>
        <w:t xml:space="preserve">The discussion will be structured using Rolfe’s reflective model to help write my assignment reflectively. This model is separated into three sections; ‘What, So what and Now What? The idea of this model is to systematise reflections and isolate feelings’ (Brown, 2021). The three sections will ensure I am able to provide a full reflection of the incident and explore the political, strategic and social drivers and how I feel they impacted upon my response and reflection of the incident. I will now use this structure to explore the incident as I feel this model is useful to help enhance understanding, the model is simple to use and allows balanced accurate judgement. The Rolfe’s model I feel could be improved by separating the stages into more sections within the cycle to help assist with descriptions and framing the structure on a larger scale. </w:t>
      </w:r>
    </w:p>
    <w:p w14:paraId="1046F385"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incident which I have chosen to include within this assignment initially began as a lower level of a crime of theft which was reported to South Wales Police via 999. These reports were counter allegations from neighbours who lived in flats above and below each other. As the second call was being reported, the call handler could hear a disturbance taking place between the neighbours with loud shouting, screaming and a commotion being heard. All calls via 999 are always recorded and can be replayed when needed. These recordings can also be used in court as evidence. The call handler who was taking the emergency call was risk assessing this ongoing phone call, the risk level changed grading to an emergency call for an immediate need for police attendance. The calls made to the police service are graded into different emergency levels depending on the information received. These decisions are processed using the National Decision Model (NDM). A grade 1 call is for immediate police response required, grade 2 is for police attendance/ contact within a two hours. A grade 3 is for police contact/ attendance within eight hours, a grade 4 is to respond within 24 hours and a grade 5 is to be dealt without a police response. However, the problem with the grading system is down to the call handler’s perception of monitoring the risk, this can still leave room for human error. </w:t>
      </w:r>
    </w:p>
    <w:p w14:paraId="0CF8EB6B"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way police officers and police staff who are involved in such incidents use the National Decision Model as a framework or guide to help them make decisions and help build structure of what they did during an incident with a reflection at the end. This will help with assessment, judgment and learning.  ‘The NDM is a police framework designed to make the decision-making process easier and standardised. It should be used by all officers, decision makers and assessors who are involved in the whole decision process. Not only is it used for making decisions but to assess and judge those decisions’ (Open Learn, 2019).  Although officers use this model in responding to calls, due to the frequency of its use, it becomes an innate judgement. Therefore we use it without reflective through, it is more of a response behaviour which could result in it not being used effectively on times, particularly if we are in high stress response situations, our judgements maybe effected negatively. </w:t>
      </w:r>
    </w:p>
    <w:p w14:paraId="446C20E4"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National decision model (NDM) was used throughout this incident even before police arrival. The NDM is set out into different sections, firstly the Code of Ethics. These set out the policing principles that all police officers should adhere too and uphold the professional standards of policing. The code of ethics are part of the strategic drives set by the policing services, these are the expectations of the police service, the public and the victims of crime. The College of policing (2022) describe the Code of Ethics as “The NDM puts the Code of Ethics at the heart of all police decision making. This distinguishes the NDM from other decision-making models and recognises the need for all police decisions to be consistent with the principles and standards of behaviour set out in the Code”. Nevertheless, the code of ethics includes fairness and respect which is critical for maintaining public confidence and trust. </w:t>
      </w:r>
    </w:p>
    <w:p w14:paraId="0336AD70"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The next part of the NDM is to gather information and intelligence. On the journey to the incident, information was passed via the airways on our radios from the control room to my colleagues and me. The information passed included; who the persons were involved in the incident reported, how many people are present, who the reporting person was, location of the incident, any warning markers which could pose risk to the officers on arrival which could be held on the person from past incidents or intelligence and what had been initially reported and any other information that can be passed which is relevant to this incident. This information is essential for officers as it supports and assists the thinking and decision making process. It helps build a picture of what has/is taking place.</w:t>
      </w:r>
    </w:p>
    <w:p w14:paraId="63A856A9"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With this information, it assists with the next part of the NDM which is the assessment of threat and risk and also to develop a working strategy. The information which was pasted via the radio showed several people having previous Police National Computer (PNC) warning markers such as mental health issues, violent traits, drugs use, alcohol use, escape, known to breach bail conditions etc. The PNC is a computer system which was started in 1974 which stores millions of records, information and intelligence on people, cars/vehicles and buildings. The people who are stored on the PNC have been previously convicted, charged or awaiting trial. The PNC also shows in people are wanted or missing. The PNC also shows current bail conditions and outstanding warrants. These warnings are there to help for officer security and information and information on how to deal with an individual.</w:t>
      </w:r>
    </w:p>
    <w:p w14:paraId="4C117B58"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It can be perceived that having these warning markers before attendance there could be a judgement or bias against people at the incident and an overall option could be formed by their previous markers. ‘Unconscious bias is a term that describes the associations we hold, outside our conscious awareness and control’ (Imperial College, 2022). A way to combat this the college of policing provides training to all officers in relation to identify unconscious bias The college of policing, set up by the government to professionalise the service, says the bias training has already been tried by 1,300 officers’ (Dodd, 2016). In contradiction to this, unconscious bias affects everyone, it is triggered automatically by every individual through making judgements and assessments. It is a positive that the police give additional training to help determine the way we think which may help with individual decision making ability. </w:t>
      </w:r>
    </w:p>
    <w:p w14:paraId="55B5C9AA"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 I feel that the warning markers given is a positive aspect for the police service as it helps officers risk assess an incident before arrival, this enables officers become more equipped, prepared with prior knowledge whilst dealing with wide ranges of incidents so with confrontational situations. Being armed with information and intelligence of people at the incident helps officers conduct their duty, as part of their duty is to protect the public, assess immediate risk whilst acting accordingly with the law, policies and procedures. ‘An individualised response should be given in each situation, where possible reasonable adjustments should be made to accommodate individual needs’ College of policing, 2022). However the warning makers may inhibit officers’ ability to treat everyone impartially. </w:t>
      </w:r>
    </w:p>
    <w:p w14:paraId="3A0671C6"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On arrival, all officers activated their personal body worn video (BWV) to record footage from any incident/events that could take place, it makes officers more accountable for their actions and the footage can be submitted as evidence. ‘Wearing the cameras has been proven to lead to a reduction in false claims against officers, research lead by the University of Cambridge’s intuition of Criminology shows the use of BWV is associated with a 93% reduction in citizen complaints against police officers. The cameras are also a useful deterrent for those who may be considering assaulting an officer’ (Polfed, 2022). However, the college of policing (2021) argues that the use of BWV as ‘Overall, they have not had a statistically significant effect on crime. The primary crime outcome reported by review one related to assaults on police officers, officer injuries and resistance’ (College of policing, 2021) Under the data protection legislation, police officers should inform people that they are being recorded, officers do not need the consent to record, any footage is only kept as evidence for disclosure or other policing purposes according to the management of police information. </w:t>
      </w:r>
    </w:p>
    <w:p w14:paraId="24478BCD" w14:textId="77777777" w:rsidR="000F63F2" w:rsidRPr="00AE010C" w:rsidRDefault="000F63F2" w:rsidP="000F63F2">
      <w:pPr>
        <w:spacing w:line="360" w:lineRule="auto"/>
        <w:rPr>
          <w:rFonts w:ascii="Times New Roman" w:hAnsi="Times New Roman" w:cs="Times New Roman"/>
          <w:color w:val="000000" w:themeColor="text1"/>
          <w:sz w:val="28"/>
          <w:szCs w:val="28"/>
        </w:rPr>
      </w:pPr>
      <w:r w:rsidRPr="00AE010C">
        <w:rPr>
          <w:rFonts w:ascii="Times New Roman" w:hAnsi="Times New Roman" w:cs="Times New Roman"/>
          <w:sz w:val="28"/>
          <w:szCs w:val="28"/>
        </w:rPr>
        <w:t>Having the use of the BWV which were introduced in 2005</w:t>
      </w:r>
      <w:r w:rsidRPr="00AE010C">
        <w:rPr>
          <w:rFonts w:ascii="Times New Roman" w:hAnsi="Times New Roman" w:cs="Times New Roman"/>
          <w:color w:val="000000" w:themeColor="text1"/>
          <w:sz w:val="28"/>
          <w:szCs w:val="28"/>
        </w:rPr>
        <w:t xml:space="preserve"> is an example of the evolving changes in an increasingly challenging environment as this piece of equipment is now used on officers’ personal protection vests and is used frequently in everyday policing. However, the body cameras may be turned on to late by officers when dealing with incidents due to a fast moving environment resulting in missing crucial evidence or police officers may think the camera has been turned on but has not activated. </w:t>
      </w:r>
    </w:p>
    <w:p w14:paraId="67CB0D43"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At the entrance to the flats, there were no people found outside the property, we then knocked on the door to the reporting persons address. We were met by a male and a female. I will call this male, male (A) for this essay. Both persons appeared to be highly intoxicated. We entered the address to gather information from both parties on what had taken place. Due to the intoxication it was difficult to communicate with them and gather this information. What was eventually described, the male (A) and the female had spent time with their neighbours from the upstairs flat and another neighbour, all decided to gather and consume alcohol on the patio outside their flats. Due to the level of intoxication from all parties, items started to go missing throughout the evening and allegations were made against each other. During the numerous calls to the police via 999 the arguing had escalated which resulted in violence. </w:t>
      </w:r>
    </w:p>
    <w:p w14:paraId="73C8C2B7"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male (A) stated that he had been hit over the head with a metal bar by this neighbour in the above flat. On inspection, I could see no visual injuries caused to the male (A). Officers stayed with male (A) and the female and due to the information provided I went to speak with the neighbours who lived above. As I knocked the door, a younger male, male (B) answered the door. Behind him was his father, male (C) sat on the bottom step of the stairs, holding his forehead with a towel, which was covered in blood, male (B) who had not been drinking stated that his father had been hit across the head by the next door neighbour. I used my radio and over the airways I updated the control room with this information and requested an ambulance for the injured male.  The injuries caused was an open laceration diagonally across his forehead, it was alleged to be from an iron bar being swung by male (A) over a neighbourly dispute. </w:t>
      </w:r>
    </w:p>
    <w:p w14:paraId="77E2DE96"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next stage of the NDM is to consider powers and policies. Due to the level of injury caused to another and the information I had been given, I considered the policing powers available and I decided to arrest Male (A). At the time of this incident my top priority was to provide first aid to the injured male. I put pressure on the wound to reduce the bleeding, cleaned the area to the best of my ability and applied a dressing to the wound. The male was left in the care of his son and an ambulance was requested and was on their way to the scene. I returned to the first address and placed Male (A) under arrest for Actual Bodily Harm (ABH) as I suspected his involvement in committing this crime. ‘Actual bodily harm (ABH) is a form of assault or battery that causes harm to someone’s body. For the harm to be considered ABH, it doesn’t need to be serious but must be more significant than a push or a shove. Examples including bruising, scratches, bite marks, swelling, minor fractures, tooth loss or chipping’ (Pellman, 2021). With the visible injuries I could see, it appeared to be an ABH level injury caused to the male, after proper medical assistance it can then be determined what injuries had been caused. </w:t>
      </w:r>
    </w:p>
    <w:p w14:paraId="5582274A"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next stage of the NDM is options and contingencies. At this point in the incident I considered options to reduce and risk or harm. I had resources available to do this as police officers carry protective equipment on their utility vests. I placed my handcuffs on the male behind his back. This use of force was necessary as the male (A) had previous warning markers for mental health issues, violence against police officers and the use of weapons. The male (A) was of a large build compared to myself, he was intoxicated and was becoming irritated due to his arrest. I feel I was justified in using handcuffs to detain the male to lower the threat, risk and harm which could be caused against myself, the public and other officers. As a policing policy, all use of force actions should be documented and recorded using your Body worn video for evidence and record your actions. </w:t>
      </w:r>
    </w:p>
    <w:p w14:paraId="7D2A1307"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The use of handcuffing is covered under the PACE 1984 Act. ‘Section 117 Police and Criminal Evidence Act (PACE) permits the use of reasonable force in exercising and power under PACE unless it specifically requires the consent of a person who is not a police officer’ (Nottinghamshire Police, 2022). An article written by Iain Gould (2020) a solicitor who specialises in claims against police argues that handcuffing is overused and sometimes unnecessary ‘Many officers seem to think that the manacling of a person’s hands is almost a formal requisite of every arrest/detention, irrespective of how compliant, co-operative and non-threatening their subject is’ (Gould, 2022). This can be argued as research conducted by TNS (2015) on behalf of the IPCC that the views from police officers and staff states  ‘ ‘reasonable’ force as what is necessary for a person to be compliant and/or restrained and to minimise the risk of harm to the individual, the police or the public’ (TNS, 2015). However, even though use of force is questioned in some studies as mentioned, in my own personal experience as a police officer I find that on times use of force is essential and the use of restraints are an important consideration.</w:t>
      </w:r>
    </w:p>
    <w:p w14:paraId="5228E8E1"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My colleague and I walked male (A) to the police vehicle. As my colleague was a male officer he searched the male. If applicable, it is best protocol for a male officer to search a male suspect and a female officer to search a female subject. An article written by Learning the Lessons (2018) describes a female suffering with mental health issues and was arrested by male officers ‘One reason why they did not search her more thoroughly was that they were men, and were reluctant to search a woman. Section 32 of PACE does not explicitly prohibit searches of the opposite sex’ due to the search not being conducted properly, this resulted in the female self-harming causing significant injury to herself with a razor blade whilst in the custody suite. </w:t>
      </w:r>
    </w:p>
    <w:p w14:paraId="067AEAF7"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However, with the use of Body worn cameras being utilised during a search of the opposite sex the fear of allegations would be reduced resulting in more thorough searches.  ‘A review found body-worn video was not being used consistently from initial contact. Used properly, it can provide a clear and impartial record of an interaction and provide a speedy resolution as part of the complaints process’ (IOPC, 2020). The search was conducted under Section 32 of PACE 1984 looking for any possible weapons, sharps of anything the male should not have on his person, this also lowers any risk to himself and all others. ‘After an arrest, officers have the right to protect themselves by searching for weapons and to protect the legal case against the suspect by searching for evidence that the suspect might try to destroy’. (Bergman, 2022). During the search a bank card was discovered in Male (A) trouser pocket. The bank cards details were for the victim who had reported a crime of theft earlier that day. The item was seized as evidence.</w:t>
      </w:r>
    </w:p>
    <w:p w14:paraId="3494B66F"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Due to this male (A) was further arrested for the crime of theft. ‘Under the Police and Criminal Evidence Act 1984 (PACE) a lawful arrest by a police constable require two elements:</w:t>
      </w:r>
    </w:p>
    <w:p w14:paraId="48279CB6" w14:textId="77777777" w:rsidR="000F63F2" w:rsidRPr="00AE010C" w:rsidRDefault="000F63F2" w:rsidP="000F63F2">
      <w:pPr>
        <w:pStyle w:val="ListParagraph"/>
        <w:numPr>
          <w:ilvl w:val="0"/>
          <w:numId w:val="6"/>
        </w:numPr>
        <w:overflowPunct/>
        <w:autoSpaceDE/>
        <w:autoSpaceDN/>
        <w:adjustRightInd/>
        <w:spacing w:after="160" w:line="360" w:lineRule="auto"/>
        <w:textAlignment w:val="auto"/>
        <w:rPr>
          <w:rFonts w:ascii="Times New Roman" w:hAnsi="Times New Roman" w:cs="Times New Roman"/>
          <w:sz w:val="28"/>
          <w:szCs w:val="28"/>
        </w:rPr>
      </w:pPr>
      <w:r w:rsidRPr="00AE010C">
        <w:rPr>
          <w:rFonts w:ascii="Times New Roman" w:hAnsi="Times New Roman" w:cs="Times New Roman"/>
          <w:sz w:val="28"/>
          <w:szCs w:val="28"/>
        </w:rPr>
        <w:t>A person’s involvement, suspected involvement or attempted involvement in the commission of a criminal offence.</w:t>
      </w:r>
    </w:p>
    <w:p w14:paraId="32B3CA89" w14:textId="77777777" w:rsidR="000F63F2" w:rsidRPr="00AE010C" w:rsidRDefault="000F63F2" w:rsidP="000F63F2">
      <w:pPr>
        <w:pStyle w:val="ListParagraph"/>
        <w:numPr>
          <w:ilvl w:val="0"/>
          <w:numId w:val="6"/>
        </w:numPr>
        <w:overflowPunct/>
        <w:autoSpaceDE/>
        <w:autoSpaceDN/>
        <w:adjustRightInd/>
        <w:spacing w:after="160" w:line="360" w:lineRule="auto"/>
        <w:textAlignment w:val="auto"/>
        <w:rPr>
          <w:rFonts w:ascii="Times New Roman" w:hAnsi="Times New Roman" w:cs="Times New Roman"/>
          <w:sz w:val="28"/>
          <w:szCs w:val="28"/>
        </w:rPr>
      </w:pPr>
      <w:r w:rsidRPr="00AE010C">
        <w:rPr>
          <w:rFonts w:ascii="Times New Roman" w:hAnsi="Times New Roman" w:cs="Times New Roman"/>
          <w:sz w:val="28"/>
          <w:szCs w:val="28"/>
        </w:rPr>
        <w:t>Reasonable grounds for believing that the person’s arrest is necessary’ (College of policing, 2022).</w:t>
      </w:r>
    </w:p>
    <w:p w14:paraId="366DAA22"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Male (A) was then conveyed to a custody suite by my colleagues at the scene where his detention was granted. This then enabled the golden hour enquires to be conducted to gather all evidence in relation to these offences. ‘The golden hour is the term used for the period immediately after an offence has been committed, when material is readily available in high volumes to the police’ (College of policing, 2022). The golden hour is crucial to any incident or investigation and should be conducted immediately or soon after the offence to enable best evidence and prevent a loss of evidence. As every incident is different it may require different routes of process. </w:t>
      </w:r>
    </w:p>
    <w:p w14:paraId="2824B551"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hAnsi="Times New Roman" w:cs="Times New Roman"/>
          <w:sz w:val="28"/>
          <w:szCs w:val="28"/>
        </w:rPr>
        <w:t xml:space="preserve">The golden hour enquires would include </w:t>
      </w:r>
      <w:r w:rsidRPr="00AE010C">
        <w:rPr>
          <w:rFonts w:ascii="Times New Roman" w:eastAsia="Arial" w:hAnsi="Times New Roman" w:cs="Times New Roman"/>
          <w:bCs/>
          <w:color w:val="000000" w:themeColor="text1"/>
          <w:sz w:val="28"/>
          <w:szCs w:val="28"/>
        </w:rPr>
        <w:t>communicating with the neighbours on house to house enquires to discover whether anyone was witness to this incident, CCTV enquires would also be conducted for any video evidence and statements would also be obtained. Golden hour enquir</w:t>
      </w:r>
      <w:r>
        <w:rPr>
          <w:rFonts w:ascii="Times New Roman" w:eastAsia="Arial" w:hAnsi="Times New Roman" w:cs="Times New Roman"/>
          <w:bCs/>
          <w:color w:val="000000" w:themeColor="text1"/>
          <w:sz w:val="28"/>
          <w:szCs w:val="28"/>
        </w:rPr>
        <w:t>i</w:t>
      </w:r>
      <w:r w:rsidRPr="00AE010C">
        <w:rPr>
          <w:rFonts w:ascii="Times New Roman" w:eastAsia="Arial" w:hAnsi="Times New Roman" w:cs="Times New Roman"/>
          <w:bCs/>
          <w:color w:val="000000" w:themeColor="text1"/>
          <w:sz w:val="28"/>
          <w:szCs w:val="28"/>
        </w:rPr>
        <w:t xml:space="preserve">es should be accurate and relevant and to ascertain if a crime(s) have been committed. ‘Any investigation actions which, if pursued immediately, are likely to establish important facts, preserve evidence, or lead to early resolution of the investigation’ (College of policing, 2022). However, it is not always possible to gather evidence immediately which may impact upon the success of investigations. </w:t>
      </w:r>
    </w:p>
    <w:p w14:paraId="234CAB89"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 xml:space="preserve">A search was also conducted under Section 32 of PACE, to discover where the weapon was which was used during the alleged incident. A metal bar in the front garden of the property was found, photos of the bar were taken in situ and the item was seized as evidence. </w:t>
      </w:r>
      <w:r w:rsidRPr="00AE010C">
        <w:rPr>
          <w:rFonts w:ascii="Times New Roman" w:hAnsi="Times New Roman" w:cs="Times New Roman"/>
          <w:sz w:val="28"/>
          <w:szCs w:val="28"/>
        </w:rPr>
        <w:t>The metal bar which was taken from the scene was sent off for forensic testing to determine whether there was any blood or skin from the victim’s head from the impact on the weapon in question. ‘Locard’s exchange principle states that with contact between two items, there will be an exchange of microscopic material’ (Moran, 2011). If items at incidents are not seized correctly and if policies and procedures are not followed, vital evidence could be lost resulting in victims being let down by poor policing work and criminals not being prosecuted and about to continue in criminality.</w:t>
      </w:r>
    </w:p>
    <w:p w14:paraId="4F5D68B5"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The victim of this crime was taken to the hospital to have his injuries attended to, his son remained with me so I could obtain a witness statement from him. The son told me that during the altercation male (A) had made remarks of abuse about his sexuality in a negative way, as the son was Gay. This is a hate crime. I contacted the officers who were conveying the male (A) of the disclosure of a Hate crime, male (A) was also arrest on suspicion of this offence. There are five types of hate crime;</w:t>
      </w:r>
    </w:p>
    <w:p w14:paraId="4D86BB99" w14:textId="77777777" w:rsidR="000F63F2" w:rsidRPr="00AE010C" w:rsidRDefault="000F63F2" w:rsidP="000F63F2">
      <w:pPr>
        <w:pStyle w:val="ListParagraph"/>
        <w:numPr>
          <w:ilvl w:val="0"/>
          <w:numId w:val="7"/>
        </w:numPr>
        <w:overflowPunct/>
        <w:autoSpaceDE/>
        <w:autoSpaceDN/>
        <w:adjustRightInd/>
        <w:spacing w:after="160" w:line="360" w:lineRule="auto"/>
        <w:textAlignment w:val="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Race</w:t>
      </w:r>
    </w:p>
    <w:p w14:paraId="44D7C03D" w14:textId="77777777" w:rsidR="000F63F2" w:rsidRPr="00AE010C" w:rsidRDefault="000F63F2" w:rsidP="000F63F2">
      <w:pPr>
        <w:pStyle w:val="ListParagraph"/>
        <w:numPr>
          <w:ilvl w:val="0"/>
          <w:numId w:val="7"/>
        </w:numPr>
        <w:overflowPunct/>
        <w:autoSpaceDE/>
        <w:autoSpaceDN/>
        <w:adjustRightInd/>
        <w:spacing w:after="160" w:line="360" w:lineRule="auto"/>
        <w:textAlignment w:val="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Religion</w:t>
      </w:r>
    </w:p>
    <w:p w14:paraId="23F6ADF7" w14:textId="77777777" w:rsidR="000F63F2" w:rsidRPr="00AE010C" w:rsidRDefault="000F63F2" w:rsidP="000F63F2">
      <w:pPr>
        <w:pStyle w:val="ListParagraph"/>
        <w:numPr>
          <w:ilvl w:val="0"/>
          <w:numId w:val="7"/>
        </w:numPr>
        <w:overflowPunct/>
        <w:autoSpaceDE/>
        <w:autoSpaceDN/>
        <w:adjustRightInd/>
        <w:spacing w:after="160" w:line="360" w:lineRule="auto"/>
        <w:textAlignment w:val="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Disability</w:t>
      </w:r>
    </w:p>
    <w:p w14:paraId="497CB359" w14:textId="77777777" w:rsidR="000F63F2" w:rsidRPr="00AE010C" w:rsidRDefault="000F63F2" w:rsidP="000F63F2">
      <w:pPr>
        <w:pStyle w:val="ListParagraph"/>
        <w:numPr>
          <w:ilvl w:val="0"/>
          <w:numId w:val="7"/>
        </w:numPr>
        <w:overflowPunct/>
        <w:autoSpaceDE/>
        <w:autoSpaceDN/>
        <w:adjustRightInd/>
        <w:spacing w:after="160" w:line="360" w:lineRule="auto"/>
        <w:textAlignment w:val="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Sexual Orientation</w:t>
      </w:r>
    </w:p>
    <w:p w14:paraId="4FF93645" w14:textId="77777777" w:rsidR="000F63F2" w:rsidRPr="00AE010C" w:rsidRDefault="000F63F2" w:rsidP="000F63F2">
      <w:pPr>
        <w:pStyle w:val="ListParagraph"/>
        <w:numPr>
          <w:ilvl w:val="0"/>
          <w:numId w:val="7"/>
        </w:numPr>
        <w:overflowPunct/>
        <w:autoSpaceDE/>
        <w:autoSpaceDN/>
        <w:adjustRightInd/>
        <w:spacing w:after="160" w:line="360" w:lineRule="auto"/>
        <w:textAlignment w:val="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Transgender identity</w:t>
      </w:r>
    </w:p>
    <w:p w14:paraId="26A3E636"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‘Any criminal offence which is perceived by the victim or any other person, to be motivated by hostility or prejudice, based on a person’s disability or perceived disability; race or perceived race; or religion or perceived religion;  sexual orientation or perceived sexual orientation or transgender identity or perceived transgender identity’ (CPS,2017). However as the crime is based on people’s perception, it can mean people are less likely to report offences when they occur.</w:t>
      </w:r>
    </w:p>
    <w:p w14:paraId="78C363BB"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 xml:space="preserve">Whilst Male (B) disclosed the homophobic hate crime to me he stated he felt ashamed, embarrassed of his sexuality and he was afraid of repercussions from male (A) and what the community members would think. ‘Discrimination is nested within social contexts. For example, poor neighbourhood safety, poor housing or poverty may mean that people with protected characteristics do not feel able to participate or access their community safely’. Discrimination can occur anywhere at any time, it is the unfair and prejudicial treatment of another based on characteristics such as gender, race, age or sexual orientation. It is important that the police forces take action against discrimination, South Wales Police has the joint equality plan to help tackle against discrimination. This ensures that people with protected characterises are not discriminated against. </w:t>
      </w:r>
    </w:p>
    <w:p w14:paraId="7AD5ED06"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I reassured him that he did not have to feel any embarrassment. As a police officer I make no judgement against him, I explained I would submit a form called a Public Protection Notice (PPN) which then gets sent to multi-agencies who can offer him different support systems.’ Officers who attend incidents complete a public protection notification document (PPN) which summarises the vulnerabilities of victims. This notice goes to the force public protection unit (PPU) which uses the information to assess the risk’ (HMIC, 2015). The PPN is passed onto the relevant agencies to offer help, support and ass</w:t>
      </w:r>
      <w:r>
        <w:rPr>
          <w:rFonts w:ascii="Times New Roman" w:eastAsia="Arial" w:hAnsi="Times New Roman" w:cs="Times New Roman"/>
          <w:bCs/>
          <w:color w:val="000000" w:themeColor="text1"/>
          <w:sz w:val="28"/>
          <w:szCs w:val="28"/>
        </w:rPr>
        <w:t>istance</w:t>
      </w:r>
      <w:r w:rsidRPr="00AE010C">
        <w:rPr>
          <w:rFonts w:ascii="Times New Roman" w:eastAsia="Arial" w:hAnsi="Times New Roman" w:cs="Times New Roman"/>
          <w:bCs/>
          <w:color w:val="000000" w:themeColor="text1"/>
          <w:sz w:val="28"/>
          <w:szCs w:val="28"/>
        </w:rPr>
        <w:t xml:space="preserve"> to the vulnerable person. An article written victim support (2020) states that ‘In 2019-20 we offered support to 5,114 people after they had experienced hate crime. We provide a wide range of support services that can be tailored to specific cases’. Offering victims of crime support in an important part of the policing role, when the officer discusses what help is available and shares information, with consent, the individual can gain the help and support that they may not be aware is available and get the help required. Due to the communicating skills and reassurance provided to the male he was willing to give a victim statement to support police prosecution. </w:t>
      </w:r>
    </w:p>
    <w:p w14:paraId="7BF2F530"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Victim safeguarding was put in place by sharing a Public Protection Notice for both victims of these crimes. Male (A) was interviewed and realised from custody as further enquires needed to be conducted. He was bailed under police bail conditions not to contact either victim directly or indirectly by any means, male (A) was also not able to attend the address in which he resided at as the police bail conditions stated, he was bailed to a family members address in another valley. This is in order to protect and safeguard the victims from any further violence, prevent victim or witness intimidation or otherwise obstructing the course of justice.</w:t>
      </w:r>
    </w:p>
    <w:p w14:paraId="32B535F0" w14:textId="77777777" w:rsidR="000F63F2" w:rsidRPr="00AE010C" w:rsidRDefault="000F63F2" w:rsidP="000F63F2">
      <w:pPr>
        <w:spacing w:line="360" w:lineRule="auto"/>
        <w:rPr>
          <w:rFonts w:ascii="Times New Roman" w:eastAsia="Arial" w:hAnsi="Times New Roman" w:cs="Times New Roman"/>
          <w:bCs/>
          <w:color w:val="000000" w:themeColor="text1"/>
          <w:sz w:val="28"/>
          <w:szCs w:val="28"/>
        </w:rPr>
      </w:pPr>
      <w:r w:rsidRPr="00AE010C">
        <w:rPr>
          <w:rFonts w:ascii="Times New Roman" w:eastAsia="Arial" w:hAnsi="Times New Roman" w:cs="Times New Roman"/>
          <w:bCs/>
          <w:color w:val="000000" w:themeColor="text1"/>
          <w:sz w:val="28"/>
          <w:szCs w:val="28"/>
        </w:rPr>
        <w:t xml:space="preserve">The last part of the national decision model is take action and review what happened. This part is the stage to reflect on what happened. I feel that overall the incident was controlled with no further incident, I feel that we worked well as a team, each officer conducted enquires effectively and controlled the situation from arrival. The communication skills were appropriate and all actions taken were justified. However, I feel that on arrival if the team and I separated effectively, we could have reached the victim sooner and giving him first aid quicker. This would result in ensuring safeguarding and support when attending to the victims’ needs. </w:t>
      </w:r>
    </w:p>
    <w:p w14:paraId="6CE309A2"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I am now going to discuss the social driver that impacted upon the response to this incident. Crime can be traced back to the decay of moral and social society. The people who were involved in this incident could be described as coming from a socially deprived background and face many obstacles such as low income and poverty, high unemployment, poor education and skills, poor health, limited access to transport and poor social support. ‘The relationship between unemployment and crime has been the focus of much research by Economists and Criminologists in recent years. </w:t>
      </w:r>
    </w:p>
    <w:p w14:paraId="5CF576B3"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Research finding support a two way relationship, whereby unemployment is believed to be the cause of crime, and having a criminal record a cause of unemployment’(Bradshaw, Kemp et al, 2004). Alternately, an article written by Gordon and Greene (2018) argues that ‘Genetics have been an area of important study when it comes to criminal behaviour. Researches were convinced of a link when it was discovered that the children of criminals where far more likely to engage in criminal behaviour than children whose parents were not criminals’. However, there are many other reasons for people to commit crimes such as revenge, jealously or anger, to commit a crime is of an individual’s free choice, it does not have to be down to adversity.</w:t>
      </w:r>
    </w:p>
    <w:p w14:paraId="4FD78BC4"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The incident I attended took place in a social housing estate where quite often it is the norm for poor education standards which can lead to a lack of qualification and skills thereby leading to higher unemployment levels. Oxfam (2021) explains that a project conducted by Oxfam found that ‘Almost one in four people in Wales lives in poverty which means they get less than 60% of the average wage. That is about 700,000 of our fellow citizens. That level of relative poverty has remained unchanged for decade’. In spite of this, the UK parliament (2022) proposes that poverty levels has reduced ‘poverty seems to have fallen at the beginning of the pandemic, due to a combination of falling median incomes and increased benefits. This decrease was likely reversed in 2021/2022 as the £20 per week Universal credit uplift was withdrawn and the cost of living increased’. This often goes hand in hand with anti-social behaviour. The high unemployment rate leads to poverty which can then lead to criminal activities.  ‘A typical estimate would be that a 1 percentage point increase in the unemployment rate is associated with a 1 percent increase of property crime’ (Raphael and Winter-Ebmer, 2001).</w:t>
      </w:r>
    </w:p>
    <w:p w14:paraId="1B19B6C5"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The incident I attended arose due to day time drinking. An article written by Carol Galbicsek (2022) suggests that ‘Data suggests that engaging in prolonged drinking or binge drinking significantly increases your risk of committing violet offences’. As things got progressively more out of control male A became homophobic towards male B thus constituting a hate crime.</w:t>
      </w:r>
    </w:p>
    <w:p w14:paraId="448571DE"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Political drivers that was a factor for the policing incident I attended, there has been more call on addressing Hate crime following the incident of Fiona Pilkington and Tom Barwick. These incidents were cases of hate crime one, against disability and anti-social behaviour and the other incident was a homophobic hate crime, both cases were in the public eye. The incident involving Fiona Pilkington and her young daughter Francesca Hardwick took place in 2007 where Pilkington killed herself and her daughter after suffering 10 years of torment by local youths. Pilkington, her son and daughter are all collectively classed as vulnerable people. Hardwick was a severely disabled and was subjected to ongoing hate crimes as was he mother and brother. There were 33 separated police incidents but police failed to consider the treatment of the family by the gang as a hate crime. No people were convicted before the death of the family or after their deaths. However, four police officers faced misconduct proceeding over the policing failures to this incident. </w:t>
      </w:r>
    </w:p>
    <w:p w14:paraId="4E6E245E"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The incident involving Tom Barwick was a homophobic hate crime were Barwick was attending London Pride where he was struck on the back and suffered a fracture to his spine. The offenders called him homophobic names and stole his phone during this incident. ‘Only 40% of recently surveyed victims of hate crime in Wales recalled hearing hate speech as part of the incident. This means that in the majority of hate incident cases, the hate element is not instantly visible or straightforward’. (Pawb, 2019). Despite the efforts of the local police force appealing to the public for information and completing CCTV enquires, this incident resulted in no person(s) getting prosecuted for this offence.</w:t>
      </w:r>
    </w:p>
    <w:p w14:paraId="7276185D"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Data from the outcome of hate crime in 2020/21 from 26 police force area out of 43 show that 10% of such offences ended with a charge or summons, however due to a lack of evidence, the victim not wanting to pursue further action or a suspect not being identified, 74% of cases did not result in further action (House of commons library, 2021). The statics also show that 18% of hate crime victims felt more vulnerable after a crime has been committed with 9% of victims of all crimes.</w:t>
      </w:r>
    </w:p>
    <w:p w14:paraId="3791AF68"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police offer victim support for those who have been effected by crime. There is free and independent support from Citizen’s advice. Victim support services offer a free and confidential support service which a 24 hours per day, 365 days a year. This help is available for however long the victim requires it. There are also other methods of support for LGBTQ community such as Stonewall and/or Umbrella Cymru ‘Umbrella Cymru is a gender and sexual diversity specialist support organisation that offers a range of services to people across Wales’ (Umbrella Cymru, 2022). The victim support service Stonewall ( conducted a statics of key findings which showed that ‘half of LGBT people (52 per cent) said they’ve experienced depression in the last year with one in eight LGBT people aged between 18-24 (13 per cent) said they had attempted to take their own life in the last year’ (Bachman, 2018). If an individual does not feel comfortable contacting the police about discriminatory incidents then these organisations are a good source of support. </w:t>
      </w:r>
    </w:p>
    <w:p w14:paraId="6B02F9ED"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next section of this essay are what strategic drivers are planned for future development for the incident I attended. ‘Strategic drivers are things that shape an organisation’s plans for the future. In other words, they are factors that people consider when developing business strategies’ (Spacey, 2018). The Policing Vision 2025 sets out to a plan for the police forces within the United Kingdom (UK) for the next ten years. This plan will help transform and decide how the use of resources are used to help keep the communities safe, to inspire officers and continue to adopt to the modern policing environment. </w:t>
      </w:r>
    </w:p>
    <w:p w14:paraId="6C3AEE6F"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National Police Chiefs’ Council (2016) explains the policing vision 2025 is created to ‘make communities safer, by upholding the law fairly and firmly; preventing crime and antisocial behaviour; keeping the peace; protecting and reassuring communities; investigating crime and bringing offenders to justice’. (NPCC, 2016). However, a statistic conducted showed that crime rates have increased post covid 19 pandemic as the lockdown restrictions have eased. ‘According to TCSEW estimates adults 18 years and over experiences 12.8 million offences in the year ending December 2021. This was an 18% increase in estimated levels of crime compared with the year ending 2019. (ONS, 2021). Nevertheless with the UK police forces recruiting many more newly trained officers this will help make the task of crime reduction easier. </w:t>
      </w:r>
    </w:p>
    <w:p w14:paraId="2BDA038C"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The CPS are also committed to taking actions to improve prosecution performance. The CPS are dedicated to building effective partnership with the police service to ensure appropriate referrals, resulting is successful prosecutions. To continue engaging with the communities and post more reports on successes on hate crime prosecutions. Ensure that victim support is in place at earlier stages of the prosecution process. ‘Last year we prosecuted more than 10,000 cases of hate crime. In 86% of cases the defendants were found guilty of one or more crimes. In 79% of those cases the judge increased the offender’s sentence because they agreed that the crime was a hate crime’ (CPS, 2017). Unfortunately, whilst we often feel we have a strong case that could be successfully prosecuted, the CPS sometimes will not take the case to court due to varies reasons, such as; lack of evidence, victim not willing to proceed or sometimes if it is not in the publics’ interest. </w:t>
      </w:r>
    </w:p>
    <w:p w14:paraId="65C6E900"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The Welsh Government are committed to lowering hate crimes within the communities and they pledge to raise awareness, committed to supporting victims of this crime and are willing to work with the CPS to ensure hate crimes are dealt with effectively. A hate framework for action against hate crime for 2016-2017 shows the actions taken with an update of the results. ‘We will continue to fund victim support Cymru to provide hate crime training across Wales, hold at least 40 hate crime training sessions with relevant front-line staff across the public sector and Youth service’. (Welsh Government, 2017). The outcome shows that the training offered for victim support on several occasions showed little or no response. </w:t>
      </w:r>
    </w:p>
    <w:p w14:paraId="1AE5885C" w14:textId="77777777" w:rsidR="000F63F2" w:rsidRPr="00AE010C" w:rsidRDefault="000F63F2" w:rsidP="000F63F2">
      <w:pPr>
        <w:spacing w:line="360" w:lineRule="auto"/>
        <w:rPr>
          <w:rFonts w:ascii="Times New Roman" w:hAnsi="Times New Roman" w:cs="Times New Roman"/>
          <w:sz w:val="28"/>
          <w:szCs w:val="28"/>
        </w:rPr>
      </w:pPr>
      <w:r w:rsidRPr="00AE010C">
        <w:rPr>
          <w:rFonts w:ascii="Times New Roman" w:hAnsi="Times New Roman" w:cs="Times New Roman"/>
          <w:sz w:val="28"/>
          <w:szCs w:val="28"/>
        </w:rPr>
        <w:t xml:space="preserve">A survey conducted by GOV.UK (2021) shows that ‘In the year ending March 2021, there were 124,091 hate crimes recorded by the police in England and Wales: of which there were 92,052 race hate crime, 6377 religious hate crime, 18,596 sexual orientation hate crimes, 9,943 disability hate crimes and 2,799 transgender hate crimes’. The statistic also show that ‘sexual orientation hate crimes increased seven per cent (to 17,135), disability hate crimes by nine per cent (to 9,208) and transgender identity hate crimes by three per cent (to 2,630) (GOV.UK, 2021) The percentages are said to be smaller than in recent years but they are showing an increase regardless. </w:t>
      </w:r>
    </w:p>
    <w:p w14:paraId="72ACDF5A"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The Police and Crime commissioner (2021) has pledged on the South Wales Police and Crime Plan for 2021 - 2025 that one of the key aim is to reduce violence within the communities since 2021. ‘With partners we have secured £1.2million from the Home office to deliver an all Wales approach to tackling the root causes of violence through early intervention and prevention. We work with partners- especially Public Health Wales to reduce the drivers of violence, drug dealing and knife crime. (APCCS, 2021). Despite this, violence levels are still extremely high throughout England and Wales, with growing numbers for Hate crimes but on the other hand ongoing strategies are being placed to help reduce these levels and bring offenders to justice. </w:t>
      </w:r>
    </w:p>
    <w:p w14:paraId="6D0166CB"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Although this was a complicated policing incident to deal with, with many different elements of crime to it, I feel we worked well as a policing response team and were able to provide a good deal of help and support to the victims. Together we established a working strategy, we all followed policies and procedures, we remained impartial and professional with all people involved. We followed the code of ethics and the incident was controlled effectively. By giving a pro-active policing response, giving the community the support needed to help battle crime, encouraging community cohesion, the police service are helping to lower the crime rates in the UK. The police service are trying to promote stronger links within the community, are committed to a diverse and multicultural inclusive service. Initiatives such as social media is being used not only for the public to contact the police but also as a means for the police to reach out and share information.   </w:t>
      </w:r>
    </w:p>
    <w:p w14:paraId="69D1778C" w14:textId="77777777" w:rsidR="000F63F2" w:rsidRPr="00AE010C"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As the police forces are evolving to modern day policing such as utilising equipment such as Body worn cameras and the introduction of Tasers, getting most response officers as a Taser carrier for protection and the continuation of training and development shows that the police force and other agencies are committed to tackling the issues that the communities are victims of. The goals and targets set out by the police are to prevent and detect crime, protect, help and reassure the public, bring offenders to justice and to maintain peace and order within the communities. </w:t>
      </w:r>
    </w:p>
    <w:p w14:paraId="23E4352A" w14:textId="77777777" w:rsidR="000F63F2" w:rsidRDefault="000F63F2" w:rsidP="000F63F2">
      <w:pPr>
        <w:spacing w:line="360" w:lineRule="auto"/>
        <w:ind w:right="237"/>
        <w:rPr>
          <w:rFonts w:ascii="Times New Roman" w:hAnsi="Times New Roman" w:cs="Times New Roman"/>
          <w:sz w:val="28"/>
          <w:szCs w:val="28"/>
        </w:rPr>
      </w:pPr>
      <w:r w:rsidRPr="00AE010C">
        <w:rPr>
          <w:rFonts w:ascii="Times New Roman" w:hAnsi="Times New Roman" w:cs="Times New Roman"/>
          <w:sz w:val="28"/>
          <w:szCs w:val="28"/>
        </w:rPr>
        <w:t xml:space="preserve">According to focus groups, the publics top priority that it expects from the police service are rapid responding to calls for help and an emphasis on tackling sexual crime, violent crime and taking action on organised crime. There are also working strategies in place to reduce the levels of hate crime in the UK. All people should be entitled to live a life with dignity, fairness, equality, respect and independence. The strategies also show that there are plans developed to reduce the acts of violence and hostility directed at people because of who they are. An enhancement has also been introduced for protection and support for all victims of crime of any sort. I feel that the social driver played a large influence in this crime being committed however, the political and strategic driver informed my response to this incident. </w:t>
      </w:r>
    </w:p>
    <w:p w14:paraId="69845FF0" w14:textId="77777777" w:rsidR="000F63F2" w:rsidRDefault="000F63F2" w:rsidP="000F63F2">
      <w:pPr>
        <w:spacing w:line="360" w:lineRule="auto"/>
        <w:ind w:right="237"/>
        <w:rPr>
          <w:rFonts w:ascii="Times New Roman" w:hAnsi="Times New Roman" w:cs="Times New Roman"/>
          <w:sz w:val="28"/>
          <w:szCs w:val="28"/>
        </w:rPr>
      </w:pPr>
    </w:p>
    <w:p w14:paraId="04D8570A" w14:textId="7B96F6BB" w:rsidR="000F63F2" w:rsidRDefault="000F63F2" w:rsidP="000F63F2">
      <w:pPr>
        <w:spacing w:line="360" w:lineRule="auto"/>
        <w:ind w:right="237"/>
        <w:rPr>
          <w:rFonts w:ascii="Times New Roman" w:hAnsi="Times New Roman" w:cs="Times New Roman"/>
          <w:sz w:val="28"/>
          <w:szCs w:val="28"/>
        </w:rPr>
      </w:pPr>
      <w:r>
        <w:rPr>
          <w:rFonts w:ascii="Times New Roman" w:hAnsi="Times New Roman" w:cs="Times New Roman"/>
          <w:sz w:val="28"/>
          <w:szCs w:val="28"/>
        </w:rPr>
        <w:t>Word Count – 6175</w:t>
      </w:r>
    </w:p>
    <w:p w14:paraId="7A8FD8BF" w14:textId="77777777" w:rsidR="000F63F2" w:rsidRDefault="000F63F2" w:rsidP="000F63F2">
      <w:pPr>
        <w:spacing w:line="360" w:lineRule="auto"/>
        <w:ind w:right="237"/>
        <w:rPr>
          <w:rFonts w:ascii="Times New Roman" w:hAnsi="Times New Roman" w:cs="Times New Roman"/>
          <w:sz w:val="28"/>
          <w:szCs w:val="28"/>
        </w:rPr>
      </w:pPr>
    </w:p>
    <w:p w14:paraId="1F0AAF94" w14:textId="77777777" w:rsidR="000F63F2" w:rsidRPr="00E676F7" w:rsidRDefault="000F63F2"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4570B9DB" w14:textId="77777777" w:rsidR="00D8587B" w:rsidRDefault="00D8587B" w:rsidP="00D8587B">
      <w:pPr>
        <w:ind w:right="237"/>
        <w:jc w:val="center"/>
        <w:rPr>
          <w:rFonts w:eastAsia="Arial"/>
          <w:b/>
          <w:bCs/>
          <w:color w:val="000000" w:themeColor="text1"/>
          <w:sz w:val="24"/>
          <w:szCs w:val="24"/>
        </w:rPr>
      </w:pPr>
    </w:p>
    <w:p w14:paraId="1096EDD0" w14:textId="77777777" w:rsidR="00D8587B" w:rsidRDefault="00D8587B" w:rsidP="00D8587B">
      <w:pPr>
        <w:ind w:right="237"/>
        <w:jc w:val="center"/>
        <w:rPr>
          <w:rFonts w:eastAsia="Arial"/>
          <w:b/>
          <w:bCs/>
          <w:color w:val="000000" w:themeColor="text1"/>
          <w:sz w:val="24"/>
          <w:szCs w:val="24"/>
        </w:rPr>
      </w:pPr>
    </w:p>
    <w:p w14:paraId="732BB6D5" w14:textId="35E9D44F" w:rsidR="000C118D" w:rsidRDefault="000C118D" w:rsidP="2DD09751">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C486835" w14:textId="08322CED" w:rsidR="00D8587B" w:rsidRDefault="00D8587B" w:rsidP="00A221AB">
      <w:pPr>
        <w:pStyle w:val="paragraph"/>
        <w:spacing w:before="0" w:beforeAutospacing="0" w:after="0" w:afterAutospacing="0"/>
        <w:ind w:left="3600" w:right="225"/>
        <w:textAlignment w:val="baseline"/>
        <w:rPr>
          <w:rStyle w:val="normaltextrun"/>
          <w:rFonts w:ascii="Arial" w:hAnsi="Arial" w:cs="Arial"/>
          <w:b/>
          <w:bCs/>
          <w:color w:val="000000"/>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0F63F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t xml:space="preserve">TASK4 </w:t>
      </w:r>
      <w:r w:rsidR="004923DA" w:rsidRPr="2C16586C">
        <w:rPr>
          <w:b/>
          <w:bCs/>
          <w:sz w:val="24"/>
          <w:szCs w:val="24"/>
        </w:rPr>
        <w:t>Bibliography</w:t>
      </w:r>
    </w:p>
    <w:p w14:paraId="0AB807FE" w14:textId="11D3757E"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84F295A" w14:textId="0D4E42F5" w:rsidR="000F63F2" w:rsidRDefault="000F63F2" w:rsidP="00EA28F1">
      <w:pPr>
        <w:keepNext/>
        <w:spacing w:before="240" w:after="60"/>
        <w:ind w:right="237"/>
        <w:jc w:val="both"/>
        <w:rPr>
          <w:sz w:val="24"/>
          <w:szCs w:val="24"/>
        </w:rPr>
      </w:pPr>
    </w:p>
    <w:p w14:paraId="468B1915" w14:textId="4F342FD9"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Actions against the police (2020) Handcuffed for no reason: A dangerous Police habit. Available at: </w:t>
      </w:r>
      <w:hyperlink r:id="rId20" w:history="1">
        <w:r w:rsidRPr="004F74A4">
          <w:rPr>
            <w:rStyle w:val="Hyperlink"/>
            <w:rFonts w:ascii="Times New Roman" w:hAnsi="Times New Roman" w:cs="Times New Roman"/>
            <w:sz w:val="24"/>
            <w:szCs w:val="24"/>
          </w:rPr>
          <w:t>https://www.google.com/iangould.co.uk/2020/handcuffed-for-no-reason-a-dangerous-police-habit</w:t>
        </w:r>
      </w:hyperlink>
      <w:r w:rsidRPr="004F74A4">
        <w:rPr>
          <w:rFonts w:ascii="Times New Roman" w:hAnsi="Times New Roman" w:cs="Times New Roman"/>
          <w:sz w:val="24"/>
          <w:szCs w:val="24"/>
        </w:rPr>
        <w:t xml:space="preserve"> Accessed on: 26</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201C878D" w14:textId="77777777" w:rsidR="000F63F2" w:rsidRPr="004F74A4" w:rsidRDefault="000F63F2" w:rsidP="000F63F2">
      <w:pPr>
        <w:rPr>
          <w:rFonts w:ascii="Times New Roman" w:hAnsi="Times New Roman" w:cs="Times New Roman"/>
          <w:sz w:val="24"/>
          <w:szCs w:val="24"/>
        </w:rPr>
      </w:pPr>
    </w:p>
    <w:p w14:paraId="614E155E" w14:textId="2DDD93C2"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Britton and Time (2021) what is Actual Bodily Harm (ABH)? Everything you need to know. Available at: </w:t>
      </w:r>
      <w:hyperlink r:id="rId21" w:history="1">
        <w:r w:rsidRPr="004F74A4">
          <w:rPr>
            <w:rStyle w:val="Hyperlink"/>
            <w:rFonts w:ascii="Times New Roman" w:hAnsi="Times New Roman" w:cs="Times New Roman"/>
            <w:sz w:val="24"/>
            <w:szCs w:val="24"/>
          </w:rPr>
          <w:t>https://brittontime.com/2021/what-is-actual-bodily-harm-abh-everything-you-need-to-know</w:t>
        </w:r>
      </w:hyperlink>
      <w:r w:rsidRPr="004F74A4">
        <w:rPr>
          <w:rFonts w:ascii="Times New Roman" w:hAnsi="Times New Roman" w:cs="Times New Roman"/>
          <w:sz w:val="24"/>
          <w:szCs w:val="24"/>
        </w:rPr>
        <w:t xml:space="preserve"> Accessed at: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May2022.</w:t>
      </w:r>
    </w:p>
    <w:p w14:paraId="54657E9F" w14:textId="77777777" w:rsidR="000F63F2" w:rsidRPr="004F74A4" w:rsidRDefault="000F63F2" w:rsidP="000F63F2">
      <w:pPr>
        <w:rPr>
          <w:rFonts w:ascii="Times New Roman" w:hAnsi="Times New Roman" w:cs="Times New Roman"/>
          <w:sz w:val="24"/>
          <w:szCs w:val="24"/>
        </w:rPr>
      </w:pPr>
    </w:p>
    <w:p w14:paraId="0B968FB8" w14:textId="37925864"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College of Policing (2021) Body-worn Cameras. Available at: </w:t>
      </w:r>
      <w:hyperlink r:id="rId22" w:history="1">
        <w:r w:rsidRPr="004F74A4">
          <w:rPr>
            <w:rStyle w:val="Hyperlink"/>
            <w:rFonts w:ascii="Times New Roman" w:hAnsi="Times New Roman" w:cs="Times New Roman"/>
            <w:sz w:val="24"/>
            <w:szCs w:val="24"/>
          </w:rPr>
          <w:t>https://www.college.police.uk/crime-reduction-toolkit/body-worn-camera</w:t>
        </w:r>
      </w:hyperlink>
      <w:r w:rsidRPr="004F74A4">
        <w:rPr>
          <w:rFonts w:ascii="Times New Roman" w:hAnsi="Times New Roman" w:cs="Times New Roman"/>
          <w:sz w:val="24"/>
          <w:szCs w:val="24"/>
        </w:rPr>
        <w:t xml:space="preserve"> Accessed on: 25th May 2022.</w:t>
      </w:r>
    </w:p>
    <w:p w14:paraId="0455C1E2" w14:textId="77777777" w:rsidR="000F63F2" w:rsidRPr="004F74A4" w:rsidRDefault="000F63F2" w:rsidP="000F63F2">
      <w:pPr>
        <w:rPr>
          <w:rFonts w:ascii="Times New Roman" w:hAnsi="Times New Roman" w:cs="Times New Roman"/>
          <w:sz w:val="24"/>
          <w:szCs w:val="24"/>
        </w:rPr>
      </w:pPr>
    </w:p>
    <w:p w14:paraId="2A142DC8" w14:textId="0947C2A5"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College of Policing (2022) National Decision Model. Available at: </w:t>
      </w:r>
      <w:hyperlink r:id="rId23" w:history="1">
        <w:r w:rsidRPr="004F74A4">
          <w:rPr>
            <w:rStyle w:val="Hyperlink"/>
            <w:rFonts w:ascii="Times New Roman" w:hAnsi="Times New Roman" w:cs="Times New Roman"/>
            <w:sz w:val="24"/>
            <w:szCs w:val="24"/>
          </w:rPr>
          <w:t>https://www.college.of.policing.uk/app/national-decision-model</w:t>
        </w:r>
      </w:hyperlink>
      <w:r w:rsidRPr="004F74A4">
        <w:rPr>
          <w:rFonts w:ascii="Times New Roman" w:hAnsi="Times New Roman" w:cs="Times New Roman"/>
          <w:sz w:val="24"/>
          <w:szCs w:val="24"/>
        </w:rPr>
        <w:t xml:space="preserve">  Accessed on: 12</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 </w:t>
      </w:r>
    </w:p>
    <w:p w14:paraId="2102ED0A" w14:textId="77777777" w:rsidR="000F63F2" w:rsidRPr="004F74A4" w:rsidRDefault="000F63F2" w:rsidP="000F63F2">
      <w:pPr>
        <w:rPr>
          <w:rFonts w:ascii="Times New Roman" w:hAnsi="Times New Roman" w:cs="Times New Roman"/>
          <w:sz w:val="24"/>
          <w:szCs w:val="24"/>
        </w:rPr>
      </w:pPr>
    </w:p>
    <w:p w14:paraId="632D2460" w14:textId="582ED4EB"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College of policing (2022) Response, arrest and detention. Available at: </w:t>
      </w:r>
      <w:hyperlink r:id="rId24" w:history="1">
        <w:r w:rsidRPr="004F74A4">
          <w:rPr>
            <w:rStyle w:val="Hyperlink"/>
            <w:rFonts w:ascii="Times New Roman" w:hAnsi="Times New Roman" w:cs="Times New Roman"/>
            <w:sz w:val="24"/>
            <w:szCs w:val="24"/>
          </w:rPr>
          <w:t>https://www.college.police.uk/detention-and-custody/response-arrest-and-detension</w:t>
        </w:r>
      </w:hyperlink>
      <w:r w:rsidRPr="004F74A4">
        <w:rPr>
          <w:rFonts w:ascii="Times New Roman" w:hAnsi="Times New Roman" w:cs="Times New Roman"/>
          <w:sz w:val="24"/>
          <w:szCs w:val="24"/>
        </w:rPr>
        <w:t xml:space="preserve"> Accessed on: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17AB1DFB" w14:textId="77777777" w:rsidR="000F63F2" w:rsidRPr="004F74A4" w:rsidRDefault="000F63F2" w:rsidP="000F63F2">
      <w:pPr>
        <w:rPr>
          <w:rFonts w:ascii="Times New Roman" w:hAnsi="Times New Roman" w:cs="Times New Roman"/>
          <w:sz w:val="24"/>
          <w:szCs w:val="24"/>
        </w:rPr>
      </w:pPr>
    </w:p>
    <w:p w14:paraId="55D96518" w14:textId="294E9883"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CPS (2017) Hate Crime. Available at: </w:t>
      </w:r>
      <w:hyperlink r:id="rId25" w:history="1">
        <w:r w:rsidRPr="004F74A4">
          <w:rPr>
            <w:rStyle w:val="Hyperlink"/>
            <w:rFonts w:ascii="Times New Roman" w:hAnsi="Times New Roman" w:cs="Times New Roman"/>
            <w:sz w:val="24"/>
            <w:szCs w:val="24"/>
          </w:rPr>
          <w:t>https://www.cps.gov.uk/crime-info/hate-crime</w:t>
        </w:r>
      </w:hyperlink>
      <w:r w:rsidRPr="004F74A4">
        <w:rPr>
          <w:rFonts w:ascii="Times New Roman" w:hAnsi="Times New Roman" w:cs="Times New Roman"/>
          <w:sz w:val="24"/>
          <w:szCs w:val="24"/>
        </w:rPr>
        <w:t xml:space="preserve"> Accessed on: 27</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473D9C33" w14:textId="77777777" w:rsidR="000F63F2" w:rsidRPr="004F74A4" w:rsidRDefault="000F63F2" w:rsidP="000F63F2">
      <w:pPr>
        <w:rPr>
          <w:rFonts w:ascii="Times New Roman" w:hAnsi="Times New Roman" w:cs="Times New Roman"/>
          <w:sz w:val="24"/>
          <w:szCs w:val="24"/>
        </w:rPr>
      </w:pPr>
    </w:p>
    <w:p w14:paraId="10082AFB" w14:textId="3A98D21B"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Dr Nicole Brown (2021) Social research, practice and education. Available at: </w:t>
      </w:r>
      <w:hyperlink r:id="rId26" w:history="1">
        <w:r w:rsidRPr="00934E4A">
          <w:rPr>
            <w:rStyle w:val="Hyperlink"/>
            <w:rFonts w:ascii="Times New Roman" w:hAnsi="Times New Roman" w:cs="Times New Roman"/>
            <w:sz w:val="24"/>
            <w:szCs w:val="24"/>
          </w:rPr>
          <w:t>https://www.nicole-brown.co.uk/dr-nicole-brown</w:t>
        </w:r>
      </w:hyperlink>
      <w:r>
        <w:rPr>
          <w:rFonts w:ascii="Times New Roman" w:hAnsi="Times New Roman" w:cs="Times New Roman"/>
          <w:sz w:val="24"/>
          <w:szCs w:val="24"/>
        </w:rPr>
        <w:t xml:space="preserve"> </w:t>
      </w:r>
      <w:r w:rsidRPr="004F74A4">
        <w:rPr>
          <w:rFonts w:ascii="Times New Roman" w:hAnsi="Times New Roman" w:cs="Times New Roman"/>
          <w:sz w:val="24"/>
          <w:szCs w:val="24"/>
        </w:rPr>
        <w:t>Accessed on: 12</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13C12A8E" w14:textId="77777777" w:rsidR="000F63F2" w:rsidRPr="004F74A4" w:rsidRDefault="000F63F2" w:rsidP="000F63F2">
      <w:pPr>
        <w:rPr>
          <w:rFonts w:ascii="Times New Roman" w:hAnsi="Times New Roman" w:cs="Times New Roman"/>
          <w:sz w:val="24"/>
          <w:szCs w:val="24"/>
        </w:rPr>
      </w:pPr>
    </w:p>
    <w:p w14:paraId="246589D2" w14:textId="2EA0AFEF"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GOV.UK (2021) Hate crime, England and Wales 2020 to 2021. Available at: </w:t>
      </w:r>
      <w:hyperlink r:id="rId27" w:history="1">
        <w:r w:rsidRPr="004F74A4">
          <w:rPr>
            <w:rStyle w:val="Hyperlink"/>
            <w:rFonts w:ascii="Times New Roman" w:hAnsi="Times New Roman" w:cs="Times New Roman"/>
            <w:sz w:val="24"/>
            <w:szCs w:val="24"/>
          </w:rPr>
          <w:t>https://www.GOV.UK/goverment/statistics/hate-crime-england-and-wales-2020-to-2021/hate-crime-england-and-wales-2020-to-2021</w:t>
        </w:r>
      </w:hyperlink>
      <w:r w:rsidRPr="004F74A4">
        <w:rPr>
          <w:rFonts w:ascii="Times New Roman" w:hAnsi="Times New Roman" w:cs="Times New Roman"/>
          <w:sz w:val="24"/>
          <w:szCs w:val="24"/>
        </w:rPr>
        <w:t xml:space="preserve"> Accessed on: 28</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658A2430" w14:textId="77777777" w:rsidR="000F63F2" w:rsidRPr="004F74A4" w:rsidRDefault="000F63F2" w:rsidP="000F63F2">
      <w:pPr>
        <w:rPr>
          <w:rFonts w:ascii="Times New Roman" w:hAnsi="Times New Roman" w:cs="Times New Roman"/>
          <w:sz w:val="24"/>
          <w:szCs w:val="24"/>
        </w:rPr>
      </w:pPr>
    </w:p>
    <w:p w14:paraId="6664FE53" w14:textId="4C851672"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HMIC (2015) PEEL: Police effectiveness 2015 (Vulnerability). Available at: </w:t>
      </w:r>
      <w:hyperlink r:id="rId28" w:history="1">
        <w:r w:rsidRPr="004F74A4">
          <w:rPr>
            <w:rStyle w:val="Hyperlink"/>
            <w:rFonts w:ascii="Times New Roman" w:hAnsi="Times New Roman" w:cs="Times New Roman"/>
            <w:sz w:val="24"/>
            <w:szCs w:val="24"/>
          </w:rPr>
          <w:t>https://www.justiceinspectorates.gov.uk/hmicfrs/police-effectiveness-vulnerability-2015-south-wales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28BAFEA4" w14:textId="77777777" w:rsidR="000F63F2" w:rsidRPr="004F74A4" w:rsidRDefault="000F63F2" w:rsidP="000F63F2">
      <w:pPr>
        <w:rPr>
          <w:rFonts w:ascii="Times New Roman" w:hAnsi="Times New Roman" w:cs="Times New Roman"/>
          <w:sz w:val="24"/>
          <w:szCs w:val="24"/>
        </w:rPr>
      </w:pPr>
    </w:p>
    <w:p w14:paraId="4B7DA977" w14:textId="48D38E57"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House of Commons library (2021) Hate crime statistics. Available at: </w:t>
      </w:r>
      <w:hyperlink r:id="rId29" w:history="1">
        <w:r w:rsidRPr="004F74A4">
          <w:rPr>
            <w:rStyle w:val="Hyperlink"/>
            <w:rFonts w:ascii="Times New Roman" w:hAnsi="Times New Roman" w:cs="Times New Roman"/>
            <w:sz w:val="24"/>
            <w:szCs w:val="24"/>
          </w:rPr>
          <w:t>https://commonslibrary.parliment.uk/research-briefings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770880DC" w14:textId="77777777" w:rsidR="000F63F2" w:rsidRPr="004F74A4" w:rsidRDefault="000F63F2" w:rsidP="000F63F2">
      <w:pPr>
        <w:rPr>
          <w:rFonts w:ascii="Times New Roman" w:hAnsi="Times New Roman" w:cs="Times New Roman"/>
          <w:sz w:val="24"/>
          <w:szCs w:val="24"/>
        </w:rPr>
      </w:pPr>
    </w:p>
    <w:p w14:paraId="2EDB28FA" w14:textId="5D49C74E"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Imperial College (2022) what is unconscious bias. Available at: </w:t>
      </w:r>
      <w:hyperlink r:id="rId30" w:history="1">
        <w:r w:rsidRPr="004F74A4">
          <w:rPr>
            <w:rStyle w:val="Hyperlink"/>
            <w:rFonts w:ascii="Times New Roman" w:hAnsi="Times New Roman" w:cs="Times New Roman"/>
            <w:sz w:val="24"/>
            <w:szCs w:val="24"/>
          </w:rPr>
          <w:t>https://www.imperial.ac.uk/equality/resources/unconscious-bias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726FEF52" w14:textId="77777777" w:rsidR="000F63F2" w:rsidRPr="004F74A4" w:rsidRDefault="000F63F2" w:rsidP="000F63F2">
      <w:pPr>
        <w:rPr>
          <w:rFonts w:ascii="Times New Roman" w:hAnsi="Times New Roman" w:cs="Times New Roman"/>
          <w:sz w:val="24"/>
          <w:szCs w:val="24"/>
        </w:rPr>
      </w:pPr>
    </w:p>
    <w:p w14:paraId="28BFC421" w14:textId="3F4F0CB7"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Independent Office for Police Conduct (2020) Review identifies eleven opportunities for the Met to improve on stop and search. Available at: </w:t>
      </w:r>
      <w:hyperlink r:id="rId31" w:history="1">
        <w:r w:rsidRPr="004F74A4">
          <w:rPr>
            <w:rStyle w:val="Hyperlink"/>
            <w:rFonts w:ascii="Times New Roman" w:hAnsi="Times New Roman" w:cs="Times New Roman"/>
            <w:sz w:val="24"/>
            <w:szCs w:val="24"/>
          </w:rPr>
          <w:t>https://www.police.conduct.gov/news/review-identiifies-eleven-opportunities-met-improve-stop-and-search</w:t>
        </w:r>
      </w:hyperlink>
      <w:r w:rsidRPr="004F74A4">
        <w:rPr>
          <w:rFonts w:ascii="Times New Roman" w:hAnsi="Times New Roman" w:cs="Times New Roman"/>
          <w:sz w:val="24"/>
          <w:szCs w:val="24"/>
        </w:rPr>
        <w:t xml:space="preserve"> Accessed on 26th May 2022.</w:t>
      </w:r>
    </w:p>
    <w:p w14:paraId="56A78D90" w14:textId="77777777" w:rsidR="000F63F2" w:rsidRPr="004F74A4" w:rsidRDefault="000F63F2" w:rsidP="000F63F2">
      <w:pPr>
        <w:rPr>
          <w:rFonts w:ascii="Times New Roman" w:hAnsi="Times New Roman" w:cs="Times New Roman"/>
          <w:sz w:val="24"/>
          <w:szCs w:val="24"/>
        </w:rPr>
      </w:pPr>
    </w:p>
    <w:p w14:paraId="5FD40080" w14:textId="00D70DD7"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Learning the Lessons (2018) Protecting vulnerable people. Available at: </w:t>
      </w:r>
      <w:hyperlink r:id="rId32" w:history="1">
        <w:r w:rsidRPr="004F74A4">
          <w:rPr>
            <w:rStyle w:val="Hyperlink"/>
            <w:rFonts w:ascii="Times New Roman" w:hAnsi="Times New Roman" w:cs="Times New Roman"/>
            <w:sz w:val="24"/>
            <w:szCs w:val="24"/>
          </w:rPr>
          <w:t>https://www.policeconduct.gov.uk/learningthelessons/32</w:t>
        </w:r>
      </w:hyperlink>
      <w:r w:rsidRPr="004F74A4">
        <w:rPr>
          <w:rFonts w:ascii="Times New Roman" w:hAnsi="Times New Roman" w:cs="Times New Roman"/>
          <w:sz w:val="24"/>
          <w:szCs w:val="24"/>
        </w:rPr>
        <w:t xml:space="preserve"> Accessed on: 26thMay 2022.</w:t>
      </w:r>
    </w:p>
    <w:p w14:paraId="553A9778" w14:textId="77777777" w:rsidR="000F63F2" w:rsidRPr="004F74A4" w:rsidRDefault="000F63F2" w:rsidP="000F63F2">
      <w:pPr>
        <w:rPr>
          <w:rFonts w:ascii="Times New Roman" w:hAnsi="Times New Roman" w:cs="Times New Roman"/>
          <w:sz w:val="24"/>
          <w:szCs w:val="24"/>
        </w:rPr>
      </w:pPr>
    </w:p>
    <w:p w14:paraId="63241886" w14:textId="197F98EB"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Local Government Association (2022) Discriminatory abuse: a briefing for practitioners Available at: </w:t>
      </w:r>
      <w:hyperlink r:id="rId33" w:history="1">
        <w:r w:rsidRPr="004F74A4">
          <w:rPr>
            <w:rStyle w:val="Hyperlink"/>
            <w:rFonts w:ascii="Times New Roman" w:hAnsi="Times New Roman" w:cs="Times New Roman"/>
            <w:sz w:val="24"/>
            <w:szCs w:val="24"/>
          </w:rPr>
          <w:t>https://www.local.gov.uk/parliament/briefings-and-responses/discriminatory-abuse-briefing-practitoners</w:t>
        </w:r>
      </w:hyperlink>
      <w:r w:rsidRPr="004F74A4">
        <w:rPr>
          <w:rFonts w:ascii="Times New Roman" w:hAnsi="Times New Roman" w:cs="Times New Roman"/>
          <w:sz w:val="24"/>
          <w:szCs w:val="24"/>
        </w:rPr>
        <w:t xml:space="preserve"> Accessed on: 28th May 2022.</w:t>
      </w:r>
    </w:p>
    <w:p w14:paraId="4F1A2432" w14:textId="77777777" w:rsidR="000F63F2" w:rsidRPr="004F74A4" w:rsidRDefault="000F63F2" w:rsidP="000F63F2">
      <w:pPr>
        <w:rPr>
          <w:rFonts w:ascii="Times New Roman" w:hAnsi="Times New Roman" w:cs="Times New Roman"/>
          <w:sz w:val="24"/>
          <w:szCs w:val="24"/>
        </w:rPr>
      </w:pPr>
    </w:p>
    <w:p w14:paraId="7ACDA757" w14:textId="048619E6"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National Police Chiefs’ Council (2016) Policing Vison 2025. Available at: </w:t>
      </w:r>
      <w:hyperlink r:id="rId34" w:history="1">
        <w:r w:rsidRPr="004F74A4">
          <w:rPr>
            <w:rStyle w:val="Hyperlink"/>
            <w:rFonts w:ascii="Times New Roman" w:hAnsi="Times New Roman" w:cs="Times New Roman"/>
            <w:sz w:val="24"/>
            <w:szCs w:val="24"/>
          </w:rPr>
          <w:t>https://www.npcc.police.uk/documents/policingvison</w:t>
        </w:r>
      </w:hyperlink>
      <w:r w:rsidRPr="004F74A4">
        <w:rPr>
          <w:rFonts w:ascii="Times New Roman" w:hAnsi="Times New Roman" w:cs="Times New Roman"/>
          <w:sz w:val="24"/>
          <w:szCs w:val="24"/>
        </w:rPr>
        <w:t xml:space="preserve">  Accessed on: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279C3EE9" w14:textId="77777777" w:rsidR="000F63F2" w:rsidRPr="004F74A4" w:rsidRDefault="000F63F2" w:rsidP="000F63F2">
      <w:pPr>
        <w:rPr>
          <w:rFonts w:ascii="Times New Roman" w:hAnsi="Times New Roman" w:cs="Times New Roman"/>
          <w:sz w:val="24"/>
          <w:szCs w:val="24"/>
        </w:rPr>
      </w:pPr>
    </w:p>
    <w:p w14:paraId="3E99AC91" w14:textId="4C7A6DDA"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NOLO (2022) Police Searches after an arrest: Scope and Intensity. Available at: </w:t>
      </w:r>
      <w:hyperlink r:id="rId35" w:history="1">
        <w:r w:rsidRPr="004F74A4">
          <w:rPr>
            <w:rStyle w:val="Hyperlink"/>
            <w:rFonts w:ascii="Times New Roman" w:hAnsi="Times New Roman" w:cs="Times New Roman"/>
            <w:sz w:val="24"/>
            <w:szCs w:val="24"/>
          </w:rPr>
          <w:t>https://www.nolo.com/police-searches-after-arrest-scope-intensity</w:t>
        </w:r>
      </w:hyperlink>
      <w:r w:rsidRPr="004F74A4">
        <w:rPr>
          <w:rFonts w:ascii="Times New Roman" w:hAnsi="Times New Roman" w:cs="Times New Roman"/>
          <w:sz w:val="24"/>
          <w:szCs w:val="24"/>
        </w:rPr>
        <w:t xml:space="preserve"> Accessed on: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0FD53531" w14:textId="77777777" w:rsidR="000F63F2" w:rsidRPr="004F74A4" w:rsidRDefault="000F63F2" w:rsidP="000F63F2">
      <w:pPr>
        <w:rPr>
          <w:rFonts w:ascii="Times New Roman" w:hAnsi="Times New Roman" w:cs="Times New Roman"/>
          <w:sz w:val="24"/>
          <w:szCs w:val="24"/>
        </w:rPr>
      </w:pPr>
    </w:p>
    <w:p w14:paraId="287E092C" w14:textId="71C69B43"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Nottinghamshire Police (2022) Use of force. Available at: </w:t>
      </w:r>
      <w:hyperlink r:id="rId36" w:history="1">
        <w:r w:rsidRPr="004F74A4">
          <w:rPr>
            <w:rStyle w:val="Hyperlink"/>
            <w:rFonts w:ascii="Times New Roman" w:hAnsi="Times New Roman" w:cs="Times New Roman"/>
            <w:sz w:val="24"/>
            <w:szCs w:val="24"/>
          </w:rPr>
          <w:t>https://www.nothinghamshire.police.uk/documents/police-use-of-force</w:t>
        </w:r>
      </w:hyperlink>
      <w:r w:rsidRPr="004F74A4">
        <w:rPr>
          <w:rFonts w:ascii="Times New Roman" w:hAnsi="Times New Roman" w:cs="Times New Roman"/>
          <w:sz w:val="24"/>
          <w:szCs w:val="24"/>
        </w:rPr>
        <w:t xml:space="preserve"> Accessed on: 26</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6B3F5AE3" w14:textId="77777777" w:rsidR="000F63F2" w:rsidRPr="004F74A4" w:rsidRDefault="000F63F2" w:rsidP="000F63F2">
      <w:pPr>
        <w:rPr>
          <w:rFonts w:ascii="Times New Roman" w:hAnsi="Times New Roman" w:cs="Times New Roman"/>
          <w:sz w:val="24"/>
          <w:szCs w:val="24"/>
        </w:rPr>
      </w:pPr>
    </w:p>
    <w:p w14:paraId="0632B64E" w14:textId="307EBD25"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Office of the deputy Prime Minister (2004) the drivers of social exclusion. Available at: </w:t>
      </w:r>
      <w:hyperlink r:id="rId37" w:history="1">
        <w:r w:rsidRPr="004F74A4">
          <w:rPr>
            <w:rStyle w:val="Hyperlink"/>
            <w:rFonts w:ascii="Times New Roman" w:hAnsi="Times New Roman" w:cs="Times New Roman"/>
            <w:sz w:val="24"/>
            <w:szCs w:val="24"/>
          </w:rPr>
          <w:t>https://www.bristol.ac.uk/provery/keyofficaldocuments/drivers</w:t>
        </w:r>
      </w:hyperlink>
      <w:r w:rsidRPr="004F74A4">
        <w:rPr>
          <w:rFonts w:ascii="Times New Roman" w:hAnsi="Times New Roman" w:cs="Times New Roman"/>
          <w:sz w:val="24"/>
          <w:szCs w:val="24"/>
        </w:rPr>
        <w:t xml:space="preserve"> Accessed on: 28</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092B030B" w14:textId="77777777" w:rsidR="000F63F2" w:rsidRPr="004F74A4" w:rsidRDefault="000F63F2" w:rsidP="000F63F2">
      <w:pPr>
        <w:rPr>
          <w:rFonts w:ascii="Times New Roman" w:hAnsi="Times New Roman" w:cs="Times New Roman"/>
          <w:sz w:val="24"/>
          <w:szCs w:val="24"/>
        </w:rPr>
      </w:pPr>
    </w:p>
    <w:p w14:paraId="62886F3A" w14:textId="3BA25ECF"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ONS (2021) Crime in England and Wales. Available at: </w:t>
      </w:r>
      <w:hyperlink r:id="rId38" w:history="1">
        <w:r w:rsidRPr="004F74A4">
          <w:rPr>
            <w:rStyle w:val="Hyperlink"/>
            <w:rFonts w:ascii="Times New Roman" w:hAnsi="Times New Roman" w:cs="Times New Roman"/>
            <w:sz w:val="24"/>
            <w:szCs w:val="24"/>
          </w:rPr>
          <w:t>https://www,ons.gov.uk/peoplepopulationandcommunity/crimeandjustice/bulletins/crimeenglandandwales/yearendingdecember2021</w:t>
        </w:r>
      </w:hyperlink>
      <w:r w:rsidRPr="004F74A4">
        <w:rPr>
          <w:rFonts w:ascii="Times New Roman" w:hAnsi="Times New Roman" w:cs="Times New Roman"/>
          <w:sz w:val="24"/>
          <w:szCs w:val="24"/>
        </w:rPr>
        <w:t xml:space="preserve"> Accessed on: 28</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5F1C008A" w14:textId="77777777" w:rsidR="000F63F2" w:rsidRPr="004F74A4" w:rsidRDefault="000F63F2" w:rsidP="000F63F2">
      <w:pPr>
        <w:rPr>
          <w:rFonts w:ascii="Times New Roman" w:hAnsi="Times New Roman" w:cs="Times New Roman"/>
          <w:sz w:val="24"/>
          <w:szCs w:val="24"/>
        </w:rPr>
      </w:pPr>
    </w:p>
    <w:p w14:paraId="271FFA4F" w14:textId="5B1C3D5D"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Police and Crime Commissioner (2021) South Wales Police and Crime Plan 2021- 2025. Available at: </w:t>
      </w:r>
      <w:hyperlink r:id="rId39" w:history="1">
        <w:r w:rsidRPr="004F74A4">
          <w:rPr>
            <w:rStyle w:val="Hyperlink"/>
            <w:rFonts w:ascii="Times New Roman" w:hAnsi="Times New Roman" w:cs="Times New Roman"/>
            <w:sz w:val="24"/>
            <w:szCs w:val="24"/>
          </w:rPr>
          <w:t>https://www.apcc.police.uk/media/engl-police-and-crime-plan-2021-25</w:t>
        </w:r>
      </w:hyperlink>
      <w:r w:rsidRPr="004F74A4">
        <w:rPr>
          <w:rFonts w:ascii="Times New Roman" w:hAnsi="Times New Roman" w:cs="Times New Roman"/>
          <w:sz w:val="24"/>
          <w:szCs w:val="24"/>
        </w:rPr>
        <w:t xml:space="preserve"> Accessed on: 28</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656AF4DF" w14:textId="77777777" w:rsidR="000F63F2" w:rsidRPr="004F74A4" w:rsidRDefault="000F63F2" w:rsidP="000F63F2">
      <w:pPr>
        <w:rPr>
          <w:rFonts w:ascii="Times New Roman" w:hAnsi="Times New Roman" w:cs="Times New Roman"/>
          <w:sz w:val="24"/>
          <w:szCs w:val="24"/>
        </w:rPr>
      </w:pPr>
    </w:p>
    <w:p w14:paraId="10D2744E" w14:textId="677C19E4"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Police Federation (2022) Body worn video. Available at: </w:t>
      </w:r>
      <w:hyperlink r:id="rId40" w:history="1">
        <w:r w:rsidRPr="004F74A4">
          <w:rPr>
            <w:rStyle w:val="Hyperlink"/>
            <w:rFonts w:ascii="Times New Roman" w:hAnsi="Times New Roman" w:cs="Times New Roman"/>
            <w:sz w:val="24"/>
            <w:szCs w:val="24"/>
          </w:rPr>
          <w:t>https://www.polfed.org/our-work/operational-policing/body-worn-video</w:t>
        </w:r>
      </w:hyperlink>
      <w:r w:rsidRPr="004F74A4">
        <w:rPr>
          <w:rFonts w:ascii="Times New Roman" w:hAnsi="Times New Roman" w:cs="Times New Roman"/>
          <w:sz w:val="24"/>
          <w:szCs w:val="24"/>
        </w:rPr>
        <w:t xml:space="preserve"> Accessed on: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1EFA1EEA" w14:textId="77777777" w:rsidR="000F63F2" w:rsidRPr="004F74A4" w:rsidRDefault="000F63F2" w:rsidP="000F63F2">
      <w:pPr>
        <w:rPr>
          <w:rFonts w:ascii="Times New Roman" w:hAnsi="Times New Roman" w:cs="Times New Roman"/>
          <w:sz w:val="24"/>
          <w:szCs w:val="24"/>
        </w:rPr>
      </w:pPr>
    </w:p>
    <w:p w14:paraId="74C49260" w14:textId="2193AF7D"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Research gate (2001 Identifying the effect of Unemployment on crime. Available at: </w:t>
      </w:r>
      <w:hyperlink r:id="rId41" w:history="1">
        <w:r w:rsidRPr="004F74A4">
          <w:rPr>
            <w:rStyle w:val="Hyperlink"/>
            <w:rFonts w:ascii="Times New Roman" w:hAnsi="Times New Roman" w:cs="Times New Roman"/>
            <w:sz w:val="24"/>
            <w:szCs w:val="24"/>
          </w:rPr>
          <w:t>https://www.researchgate.net/identifying-the-effect-of-unemployment-on-crime</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39C016CB" w14:textId="77777777" w:rsidR="000F63F2" w:rsidRPr="004F74A4" w:rsidRDefault="000F63F2" w:rsidP="000F63F2">
      <w:pPr>
        <w:rPr>
          <w:rFonts w:ascii="Times New Roman" w:hAnsi="Times New Roman" w:cs="Times New Roman"/>
          <w:sz w:val="24"/>
          <w:szCs w:val="24"/>
        </w:rPr>
      </w:pPr>
    </w:p>
    <w:p w14:paraId="34305600" w14:textId="33D9E095"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Science Direct (2011) Exchange Principle. Available at: </w:t>
      </w:r>
      <w:hyperlink r:id="rId42" w:history="1">
        <w:r w:rsidRPr="004F74A4">
          <w:rPr>
            <w:rStyle w:val="Hyperlink"/>
            <w:rFonts w:ascii="Times New Roman" w:hAnsi="Times New Roman" w:cs="Times New Roman"/>
            <w:sz w:val="24"/>
            <w:szCs w:val="24"/>
          </w:rPr>
          <w:t>https://www.sciencedirect.com/social-sciences/exchange-principle</w:t>
        </w:r>
      </w:hyperlink>
      <w:r w:rsidRPr="004F74A4">
        <w:rPr>
          <w:rFonts w:ascii="Times New Roman" w:hAnsi="Times New Roman" w:cs="Times New Roman"/>
          <w:sz w:val="24"/>
          <w:szCs w:val="24"/>
        </w:rPr>
        <w:t xml:space="preserve"> Accessed on: 25</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488986D9" w14:textId="77777777" w:rsidR="000F63F2" w:rsidRPr="004F74A4" w:rsidRDefault="000F63F2" w:rsidP="000F63F2">
      <w:pPr>
        <w:rPr>
          <w:rFonts w:ascii="Times New Roman" w:hAnsi="Times New Roman" w:cs="Times New Roman"/>
          <w:sz w:val="24"/>
          <w:szCs w:val="24"/>
        </w:rPr>
      </w:pPr>
    </w:p>
    <w:p w14:paraId="3D6011D8" w14:textId="19C0D217"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Simplicable (2018) 29 Strategic drivers. Available at: </w:t>
      </w:r>
      <w:hyperlink r:id="rId43" w:history="1">
        <w:r w:rsidRPr="004F74A4">
          <w:rPr>
            <w:rStyle w:val="Hyperlink"/>
            <w:rFonts w:ascii="Times New Roman" w:hAnsi="Times New Roman" w:cs="Times New Roman"/>
            <w:sz w:val="24"/>
            <w:szCs w:val="24"/>
          </w:rPr>
          <w:t>https://simplicable.com/new/strategic-drivers</w:t>
        </w:r>
      </w:hyperlink>
      <w:r w:rsidRPr="004F74A4">
        <w:rPr>
          <w:rFonts w:ascii="Times New Roman" w:hAnsi="Times New Roman" w:cs="Times New Roman"/>
          <w:sz w:val="24"/>
          <w:szCs w:val="24"/>
        </w:rPr>
        <w:t xml:space="preserve"> Accessed on: 27</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15486B90" w14:textId="77777777" w:rsidR="000F63F2" w:rsidRPr="004F74A4" w:rsidRDefault="000F63F2" w:rsidP="000F63F2">
      <w:pPr>
        <w:rPr>
          <w:rFonts w:ascii="Times New Roman" w:hAnsi="Times New Roman" w:cs="Times New Roman"/>
          <w:sz w:val="24"/>
          <w:szCs w:val="24"/>
        </w:rPr>
      </w:pPr>
    </w:p>
    <w:p w14:paraId="29996F20" w14:textId="391564A2"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Stonewall (2018) Health Report. Available at: </w:t>
      </w:r>
      <w:hyperlink r:id="rId44" w:history="1">
        <w:r w:rsidRPr="004F74A4">
          <w:rPr>
            <w:rStyle w:val="Hyperlink"/>
            <w:rFonts w:ascii="Times New Roman" w:hAnsi="Times New Roman" w:cs="Times New Roman"/>
            <w:sz w:val="24"/>
            <w:szCs w:val="24"/>
          </w:rPr>
          <w:t>https://www.stonewall.org.uk/facts-and-figures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 </w:t>
      </w:r>
    </w:p>
    <w:p w14:paraId="04C27884" w14:textId="77777777" w:rsidR="000F63F2" w:rsidRPr="004F74A4" w:rsidRDefault="000F63F2" w:rsidP="000F63F2">
      <w:pPr>
        <w:rPr>
          <w:rFonts w:ascii="Times New Roman" w:hAnsi="Times New Roman" w:cs="Times New Roman"/>
          <w:sz w:val="24"/>
          <w:szCs w:val="24"/>
        </w:rPr>
      </w:pPr>
    </w:p>
    <w:p w14:paraId="7E48E86D" w14:textId="4A0DE540"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The college of policing (2022) Investigation process. Available at: </w:t>
      </w:r>
      <w:hyperlink r:id="rId45" w:history="1">
        <w:r w:rsidRPr="004F74A4">
          <w:rPr>
            <w:rStyle w:val="Hyperlink"/>
            <w:rFonts w:ascii="Times New Roman" w:hAnsi="Times New Roman" w:cs="Times New Roman"/>
            <w:sz w:val="24"/>
            <w:szCs w:val="24"/>
          </w:rPr>
          <w:t>https://www.college.police.uk/investigations-process</w:t>
        </w:r>
      </w:hyperlink>
      <w:r w:rsidRPr="004F74A4">
        <w:rPr>
          <w:rFonts w:ascii="Times New Roman" w:hAnsi="Times New Roman" w:cs="Times New Roman"/>
          <w:sz w:val="24"/>
          <w:szCs w:val="24"/>
        </w:rPr>
        <w:t xml:space="preserve"> Accessed on 25th May 2022.</w:t>
      </w:r>
    </w:p>
    <w:p w14:paraId="1220B772" w14:textId="77777777" w:rsidR="000F63F2" w:rsidRPr="004F74A4" w:rsidRDefault="000F63F2" w:rsidP="000F63F2">
      <w:pPr>
        <w:rPr>
          <w:rFonts w:ascii="Times New Roman" w:hAnsi="Times New Roman" w:cs="Times New Roman"/>
          <w:sz w:val="24"/>
          <w:szCs w:val="24"/>
        </w:rPr>
      </w:pPr>
    </w:p>
    <w:p w14:paraId="4E099A94" w14:textId="6AD1B6FA"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The Open University (2019) Decision making in policing. Available at: </w:t>
      </w:r>
      <w:hyperlink r:id="rId46" w:history="1">
        <w:r w:rsidRPr="004F74A4">
          <w:rPr>
            <w:rStyle w:val="Hyperlink"/>
            <w:rFonts w:ascii="Times New Roman" w:hAnsi="Times New Roman" w:cs="Times New Roman"/>
            <w:sz w:val="24"/>
            <w:szCs w:val="24"/>
          </w:rPr>
          <w:t>https://www.open.edu/openlearn/mod</w:t>
        </w:r>
      </w:hyperlink>
      <w:r w:rsidRPr="004F74A4">
        <w:rPr>
          <w:rFonts w:ascii="Times New Roman" w:hAnsi="Times New Roman" w:cs="Times New Roman"/>
          <w:sz w:val="24"/>
          <w:szCs w:val="24"/>
        </w:rPr>
        <w:t>. Accessed on: 12</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0A658345" w14:textId="77777777" w:rsidR="000F63F2" w:rsidRPr="004F74A4" w:rsidRDefault="000F63F2" w:rsidP="000F63F2">
      <w:pPr>
        <w:rPr>
          <w:rFonts w:ascii="Times New Roman" w:hAnsi="Times New Roman" w:cs="Times New Roman"/>
          <w:sz w:val="24"/>
          <w:szCs w:val="24"/>
        </w:rPr>
      </w:pPr>
    </w:p>
    <w:p w14:paraId="617BF8B4" w14:textId="0C1A59E8"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TNS BMRB (2015) Police use of police. Available at: </w:t>
      </w:r>
      <w:hyperlink r:id="rId47" w:history="1">
        <w:r w:rsidRPr="004F74A4">
          <w:rPr>
            <w:rStyle w:val="Hyperlink"/>
            <w:rFonts w:ascii="Times New Roman" w:hAnsi="Times New Roman" w:cs="Times New Roman"/>
            <w:sz w:val="24"/>
            <w:szCs w:val="24"/>
          </w:rPr>
          <w:t>https://www.policeconduct.gov.uk/documents/research-learning/BMRB-use-of-force-report</w:t>
        </w:r>
      </w:hyperlink>
      <w:r w:rsidRPr="004F74A4">
        <w:rPr>
          <w:rFonts w:ascii="Times New Roman" w:hAnsi="Times New Roman" w:cs="Times New Roman"/>
          <w:sz w:val="24"/>
          <w:szCs w:val="24"/>
        </w:rPr>
        <w:t xml:space="preserve"> Accessed on: 26</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69F7E362" w14:textId="77777777" w:rsidR="000F63F2" w:rsidRPr="004F74A4" w:rsidRDefault="000F63F2" w:rsidP="000F63F2">
      <w:pPr>
        <w:rPr>
          <w:rFonts w:ascii="Times New Roman" w:hAnsi="Times New Roman" w:cs="Times New Roman"/>
          <w:sz w:val="24"/>
          <w:szCs w:val="24"/>
        </w:rPr>
      </w:pPr>
    </w:p>
    <w:p w14:paraId="6C010288" w14:textId="1A6F885B"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Uk Essays (2018) Criminal behaviour as influenced by nature and nurture: The more dominant force. Available at: </w:t>
      </w:r>
      <w:hyperlink r:id="rId48" w:history="1">
        <w:r w:rsidRPr="004F74A4">
          <w:rPr>
            <w:rStyle w:val="Hyperlink"/>
            <w:rFonts w:ascii="Times New Roman" w:hAnsi="Times New Roman" w:cs="Times New Roman"/>
            <w:sz w:val="24"/>
            <w:szCs w:val="24"/>
          </w:rPr>
          <w:t>https://www,ukessays.com/essays/criminology/crimininal-behaviour-as-influenced-by-nature-nuture-the-more-dominant-force</w:t>
        </w:r>
      </w:hyperlink>
      <w:r w:rsidRPr="004F74A4">
        <w:rPr>
          <w:rFonts w:ascii="Times New Roman" w:hAnsi="Times New Roman" w:cs="Times New Roman"/>
          <w:sz w:val="24"/>
          <w:szCs w:val="24"/>
        </w:rPr>
        <w:t>.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43CEBACA" w14:textId="77777777" w:rsidR="000F63F2" w:rsidRPr="004F74A4" w:rsidRDefault="000F63F2" w:rsidP="000F63F2">
      <w:pPr>
        <w:rPr>
          <w:rFonts w:ascii="Times New Roman" w:hAnsi="Times New Roman" w:cs="Times New Roman"/>
          <w:sz w:val="24"/>
          <w:szCs w:val="24"/>
        </w:rPr>
      </w:pPr>
    </w:p>
    <w:p w14:paraId="7DCAFFE2" w14:textId="2218AB15"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UK Parliament (2022) Poverty in the UK: Statistics. Available at: </w:t>
      </w:r>
      <w:hyperlink r:id="rId49" w:history="1">
        <w:r w:rsidRPr="004F74A4">
          <w:rPr>
            <w:rStyle w:val="Hyperlink"/>
            <w:rFonts w:ascii="Times New Roman" w:hAnsi="Times New Roman" w:cs="Times New Roman"/>
            <w:sz w:val="24"/>
            <w:szCs w:val="24"/>
          </w:rPr>
          <w:t>https://commonlibrary.parliment.uk/research-briefings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2767F69C" w14:textId="77777777" w:rsidR="000F63F2" w:rsidRPr="004F74A4" w:rsidRDefault="000F63F2" w:rsidP="000F63F2">
      <w:pPr>
        <w:rPr>
          <w:rFonts w:ascii="Times New Roman" w:hAnsi="Times New Roman" w:cs="Times New Roman"/>
          <w:sz w:val="24"/>
          <w:szCs w:val="24"/>
        </w:rPr>
      </w:pPr>
    </w:p>
    <w:p w14:paraId="6FC77144" w14:textId="5CC6F13B"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Umbrella Cymru (2022) Gender and Sexual Diversity support specialists. Available at: </w:t>
      </w:r>
      <w:hyperlink r:id="rId50" w:history="1">
        <w:r w:rsidRPr="004F74A4">
          <w:rPr>
            <w:rStyle w:val="Hyperlink"/>
            <w:rFonts w:ascii="Times New Roman" w:hAnsi="Times New Roman" w:cs="Times New Roman"/>
            <w:sz w:val="24"/>
            <w:szCs w:val="24"/>
          </w:rPr>
          <w:t>https://www.umbrellacymru.co.uk/services</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57214145" w14:textId="77777777" w:rsidR="000F63F2" w:rsidRPr="004F74A4" w:rsidRDefault="000F63F2" w:rsidP="000F63F2">
      <w:pPr>
        <w:rPr>
          <w:rFonts w:ascii="Times New Roman" w:hAnsi="Times New Roman" w:cs="Times New Roman"/>
          <w:sz w:val="24"/>
          <w:szCs w:val="24"/>
        </w:rPr>
      </w:pPr>
    </w:p>
    <w:p w14:paraId="51513AC2" w14:textId="23E81936" w:rsidR="000F63F2"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Victim Support (2021) Policy and research. Available at:  </w:t>
      </w:r>
      <w:hyperlink r:id="rId51" w:history="1">
        <w:r w:rsidRPr="004F74A4">
          <w:rPr>
            <w:rStyle w:val="Hyperlink"/>
            <w:rFonts w:ascii="Times New Roman" w:hAnsi="Times New Roman" w:cs="Times New Roman"/>
            <w:sz w:val="24"/>
            <w:szCs w:val="24"/>
          </w:rPr>
          <w:t>https://www.victimsupport.org.uk/more-us/policy-and-research</w:t>
        </w:r>
      </w:hyperlink>
      <w:r w:rsidRPr="004F74A4">
        <w:rPr>
          <w:rFonts w:ascii="Times New Roman" w:hAnsi="Times New Roman" w:cs="Times New Roman"/>
          <w:sz w:val="24"/>
          <w:szCs w:val="24"/>
        </w:rPr>
        <w:t xml:space="preserve"> Accessed on: 29</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1A1BFF91" w14:textId="77777777" w:rsidR="000F63F2" w:rsidRPr="004F74A4" w:rsidRDefault="000F63F2" w:rsidP="000F63F2">
      <w:pPr>
        <w:rPr>
          <w:rFonts w:ascii="Times New Roman" w:hAnsi="Times New Roman" w:cs="Times New Roman"/>
          <w:sz w:val="24"/>
          <w:szCs w:val="24"/>
        </w:rPr>
      </w:pPr>
    </w:p>
    <w:p w14:paraId="34480476" w14:textId="77777777" w:rsidR="000F63F2" w:rsidRPr="004F74A4" w:rsidRDefault="000F63F2" w:rsidP="000F63F2">
      <w:pPr>
        <w:rPr>
          <w:rFonts w:ascii="Times New Roman" w:hAnsi="Times New Roman" w:cs="Times New Roman"/>
          <w:sz w:val="24"/>
          <w:szCs w:val="24"/>
        </w:rPr>
      </w:pPr>
      <w:r w:rsidRPr="004F74A4">
        <w:rPr>
          <w:rFonts w:ascii="Times New Roman" w:hAnsi="Times New Roman" w:cs="Times New Roman"/>
          <w:sz w:val="24"/>
          <w:szCs w:val="24"/>
        </w:rPr>
        <w:t xml:space="preserve">Welsh Government (2017) Tackling Hate crime and incidents: Framework for action. Available at: </w:t>
      </w:r>
      <w:hyperlink r:id="rId52" w:history="1">
        <w:r w:rsidRPr="004F74A4">
          <w:rPr>
            <w:rStyle w:val="Hyperlink"/>
            <w:rFonts w:ascii="Times New Roman" w:hAnsi="Times New Roman" w:cs="Times New Roman"/>
            <w:sz w:val="24"/>
            <w:szCs w:val="24"/>
          </w:rPr>
          <w:t>https://www.gov.wales/hate-crime-framework-progress-report</w:t>
        </w:r>
      </w:hyperlink>
      <w:r w:rsidRPr="004F74A4">
        <w:rPr>
          <w:rFonts w:ascii="Times New Roman" w:hAnsi="Times New Roman" w:cs="Times New Roman"/>
          <w:sz w:val="24"/>
          <w:szCs w:val="24"/>
        </w:rPr>
        <w:t xml:space="preserve"> Accessed on: 28</w:t>
      </w:r>
      <w:r w:rsidRPr="004F74A4">
        <w:rPr>
          <w:rFonts w:ascii="Times New Roman" w:hAnsi="Times New Roman" w:cs="Times New Roman"/>
          <w:sz w:val="24"/>
          <w:szCs w:val="24"/>
          <w:vertAlign w:val="superscript"/>
        </w:rPr>
        <w:t>th</w:t>
      </w:r>
      <w:r w:rsidRPr="004F74A4">
        <w:rPr>
          <w:rFonts w:ascii="Times New Roman" w:hAnsi="Times New Roman" w:cs="Times New Roman"/>
          <w:sz w:val="24"/>
          <w:szCs w:val="24"/>
        </w:rPr>
        <w:t xml:space="preserve"> May 2022.</w:t>
      </w:r>
    </w:p>
    <w:p w14:paraId="0E6B6947" w14:textId="77777777" w:rsidR="000F63F2" w:rsidRDefault="000F63F2" w:rsidP="00EA28F1">
      <w:pPr>
        <w:keepNext/>
        <w:spacing w:before="240" w:after="60"/>
        <w:ind w:right="237"/>
        <w:jc w:val="both"/>
      </w:pPr>
    </w:p>
    <w:sectPr w:rsidR="000F63F2" w:rsidSect="000F63F2">
      <w:headerReference w:type="even" r:id="rId53"/>
      <w:headerReference w:type="default" r:id="rId54"/>
      <w:footerReference w:type="even" r:id="rId55"/>
      <w:footerReference w:type="default" r:id="rId56"/>
      <w:headerReference w:type="first" r:id="rId57"/>
      <w:footerReference w:type="first" r:id="rId5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4C37AF" w:rsidRDefault="004C37AF">
      <w:r>
        <w:separator/>
      </w:r>
    </w:p>
  </w:endnote>
  <w:endnote w:type="continuationSeparator" w:id="0">
    <w:p w14:paraId="19A28048" w14:textId="77777777" w:rsidR="004C37AF" w:rsidRDefault="004C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6C4DE" w14:textId="5F1B65DE" w:rsidR="004C37AF" w:rsidRDefault="00EB56A4" w:rsidP="00EB56A4">
    <w:pPr>
      <w:pStyle w:val="Footer"/>
      <w:rPr>
        <w:sz w:val="17"/>
      </w:rPr>
    </w:pPr>
    <w:bookmarkStart w:id="3" w:name="TITUS1FooterEvenPages"/>
    <w:r>
      <w:rPr>
        <w:sz w:val="17"/>
      </w:rPr>
      <w:t> </w:t>
    </w:r>
  </w:p>
  <w:bookmarkEnd w:id="3"/>
  <w:p w14:paraId="644DBC1B" w14:textId="77777777" w:rsidR="004C37AF" w:rsidRDefault="004C37AF" w:rsidP="00F66384">
    <w:pPr>
      <w:pStyle w:val="Footer"/>
      <w:rPr>
        <w:sz w:val="17"/>
      </w:rPr>
    </w:pPr>
  </w:p>
  <w:p w14:paraId="79BB2587" w14:textId="13BEF1AC" w:rsidR="004C37AF" w:rsidRDefault="004C37AF" w:rsidP="00F66384">
    <w:pPr>
      <w:pStyle w:val="Footer"/>
      <w:jc w:val="right"/>
    </w:pPr>
    <w:r>
      <w:fldChar w:fldCharType="begin"/>
    </w:r>
    <w:r>
      <w:instrText xml:space="preserve"> PAGE   \* MERGEFORMAT </w:instrText>
    </w:r>
    <w:r>
      <w:fldChar w:fldCharType="separate"/>
    </w:r>
    <w:r w:rsidR="00BA6538">
      <w:rPr>
        <w:noProof/>
      </w:rPr>
      <w:t>10</w:t>
    </w:r>
    <w:r>
      <w:rPr>
        <w:noProof/>
      </w:rPr>
      <w:fldChar w:fldCharType="end"/>
    </w:r>
  </w:p>
  <w:p w14:paraId="1B9BA4AE" w14:textId="77777777" w:rsidR="004C37AF" w:rsidRPr="00BB5EAA" w:rsidRDefault="004C37AF" w:rsidP="00F66384">
    <w:pPr>
      <w:pStyle w:val="Footer"/>
      <w:ind w:right="360"/>
      <w:jc w:val="center"/>
    </w:pPr>
  </w:p>
  <w:p w14:paraId="3D096BC5" w14:textId="77777777" w:rsidR="004C37AF" w:rsidRDefault="004C37AF" w:rsidP="00F66384">
    <w:pPr>
      <w:pStyle w:val="Header"/>
    </w:pPr>
  </w:p>
  <w:p w14:paraId="55692855" w14:textId="77777777" w:rsidR="004C37AF" w:rsidRDefault="004C3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E9157" w14:textId="16194E68" w:rsidR="004C37AF" w:rsidRDefault="00EB56A4" w:rsidP="00EB56A4">
    <w:pPr>
      <w:pStyle w:val="Footer"/>
      <w:rPr>
        <w:sz w:val="17"/>
      </w:rPr>
    </w:pPr>
    <w:bookmarkStart w:id="4" w:name="TITUS1FooterPrimary"/>
    <w:r>
      <w:rPr>
        <w:sz w:val="17"/>
      </w:rPr>
      <w:t> </w:t>
    </w:r>
  </w:p>
  <w:bookmarkEnd w:id="4"/>
  <w:p w14:paraId="50521BFA" w14:textId="751B2526" w:rsidR="004C37AF" w:rsidRDefault="004C37AF">
    <w:pPr>
      <w:pStyle w:val="Footer"/>
      <w:jc w:val="right"/>
    </w:pPr>
    <w:r>
      <w:fldChar w:fldCharType="begin"/>
    </w:r>
    <w:r>
      <w:instrText xml:space="preserve"> PAGE   \* MERGEFORMAT </w:instrText>
    </w:r>
    <w:r>
      <w:fldChar w:fldCharType="separate"/>
    </w:r>
    <w:r w:rsidR="00BA6538">
      <w:rPr>
        <w:noProof/>
      </w:rPr>
      <w:t>11</w:t>
    </w:r>
    <w:r>
      <w:rPr>
        <w:noProof/>
      </w:rPr>
      <w:fldChar w:fldCharType="end"/>
    </w:r>
  </w:p>
  <w:p w14:paraId="790812FF" w14:textId="77777777" w:rsidR="004C37AF" w:rsidRPr="00BB5EAA" w:rsidRDefault="004C37AF" w:rsidP="004C2D3A">
    <w:pPr>
      <w:pStyle w:val="Footer"/>
      <w:ind w:right="360"/>
      <w:jc w:val="center"/>
    </w:pPr>
  </w:p>
  <w:p w14:paraId="4594BC47" w14:textId="77777777" w:rsidR="004C37AF" w:rsidRDefault="004C37AF" w:rsidP="000F63F2">
    <w:pPr>
      <w:pStyle w:val="Head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C5BF3" w14:textId="017B78D9" w:rsidR="004C37AF" w:rsidRDefault="00EB56A4" w:rsidP="00EB56A4">
    <w:pPr>
      <w:pStyle w:val="Footer"/>
      <w:rPr>
        <w:sz w:val="17"/>
      </w:rPr>
    </w:pPr>
    <w:bookmarkStart w:id="6" w:name="TITUS1FooterFirstPage"/>
    <w:r>
      <w:rPr>
        <w:sz w:val="17"/>
      </w:rPr>
      <w:t> </w:t>
    </w:r>
  </w:p>
  <w:bookmarkEnd w:id="6"/>
  <w:p w14:paraId="3FCD1FAC" w14:textId="64CD187D" w:rsidR="004C37AF" w:rsidRDefault="004C37AF" w:rsidP="000F63F2">
    <w:pPr>
      <w:pStyle w:val="Footer"/>
      <w:jc w:val="right"/>
    </w:pPr>
    <w:r>
      <w:fldChar w:fldCharType="begin"/>
    </w:r>
    <w:r>
      <w:instrText xml:space="preserve"> PAGE   \* MERGEFORMAT </w:instrText>
    </w:r>
    <w:r>
      <w:fldChar w:fldCharType="separate"/>
    </w:r>
    <w:r w:rsidR="00BA6538">
      <w:rPr>
        <w:noProof/>
      </w:rPr>
      <w:t>1</w:t>
    </w:r>
    <w:r>
      <w:rPr>
        <w:noProof/>
      </w:rPr>
      <w:fldChar w:fldCharType="end"/>
    </w:r>
  </w:p>
  <w:p w14:paraId="3B44E13A" w14:textId="77777777" w:rsidR="004C37AF" w:rsidRPr="00BB5EAA" w:rsidRDefault="004C37AF" w:rsidP="000F63F2">
    <w:pPr>
      <w:pStyle w:val="Footer"/>
      <w:ind w:right="360"/>
      <w:jc w:val="center"/>
    </w:pPr>
  </w:p>
  <w:p w14:paraId="5C813C72" w14:textId="77777777" w:rsidR="004C37AF" w:rsidRDefault="004C37AF" w:rsidP="000F63F2">
    <w:pPr>
      <w:pStyle w:val="Header"/>
    </w:pPr>
  </w:p>
  <w:p w14:paraId="15E9D1DF" w14:textId="77777777" w:rsidR="004C37AF" w:rsidRDefault="004C37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E5F7F" w14:textId="07DA2372" w:rsidR="004C37AF" w:rsidRDefault="00EB56A4" w:rsidP="00EB56A4">
    <w:pPr>
      <w:pStyle w:val="Footer"/>
      <w:rPr>
        <w:sz w:val="17"/>
      </w:rPr>
    </w:pPr>
    <w:bookmarkStart w:id="9" w:name="TITUS2FooterEvenPages"/>
    <w:r>
      <w:rPr>
        <w:sz w:val="17"/>
      </w:rPr>
      <w:t> </w:t>
    </w:r>
  </w:p>
  <w:bookmarkEnd w:id="9"/>
  <w:p w14:paraId="736CBBF8" w14:textId="77777777" w:rsidR="004C37AF" w:rsidRDefault="004C37AF" w:rsidP="000F63F2">
    <w:pPr>
      <w:pStyle w:val="Footer"/>
      <w:jc w:val="right"/>
    </w:pPr>
  </w:p>
  <w:p w14:paraId="28F2505F" w14:textId="3988BC43" w:rsidR="004C37AF" w:rsidRDefault="004C37AF" w:rsidP="000F63F2">
    <w:pPr>
      <w:pStyle w:val="Footer"/>
      <w:jc w:val="right"/>
    </w:pPr>
    <w:r>
      <w:fldChar w:fldCharType="begin"/>
    </w:r>
    <w:r>
      <w:instrText xml:space="preserve"> PAGE   \* MERGEFORMAT </w:instrText>
    </w:r>
    <w:r>
      <w:fldChar w:fldCharType="separate"/>
    </w:r>
    <w:r w:rsidR="00EB56A4">
      <w:rPr>
        <w:noProof/>
      </w:rPr>
      <w:t>36</w:t>
    </w:r>
    <w:r>
      <w:rPr>
        <w:noProof/>
      </w:rPr>
      <w:fldChar w:fldCharType="end"/>
    </w:r>
  </w:p>
  <w:p w14:paraId="7302200E" w14:textId="77777777" w:rsidR="004C37AF" w:rsidRPr="00BB5EAA" w:rsidRDefault="004C37AF" w:rsidP="000F63F2">
    <w:pPr>
      <w:pStyle w:val="Footer"/>
      <w:ind w:right="360"/>
      <w:jc w:val="center"/>
    </w:pPr>
  </w:p>
  <w:p w14:paraId="3394A73B" w14:textId="77777777" w:rsidR="004C37AF" w:rsidRDefault="004C37AF" w:rsidP="000F63F2">
    <w:pPr>
      <w:pStyle w:val="Header"/>
    </w:pPr>
  </w:p>
  <w:p w14:paraId="16884A60" w14:textId="77777777" w:rsidR="004C37AF" w:rsidRDefault="004C37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1B196" w14:textId="4100660D" w:rsidR="004C37AF" w:rsidRDefault="00EB56A4" w:rsidP="00EB56A4">
    <w:pPr>
      <w:pStyle w:val="Footer"/>
      <w:rPr>
        <w:sz w:val="17"/>
      </w:rPr>
    </w:pPr>
    <w:bookmarkStart w:id="10" w:name="TITUS2FooterPrimary"/>
    <w:r>
      <w:rPr>
        <w:sz w:val="17"/>
      </w:rPr>
      <w:t> </w:t>
    </w:r>
  </w:p>
  <w:bookmarkEnd w:id="10"/>
  <w:p w14:paraId="4575F54D" w14:textId="77777777" w:rsidR="004C37AF" w:rsidRDefault="004C37AF">
    <w:pPr>
      <w:pStyle w:val="Footer"/>
      <w:jc w:val="right"/>
    </w:pPr>
  </w:p>
  <w:p w14:paraId="6E967BB7" w14:textId="6B08143F" w:rsidR="004C37AF" w:rsidRDefault="004C37AF">
    <w:pPr>
      <w:pStyle w:val="Footer"/>
      <w:jc w:val="right"/>
    </w:pPr>
    <w:r>
      <w:fldChar w:fldCharType="begin"/>
    </w:r>
    <w:r>
      <w:instrText xml:space="preserve"> PAGE   \* MERGEFORMAT </w:instrText>
    </w:r>
    <w:r>
      <w:fldChar w:fldCharType="separate"/>
    </w:r>
    <w:r w:rsidR="00EB56A4">
      <w:rPr>
        <w:noProof/>
      </w:rPr>
      <w:t>37</w:t>
    </w:r>
    <w:r>
      <w:rPr>
        <w:noProof/>
      </w:rPr>
      <w:fldChar w:fldCharType="end"/>
    </w:r>
  </w:p>
  <w:p w14:paraId="1E150C7A" w14:textId="77777777" w:rsidR="004C37AF" w:rsidRPr="00BB5EAA" w:rsidRDefault="004C37AF" w:rsidP="004C2D3A">
    <w:pPr>
      <w:pStyle w:val="Footer"/>
      <w:ind w:right="360"/>
      <w:jc w:val="center"/>
    </w:pPr>
  </w:p>
  <w:p w14:paraId="288C5480" w14:textId="77777777" w:rsidR="004C37AF" w:rsidRDefault="004C37AF" w:rsidP="000F63F2">
    <w:pPr>
      <w:pStyle w:val="Head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8A3BC" w14:textId="4EBEA864" w:rsidR="004C37AF" w:rsidRDefault="00EB56A4" w:rsidP="00EB56A4">
    <w:pPr>
      <w:pStyle w:val="Footer"/>
      <w:rPr>
        <w:sz w:val="17"/>
      </w:rPr>
    </w:pPr>
    <w:bookmarkStart w:id="12" w:name="TITUS2FooterFirstPage"/>
    <w:r>
      <w:rPr>
        <w:sz w:val="17"/>
      </w:rPr>
      <w:t> </w:t>
    </w:r>
  </w:p>
  <w:bookmarkEnd w:id="12"/>
  <w:p w14:paraId="559FFC89" w14:textId="77777777" w:rsidR="004C37AF" w:rsidRDefault="004C37AF" w:rsidP="000F63F2">
    <w:pPr>
      <w:pStyle w:val="Footer"/>
      <w:jc w:val="right"/>
    </w:pPr>
  </w:p>
  <w:p w14:paraId="4B4E107A" w14:textId="0537E44F" w:rsidR="004C37AF" w:rsidRDefault="004C37AF" w:rsidP="000F63F2">
    <w:pPr>
      <w:pStyle w:val="Footer"/>
      <w:jc w:val="right"/>
    </w:pPr>
    <w:r>
      <w:fldChar w:fldCharType="begin"/>
    </w:r>
    <w:r>
      <w:instrText xml:space="preserve"> PAGE   \* MERGEFORMAT </w:instrText>
    </w:r>
    <w:r>
      <w:fldChar w:fldCharType="separate"/>
    </w:r>
    <w:r w:rsidR="00EB56A4">
      <w:rPr>
        <w:noProof/>
      </w:rPr>
      <w:t>35</w:t>
    </w:r>
    <w:r>
      <w:rPr>
        <w:noProof/>
      </w:rPr>
      <w:fldChar w:fldCharType="end"/>
    </w:r>
  </w:p>
  <w:p w14:paraId="0CDB0678" w14:textId="77777777" w:rsidR="004C37AF" w:rsidRPr="00BB5EAA" w:rsidRDefault="004C37AF" w:rsidP="000F63F2">
    <w:pPr>
      <w:pStyle w:val="Footer"/>
      <w:ind w:right="360"/>
      <w:jc w:val="center"/>
    </w:pPr>
  </w:p>
  <w:p w14:paraId="4993DD85" w14:textId="77777777" w:rsidR="004C37AF" w:rsidRDefault="004C37AF" w:rsidP="000F63F2">
    <w:pPr>
      <w:pStyle w:val="Header"/>
    </w:pPr>
  </w:p>
  <w:p w14:paraId="37FFDDB2" w14:textId="77777777" w:rsidR="004C37AF" w:rsidRDefault="004C3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4C37AF" w:rsidRDefault="004C37AF">
      <w:r>
        <w:separator/>
      </w:r>
    </w:p>
  </w:footnote>
  <w:footnote w:type="continuationSeparator" w:id="0">
    <w:p w14:paraId="29850DBB" w14:textId="77777777" w:rsidR="004C37AF" w:rsidRDefault="004C3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3EBDC" w14:textId="1F7B857A" w:rsidR="004C37AF" w:rsidRDefault="00EB56A4" w:rsidP="00EB56A4">
    <w:pPr>
      <w:pStyle w:val="Header"/>
      <w:rPr>
        <w:sz w:val="17"/>
      </w:rPr>
    </w:pPr>
    <w:bookmarkStart w:id="1" w:name="TITUS1HeaderEvenPages"/>
    <w:r>
      <w:rPr>
        <w:sz w:val="17"/>
      </w:rPr>
      <w:t> </w:t>
    </w:r>
  </w:p>
  <w:bookmarkEnd w:id="1"/>
  <w:p w14:paraId="7829C95E" w14:textId="77777777" w:rsidR="004C37AF" w:rsidRDefault="004C37AF" w:rsidP="00F66384">
    <w:pPr>
      <w:pStyle w:val="Header"/>
    </w:pPr>
  </w:p>
  <w:p w14:paraId="5F3499D5" w14:textId="77777777" w:rsidR="004C37AF" w:rsidRDefault="004C3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E28E7" w14:textId="535154C0" w:rsidR="004C37AF" w:rsidRDefault="00EB56A4" w:rsidP="00EB56A4">
    <w:pPr>
      <w:pStyle w:val="Header"/>
      <w:rPr>
        <w:sz w:val="17"/>
      </w:rPr>
    </w:pPr>
    <w:bookmarkStart w:id="2" w:name="TITUS1HeaderPrimary"/>
    <w:r>
      <w:rPr>
        <w:sz w:val="17"/>
      </w:rPr>
      <w:t> </w:t>
    </w:r>
  </w:p>
  <w:bookmarkEnd w:id="2"/>
  <w:p w14:paraId="4CEFBD79" w14:textId="77777777" w:rsidR="004C37AF" w:rsidRDefault="004C3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6B41F" w14:textId="1B324C82" w:rsidR="004C37AF" w:rsidRDefault="00EB56A4" w:rsidP="00EB56A4">
    <w:pPr>
      <w:pStyle w:val="Header"/>
      <w:rPr>
        <w:sz w:val="17"/>
      </w:rPr>
    </w:pPr>
    <w:bookmarkStart w:id="5" w:name="TITUS1HeaderFirstPage"/>
    <w:r>
      <w:rPr>
        <w:sz w:val="17"/>
      </w:rPr>
      <w:t> </w:t>
    </w:r>
  </w:p>
  <w:bookmarkEnd w:id="5"/>
  <w:p w14:paraId="0321BF04" w14:textId="77777777" w:rsidR="004C37AF" w:rsidRDefault="004C37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CF808" w14:textId="5FAA3747" w:rsidR="004C37AF" w:rsidRDefault="00EB56A4" w:rsidP="00EB56A4">
    <w:pPr>
      <w:pStyle w:val="Header"/>
      <w:rPr>
        <w:sz w:val="17"/>
      </w:rPr>
    </w:pPr>
    <w:bookmarkStart w:id="7" w:name="TITUS2HeaderEvenPages"/>
    <w:r>
      <w:rPr>
        <w:sz w:val="17"/>
      </w:rPr>
      <w:t> </w:t>
    </w:r>
  </w:p>
  <w:bookmarkEnd w:id="7"/>
  <w:p w14:paraId="0ABFC003" w14:textId="77777777" w:rsidR="004C37AF" w:rsidRDefault="004C37AF" w:rsidP="000F63F2">
    <w:pPr>
      <w:pStyle w:val="Header"/>
    </w:pPr>
  </w:p>
  <w:p w14:paraId="7ED78CFA" w14:textId="77777777" w:rsidR="004C37AF" w:rsidRDefault="004C37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198B0" w14:textId="253D6850" w:rsidR="004C37AF" w:rsidRDefault="00EB56A4" w:rsidP="00EB56A4">
    <w:pPr>
      <w:pStyle w:val="Header"/>
      <w:rPr>
        <w:sz w:val="17"/>
      </w:rPr>
    </w:pPr>
    <w:bookmarkStart w:id="8" w:name="TITUS2HeaderPrimary"/>
    <w:r>
      <w:rPr>
        <w:sz w:val="17"/>
      </w:rPr>
      <w:t> </w:t>
    </w:r>
  </w:p>
  <w:bookmarkEnd w:id="8"/>
  <w:p w14:paraId="4D478E34" w14:textId="77777777" w:rsidR="004C37AF" w:rsidRDefault="004C37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A9E2F" w14:textId="5D35F080" w:rsidR="004C37AF" w:rsidRDefault="00EB56A4" w:rsidP="00EB56A4">
    <w:pPr>
      <w:pStyle w:val="Header"/>
      <w:rPr>
        <w:sz w:val="17"/>
      </w:rPr>
    </w:pPr>
    <w:bookmarkStart w:id="11" w:name="TITUS2HeaderFirstPage"/>
    <w:r>
      <w:rPr>
        <w:sz w:val="17"/>
      </w:rPr>
      <w:t> </w:t>
    </w:r>
  </w:p>
  <w:bookmarkEnd w:id="11"/>
  <w:p w14:paraId="262B3FB5" w14:textId="77777777" w:rsidR="004C37AF" w:rsidRDefault="004C37AF" w:rsidP="000F63F2">
    <w:pPr>
      <w:pStyle w:val="Header"/>
    </w:pPr>
  </w:p>
  <w:p w14:paraId="6DE65677" w14:textId="77777777" w:rsidR="004C37AF" w:rsidRDefault="004C3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767C74"/>
    <w:multiLevelType w:val="hybridMultilevel"/>
    <w:tmpl w:val="A038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F415C4"/>
    <w:multiLevelType w:val="hybridMultilevel"/>
    <w:tmpl w:val="67EC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6"/>
  </w:num>
  <w:num w:numId="4">
    <w:abstractNumId w:val="5"/>
  </w:num>
  <w:num w:numId="5">
    <w:abstractNumId w:val="3"/>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63F2"/>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3A02"/>
    <w:rsid w:val="001A59BB"/>
    <w:rsid w:val="001A6A51"/>
    <w:rsid w:val="001A79C4"/>
    <w:rsid w:val="001B331A"/>
    <w:rsid w:val="001C03F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3848"/>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55B1"/>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65AE"/>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C37AF"/>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0DD9"/>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530"/>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313C"/>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07F9E"/>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6538"/>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56A4"/>
    <w:rsid w:val="00EB62E6"/>
    <w:rsid w:val="00EB64D8"/>
    <w:rsid w:val="00ED1B30"/>
    <w:rsid w:val="00ED250E"/>
    <w:rsid w:val="00ED6535"/>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84"/>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icole-brown.co.uk/dr-nicole-brown" TargetMode="External"/><Relationship Id="rId39" Type="http://schemas.openxmlformats.org/officeDocument/2006/relationships/hyperlink" Target="https://www.apcc.police.uk/media/engl-police-and-crime-plan-2021-25" TargetMode="External"/><Relationship Id="rId21" Type="http://schemas.openxmlformats.org/officeDocument/2006/relationships/hyperlink" Target="https://brittontime.com/2021/what-is-actual-bodily-harm-abh-everything-you-need-to-know" TargetMode="External"/><Relationship Id="rId34" Type="http://schemas.openxmlformats.org/officeDocument/2006/relationships/hyperlink" Target="https://www.npcc.police.uk/documents/policingvison" TargetMode="External"/><Relationship Id="rId42" Type="http://schemas.openxmlformats.org/officeDocument/2006/relationships/hyperlink" Target="https://www.sciencedirect.com/social-sciences/exchange-principle" TargetMode="External"/><Relationship Id="rId47" Type="http://schemas.openxmlformats.org/officeDocument/2006/relationships/hyperlink" Target="https://www.policeconduct.gov.uk/documents/research-learning/BMRB-use-of-force-report" TargetMode="External"/><Relationship Id="rId50" Type="http://schemas.openxmlformats.org/officeDocument/2006/relationships/hyperlink" Target="https://www.umbrellacymru.co.uk/services" TargetMode="Externa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crime-info/hate-crime" TargetMode="External"/><Relationship Id="rId33" Type="http://schemas.openxmlformats.org/officeDocument/2006/relationships/hyperlink" Target="https://www.local.gov.uk/parliament/briefings-and-responses/discriminatory-abuse-briefing-practitoners" TargetMode="External"/><Relationship Id="rId38" Type="http://schemas.openxmlformats.org/officeDocument/2006/relationships/hyperlink" Target="https://www,ons.gov.uk/peoplepopulationandcommunity/crimeandjustice/bulletins/crimeenglandandwales/yearendingdecember2021" TargetMode="External"/><Relationship Id="rId46" Type="http://schemas.openxmlformats.org/officeDocument/2006/relationships/hyperlink" Target="https://www.open.edu/openlearn/mod"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ogle.com/iangould.co.uk/2020/handcuffed-for-no-reason-a-dangerous-police-habit" TargetMode="External"/><Relationship Id="rId29" Type="http://schemas.openxmlformats.org/officeDocument/2006/relationships/hyperlink" Target="https://commonslibrary.parliment.uk/research-briefings" TargetMode="External"/><Relationship Id="rId41" Type="http://schemas.openxmlformats.org/officeDocument/2006/relationships/hyperlink" Target="https://www.researchgate.net/identifying-the-effect-of-unemployment-on-crime" TargetMode="External"/><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detention-and-custody/response-arrest-and-detension" TargetMode="External"/><Relationship Id="rId32" Type="http://schemas.openxmlformats.org/officeDocument/2006/relationships/hyperlink" Target="https://www.policeconduct.gov.uk/learningthelessons/32" TargetMode="External"/><Relationship Id="rId37" Type="http://schemas.openxmlformats.org/officeDocument/2006/relationships/hyperlink" Target="https://www.bristol.ac.uk/provery/keyofficaldocuments/drivers" TargetMode="External"/><Relationship Id="rId40" Type="http://schemas.openxmlformats.org/officeDocument/2006/relationships/hyperlink" Target="https://www.polfed.org/our-work/operational-policing/body-worn-video" TargetMode="External"/><Relationship Id="rId45" Type="http://schemas.openxmlformats.org/officeDocument/2006/relationships/hyperlink" Target="https://www.college.police.uk/investigations-process" TargetMode="External"/><Relationship Id="rId53" Type="http://schemas.openxmlformats.org/officeDocument/2006/relationships/header" Target="header4.xml"/><Relationship Id="rId58"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of.policing.uk/app/national-decision-model" TargetMode="External"/><Relationship Id="rId28" Type="http://schemas.openxmlformats.org/officeDocument/2006/relationships/hyperlink" Target="https://www.justiceinspectorates.gov.uk/hmicfrs/police-effectiveness-vulnerability-2015-south-wales" TargetMode="External"/><Relationship Id="rId36" Type="http://schemas.openxmlformats.org/officeDocument/2006/relationships/hyperlink" Target="https://www.nothinghamshire.police.uk/documents/police-use-of-force" TargetMode="External"/><Relationship Id="rId49" Type="http://schemas.openxmlformats.org/officeDocument/2006/relationships/hyperlink" Target="https://commonlibrary.parliment.uk/research-briefings" TargetMode="External"/><Relationship Id="rId57"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conduct.gov/news/review-identiifies-eleven-opportunities-met-improve-stop-and-search" TargetMode="External"/><Relationship Id="rId44" Type="http://schemas.openxmlformats.org/officeDocument/2006/relationships/hyperlink" Target="https://www.stonewall.org.uk/facts-and-figures" TargetMode="External"/><Relationship Id="rId52" Type="http://schemas.openxmlformats.org/officeDocument/2006/relationships/hyperlink" Target="https://www.gov.wales/hate-crime-framework-progress-report"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crime-reduction-toolkit/body-worn-camera" TargetMode="External"/><Relationship Id="rId27" Type="http://schemas.openxmlformats.org/officeDocument/2006/relationships/hyperlink" Target="https://www.GOV.UK/goverment/statistics/hate-crime-england-and-wales-2020-to-2021/hate-crime-england-and-wales-2020-to-2021" TargetMode="External"/><Relationship Id="rId30" Type="http://schemas.openxmlformats.org/officeDocument/2006/relationships/hyperlink" Target="https://www.imperial.ac.uk/equality/resources/unconscious-bias" TargetMode="External"/><Relationship Id="rId35" Type="http://schemas.openxmlformats.org/officeDocument/2006/relationships/hyperlink" Target="https://www.nolo.com/police-searches-after-arrest-scope-intensity" TargetMode="External"/><Relationship Id="rId43" Type="http://schemas.openxmlformats.org/officeDocument/2006/relationships/hyperlink" Target="https://simplicable.com/new/strategic-drivers" TargetMode="External"/><Relationship Id="rId48" Type="http://schemas.openxmlformats.org/officeDocument/2006/relationships/hyperlink" Target="https://www,ukessays.com/essays/criminology/crimininal-behaviour-as-influenced-by-nature-nuture-the-more-dominant-force" TargetMode="External"/><Relationship Id="rId5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s://www.victimsupport.org.uk/more-us/policy-and-research"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www.w3.org/XML/1998/namespace"/>
    <ds:schemaRef ds:uri="http://purl.org/dc/elements/1.1/"/>
    <ds:schemaRef ds:uri="2e89cfda-a374-4413-9f0d-8b601eddeb70"/>
    <ds:schemaRef ds:uri="http://schemas.microsoft.com/office/2006/metadata/properties"/>
    <ds:schemaRef ds:uri="http://purl.org/dc/terms/"/>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643C2AB4-2420-4A4D-8E00-B5A6D04CE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9438</Words>
  <Characters>53803</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James,Hayley swp6554</cp:lastModifiedBy>
  <cp:revision>2</cp:revision>
  <cp:lastPrinted>2014-08-26T08:55:00Z</cp:lastPrinted>
  <dcterms:created xsi:type="dcterms:W3CDTF">2022-06-07T08:09:00Z</dcterms:created>
  <dcterms:modified xsi:type="dcterms:W3CDTF">2022-06-07T08:09:00Z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ad1c6552-291a-4e1e-b1e3-d39cb2b22c31</vt:lpwstr>
  </property>
  <property fmtid="{D5CDD505-2E9C-101B-9397-08002B2CF9AE}" pid="4" name="Classification">
    <vt:lpwstr>OFFICIAL</vt:lpwstr>
  </property>
  <property fmtid="{D5CDD505-2E9C-101B-9397-08002B2CF9AE}" pid="5" name="Visibility">
    <vt:lpwstr>NOT VISIBLE</vt:lpwstr>
  </property>
</Properties>
</file>