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643CDF7" w14:textId="77777777" w:rsidR="00E067A8" w:rsidRDefault="00ED5964">
      <w:r>
        <w:rPr>
          <w:noProof/>
          <w:sz w:val="22"/>
        </w:rPr>
        <w:drawing>
          <wp:inline distT="0" distB="0" distL="0" distR="0" wp14:anchorId="4CBDC492" wp14:editId="272AF70C">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24132C0" w14:textId="77777777" w:rsidR="00ED5964" w:rsidRDefault="00ED5964"/>
    <w:p w14:paraId="4A44EE87" w14:textId="77777777" w:rsidR="00ED5964" w:rsidRDefault="00ED5964"/>
    <w:p w14:paraId="61524F6C" w14:textId="77777777" w:rsidR="0011161E" w:rsidRDefault="0011161E"/>
    <w:p w14:paraId="517F97C5" w14:textId="77777777" w:rsidR="006A5CFC" w:rsidRDefault="006A5CFC"/>
    <w:p w14:paraId="26EE3B88" w14:textId="77777777" w:rsidR="006A5CFC" w:rsidRDefault="006A5CFC"/>
    <w:p w14:paraId="1C6E9784" w14:textId="77777777" w:rsidR="00ED5964" w:rsidRPr="00E434BD" w:rsidRDefault="00ED5964">
      <w:pPr>
        <w:rPr>
          <w:rFonts w:ascii="Arial" w:hAnsi="Arial" w:cs="Arial"/>
          <w:sz w:val="22"/>
        </w:rPr>
      </w:pPr>
    </w:p>
    <w:p w14:paraId="59B764E4" w14:textId="638C7AED" w:rsidR="00ED5964" w:rsidRPr="00E434BD" w:rsidRDefault="00ED5964" w:rsidP="00ED5964">
      <w:pPr>
        <w:jc w:val="both"/>
        <w:rPr>
          <w:rFonts w:ascii="Arial" w:hAnsi="Arial" w:cs="Arial"/>
          <w:sz w:val="22"/>
        </w:rPr>
      </w:pPr>
      <w:r w:rsidRPr="00E434BD">
        <w:rPr>
          <w:rFonts w:ascii="Arial" w:hAnsi="Arial" w:cs="Arial"/>
          <w:sz w:val="22"/>
        </w:rPr>
        <w:t xml:space="preserve">Name: </w:t>
      </w:r>
      <w:r w:rsidR="00E434BD">
        <w:rPr>
          <w:rFonts w:ascii="Arial" w:hAnsi="Arial" w:cs="Arial"/>
          <w:sz w:val="22"/>
        </w:rPr>
        <w:t>Kadeem Kofi Osei-Wusu</w:t>
      </w:r>
    </w:p>
    <w:p w14:paraId="6BA652AC" w14:textId="5B3DA4C9" w:rsidR="00ED5964" w:rsidRPr="00E434BD" w:rsidRDefault="00ED5964" w:rsidP="00ED5964">
      <w:pPr>
        <w:jc w:val="both"/>
        <w:rPr>
          <w:rFonts w:ascii="Arial" w:hAnsi="Arial" w:cs="Arial"/>
          <w:sz w:val="22"/>
        </w:rPr>
      </w:pPr>
      <w:r w:rsidRPr="00E434BD">
        <w:rPr>
          <w:rFonts w:ascii="Arial" w:hAnsi="Arial" w:cs="Arial"/>
          <w:sz w:val="22"/>
        </w:rPr>
        <w:t xml:space="preserve">Student ID: </w:t>
      </w:r>
      <w:r w:rsidR="00544A01" w:rsidRPr="00E434BD">
        <w:rPr>
          <w:rFonts w:ascii="Arial" w:hAnsi="Arial" w:cs="Arial"/>
          <w:sz w:val="22"/>
        </w:rPr>
        <w:t>254</w:t>
      </w:r>
      <w:r w:rsidR="00E434BD">
        <w:rPr>
          <w:rFonts w:ascii="Arial" w:hAnsi="Arial" w:cs="Arial"/>
          <w:sz w:val="22"/>
        </w:rPr>
        <w:t>3493</w:t>
      </w:r>
    </w:p>
    <w:p w14:paraId="66BE7423" w14:textId="410220E5" w:rsidR="00ED5964" w:rsidRPr="00E434BD" w:rsidRDefault="00ED5964" w:rsidP="00ED5964">
      <w:pPr>
        <w:jc w:val="both"/>
        <w:rPr>
          <w:rFonts w:ascii="Arial" w:hAnsi="Arial" w:cs="Arial"/>
          <w:sz w:val="22"/>
        </w:rPr>
      </w:pPr>
      <w:r w:rsidRPr="00E434BD">
        <w:rPr>
          <w:rFonts w:ascii="Arial" w:hAnsi="Arial" w:cs="Arial"/>
          <w:sz w:val="22"/>
        </w:rPr>
        <w:t xml:space="preserve">Module Code: </w:t>
      </w:r>
      <w:r w:rsidR="00C40A38">
        <w:rPr>
          <w:rFonts w:ascii="Arial" w:hAnsi="Arial" w:cs="Arial"/>
          <w:sz w:val="22"/>
        </w:rPr>
        <w:t>LCHS4007</w:t>
      </w:r>
    </w:p>
    <w:p w14:paraId="337A5309" w14:textId="5F03D4D7" w:rsidR="00ED5964" w:rsidRPr="00E434BD" w:rsidRDefault="00ED5964" w:rsidP="00ED5964">
      <w:pPr>
        <w:jc w:val="both"/>
        <w:rPr>
          <w:rFonts w:ascii="Arial" w:hAnsi="Arial" w:cs="Arial"/>
          <w:sz w:val="22"/>
        </w:rPr>
      </w:pPr>
      <w:r w:rsidRPr="00E434BD">
        <w:rPr>
          <w:rFonts w:ascii="Arial" w:hAnsi="Arial" w:cs="Arial"/>
          <w:sz w:val="22"/>
        </w:rPr>
        <w:t xml:space="preserve">Module: </w:t>
      </w:r>
      <w:r w:rsidR="00C40A38">
        <w:rPr>
          <w:rFonts w:ascii="Arial" w:hAnsi="Arial" w:cs="Arial"/>
          <w:sz w:val="22"/>
        </w:rPr>
        <w:t xml:space="preserve">Research Report </w:t>
      </w:r>
    </w:p>
    <w:p w14:paraId="76D03E75" w14:textId="3601491A" w:rsidR="00ED5964" w:rsidRPr="00E434BD" w:rsidRDefault="00ED5964" w:rsidP="00ED5964">
      <w:pPr>
        <w:jc w:val="both"/>
        <w:rPr>
          <w:rFonts w:ascii="Arial" w:hAnsi="Arial" w:cs="Arial"/>
          <w:sz w:val="22"/>
        </w:rPr>
      </w:pPr>
      <w:r w:rsidRPr="00E434BD">
        <w:rPr>
          <w:rFonts w:ascii="Arial" w:hAnsi="Arial" w:cs="Arial"/>
          <w:sz w:val="22"/>
        </w:rPr>
        <w:t xml:space="preserve">Lecturer: </w:t>
      </w:r>
      <w:r w:rsidR="00E434BD">
        <w:rPr>
          <w:rFonts w:ascii="Arial" w:hAnsi="Arial" w:cs="Arial"/>
          <w:sz w:val="22"/>
        </w:rPr>
        <w:t>Koushik Modak</w:t>
      </w:r>
    </w:p>
    <w:p w14:paraId="080494CB" w14:textId="27B587E4" w:rsidR="00ED5964" w:rsidRPr="00E434BD" w:rsidRDefault="00ED5964" w:rsidP="00ED5964">
      <w:pPr>
        <w:jc w:val="both"/>
        <w:rPr>
          <w:rFonts w:ascii="Arial" w:hAnsi="Arial" w:cs="Arial"/>
          <w:sz w:val="22"/>
        </w:rPr>
      </w:pPr>
      <w:r w:rsidRPr="00E434BD">
        <w:rPr>
          <w:rFonts w:ascii="Arial" w:hAnsi="Arial" w:cs="Arial"/>
          <w:sz w:val="22"/>
        </w:rPr>
        <w:t xml:space="preserve">Submitted on:    </w:t>
      </w:r>
      <w:r w:rsidR="003A2043">
        <w:rPr>
          <w:rFonts w:ascii="Arial" w:hAnsi="Arial" w:cs="Arial"/>
          <w:sz w:val="22"/>
        </w:rPr>
        <w:t>18</w:t>
      </w:r>
      <w:r w:rsidR="003A2043" w:rsidRPr="003A2043">
        <w:rPr>
          <w:rFonts w:ascii="Arial" w:hAnsi="Arial" w:cs="Arial"/>
          <w:sz w:val="22"/>
          <w:vertAlign w:val="superscript"/>
        </w:rPr>
        <w:t>th</w:t>
      </w:r>
      <w:r w:rsidR="003A2043">
        <w:rPr>
          <w:rFonts w:ascii="Arial" w:hAnsi="Arial" w:cs="Arial"/>
          <w:sz w:val="22"/>
        </w:rPr>
        <w:t xml:space="preserve"> August 2026</w:t>
      </w:r>
    </w:p>
    <w:p w14:paraId="32CCE5D8" w14:textId="77777777" w:rsidR="00ED5964" w:rsidRPr="00E434BD" w:rsidRDefault="00ED5964" w:rsidP="00ED5964">
      <w:pPr>
        <w:jc w:val="both"/>
        <w:rPr>
          <w:rFonts w:ascii="Arial" w:hAnsi="Arial" w:cs="Arial"/>
          <w:sz w:val="22"/>
        </w:rPr>
      </w:pPr>
    </w:p>
    <w:p w14:paraId="799A6ED9" w14:textId="77777777" w:rsidR="00ED5964" w:rsidRPr="00E434BD" w:rsidRDefault="00ED5964" w:rsidP="00ED5964">
      <w:pPr>
        <w:jc w:val="both"/>
        <w:rPr>
          <w:rFonts w:ascii="Arial" w:hAnsi="Arial" w:cs="Arial"/>
          <w:sz w:val="22"/>
        </w:rPr>
      </w:pPr>
    </w:p>
    <w:p w14:paraId="25F0FAA8" w14:textId="77777777" w:rsidR="0011161E" w:rsidRPr="009F68DC" w:rsidRDefault="0011161E" w:rsidP="00E434BD">
      <w:pPr>
        <w:spacing w:after="100" w:afterAutospacing="1" w:line="360" w:lineRule="auto"/>
        <w:outlineLvl w:val="0"/>
        <w:rPr>
          <w:rFonts w:ascii="Arial" w:eastAsia="Times New Roman" w:hAnsi="Arial" w:cs="Arial"/>
          <w:kern w:val="36"/>
          <w:sz w:val="22"/>
          <w14:ligatures w14:val="none"/>
        </w:rPr>
      </w:pPr>
      <w:r w:rsidRPr="009F68DC">
        <w:rPr>
          <w:rFonts w:ascii="Arial" w:eastAsia="Times New Roman" w:hAnsi="Arial" w:cs="Arial"/>
          <w:kern w:val="36"/>
          <w:sz w:val="22"/>
          <w14:ligatures w14:val="none"/>
        </w:rPr>
        <w:t>Section 1: Introducing the Research Paper and Topic Development</w:t>
      </w:r>
    </w:p>
    <w:p w14:paraId="28CCD87F" w14:textId="21074384"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This report </w:t>
      </w:r>
      <w:r w:rsidR="00372E2C">
        <w:rPr>
          <w:rFonts w:ascii="Arial" w:eastAsia="Times New Roman" w:hAnsi="Arial" w:cs="Arial"/>
          <w:kern w:val="0"/>
          <w:sz w:val="22"/>
          <w14:ligatures w14:val="none"/>
        </w:rPr>
        <w:t xml:space="preserve">will </w:t>
      </w:r>
      <w:r w:rsidR="00F60B79">
        <w:rPr>
          <w:rFonts w:ascii="Arial" w:eastAsia="Times New Roman" w:hAnsi="Arial" w:cs="Arial"/>
          <w:kern w:val="0"/>
          <w:sz w:val="22"/>
          <w14:ligatures w14:val="none"/>
        </w:rPr>
        <w:t>outline</w:t>
      </w:r>
      <w:r w:rsidRPr="009F68DC">
        <w:rPr>
          <w:rFonts w:ascii="Arial" w:eastAsia="Times New Roman" w:hAnsi="Arial" w:cs="Arial"/>
          <w:kern w:val="0"/>
          <w:sz w:val="22"/>
          <w14:ligatures w14:val="none"/>
        </w:rPr>
        <w:t xml:space="preserve"> the research paper</w:t>
      </w:r>
      <w:r w:rsidRPr="009F68DC">
        <w:rPr>
          <w:rFonts w:ascii="Arial" w:eastAsia="Times New Roman" w:hAnsi="Arial" w:cs="Arial"/>
          <w:i/>
          <w:iCs/>
          <w:kern w:val="0"/>
          <w:sz w:val="22"/>
          <w14:ligatures w14:val="none"/>
        </w:rPr>
        <w:t xml:space="preserve"> </w:t>
      </w:r>
      <w:r w:rsidRPr="009F68DC">
        <w:rPr>
          <w:rFonts w:ascii="Arial" w:eastAsia="Times New Roman" w:hAnsi="Arial" w:cs="Arial"/>
          <w:kern w:val="0"/>
          <w:sz w:val="22"/>
          <w14:ligatures w14:val="none"/>
        </w:rPr>
        <w:t>study of discipline-based self-perceived digital literacy competencies of nursing students’ by Martzoukou et al. (2024). Th</w:t>
      </w:r>
      <w:r w:rsidR="00B051F0">
        <w:rPr>
          <w:rFonts w:ascii="Arial" w:eastAsia="Times New Roman" w:hAnsi="Arial" w:cs="Arial"/>
          <w:kern w:val="0"/>
          <w:sz w:val="22"/>
          <w14:ligatures w14:val="none"/>
        </w:rPr>
        <w:t xml:space="preserve">is report </w:t>
      </w:r>
      <w:r w:rsidR="00C11D19">
        <w:rPr>
          <w:rFonts w:ascii="Arial" w:eastAsia="Times New Roman" w:hAnsi="Arial" w:cs="Arial"/>
          <w:kern w:val="0"/>
          <w:sz w:val="22"/>
          <w14:ligatures w14:val="none"/>
        </w:rPr>
        <w:t xml:space="preserve">will </w:t>
      </w:r>
      <w:r w:rsidRPr="009F68DC">
        <w:rPr>
          <w:rFonts w:ascii="Arial" w:eastAsia="Times New Roman" w:hAnsi="Arial" w:cs="Arial"/>
          <w:kern w:val="0"/>
          <w:sz w:val="22"/>
          <w14:ligatures w14:val="none"/>
        </w:rPr>
        <w:t>look at how</w:t>
      </w:r>
      <w:r w:rsidR="00AC19E0">
        <w:rPr>
          <w:rFonts w:ascii="Arial" w:eastAsia="Times New Roman" w:hAnsi="Arial" w:cs="Arial"/>
          <w:kern w:val="0"/>
          <w:sz w:val="22"/>
          <w14:ligatures w14:val="none"/>
        </w:rPr>
        <w:t xml:space="preserve"> </w:t>
      </w:r>
      <w:r w:rsidRPr="009F68DC">
        <w:rPr>
          <w:rFonts w:ascii="Arial" w:eastAsia="Times New Roman" w:hAnsi="Arial" w:cs="Arial"/>
          <w:kern w:val="0"/>
          <w:sz w:val="22"/>
          <w14:ligatures w14:val="none"/>
        </w:rPr>
        <w:t xml:space="preserve">healthcare students </w:t>
      </w:r>
      <w:r w:rsidR="00765207">
        <w:rPr>
          <w:rFonts w:ascii="Arial" w:eastAsia="Times New Roman" w:hAnsi="Arial" w:cs="Arial"/>
          <w:kern w:val="0"/>
          <w:sz w:val="22"/>
          <w14:ligatures w14:val="none"/>
        </w:rPr>
        <w:t>.</w:t>
      </w:r>
      <w:r w:rsidRPr="009F68DC">
        <w:rPr>
          <w:rFonts w:ascii="Arial" w:eastAsia="Times New Roman" w:hAnsi="Arial" w:cs="Arial"/>
          <w:kern w:val="0"/>
          <w:sz w:val="22"/>
          <w14:ligatures w14:val="none"/>
        </w:rPr>
        <w:t xml:space="preserve">The paper was first published online in 2023 and later published in the </w:t>
      </w:r>
      <w:r w:rsidRPr="009F68DC">
        <w:rPr>
          <w:rFonts w:ascii="Arial" w:eastAsia="Times New Roman" w:hAnsi="Arial" w:cs="Arial"/>
          <w:i/>
          <w:iCs/>
          <w:kern w:val="0"/>
          <w:sz w:val="22"/>
          <w14:ligatures w14:val="none"/>
        </w:rPr>
        <w:t>Journal of Advanced Nursing</w:t>
      </w:r>
      <w:r w:rsidRPr="009F68DC">
        <w:rPr>
          <w:rFonts w:ascii="Arial" w:eastAsia="Times New Roman" w:hAnsi="Arial" w:cs="Arial"/>
          <w:kern w:val="0"/>
          <w:sz w:val="22"/>
          <w14:ligatures w14:val="none"/>
        </w:rPr>
        <w:t xml:space="preserve"> in 2024. </w:t>
      </w:r>
    </w:p>
    <w:p w14:paraId="559A5554" w14:textId="6188BFAF"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Th</w:t>
      </w:r>
      <w:r w:rsidR="004C254F">
        <w:rPr>
          <w:rFonts w:ascii="Arial" w:eastAsia="Times New Roman" w:hAnsi="Arial" w:cs="Arial"/>
          <w:kern w:val="0"/>
          <w:sz w:val="22"/>
          <w14:ligatures w14:val="none"/>
        </w:rPr>
        <w:t xml:space="preserve">is report will </w:t>
      </w:r>
      <w:r w:rsidRPr="009F68DC">
        <w:rPr>
          <w:rFonts w:ascii="Arial" w:eastAsia="Times New Roman" w:hAnsi="Arial" w:cs="Arial"/>
          <w:kern w:val="0"/>
          <w:sz w:val="22"/>
          <w14:ligatures w14:val="none"/>
        </w:rPr>
        <w:t>focus o</w:t>
      </w:r>
      <w:r w:rsidR="004C254F">
        <w:rPr>
          <w:rFonts w:ascii="Arial" w:eastAsia="Times New Roman" w:hAnsi="Arial" w:cs="Arial"/>
          <w:kern w:val="0"/>
          <w:sz w:val="22"/>
          <w14:ligatures w14:val="none"/>
        </w:rPr>
        <w:t>n</w:t>
      </w:r>
      <w:r w:rsidRPr="009F68DC">
        <w:rPr>
          <w:rFonts w:ascii="Arial" w:eastAsia="Times New Roman" w:hAnsi="Arial" w:cs="Arial"/>
          <w:kern w:val="0"/>
          <w:sz w:val="22"/>
          <w14:ligatures w14:val="none"/>
        </w:rPr>
        <w:t xml:space="preserve"> digital literacy. This involves much more than simply knowing how to use a computer or smartphone</w:t>
      </w:r>
      <w:r w:rsidR="00387644">
        <w:rPr>
          <w:rFonts w:ascii="Arial" w:eastAsia="Times New Roman" w:hAnsi="Arial" w:cs="Arial"/>
          <w:kern w:val="0"/>
          <w:sz w:val="22"/>
          <w14:ligatures w14:val="none"/>
        </w:rPr>
        <w:t xml:space="preserve"> Through</w:t>
      </w:r>
      <w:r w:rsidRPr="009F68DC">
        <w:rPr>
          <w:rFonts w:ascii="Arial" w:eastAsia="Times New Roman" w:hAnsi="Arial" w:cs="Arial"/>
          <w:kern w:val="0"/>
          <w:sz w:val="22"/>
          <w14:ligatures w14:val="none"/>
        </w:rPr>
        <w:t xml:space="preserve"> digital technology, creating digital content and managing digital wellbeing. This is particularly important for nursing because healthcare is becoming increasingly dependent on digital systems and information.</w:t>
      </w:r>
    </w:p>
    <w:p w14:paraId="1CC86583" w14:textId="61B68C95"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One important point from the research is that students may be confident using technology in their everyday lives but still lack the skills needed for academic and professional purposes</w:t>
      </w:r>
      <w:r w:rsidR="00717CB0">
        <w:rPr>
          <w:rFonts w:ascii="Arial" w:eastAsia="Times New Roman" w:hAnsi="Arial" w:cs="Arial"/>
          <w:kern w:val="0"/>
          <w:sz w:val="22"/>
          <w14:ligatures w14:val="none"/>
        </w:rPr>
        <w:t xml:space="preserve">. </w:t>
      </w:r>
      <w:r w:rsidRPr="009F68DC">
        <w:rPr>
          <w:rFonts w:ascii="Arial" w:eastAsia="Times New Roman" w:hAnsi="Arial" w:cs="Arial"/>
          <w:kern w:val="0"/>
          <w:sz w:val="22"/>
          <w14:ligatures w14:val="none"/>
        </w:rPr>
        <w:t xml:space="preserve">Martzoukou et al. (2024) found that students reported lower levels of competence particularly in information literacy, digital research and digital innovation. </w:t>
      </w:r>
    </w:p>
    <w:p w14:paraId="4EEB1EF1" w14:textId="232F46B5" w:rsidR="0011161E" w:rsidRPr="009F68DC" w:rsidRDefault="00D87254" w:rsidP="00E434BD">
      <w:pPr>
        <w:spacing w:after="100" w:afterAutospacing="1" w:line="360" w:lineRule="auto"/>
        <w:rPr>
          <w:rFonts w:ascii="Arial" w:eastAsia="Times New Roman" w:hAnsi="Arial" w:cs="Arial"/>
          <w:kern w:val="0"/>
          <w:sz w:val="22"/>
          <w14:ligatures w14:val="none"/>
        </w:rPr>
      </w:pPr>
      <w:r>
        <w:rPr>
          <w:rFonts w:ascii="Arial" w:eastAsia="Times New Roman" w:hAnsi="Arial" w:cs="Arial"/>
          <w:kern w:val="0"/>
          <w:sz w:val="22"/>
          <w14:ligatures w14:val="none"/>
        </w:rPr>
        <w:t>A stud</w:t>
      </w:r>
      <w:r w:rsidR="003F4E44">
        <w:rPr>
          <w:rFonts w:ascii="Arial" w:eastAsia="Times New Roman" w:hAnsi="Arial" w:cs="Arial"/>
          <w:kern w:val="0"/>
          <w:sz w:val="22"/>
          <w14:ligatures w14:val="none"/>
        </w:rPr>
        <w:t xml:space="preserve">y mainly </w:t>
      </w:r>
      <w:r w:rsidR="00404AF5">
        <w:rPr>
          <w:rFonts w:ascii="Arial" w:eastAsia="Times New Roman" w:hAnsi="Arial" w:cs="Arial"/>
          <w:kern w:val="0"/>
          <w:sz w:val="22"/>
          <w14:ligatures w14:val="none"/>
        </w:rPr>
        <w:t xml:space="preserve">involving </w:t>
      </w:r>
      <w:r w:rsidR="0011161E" w:rsidRPr="009F68DC">
        <w:rPr>
          <w:rFonts w:ascii="Arial" w:eastAsia="Times New Roman" w:hAnsi="Arial" w:cs="Arial"/>
          <w:kern w:val="0"/>
          <w:sz w:val="22"/>
          <w14:ligatures w14:val="none"/>
        </w:rPr>
        <w:t xml:space="preserve">studying nursing, alongside students from midwifery and paramedic programmes. They completed an online questionnaire between November and December 2021. </w:t>
      </w:r>
    </w:p>
    <w:p w14:paraId="2D0EE0EA" w14:textId="04E06C65"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This topic is important because nurses are increasingly expected to work within digitally enabled healthcare environments. </w:t>
      </w:r>
      <w:r w:rsidR="00B51649">
        <w:rPr>
          <w:rFonts w:ascii="Arial" w:eastAsia="Times New Roman" w:hAnsi="Arial" w:cs="Arial"/>
          <w:kern w:val="0"/>
          <w:sz w:val="22"/>
          <w14:ligatures w14:val="none"/>
        </w:rPr>
        <w:t>R</w:t>
      </w:r>
      <w:r w:rsidRPr="009F68DC">
        <w:rPr>
          <w:rFonts w:ascii="Arial" w:eastAsia="Times New Roman" w:hAnsi="Arial" w:cs="Arial"/>
          <w:kern w:val="0"/>
          <w:sz w:val="22"/>
          <w14:ligatures w14:val="none"/>
        </w:rPr>
        <w:t xml:space="preserve">esearch suggests that nursing students need stronger preparation for digital practice and that digital literacy should be incorporated into nursing education rather than being left for students to develop by themselves (Stunden et al., 2024). A study also found that understanding existing digital literacy is important when developing education for digitally driven healthcare environments. </w:t>
      </w:r>
    </w:p>
    <w:p w14:paraId="2ED730EC" w14:textId="34121762" w:rsidR="0011161E" w:rsidRPr="009F68DC" w:rsidRDefault="0011161E" w:rsidP="00E434BD">
      <w:pPr>
        <w:spacing w:after="0" w:line="360" w:lineRule="auto"/>
        <w:rPr>
          <w:rFonts w:ascii="Arial" w:eastAsia="Times New Roman" w:hAnsi="Arial" w:cs="Arial"/>
          <w:kern w:val="0"/>
          <w:sz w:val="22"/>
          <w14:ligatures w14:val="none"/>
        </w:rPr>
      </w:pPr>
    </w:p>
    <w:p w14:paraId="107CA541" w14:textId="77777777" w:rsidR="0011161E" w:rsidRPr="009F68DC" w:rsidRDefault="0011161E" w:rsidP="00E434BD">
      <w:pPr>
        <w:spacing w:after="100" w:afterAutospacing="1" w:line="360" w:lineRule="auto"/>
        <w:outlineLvl w:val="0"/>
        <w:rPr>
          <w:rFonts w:ascii="Arial" w:eastAsia="Times New Roman" w:hAnsi="Arial" w:cs="Arial"/>
          <w:kern w:val="36"/>
          <w:sz w:val="22"/>
          <w14:ligatures w14:val="none"/>
        </w:rPr>
      </w:pPr>
      <w:r w:rsidRPr="009F68DC">
        <w:rPr>
          <w:rFonts w:ascii="Arial" w:eastAsia="Times New Roman" w:hAnsi="Arial" w:cs="Arial"/>
          <w:kern w:val="36"/>
          <w:sz w:val="22"/>
          <w14:ligatures w14:val="none"/>
        </w:rPr>
        <w:t>Section 2: Understanding the Purpose and Research Question</w:t>
      </w:r>
    </w:p>
    <w:p w14:paraId="18DC6816"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The main purpose of the study was to find out how students perceived their own digital competencies and whether these skills were appropriate for their academic studies and future healthcare careers.</w:t>
      </w:r>
    </w:p>
    <w:p w14:paraId="5A91D3AE" w14:textId="2FEA2BF2"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The researchers had several objectives. They wanted to adapt an existing digital competency assessment so that it was relevant to different healthcare disciplines. They also wanted to examine students levels of digital competence and identify differences between groups of students.</w:t>
      </w:r>
    </w:p>
    <w:p w14:paraId="2772A330"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The overall aim was to identify digital skills gaps and help universities provide more appropriate support for students. This is particularly relevant because research has shown that nursing students can have different levels of digital knowledge and confidence, meaning that assuming all students are digitally competent may not be appropriate (Nes et al., 2021).</w:t>
      </w:r>
    </w:p>
    <w:p w14:paraId="73EB2E45" w14:textId="01945F21" w:rsidR="0011161E" w:rsidRPr="009F68DC" w:rsidRDefault="0011161E" w:rsidP="00E434BD">
      <w:pPr>
        <w:spacing w:after="0" w:line="360" w:lineRule="auto"/>
        <w:rPr>
          <w:rFonts w:ascii="Arial" w:eastAsia="Times New Roman" w:hAnsi="Arial" w:cs="Arial"/>
          <w:kern w:val="0"/>
          <w:sz w:val="22"/>
          <w14:ligatures w14:val="none"/>
        </w:rPr>
      </w:pPr>
    </w:p>
    <w:p w14:paraId="205AF1FF" w14:textId="77777777" w:rsidR="0011161E" w:rsidRPr="009F68DC" w:rsidRDefault="0011161E" w:rsidP="00E434BD">
      <w:pPr>
        <w:spacing w:after="100" w:afterAutospacing="1" w:line="360" w:lineRule="auto"/>
        <w:outlineLvl w:val="0"/>
        <w:rPr>
          <w:rFonts w:ascii="Arial" w:eastAsia="Times New Roman" w:hAnsi="Arial" w:cs="Arial"/>
          <w:kern w:val="36"/>
          <w:sz w:val="22"/>
          <w14:ligatures w14:val="none"/>
        </w:rPr>
      </w:pPr>
      <w:r w:rsidRPr="009F68DC">
        <w:rPr>
          <w:rFonts w:ascii="Arial" w:eastAsia="Times New Roman" w:hAnsi="Arial" w:cs="Arial"/>
          <w:kern w:val="36"/>
          <w:sz w:val="22"/>
          <w14:ligatures w14:val="none"/>
        </w:rPr>
        <w:t>Section 3: Understanding the Research Methods</w:t>
      </w:r>
    </w:p>
    <w:p w14:paraId="5C0290E3"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There are three main research approaches: quantitative, qualitative and mixed methods.</w:t>
      </w:r>
    </w:p>
    <w:p w14:paraId="697D38B7" w14:textId="47D23DAF"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Quantitative research involves collecting numerical data that can be measured and analysed statistically. It is useful when researchers want to compare groups, identify patterns or measure particular characteristics.. Quantitative research can provide clear numerical findings that can be compared between participants or groups (Creswell and Creswell, 2022). </w:t>
      </w:r>
    </w:p>
    <w:p w14:paraId="03F5C609" w14:textId="33B90836"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Qualitative research is more concerned with people's experiences, opinions and perceptions. For example, nursing students could be interviewed about their experiences of learning to use electronic patient records. This could help researchers understand the reasons behind students' feelings and experiences (Creswell and Creswell, 2022). </w:t>
      </w:r>
    </w:p>
    <w:p w14:paraId="06BAFCEC" w14:textId="4DD4EF3B" w:rsidR="0011161E" w:rsidRPr="009F68DC" w:rsidRDefault="009973D2" w:rsidP="00E434BD">
      <w:pPr>
        <w:spacing w:after="100" w:afterAutospacing="1" w:line="360" w:lineRule="auto"/>
        <w:rPr>
          <w:rFonts w:ascii="Arial" w:eastAsia="Times New Roman" w:hAnsi="Arial" w:cs="Arial"/>
          <w:kern w:val="0"/>
          <w:sz w:val="22"/>
          <w14:ligatures w14:val="none"/>
        </w:rPr>
      </w:pPr>
      <w:r>
        <w:rPr>
          <w:rFonts w:ascii="Arial" w:eastAsia="Times New Roman" w:hAnsi="Arial" w:cs="Arial"/>
          <w:kern w:val="0"/>
          <w:sz w:val="22"/>
          <w14:ligatures w14:val="none"/>
        </w:rPr>
        <w:t>Research</w:t>
      </w:r>
      <w:r w:rsidR="0011161E" w:rsidRPr="009F68DC">
        <w:rPr>
          <w:rFonts w:ascii="Arial" w:eastAsia="Times New Roman" w:hAnsi="Arial" w:cs="Arial"/>
          <w:kern w:val="0"/>
          <w:sz w:val="22"/>
          <w14:ligatures w14:val="none"/>
        </w:rPr>
        <w:t xml:space="preserve"> combines quantitative and qualitative approaches. This can be useful when numerical results alone do not provide enough explanation. For example, a survey might show that nursing students have low confidence in digital research, while interviews could help explain why they feel this way. Using both approaches can therefore provide a broader understanding of a research problem (Creswell and Creswell, 2022). </w:t>
      </w:r>
    </w:p>
    <w:p w14:paraId="4E859F4F" w14:textId="77777777" w:rsidR="0011161E" w:rsidRPr="009F68DC" w:rsidRDefault="0011161E" w:rsidP="00E434BD">
      <w:pPr>
        <w:spacing w:after="100" w:afterAutospacing="1" w:line="360" w:lineRule="auto"/>
        <w:outlineLvl w:val="1"/>
        <w:rPr>
          <w:rFonts w:ascii="Arial" w:eastAsia="Times New Roman" w:hAnsi="Arial" w:cs="Arial"/>
          <w:kern w:val="0"/>
          <w:sz w:val="22"/>
          <w14:ligatures w14:val="none"/>
        </w:rPr>
      </w:pPr>
      <w:r w:rsidRPr="009F68DC">
        <w:rPr>
          <w:rFonts w:ascii="Arial" w:eastAsia="Times New Roman" w:hAnsi="Arial" w:cs="Arial"/>
          <w:kern w:val="0"/>
          <w:sz w:val="22"/>
          <w14:ligatures w14:val="none"/>
        </w:rPr>
        <w:t>3.1 Research Methodology Used in the Chosen Paper</w:t>
      </w:r>
    </w:p>
    <w:p w14:paraId="773D6EAA"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Martzoukou et al. (2024) mainly used a quantitative cross-sectional design. A cross-sectional study collects information at a particular point or period rather than following participants over a long period. In this case, students completed an online questionnaire during November and December 2021. </w:t>
      </w:r>
    </w:p>
    <w:p w14:paraId="0ACB6F37"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The questionnaire examined several areas of digital competence, including ICT skills, information literacy, digital research, digital communication, digital learning, digital innovation, digital identity and digital wellbeing. Students rated their own abilities using a scale ranging from novice to expert.</w:t>
      </w:r>
    </w:p>
    <w:p w14:paraId="39764368"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A quantitative approach was suitable because the researchers wanted to measure students' perceived digital abilities and compare the results between different groups. The researchers used descriptive statistics as well as the Mann–Whitney U and Kruskal–Wallis tests to examine differences in the data. Because the data did not follow a normal distribution, non-parametric tests were appropriate (Martzoukou et al., 2024). </w:t>
      </w:r>
    </w:p>
    <w:p w14:paraId="0904CFFD" w14:textId="7AFF430C"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Although the study was mainly quantitative, it also included some qualitative information. Students answered open-ended questions about how they developed their digital skills and the challenges they experienced. These responses were analysed thematically. This was useful because the</w:t>
      </w:r>
      <w:r w:rsidR="000117F2">
        <w:rPr>
          <w:rFonts w:ascii="Arial" w:eastAsia="Times New Roman" w:hAnsi="Arial" w:cs="Arial"/>
          <w:kern w:val="0"/>
          <w:sz w:val="22"/>
          <w14:ligatures w14:val="none"/>
        </w:rPr>
        <w:t xml:space="preserve"> </w:t>
      </w:r>
      <w:r w:rsidRPr="009F68DC">
        <w:rPr>
          <w:rFonts w:ascii="Arial" w:eastAsia="Times New Roman" w:hAnsi="Arial" w:cs="Arial"/>
          <w:kern w:val="0"/>
          <w:sz w:val="22"/>
          <w14:ligatures w14:val="none"/>
        </w:rPr>
        <w:t>results showed where students experienced difficulties, while their written responses provided some understanding of how those difficulties had developed.</w:t>
      </w:r>
    </w:p>
    <w:p w14:paraId="18ABE345"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The findings showed that students felt less confident in areas such as information literacy, digital research and digital innovation. The researchers also found differences between some student groups. Interestingly, students often described developing their digital abilities through everyday experiences and trial and error rather than through formal education (Martzoukou et al., 2024). </w:t>
      </w:r>
    </w:p>
    <w:p w14:paraId="153A970D"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This finding is supported by other recent research. Lokmic-Tomkins et al. (2022) describe the importance of developing digitally capable nursing graduates and report the use of targeted digital literacy education to support students who had lower levels of digital literacy. </w:t>
      </w:r>
    </w:p>
    <w:p w14:paraId="03C17E0E" w14:textId="77777777" w:rsidR="0011161E" w:rsidRPr="009F68DC" w:rsidRDefault="0011161E" w:rsidP="00E434BD">
      <w:pPr>
        <w:spacing w:after="100" w:afterAutospacing="1" w:line="360" w:lineRule="auto"/>
        <w:outlineLvl w:val="1"/>
        <w:rPr>
          <w:rFonts w:ascii="Arial" w:eastAsia="Times New Roman" w:hAnsi="Arial" w:cs="Arial"/>
          <w:kern w:val="0"/>
          <w:sz w:val="22"/>
          <w14:ligatures w14:val="none"/>
        </w:rPr>
      </w:pPr>
      <w:r w:rsidRPr="009F68DC">
        <w:rPr>
          <w:rFonts w:ascii="Arial" w:eastAsia="Times New Roman" w:hAnsi="Arial" w:cs="Arial"/>
          <w:kern w:val="0"/>
          <w:sz w:val="22"/>
          <w14:ligatures w14:val="none"/>
        </w:rPr>
        <w:t>3.2 Primary and Secondary Data</w:t>
      </w:r>
    </w:p>
    <w:p w14:paraId="310D98A2" w14:textId="2710F09E"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Primary data </w:t>
      </w:r>
      <w:r w:rsidR="00885B1F">
        <w:rPr>
          <w:rFonts w:ascii="Arial" w:eastAsia="Times New Roman" w:hAnsi="Arial" w:cs="Arial"/>
          <w:kern w:val="0"/>
          <w:sz w:val="22"/>
          <w14:ligatures w14:val="none"/>
        </w:rPr>
        <w:t xml:space="preserve">is </w:t>
      </w:r>
      <w:r w:rsidRPr="009F68DC">
        <w:rPr>
          <w:rFonts w:ascii="Arial" w:eastAsia="Times New Roman" w:hAnsi="Arial" w:cs="Arial"/>
          <w:kern w:val="0"/>
          <w:sz w:val="22"/>
          <w14:ligatures w14:val="none"/>
        </w:rPr>
        <w:t xml:space="preserve">collected directly by researchers for a particular study. Examples include questionnaires, interviews and observations. Secondary data, on the other hand, already exist because they were collected by another researcher or organisation for another purpose. Saunders, Lewis and Thornhill (2023) explain that choosing suitable methods of data collection is an important part of designing research. </w:t>
      </w:r>
    </w:p>
    <w:p w14:paraId="71A54582" w14:textId="29B12A90"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The Martzoukou et al. (2024) study mainly used primary data because the researchers collected new information directly from </w:t>
      </w:r>
      <w:r w:rsidR="00435D61">
        <w:rPr>
          <w:rFonts w:ascii="Arial" w:eastAsia="Times New Roman" w:hAnsi="Arial" w:cs="Arial"/>
          <w:kern w:val="0"/>
          <w:sz w:val="22"/>
          <w14:ligatures w14:val="none"/>
        </w:rPr>
        <w:t xml:space="preserve">100 </w:t>
      </w:r>
      <w:r w:rsidRPr="009F68DC">
        <w:rPr>
          <w:rFonts w:ascii="Arial" w:eastAsia="Times New Roman" w:hAnsi="Arial" w:cs="Arial"/>
          <w:kern w:val="0"/>
          <w:sz w:val="22"/>
          <w14:ligatures w14:val="none"/>
        </w:rPr>
        <w:t xml:space="preserve"> students through an online questionnaire. The students reported their perceived digital abilities and answered open-ended questions about their experiences.</w:t>
      </w:r>
    </w:p>
    <w:p w14:paraId="6C687114" w14:textId="42E42558"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The questionnaire itself was based on an existing instrument, but the responses collected from the students were new data specifically gathered for this research. The  data w</w:t>
      </w:r>
      <w:r w:rsidR="0052540B">
        <w:rPr>
          <w:rFonts w:ascii="Arial" w:eastAsia="Times New Roman" w:hAnsi="Arial" w:cs="Arial"/>
          <w:kern w:val="0"/>
          <w:sz w:val="22"/>
          <w14:ligatures w14:val="none"/>
        </w:rPr>
        <w:t>as</w:t>
      </w:r>
      <w:r w:rsidRPr="009F68DC">
        <w:rPr>
          <w:rFonts w:ascii="Arial" w:eastAsia="Times New Roman" w:hAnsi="Arial" w:cs="Arial"/>
          <w:kern w:val="0"/>
          <w:sz w:val="22"/>
          <w14:ligatures w14:val="none"/>
        </w:rPr>
        <w:t xml:space="preserve"> analysed statistically,  This allowed the researchers to combine information with students</w:t>
      </w:r>
      <w:r w:rsidR="002A1EE9">
        <w:rPr>
          <w:rFonts w:ascii="Arial" w:eastAsia="Times New Roman" w:hAnsi="Arial" w:cs="Arial"/>
          <w:kern w:val="0"/>
          <w:sz w:val="22"/>
          <w14:ligatures w14:val="none"/>
        </w:rPr>
        <w:t xml:space="preserve"> </w:t>
      </w:r>
      <w:r w:rsidR="007C34E7">
        <w:rPr>
          <w:rFonts w:ascii="Arial" w:eastAsia="Times New Roman" w:hAnsi="Arial" w:cs="Arial"/>
          <w:kern w:val="0"/>
          <w:sz w:val="22"/>
          <w14:ligatures w14:val="none"/>
        </w:rPr>
        <w:t xml:space="preserve">on </w:t>
      </w:r>
      <w:r w:rsidRPr="009F68DC">
        <w:rPr>
          <w:rFonts w:ascii="Arial" w:eastAsia="Times New Roman" w:hAnsi="Arial" w:cs="Arial"/>
          <w:kern w:val="0"/>
          <w:sz w:val="22"/>
          <w14:ligatures w14:val="none"/>
        </w:rPr>
        <w:t>descriptions of their experiences.</w:t>
      </w:r>
    </w:p>
    <w:p w14:paraId="7DC6F8FC" w14:textId="7B96FB78"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There are some limitations to consider. </w:t>
      </w:r>
      <w:r w:rsidR="007C34E7">
        <w:rPr>
          <w:rFonts w:ascii="Arial" w:eastAsia="Times New Roman" w:hAnsi="Arial" w:cs="Arial"/>
          <w:kern w:val="0"/>
          <w:sz w:val="22"/>
          <w14:ligatures w14:val="none"/>
        </w:rPr>
        <w:t xml:space="preserve">The </w:t>
      </w:r>
      <w:r w:rsidRPr="009F68DC">
        <w:rPr>
          <w:rFonts w:ascii="Arial" w:eastAsia="Times New Roman" w:hAnsi="Arial" w:cs="Arial"/>
          <w:kern w:val="0"/>
          <w:sz w:val="22"/>
          <w14:ligatures w14:val="none"/>
        </w:rPr>
        <w:t xml:space="preserve"> study measured competence</w:t>
      </w:r>
      <w:r w:rsidR="00320D81">
        <w:rPr>
          <w:rFonts w:ascii="Arial" w:eastAsia="Times New Roman" w:hAnsi="Arial" w:cs="Arial"/>
          <w:kern w:val="0"/>
          <w:sz w:val="22"/>
          <w14:ligatures w14:val="none"/>
        </w:rPr>
        <w:t>.</w:t>
      </w:r>
      <w:r w:rsidRPr="009F68DC">
        <w:rPr>
          <w:rFonts w:ascii="Arial" w:eastAsia="Times New Roman" w:hAnsi="Arial" w:cs="Arial"/>
          <w:kern w:val="0"/>
          <w:sz w:val="22"/>
          <w14:ligatures w14:val="none"/>
        </w:rPr>
        <w:t xml:space="preserve"> Someone may believe they are highly skilled but struggle when completing a real digital task. The response rate was also relatively low, at around 15%, which may affect how representative the findings are. The researchers also experienced difficulties with representation because the study took place during </w:t>
      </w:r>
      <w:r w:rsidR="005C55B0">
        <w:rPr>
          <w:rFonts w:ascii="Arial" w:eastAsia="Times New Roman" w:hAnsi="Arial" w:cs="Arial"/>
          <w:kern w:val="0"/>
          <w:sz w:val="22"/>
          <w14:ligatures w14:val="none"/>
        </w:rPr>
        <w:t>a oandemic</w:t>
      </w:r>
    </w:p>
    <w:p w14:paraId="554ACAF7" w14:textId="3517CC64" w:rsidR="0011161E" w:rsidRPr="009F68DC" w:rsidRDefault="0011161E" w:rsidP="00E434BD">
      <w:pPr>
        <w:spacing w:after="0" w:line="360" w:lineRule="auto"/>
        <w:rPr>
          <w:rFonts w:ascii="Arial" w:eastAsia="Times New Roman" w:hAnsi="Arial" w:cs="Arial"/>
          <w:kern w:val="0"/>
          <w:sz w:val="22"/>
          <w14:ligatures w14:val="none"/>
        </w:rPr>
      </w:pPr>
    </w:p>
    <w:p w14:paraId="31594378" w14:textId="77777777" w:rsidR="0011161E" w:rsidRPr="009F68DC" w:rsidRDefault="0011161E" w:rsidP="00E434BD">
      <w:pPr>
        <w:spacing w:after="100" w:afterAutospacing="1" w:line="360" w:lineRule="auto"/>
        <w:outlineLvl w:val="0"/>
        <w:rPr>
          <w:rFonts w:ascii="Arial" w:eastAsia="Times New Roman" w:hAnsi="Arial" w:cs="Arial"/>
          <w:kern w:val="36"/>
          <w:sz w:val="22"/>
          <w14:ligatures w14:val="none"/>
        </w:rPr>
      </w:pPr>
      <w:r w:rsidRPr="009F68DC">
        <w:rPr>
          <w:rFonts w:ascii="Arial" w:eastAsia="Times New Roman" w:hAnsi="Arial" w:cs="Arial"/>
          <w:kern w:val="36"/>
          <w:sz w:val="22"/>
          <w14:ligatures w14:val="none"/>
        </w:rPr>
        <w:t>Section 4: Conclusion</w:t>
      </w:r>
    </w:p>
    <w:p w14:paraId="487E0EFC"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Overall, Martzoukou et al. (2024) demonstrate that being comfortable with everyday technology does not necessarily mean that nursing and healthcare students have all the digital skills required for academic and professional practice. The study identified information literacy, digital research and digital innovation as areas where students reported lower confidence. This highlights the importance of providing students with structured opportunities to develop digital skills during their education. </w:t>
      </w:r>
    </w:p>
    <w:p w14:paraId="2711C2D3"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The report also shows the differences between quantitative, qualitative and mixed-methods research. Quantitative research focuses on numerical information, qualitative research explores people's experiences and perspectives, and mixed methods combines both approaches. The chosen paper was mainly quantitative, using a cross-sectional questionnaire and statistical analysis, although the open-ended questions added a small qualitative element.</w:t>
      </w:r>
    </w:p>
    <w:p w14:paraId="6F6BD3FE"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The research also helped demonstrate the difference between primary and secondary data. The study mainly used primary data because the researchers collected information directly from students. An existing questionnaire was used as the basis for the research instrument, but the students' responses were collected specifically for the study.</w:t>
      </w:r>
    </w:p>
    <w:p w14:paraId="16B0B215" w14:textId="77777777" w:rsidR="0011161E" w:rsidRPr="00E434BD"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From reviewing this paper, it is clear that research should not simply be judged by its findings. It is also important to consider how participants were selected, how data were collected, what methods were used to analyse the information and what limitations might affect the results. Understanding these issues will be useful when evaluating research and evidence in future health and social care practice.</w:t>
      </w:r>
    </w:p>
    <w:p w14:paraId="13AC9E62"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p>
    <w:p w14:paraId="6044C567" w14:textId="77777777" w:rsidR="0011161E" w:rsidRPr="009F68DC" w:rsidRDefault="0011161E" w:rsidP="00E434BD">
      <w:pPr>
        <w:spacing w:after="100" w:afterAutospacing="1" w:line="360" w:lineRule="auto"/>
        <w:outlineLvl w:val="1"/>
        <w:rPr>
          <w:rFonts w:ascii="Arial" w:eastAsia="Times New Roman" w:hAnsi="Arial" w:cs="Arial"/>
          <w:kern w:val="0"/>
          <w:sz w:val="22"/>
          <w14:ligatures w14:val="none"/>
        </w:rPr>
      </w:pPr>
      <w:r w:rsidRPr="009F68DC">
        <w:rPr>
          <w:rFonts w:ascii="Arial" w:eastAsia="Times New Roman" w:hAnsi="Arial" w:cs="Arial"/>
          <w:kern w:val="0"/>
          <w:sz w:val="22"/>
          <w14:ligatures w14:val="none"/>
        </w:rPr>
        <w:t>References</w:t>
      </w:r>
    </w:p>
    <w:p w14:paraId="4955FC46"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Creswell, J.W. and Creswell, J.D. (2022) </w:t>
      </w:r>
      <w:r w:rsidRPr="009F68DC">
        <w:rPr>
          <w:rFonts w:ascii="Arial" w:eastAsia="Times New Roman" w:hAnsi="Arial" w:cs="Arial"/>
          <w:i/>
          <w:iCs/>
          <w:kern w:val="0"/>
          <w:sz w:val="22"/>
          <w14:ligatures w14:val="none"/>
        </w:rPr>
        <w:t>Research Design: Qualitative, Quantitative, and Mixed Methods Approaches</w:t>
      </w:r>
      <w:r w:rsidRPr="009F68DC">
        <w:rPr>
          <w:rFonts w:ascii="Arial" w:eastAsia="Times New Roman" w:hAnsi="Arial" w:cs="Arial"/>
          <w:kern w:val="0"/>
          <w:sz w:val="22"/>
          <w14:ligatures w14:val="none"/>
        </w:rPr>
        <w:t xml:space="preserve">. 6th edn. Thousand Oaks, CA: SAGE. </w:t>
      </w:r>
    </w:p>
    <w:p w14:paraId="02BBECF0"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Lokmic-Tomkins, Z., Cochrane, L., Celeste, T. </w:t>
      </w:r>
      <w:r w:rsidRPr="009F68DC">
        <w:rPr>
          <w:rFonts w:ascii="Arial" w:eastAsia="Times New Roman" w:hAnsi="Arial" w:cs="Arial"/>
          <w:i/>
          <w:iCs/>
          <w:kern w:val="0"/>
          <w:sz w:val="22"/>
          <w14:ligatures w14:val="none"/>
        </w:rPr>
        <w:t>et al.</w:t>
      </w:r>
      <w:r w:rsidRPr="009F68DC">
        <w:rPr>
          <w:rFonts w:ascii="Arial" w:eastAsia="Times New Roman" w:hAnsi="Arial" w:cs="Arial"/>
          <w:kern w:val="0"/>
          <w:sz w:val="22"/>
          <w14:ligatures w14:val="none"/>
        </w:rPr>
        <w:t xml:space="preserve"> (2022) ‘An interdisciplinary partnership approach to improving the digital literacy skills of nursing students to become digitally fluent, work-ready graduates’, </w:t>
      </w:r>
      <w:r w:rsidRPr="009F68DC">
        <w:rPr>
          <w:rFonts w:ascii="Arial" w:eastAsia="Times New Roman" w:hAnsi="Arial" w:cs="Arial"/>
          <w:i/>
          <w:iCs/>
          <w:kern w:val="0"/>
          <w:sz w:val="22"/>
          <w14:ligatures w14:val="none"/>
        </w:rPr>
        <w:t>Studies in Health Technology and Informatics</w:t>
      </w:r>
      <w:r w:rsidRPr="009F68DC">
        <w:rPr>
          <w:rFonts w:ascii="Arial" w:eastAsia="Times New Roman" w:hAnsi="Arial" w:cs="Arial"/>
          <w:kern w:val="0"/>
          <w:sz w:val="22"/>
          <w14:ligatures w14:val="none"/>
        </w:rPr>
        <w:t xml:space="preserve">, 295, pp. 115–118. </w:t>
      </w:r>
    </w:p>
    <w:p w14:paraId="7E7D6F0D"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Martzoukou, K., Luders, E.S., Mair, J., Kostagiolas, P., Johnson, N., Work, F. and Fulton, C. (2024) ‘A cross-sectional study of discipline-based self-perceived digital literacy competencies of nursing students’, </w:t>
      </w:r>
      <w:r w:rsidRPr="009F68DC">
        <w:rPr>
          <w:rFonts w:ascii="Arial" w:eastAsia="Times New Roman" w:hAnsi="Arial" w:cs="Arial"/>
          <w:i/>
          <w:iCs/>
          <w:kern w:val="0"/>
          <w:sz w:val="22"/>
          <w14:ligatures w14:val="none"/>
        </w:rPr>
        <w:t>Journal of Advanced Nursing</w:t>
      </w:r>
      <w:r w:rsidRPr="009F68DC">
        <w:rPr>
          <w:rFonts w:ascii="Arial" w:eastAsia="Times New Roman" w:hAnsi="Arial" w:cs="Arial"/>
          <w:kern w:val="0"/>
          <w:sz w:val="22"/>
          <w14:ligatures w14:val="none"/>
        </w:rPr>
        <w:t xml:space="preserve">, 80(2), pp. 656–672. </w:t>
      </w:r>
    </w:p>
    <w:p w14:paraId="2D1A4AF3"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Nes, A.A.G., Steindal, S.A., Larsen, M.H., Heer, H.C., Lærum-Onsager, E. and Gjevjon, E.R. (2021) ‘Technological literacy in nursing education: A scoping review’, </w:t>
      </w:r>
      <w:r w:rsidRPr="009F68DC">
        <w:rPr>
          <w:rFonts w:ascii="Arial" w:eastAsia="Times New Roman" w:hAnsi="Arial" w:cs="Arial"/>
          <w:i/>
          <w:iCs/>
          <w:kern w:val="0"/>
          <w:sz w:val="22"/>
          <w14:ligatures w14:val="none"/>
        </w:rPr>
        <w:t>Journal of Professional Nursing</w:t>
      </w:r>
      <w:r w:rsidRPr="009F68DC">
        <w:rPr>
          <w:rFonts w:ascii="Arial" w:eastAsia="Times New Roman" w:hAnsi="Arial" w:cs="Arial"/>
          <w:kern w:val="0"/>
          <w:sz w:val="22"/>
          <w14:ligatures w14:val="none"/>
        </w:rPr>
        <w:t xml:space="preserve">, 37(2), pp. 320–334. </w:t>
      </w:r>
    </w:p>
    <w:p w14:paraId="64BA152E"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Saunders, M.N.K., Lewis, P. and Thornhill, A. (2023) </w:t>
      </w:r>
      <w:r w:rsidRPr="009F68DC">
        <w:rPr>
          <w:rFonts w:ascii="Arial" w:eastAsia="Times New Roman" w:hAnsi="Arial" w:cs="Arial"/>
          <w:i/>
          <w:iCs/>
          <w:kern w:val="0"/>
          <w:sz w:val="22"/>
          <w14:ligatures w14:val="none"/>
        </w:rPr>
        <w:t>Research Methods for Business Students</w:t>
      </w:r>
      <w:r w:rsidRPr="009F68DC">
        <w:rPr>
          <w:rFonts w:ascii="Arial" w:eastAsia="Times New Roman" w:hAnsi="Arial" w:cs="Arial"/>
          <w:kern w:val="0"/>
          <w:sz w:val="22"/>
          <w14:ligatures w14:val="none"/>
        </w:rPr>
        <w:t xml:space="preserve">. 9th edn. Harlow: Pearson. </w:t>
      </w:r>
    </w:p>
    <w:p w14:paraId="51CB7BCC" w14:textId="77777777" w:rsidR="0011161E" w:rsidRPr="009F68DC" w:rsidRDefault="0011161E" w:rsidP="00E434BD">
      <w:pPr>
        <w:spacing w:after="100" w:afterAutospacing="1" w:line="360" w:lineRule="auto"/>
        <w:rPr>
          <w:rFonts w:ascii="Arial" w:eastAsia="Times New Roman" w:hAnsi="Arial" w:cs="Arial"/>
          <w:kern w:val="0"/>
          <w:sz w:val="22"/>
          <w14:ligatures w14:val="none"/>
        </w:rPr>
      </w:pPr>
      <w:r w:rsidRPr="009F68DC">
        <w:rPr>
          <w:rFonts w:ascii="Arial" w:eastAsia="Times New Roman" w:hAnsi="Arial" w:cs="Arial"/>
          <w:kern w:val="0"/>
          <w:sz w:val="22"/>
          <w14:ligatures w14:val="none"/>
        </w:rPr>
        <w:t xml:space="preserve">Stunden, A., Ginige, A., O'Reilly, R., Sanagavarapu, P., Heaton, L. and Jefferies, D. (2024) ‘Nursing students’ preparedness for the digitalised clinical environment in Australia: An integrative review’, </w:t>
      </w:r>
      <w:r w:rsidRPr="009F68DC">
        <w:rPr>
          <w:rFonts w:ascii="Arial" w:eastAsia="Times New Roman" w:hAnsi="Arial" w:cs="Arial"/>
          <w:i/>
          <w:iCs/>
          <w:kern w:val="0"/>
          <w:sz w:val="22"/>
          <w14:ligatures w14:val="none"/>
        </w:rPr>
        <w:t>Nurse Education in Practice</w:t>
      </w:r>
      <w:r w:rsidRPr="009F68DC">
        <w:rPr>
          <w:rFonts w:ascii="Arial" w:eastAsia="Times New Roman" w:hAnsi="Arial" w:cs="Arial"/>
          <w:kern w:val="0"/>
          <w:sz w:val="22"/>
          <w14:ligatures w14:val="none"/>
        </w:rPr>
        <w:t xml:space="preserve">, 75, 103908. </w:t>
      </w:r>
    </w:p>
    <w:p w14:paraId="349B83CD" w14:textId="77777777" w:rsidR="00ED5964" w:rsidRPr="0011161E" w:rsidRDefault="00ED5964" w:rsidP="00ED5964">
      <w:pPr>
        <w:jc w:val="both"/>
        <w:rPr>
          <w:rFonts w:asciiTheme="minorBidi" w:hAnsiTheme="minorBidi"/>
          <w:sz w:val="28"/>
          <w:szCs w:val="28"/>
        </w:rPr>
      </w:pPr>
    </w:p>
    <w:p w14:paraId="4D1C2ACF" w14:textId="77777777" w:rsidR="00ED5964" w:rsidRPr="0011161E" w:rsidRDefault="00ED5964" w:rsidP="00ED5964">
      <w:pPr>
        <w:jc w:val="both"/>
        <w:rPr>
          <w:rFonts w:asciiTheme="minorBidi" w:hAnsiTheme="minorBidi"/>
          <w:sz w:val="28"/>
          <w:szCs w:val="28"/>
        </w:rPr>
      </w:pPr>
    </w:p>
    <w:p w14:paraId="4CA33126" w14:textId="77777777" w:rsidR="00ED5964" w:rsidRPr="0011161E" w:rsidRDefault="00ED5964" w:rsidP="00ED5964">
      <w:pPr>
        <w:jc w:val="both"/>
        <w:rPr>
          <w:rFonts w:asciiTheme="minorBidi" w:hAnsiTheme="minorBidi"/>
          <w:sz w:val="28"/>
          <w:szCs w:val="28"/>
        </w:rPr>
      </w:pPr>
    </w:p>
    <w:p w14:paraId="2BA15280" w14:textId="77777777" w:rsidR="00ED5964" w:rsidRPr="0011161E" w:rsidRDefault="00ED5964" w:rsidP="00ED5964">
      <w:pPr>
        <w:jc w:val="both"/>
        <w:rPr>
          <w:rFonts w:asciiTheme="minorBidi" w:hAnsiTheme="minorBidi"/>
          <w:sz w:val="28"/>
          <w:szCs w:val="28"/>
        </w:rPr>
      </w:pPr>
    </w:p>
    <w:p w14:paraId="2A063F79" w14:textId="60A20A8A" w:rsidR="003C7AE0" w:rsidRPr="0011161E" w:rsidRDefault="003C7AE0"/>
    <w:sectPr w:rsidR="003C7AE0" w:rsidRPr="0011161E"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8E6AA51" w14:textId="77777777" w:rsidR="00BF4F7E" w:rsidRDefault="00BF4F7E" w:rsidP="003C7C97">
      <w:pPr>
        <w:spacing w:after="0" w:line="240" w:lineRule="auto"/>
      </w:pPr>
      <w:r>
        <w:separator/>
      </w:r>
    </w:p>
  </w:endnote>
  <w:endnote w:type="continuationSeparator" w:id="0">
    <w:p w14:paraId="67144859" w14:textId="77777777" w:rsidR="00BF4F7E" w:rsidRDefault="00BF4F7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D2C93EE" w14:textId="77777777" w:rsidR="00BF4F7E" w:rsidRDefault="00BF4F7E" w:rsidP="003C7C97">
      <w:pPr>
        <w:spacing w:after="0" w:line="240" w:lineRule="auto"/>
      </w:pPr>
      <w:r>
        <w:separator/>
      </w:r>
    </w:p>
  </w:footnote>
  <w:footnote w:type="continuationSeparator" w:id="0">
    <w:p w14:paraId="5E830760" w14:textId="77777777" w:rsidR="00BF4F7E" w:rsidRDefault="00BF4F7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120C5E46" w14:textId="77777777"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F896B22"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0B2EBF83" w14:textId="77777777"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B75C4E2"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D0E6A788"/>
    <w:lvl w:ilvl="0" w:tplc="BCCC5174">
      <w:start w:val="1"/>
      <w:numFmt w:val="bullet"/>
      <w:lvlText w:val=""/>
      <w:lvlJc w:val="left"/>
      <w:pPr>
        <w:ind w:left="720" w:hanging="360"/>
      </w:pPr>
      <w:rPr>
        <w:rFonts w:ascii="Symbol" w:hAnsi="Symbol" w:hint="default"/>
      </w:rPr>
    </w:lvl>
    <w:lvl w:ilvl="1" w:tplc="507405BA">
      <w:start w:val="1"/>
      <w:numFmt w:val="bullet"/>
      <w:lvlText w:val="o"/>
      <w:lvlJc w:val="left"/>
      <w:pPr>
        <w:ind w:left="1440" w:hanging="360"/>
      </w:pPr>
      <w:rPr>
        <w:rFonts w:ascii="Courier New" w:hAnsi="Courier New" w:hint="default"/>
      </w:rPr>
    </w:lvl>
    <w:lvl w:ilvl="2" w:tplc="281AF0B6">
      <w:start w:val="1"/>
      <w:numFmt w:val="bullet"/>
      <w:lvlText w:val=""/>
      <w:lvlJc w:val="left"/>
      <w:pPr>
        <w:ind w:left="2160" w:hanging="360"/>
      </w:pPr>
      <w:rPr>
        <w:rFonts w:ascii="Wingdings" w:hAnsi="Wingdings" w:hint="default"/>
      </w:rPr>
    </w:lvl>
    <w:lvl w:ilvl="3" w:tplc="3F38ACA2">
      <w:start w:val="1"/>
      <w:numFmt w:val="bullet"/>
      <w:lvlText w:val=""/>
      <w:lvlJc w:val="left"/>
      <w:pPr>
        <w:ind w:left="2880" w:hanging="360"/>
      </w:pPr>
      <w:rPr>
        <w:rFonts w:ascii="Symbol" w:hAnsi="Symbol" w:hint="default"/>
      </w:rPr>
    </w:lvl>
    <w:lvl w:ilvl="4" w:tplc="3A16C4E0">
      <w:start w:val="1"/>
      <w:numFmt w:val="bullet"/>
      <w:lvlText w:val="o"/>
      <w:lvlJc w:val="left"/>
      <w:pPr>
        <w:ind w:left="3600" w:hanging="360"/>
      </w:pPr>
      <w:rPr>
        <w:rFonts w:ascii="Courier New" w:hAnsi="Courier New" w:hint="default"/>
      </w:rPr>
    </w:lvl>
    <w:lvl w:ilvl="5" w:tplc="4988689E">
      <w:start w:val="1"/>
      <w:numFmt w:val="bullet"/>
      <w:lvlText w:val=""/>
      <w:lvlJc w:val="left"/>
      <w:pPr>
        <w:ind w:left="4320" w:hanging="360"/>
      </w:pPr>
      <w:rPr>
        <w:rFonts w:ascii="Wingdings" w:hAnsi="Wingdings" w:hint="default"/>
      </w:rPr>
    </w:lvl>
    <w:lvl w:ilvl="6" w:tplc="1390E166">
      <w:start w:val="1"/>
      <w:numFmt w:val="bullet"/>
      <w:lvlText w:val=""/>
      <w:lvlJc w:val="left"/>
      <w:pPr>
        <w:ind w:left="5040" w:hanging="360"/>
      </w:pPr>
      <w:rPr>
        <w:rFonts w:ascii="Symbol" w:hAnsi="Symbol" w:hint="default"/>
      </w:rPr>
    </w:lvl>
    <w:lvl w:ilvl="7" w:tplc="8142303E">
      <w:start w:val="1"/>
      <w:numFmt w:val="bullet"/>
      <w:lvlText w:val="o"/>
      <w:lvlJc w:val="left"/>
      <w:pPr>
        <w:ind w:left="5760" w:hanging="360"/>
      </w:pPr>
      <w:rPr>
        <w:rFonts w:ascii="Courier New" w:hAnsi="Courier New" w:hint="default"/>
      </w:rPr>
    </w:lvl>
    <w:lvl w:ilvl="8" w:tplc="0598F73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3489460"/>
    <w:lvl w:ilvl="0" w:tplc="D1A06548">
      <w:start w:val="1"/>
      <w:numFmt w:val="bullet"/>
      <w:lvlText w:val=""/>
      <w:lvlJc w:val="left"/>
      <w:pPr>
        <w:ind w:left="720" w:hanging="360"/>
      </w:pPr>
      <w:rPr>
        <w:rFonts w:ascii="Symbol" w:hAnsi="Symbol" w:hint="default"/>
      </w:rPr>
    </w:lvl>
    <w:lvl w:ilvl="1" w:tplc="F6BE858E">
      <w:start w:val="1"/>
      <w:numFmt w:val="bullet"/>
      <w:lvlText w:val="o"/>
      <w:lvlJc w:val="left"/>
      <w:pPr>
        <w:ind w:left="1440" w:hanging="360"/>
      </w:pPr>
      <w:rPr>
        <w:rFonts w:ascii="Courier New" w:hAnsi="Courier New" w:hint="default"/>
      </w:rPr>
    </w:lvl>
    <w:lvl w:ilvl="2" w:tplc="3A30CE1A">
      <w:start w:val="1"/>
      <w:numFmt w:val="bullet"/>
      <w:lvlText w:val=""/>
      <w:lvlJc w:val="left"/>
      <w:pPr>
        <w:ind w:left="2160" w:hanging="360"/>
      </w:pPr>
      <w:rPr>
        <w:rFonts w:ascii="Wingdings" w:hAnsi="Wingdings" w:hint="default"/>
      </w:rPr>
    </w:lvl>
    <w:lvl w:ilvl="3" w:tplc="3F6A139C">
      <w:start w:val="1"/>
      <w:numFmt w:val="bullet"/>
      <w:lvlText w:val=""/>
      <w:lvlJc w:val="left"/>
      <w:pPr>
        <w:ind w:left="2880" w:hanging="360"/>
      </w:pPr>
      <w:rPr>
        <w:rFonts w:ascii="Symbol" w:hAnsi="Symbol" w:hint="default"/>
      </w:rPr>
    </w:lvl>
    <w:lvl w:ilvl="4" w:tplc="BD4226F8">
      <w:start w:val="1"/>
      <w:numFmt w:val="bullet"/>
      <w:lvlText w:val="o"/>
      <w:lvlJc w:val="left"/>
      <w:pPr>
        <w:ind w:left="3600" w:hanging="360"/>
      </w:pPr>
      <w:rPr>
        <w:rFonts w:ascii="Courier New" w:hAnsi="Courier New" w:hint="default"/>
      </w:rPr>
    </w:lvl>
    <w:lvl w:ilvl="5" w:tplc="4F04A308">
      <w:start w:val="1"/>
      <w:numFmt w:val="bullet"/>
      <w:lvlText w:val=""/>
      <w:lvlJc w:val="left"/>
      <w:pPr>
        <w:ind w:left="4320" w:hanging="360"/>
      </w:pPr>
      <w:rPr>
        <w:rFonts w:ascii="Wingdings" w:hAnsi="Wingdings" w:hint="default"/>
      </w:rPr>
    </w:lvl>
    <w:lvl w:ilvl="6" w:tplc="FE0CB49C">
      <w:start w:val="1"/>
      <w:numFmt w:val="bullet"/>
      <w:lvlText w:val=""/>
      <w:lvlJc w:val="left"/>
      <w:pPr>
        <w:ind w:left="5040" w:hanging="360"/>
      </w:pPr>
      <w:rPr>
        <w:rFonts w:ascii="Symbol" w:hAnsi="Symbol" w:hint="default"/>
      </w:rPr>
    </w:lvl>
    <w:lvl w:ilvl="7" w:tplc="64349B12">
      <w:start w:val="1"/>
      <w:numFmt w:val="bullet"/>
      <w:lvlText w:val="o"/>
      <w:lvlJc w:val="left"/>
      <w:pPr>
        <w:ind w:left="5760" w:hanging="360"/>
      </w:pPr>
      <w:rPr>
        <w:rFonts w:ascii="Courier New" w:hAnsi="Courier New" w:hint="default"/>
      </w:rPr>
    </w:lvl>
    <w:lvl w:ilvl="8" w:tplc="95F6A2C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D918EC0C"/>
    <w:lvl w:ilvl="0" w:tplc="32462E88">
      <w:start w:val="1"/>
      <w:numFmt w:val="bullet"/>
      <w:lvlText w:val=""/>
      <w:lvlJc w:val="left"/>
      <w:pPr>
        <w:ind w:left="720" w:hanging="360"/>
      </w:pPr>
      <w:rPr>
        <w:rFonts w:ascii="Symbol" w:hAnsi="Symbol" w:hint="default"/>
      </w:rPr>
    </w:lvl>
    <w:lvl w:ilvl="1" w:tplc="7E54D748">
      <w:start w:val="1"/>
      <w:numFmt w:val="bullet"/>
      <w:lvlText w:val="o"/>
      <w:lvlJc w:val="left"/>
      <w:pPr>
        <w:ind w:left="1440" w:hanging="360"/>
      </w:pPr>
      <w:rPr>
        <w:rFonts w:ascii="Courier New" w:hAnsi="Courier New" w:hint="default"/>
      </w:rPr>
    </w:lvl>
    <w:lvl w:ilvl="2" w:tplc="8A60E842">
      <w:start w:val="1"/>
      <w:numFmt w:val="bullet"/>
      <w:lvlText w:val=""/>
      <w:lvlJc w:val="left"/>
      <w:pPr>
        <w:ind w:left="2160" w:hanging="360"/>
      </w:pPr>
      <w:rPr>
        <w:rFonts w:ascii="Wingdings" w:hAnsi="Wingdings" w:hint="default"/>
      </w:rPr>
    </w:lvl>
    <w:lvl w:ilvl="3" w:tplc="DFB81258">
      <w:start w:val="1"/>
      <w:numFmt w:val="bullet"/>
      <w:lvlText w:val=""/>
      <w:lvlJc w:val="left"/>
      <w:pPr>
        <w:ind w:left="2880" w:hanging="360"/>
      </w:pPr>
      <w:rPr>
        <w:rFonts w:ascii="Symbol" w:hAnsi="Symbol" w:hint="default"/>
      </w:rPr>
    </w:lvl>
    <w:lvl w:ilvl="4" w:tplc="FF424948">
      <w:start w:val="1"/>
      <w:numFmt w:val="bullet"/>
      <w:lvlText w:val="o"/>
      <w:lvlJc w:val="left"/>
      <w:pPr>
        <w:ind w:left="3600" w:hanging="360"/>
      </w:pPr>
      <w:rPr>
        <w:rFonts w:ascii="Courier New" w:hAnsi="Courier New" w:hint="default"/>
      </w:rPr>
    </w:lvl>
    <w:lvl w:ilvl="5" w:tplc="DB7A8728">
      <w:start w:val="1"/>
      <w:numFmt w:val="bullet"/>
      <w:lvlText w:val=""/>
      <w:lvlJc w:val="left"/>
      <w:pPr>
        <w:ind w:left="4320" w:hanging="360"/>
      </w:pPr>
      <w:rPr>
        <w:rFonts w:ascii="Wingdings" w:hAnsi="Wingdings" w:hint="default"/>
      </w:rPr>
    </w:lvl>
    <w:lvl w:ilvl="6" w:tplc="A298281E">
      <w:start w:val="1"/>
      <w:numFmt w:val="bullet"/>
      <w:lvlText w:val=""/>
      <w:lvlJc w:val="left"/>
      <w:pPr>
        <w:ind w:left="5040" w:hanging="360"/>
      </w:pPr>
      <w:rPr>
        <w:rFonts w:ascii="Symbol" w:hAnsi="Symbol" w:hint="default"/>
      </w:rPr>
    </w:lvl>
    <w:lvl w:ilvl="7" w:tplc="6BFE6D44">
      <w:start w:val="1"/>
      <w:numFmt w:val="bullet"/>
      <w:lvlText w:val="o"/>
      <w:lvlJc w:val="left"/>
      <w:pPr>
        <w:ind w:left="5760" w:hanging="360"/>
      </w:pPr>
      <w:rPr>
        <w:rFonts w:ascii="Courier New" w:hAnsi="Courier New" w:hint="default"/>
      </w:rPr>
    </w:lvl>
    <w:lvl w:ilvl="8" w:tplc="439AE28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D41CB2FE"/>
    <w:lvl w:ilvl="0" w:tplc="528EA354">
      <w:start w:val="1"/>
      <w:numFmt w:val="bullet"/>
      <w:lvlText w:val=""/>
      <w:lvlJc w:val="left"/>
      <w:pPr>
        <w:ind w:left="720" w:hanging="360"/>
      </w:pPr>
      <w:rPr>
        <w:rFonts w:ascii="Symbol" w:hAnsi="Symbol" w:hint="default"/>
      </w:rPr>
    </w:lvl>
    <w:lvl w:ilvl="1" w:tplc="577A6A12">
      <w:start w:val="1"/>
      <w:numFmt w:val="bullet"/>
      <w:lvlText w:val="o"/>
      <w:lvlJc w:val="left"/>
      <w:pPr>
        <w:ind w:left="1440" w:hanging="360"/>
      </w:pPr>
      <w:rPr>
        <w:rFonts w:ascii="Courier New" w:hAnsi="Courier New" w:hint="default"/>
      </w:rPr>
    </w:lvl>
    <w:lvl w:ilvl="2" w:tplc="AB123E66">
      <w:start w:val="1"/>
      <w:numFmt w:val="bullet"/>
      <w:lvlText w:val=""/>
      <w:lvlJc w:val="left"/>
      <w:pPr>
        <w:ind w:left="2160" w:hanging="360"/>
      </w:pPr>
      <w:rPr>
        <w:rFonts w:ascii="Wingdings" w:hAnsi="Wingdings" w:hint="default"/>
      </w:rPr>
    </w:lvl>
    <w:lvl w:ilvl="3" w:tplc="3C98F876">
      <w:start w:val="1"/>
      <w:numFmt w:val="bullet"/>
      <w:lvlText w:val=""/>
      <w:lvlJc w:val="left"/>
      <w:pPr>
        <w:ind w:left="2880" w:hanging="360"/>
      </w:pPr>
      <w:rPr>
        <w:rFonts w:ascii="Symbol" w:hAnsi="Symbol" w:hint="default"/>
      </w:rPr>
    </w:lvl>
    <w:lvl w:ilvl="4" w:tplc="5DFAD7B8">
      <w:start w:val="1"/>
      <w:numFmt w:val="bullet"/>
      <w:lvlText w:val="o"/>
      <w:lvlJc w:val="left"/>
      <w:pPr>
        <w:ind w:left="3600" w:hanging="360"/>
      </w:pPr>
      <w:rPr>
        <w:rFonts w:ascii="Courier New" w:hAnsi="Courier New" w:hint="default"/>
      </w:rPr>
    </w:lvl>
    <w:lvl w:ilvl="5" w:tplc="25802C32">
      <w:start w:val="1"/>
      <w:numFmt w:val="bullet"/>
      <w:lvlText w:val=""/>
      <w:lvlJc w:val="left"/>
      <w:pPr>
        <w:ind w:left="4320" w:hanging="360"/>
      </w:pPr>
      <w:rPr>
        <w:rFonts w:ascii="Wingdings" w:hAnsi="Wingdings" w:hint="default"/>
      </w:rPr>
    </w:lvl>
    <w:lvl w:ilvl="6" w:tplc="D3D658C0">
      <w:start w:val="1"/>
      <w:numFmt w:val="bullet"/>
      <w:lvlText w:val=""/>
      <w:lvlJc w:val="left"/>
      <w:pPr>
        <w:ind w:left="5040" w:hanging="360"/>
      </w:pPr>
      <w:rPr>
        <w:rFonts w:ascii="Symbol" w:hAnsi="Symbol" w:hint="default"/>
      </w:rPr>
    </w:lvl>
    <w:lvl w:ilvl="7" w:tplc="38CC5764">
      <w:start w:val="1"/>
      <w:numFmt w:val="bullet"/>
      <w:lvlText w:val="o"/>
      <w:lvlJc w:val="left"/>
      <w:pPr>
        <w:ind w:left="5760" w:hanging="360"/>
      </w:pPr>
      <w:rPr>
        <w:rFonts w:ascii="Courier New" w:hAnsi="Courier New" w:hint="default"/>
      </w:rPr>
    </w:lvl>
    <w:lvl w:ilvl="8" w:tplc="3410ADE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12AA7470"/>
    <w:lvl w:ilvl="0" w:tplc="62CA64E6">
      <w:start w:val="1"/>
      <w:numFmt w:val="bullet"/>
      <w:lvlText w:val=""/>
      <w:lvlJc w:val="left"/>
      <w:pPr>
        <w:ind w:left="720" w:hanging="360"/>
      </w:pPr>
      <w:rPr>
        <w:rFonts w:ascii="Symbol" w:hAnsi="Symbol" w:hint="default"/>
      </w:rPr>
    </w:lvl>
    <w:lvl w:ilvl="1" w:tplc="4C48B48C">
      <w:start w:val="1"/>
      <w:numFmt w:val="bullet"/>
      <w:lvlText w:val="o"/>
      <w:lvlJc w:val="left"/>
      <w:pPr>
        <w:ind w:left="1440" w:hanging="360"/>
      </w:pPr>
      <w:rPr>
        <w:rFonts w:ascii="Courier New" w:hAnsi="Courier New" w:hint="default"/>
      </w:rPr>
    </w:lvl>
    <w:lvl w:ilvl="2" w:tplc="1068C940">
      <w:start w:val="1"/>
      <w:numFmt w:val="bullet"/>
      <w:lvlText w:val=""/>
      <w:lvlJc w:val="left"/>
      <w:pPr>
        <w:ind w:left="2160" w:hanging="360"/>
      </w:pPr>
      <w:rPr>
        <w:rFonts w:ascii="Wingdings" w:hAnsi="Wingdings" w:hint="default"/>
      </w:rPr>
    </w:lvl>
    <w:lvl w:ilvl="3" w:tplc="29D4FFF6">
      <w:start w:val="1"/>
      <w:numFmt w:val="bullet"/>
      <w:lvlText w:val=""/>
      <w:lvlJc w:val="left"/>
      <w:pPr>
        <w:ind w:left="2880" w:hanging="360"/>
      </w:pPr>
      <w:rPr>
        <w:rFonts w:ascii="Symbol" w:hAnsi="Symbol" w:hint="default"/>
      </w:rPr>
    </w:lvl>
    <w:lvl w:ilvl="4" w:tplc="371CAB28">
      <w:start w:val="1"/>
      <w:numFmt w:val="bullet"/>
      <w:lvlText w:val="o"/>
      <w:lvlJc w:val="left"/>
      <w:pPr>
        <w:ind w:left="3600" w:hanging="360"/>
      </w:pPr>
      <w:rPr>
        <w:rFonts w:ascii="Courier New" w:hAnsi="Courier New" w:hint="default"/>
      </w:rPr>
    </w:lvl>
    <w:lvl w:ilvl="5" w:tplc="B412C45A">
      <w:start w:val="1"/>
      <w:numFmt w:val="bullet"/>
      <w:lvlText w:val=""/>
      <w:lvlJc w:val="left"/>
      <w:pPr>
        <w:ind w:left="4320" w:hanging="360"/>
      </w:pPr>
      <w:rPr>
        <w:rFonts w:ascii="Wingdings" w:hAnsi="Wingdings" w:hint="default"/>
      </w:rPr>
    </w:lvl>
    <w:lvl w:ilvl="6" w:tplc="28ACA776">
      <w:start w:val="1"/>
      <w:numFmt w:val="bullet"/>
      <w:lvlText w:val=""/>
      <w:lvlJc w:val="left"/>
      <w:pPr>
        <w:ind w:left="5040" w:hanging="360"/>
      </w:pPr>
      <w:rPr>
        <w:rFonts w:ascii="Symbol" w:hAnsi="Symbol" w:hint="default"/>
      </w:rPr>
    </w:lvl>
    <w:lvl w:ilvl="7" w:tplc="0B8A08D2">
      <w:start w:val="1"/>
      <w:numFmt w:val="bullet"/>
      <w:lvlText w:val="o"/>
      <w:lvlJc w:val="left"/>
      <w:pPr>
        <w:ind w:left="5760" w:hanging="360"/>
      </w:pPr>
      <w:rPr>
        <w:rFonts w:ascii="Courier New" w:hAnsi="Courier New" w:hint="default"/>
      </w:rPr>
    </w:lvl>
    <w:lvl w:ilvl="8" w:tplc="D5A011D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43ACA9B8"/>
    <w:lvl w:ilvl="0" w:tplc="8A4C205C">
      <w:start w:val="1"/>
      <w:numFmt w:val="bullet"/>
      <w:lvlText w:val=""/>
      <w:lvlJc w:val="left"/>
      <w:pPr>
        <w:ind w:left="720" w:hanging="360"/>
      </w:pPr>
      <w:rPr>
        <w:rFonts w:ascii="Symbol" w:hAnsi="Symbol" w:hint="default"/>
      </w:rPr>
    </w:lvl>
    <w:lvl w:ilvl="1" w:tplc="BAFC081C">
      <w:start w:val="1"/>
      <w:numFmt w:val="bullet"/>
      <w:lvlText w:val="o"/>
      <w:lvlJc w:val="left"/>
      <w:pPr>
        <w:ind w:left="1440" w:hanging="360"/>
      </w:pPr>
      <w:rPr>
        <w:rFonts w:ascii="Courier New" w:hAnsi="Courier New" w:hint="default"/>
      </w:rPr>
    </w:lvl>
    <w:lvl w:ilvl="2" w:tplc="852A1C84">
      <w:start w:val="1"/>
      <w:numFmt w:val="bullet"/>
      <w:lvlText w:val=""/>
      <w:lvlJc w:val="left"/>
      <w:pPr>
        <w:ind w:left="2160" w:hanging="360"/>
      </w:pPr>
      <w:rPr>
        <w:rFonts w:ascii="Wingdings" w:hAnsi="Wingdings" w:hint="default"/>
      </w:rPr>
    </w:lvl>
    <w:lvl w:ilvl="3" w:tplc="4D10D27E">
      <w:start w:val="1"/>
      <w:numFmt w:val="bullet"/>
      <w:lvlText w:val=""/>
      <w:lvlJc w:val="left"/>
      <w:pPr>
        <w:ind w:left="2880" w:hanging="360"/>
      </w:pPr>
      <w:rPr>
        <w:rFonts w:ascii="Symbol" w:hAnsi="Symbol" w:hint="default"/>
      </w:rPr>
    </w:lvl>
    <w:lvl w:ilvl="4" w:tplc="C50843D2">
      <w:start w:val="1"/>
      <w:numFmt w:val="bullet"/>
      <w:lvlText w:val="o"/>
      <w:lvlJc w:val="left"/>
      <w:pPr>
        <w:ind w:left="3600" w:hanging="360"/>
      </w:pPr>
      <w:rPr>
        <w:rFonts w:ascii="Courier New" w:hAnsi="Courier New" w:hint="default"/>
      </w:rPr>
    </w:lvl>
    <w:lvl w:ilvl="5" w:tplc="34F05B46">
      <w:start w:val="1"/>
      <w:numFmt w:val="bullet"/>
      <w:lvlText w:val=""/>
      <w:lvlJc w:val="left"/>
      <w:pPr>
        <w:ind w:left="4320" w:hanging="360"/>
      </w:pPr>
      <w:rPr>
        <w:rFonts w:ascii="Wingdings" w:hAnsi="Wingdings" w:hint="default"/>
      </w:rPr>
    </w:lvl>
    <w:lvl w:ilvl="6" w:tplc="2592B4F4">
      <w:start w:val="1"/>
      <w:numFmt w:val="bullet"/>
      <w:lvlText w:val=""/>
      <w:lvlJc w:val="left"/>
      <w:pPr>
        <w:ind w:left="5040" w:hanging="360"/>
      </w:pPr>
      <w:rPr>
        <w:rFonts w:ascii="Symbol" w:hAnsi="Symbol" w:hint="default"/>
      </w:rPr>
    </w:lvl>
    <w:lvl w:ilvl="7" w:tplc="AA3EBA56">
      <w:start w:val="1"/>
      <w:numFmt w:val="bullet"/>
      <w:lvlText w:val="o"/>
      <w:lvlJc w:val="left"/>
      <w:pPr>
        <w:ind w:left="5760" w:hanging="360"/>
      </w:pPr>
      <w:rPr>
        <w:rFonts w:ascii="Courier New" w:hAnsi="Courier New" w:hint="default"/>
      </w:rPr>
    </w:lvl>
    <w:lvl w:ilvl="8" w:tplc="F266D966">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0023467">
    <w:abstractNumId w:val="11"/>
  </w:num>
  <w:num w:numId="2" w16cid:durableId="819730796">
    <w:abstractNumId w:val="12"/>
  </w:num>
  <w:num w:numId="3" w16cid:durableId="59184145">
    <w:abstractNumId w:val="1"/>
  </w:num>
  <w:num w:numId="4" w16cid:durableId="537858655">
    <w:abstractNumId w:val="3"/>
  </w:num>
  <w:num w:numId="5" w16cid:durableId="1602568057">
    <w:abstractNumId w:val="15"/>
  </w:num>
  <w:num w:numId="6" w16cid:durableId="1401833545">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17F2"/>
    <w:rsid w:val="0001715D"/>
    <w:rsid w:val="00022C42"/>
    <w:rsid w:val="00027B15"/>
    <w:rsid w:val="00030A05"/>
    <w:rsid w:val="00070818"/>
    <w:rsid w:val="0008238F"/>
    <w:rsid w:val="00082EC6"/>
    <w:rsid w:val="00085388"/>
    <w:rsid w:val="000D41DC"/>
    <w:rsid w:val="0011161E"/>
    <w:rsid w:val="00125D37"/>
    <w:rsid w:val="00127C1A"/>
    <w:rsid w:val="00136808"/>
    <w:rsid w:val="00150D81"/>
    <w:rsid w:val="00166CEB"/>
    <w:rsid w:val="00183CB9"/>
    <w:rsid w:val="00184A9A"/>
    <w:rsid w:val="001947DF"/>
    <w:rsid w:val="001B22BB"/>
    <w:rsid w:val="001B619C"/>
    <w:rsid w:val="001D1D3C"/>
    <w:rsid w:val="002205D4"/>
    <w:rsid w:val="00221764"/>
    <w:rsid w:val="00222C3A"/>
    <w:rsid w:val="00226D31"/>
    <w:rsid w:val="002331FA"/>
    <w:rsid w:val="00236401"/>
    <w:rsid w:val="002370CE"/>
    <w:rsid w:val="00242974"/>
    <w:rsid w:val="002976D4"/>
    <w:rsid w:val="002A1EE9"/>
    <w:rsid w:val="002A5577"/>
    <w:rsid w:val="002B4AA4"/>
    <w:rsid w:val="002E71BA"/>
    <w:rsid w:val="002E7DEE"/>
    <w:rsid w:val="002F5066"/>
    <w:rsid w:val="003003FD"/>
    <w:rsid w:val="00306359"/>
    <w:rsid w:val="00310245"/>
    <w:rsid w:val="00316C95"/>
    <w:rsid w:val="00320D81"/>
    <w:rsid w:val="003458DB"/>
    <w:rsid w:val="003523D3"/>
    <w:rsid w:val="00364C35"/>
    <w:rsid w:val="00372E2C"/>
    <w:rsid w:val="00387644"/>
    <w:rsid w:val="00390F95"/>
    <w:rsid w:val="00396F60"/>
    <w:rsid w:val="003A2043"/>
    <w:rsid w:val="003A51D6"/>
    <w:rsid w:val="003B125E"/>
    <w:rsid w:val="003B2A5E"/>
    <w:rsid w:val="003C7AE0"/>
    <w:rsid w:val="003C7C97"/>
    <w:rsid w:val="003F4E44"/>
    <w:rsid w:val="00404AF5"/>
    <w:rsid w:val="00406B8D"/>
    <w:rsid w:val="00410068"/>
    <w:rsid w:val="0041618E"/>
    <w:rsid w:val="0042295C"/>
    <w:rsid w:val="00426EEC"/>
    <w:rsid w:val="00435D61"/>
    <w:rsid w:val="004466C3"/>
    <w:rsid w:val="004552CE"/>
    <w:rsid w:val="00481FF7"/>
    <w:rsid w:val="004C254F"/>
    <w:rsid w:val="00500295"/>
    <w:rsid w:val="00501AAF"/>
    <w:rsid w:val="0052540B"/>
    <w:rsid w:val="00527AFA"/>
    <w:rsid w:val="005419DA"/>
    <w:rsid w:val="00544A01"/>
    <w:rsid w:val="005678AC"/>
    <w:rsid w:val="005679BD"/>
    <w:rsid w:val="005709B1"/>
    <w:rsid w:val="00572B3B"/>
    <w:rsid w:val="005836D2"/>
    <w:rsid w:val="00587C58"/>
    <w:rsid w:val="005A274A"/>
    <w:rsid w:val="005A7FD4"/>
    <w:rsid w:val="005B1A84"/>
    <w:rsid w:val="005C55B0"/>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05351"/>
    <w:rsid w:val="007138EF"/>
    <w:rsid w:val="00717CB0"/>
    <w:rsid w:val="007632A9"/>
    <w:rsid w:val="00765207"/>
    <w:rsid w:val="00774092"/>
    <w:rsid w:val="00782830"/>
    <w:rsid w:val="0078664A"/>
    <w:rsid w:val="007B0F6D"/>
    <w:rsid w:val="007C34E7"/>
    <w:rsid w:val="007C62C3"/>
    <w:rsid w:val="007D25AA"/>
    <w:rsid w:val="007F0873"/>
    <w:rsid w:val="00805726"/>
    <w:rsid w:val="00815117"/>
    <w:rsid w:val="00824CB1"/>
    <w:rsid w:val="008520F8"/>
    <w:rsid w:val="00855F34"/>
    <w:rsid w:val="008826B6"/>
    <w:rsid w:val="00885B1F"/>
    <w:rsid w:val="008B0B22"/>
    <w:rsid w:val="008C58B0"/>
    <w:rsid w:val="008C591B"/>
    <w:rsid w:val="008C6182"/>
    <w:rsid w:val="0090779E"/>
    <w:rsid w:val="00926458"/>
    <w:rsid w:val="00933720"/>
    <w:rsid w:val="009973D2"/>
    <w:rsid w:val="009C6EE7"/>
    <w:rsid w:val="009C7E52"/>
    <w:rsid w:val="009E4934"/>
    <w:rsid w:val="009F40A7"/>
    <w:rsid w:val="009F5CE6"/>
    <w:rsid w:val="00A035CD"/>
    <w:rsid w:val="00A40663"/>
    <w:rsid w:val="00A50E80"/>
    <w:rsid w:val="00A513B0"/>
    <w:rsid w:val="00A63F7F"/>
    <w:rsid w:val="00A667CE"/>
    <w:rsid w:val="00A7494C"/>
    <w:rsid w:val="00A75042"/>
    <w:rsid w:val="00A774BC"/>
    <w:rsid w:val="00A82678"/>
    <w:rsid w:val="00A946CB"/>
    <w:rsid w:val="00AA77C8"/>
    <w:rsid w:val="00AC19E0"/>
    <w:rsid w:val="00AC23E0"/>
    <w:rsid w:val="00AC7BE2"/>
    <w:rsid w:val="00AE35BF"/>
    <w:rsid w:val="00B051F0"/>
    <w:rsid w:val="00B1067E"/>
    <w:rsid w:val="00B51649"/>
    <w:rsid w:val="00B81790"/>
    <w:rsid w:val="00B81BBC"/>
    <w:rsid w:val="00BD03D5"/>
    <w:rsid w:val="00BD2301"/>
    <w:rsid w:val="00BF4F7E"/>
    <w:rsid w:val="00C11D19"/>
    <w:rsid w:val="00C3215E"/>
    <w:rsid w:val="00C40A38"/>
    <w:rsid w:val="00C45272"/>
    <w:rsid w:val="00C476DC"/>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87254"/>
    <w:rsid w:val="00D95CAF"/>
    <w:rsid w:val="00DB60B6"/>
    <w:rsid w:val="00DC1CC6"/>
    <w:rsid w:val="00DD5135"/>
    <w:rsid w:val="00E067A8"/>
    <w:rsid w:val="00E13924"/>
    <w:rsid w:val="00E15FD5"/>
    <w:rsid w:val="00E1725A"/>
    <w:rsid w:val="00E33758"/>
    <w:rsid w:val="00E434BD"/>
    <w:rsid w:val="00E53E5E"/>
    <w:rsid w:val="00E64325"/>
    <w:rsid w:val="00E65570"/>
    <w:rsid w:val="00E673C5"/>
    <w:rsid w:val="00E67967"/>
    <w:rsid w:val="00E82723"/>
    <w:rsid w:val="00EA29A5"/>
    <w:rsid w:val="00EA78D1"/>
    <w:rsid w:val="00EC107C"/>
    <w:rsid w:val="00EC7EBE"/>
    <w:rsid w:val="00EC7FD2"/>
    <w:rsid w:val="00ED31D7"/>
    <w:rsid w:val="00ED5964"/>
    <w:rsid w:val="00F1720B"/>
    <w:rsid w:val="00F36ADC"/>
    <w:rsid w:val="00F605C6"/>
    <w:rsid w:val="00F60B79"/>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8E47AC"/>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1600</Words>
  <Characters>9124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Kadeem Osei-wusu</cp:lastModifiedBy>
  <cp:revision>2</cp:revision>
  <dcterms:created xsi:type="dcterms:W3CDTF">2026-08-18T12:11:00Z</dcterms:created>
  <dcterms:modified xsi:type="dcterms:W3CDTF">2026-08-18T12:11:00Z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