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778" w:rsidRPr="00900121" w:rsidRDefault="00932778" w:rsidP="00932778">
      <w:pPr>
        <w:rPr>
          <w:b/>
        </w:rPr>
      </w:pPr>
      <w:r w:rsidRPr="00900121">
        <w:rPr>
          <w:b/>
        </w:rPr>
        <w:t>Mark Higgins</w:t>
      </w:r>
    </w:p>
    <w:p w:rsidR="00932778" w:rsidRPr="00900121" w:rsidRDefault="00932778" w:rsidP="00932778">
      <w:pPr>
        <w:rPr>
          <w:b/>
        </w:rPr>
      </w:pPr>
      <w:r w:rsidRPr="00900121">
        <w:rPr>
          <w:b/>
        </w:rPr>
        <w:t>PC 2253 Gwent Police - 407300</w:t>
      </w:r>
    </w:p>
    <w:p w:rsidR="00932778" w:rsidRPr="00900121" w:rsidRDefault="00932778" w:rsidP="00932778">
      <w:pPr>
        <w:rPr>
          <w:b/>
        </w:rPr>
      </w:pPr>
      <w:r w:rsidRPr="00900121">
        <w:rPr>
          <w:b/>
        </w:rPr>
        <w:t>Student Number: 1922301</w:t>
      </w:r>
    </w:p>
    <w:p w:rsidR="00932778" w:rsidRPr="00900121" w:rsidRDefault="00932778" w:rsidP="00932778">
      <w:pPr>
        <w:rPr>
          <w:b/>
        </w:rPr>
      </w:pPr>
      <w:r w:rsidRPr="00900121">
        <w:rPr>
          <w:b/>
        </w:rPr>
        <w:t>Exam 2 – 16/11/2020</w:t>
      </w:r>
    </w:p>
    <w:p w:rsidR="00932778" w:rsidRDefault="00932778" w:rsidP="00932778"/>
    <w:p w:rsidR="00932778" w:rsidRPr="00EE5840" w:rsidRDefault="00932778" w:rsidP="00932778">
      <w:pPr>
        <w:rPr>
          <w:rFonts w:cstheme="minorHAnsi"/>
        </w:rPr>
      </w:pPr>
      <w:r>
        <w:t xml:space="preserve">Q1. </w:t>
      </w:r>
      <w:r w:rsidR="004C3C79">
        <w:t>Section 16</w:t>
      </w:r>
      <w:r w:rsidR="00171C29">
        <w:t>3</w:t>
      </w:r>
      <w:r w:rsidR="004C3C79">
        <w:t xml:space="preserve"> Road Traffic Act 1988 - </w:t>
      </w:r>
      <w:r w:rsidRPr="00EE5840">
        <w:rPr>
          <w:rFonts w:cstheme="minorHAnsi"/>
        </w:rPr>
        <w:t>Any person driving a Mechanically Propelled Vehicle</w:t>
      </w:r>
      <w:r>
        <w:rPr>
          <w:rFonts w:cstheme="minorHAnsi"/>
        </w:rPr>
        <w:t xml:space="preserve"> (MPV)</w:t>
      </w:r>
      <w:r w:rsidRPr="00EE5840">
        <w:rPr>
          <w:rFonts w:cstheme="minorHAnsi"/>
        </w:rPr>
        <w:t xml:space="preserve">, or riding a pedal cycle on a road, shall stop on requirement to do so by a constable in uniform. If a person fails to </w:t>
      </w:r>
      <w:proofErr w:type="gramStart"/>
      <w:r w:rsidRPr="00EE5840">
        <w:rPr>
          <w:rFonts w:cstheme="minorHAnsi"/>
        </w:rPr>
        <w:t>comply</w:t>
      </w:r>
      <w:proofErr w:type="gramEnd"/>
      <w:r w:rsidRPr="00EE5840">
        <w:rPr>
          <w:rFonts w:cstheme="minorHAnsi"/>
        </w:rPr>
        <w:t xml:space="preserve"> </w:t>
      </w:r>
      <w:r w:rsidR="00AD10A5">
        <w:rPr>
          <w:rFonts w:cstheme="minorHAnsi"/>
        </w:rPr>
        <w:t>they are</w:t>
      </w:r>
      <w:r w:rsidRPr="00EE5840">
        <w:rPr>
          <w:rFonts w:cstheme="minorHAnsi"/>
        </w:rPr>
        <w:t xml:space="preserve"> guilty of an offence. </w:t>
      </w:r>
    </w:p>
    <w:p w:rsidR="00932778" w:rsidRDefault="00932778" w:rsidP="00932778"/>
    <w:p w:rsidR="00932778" w:rsidRDefault="00932778" w:rsidP="00932778">
      <w:r>
        <w:t>Q2 Section 6(4) of the Road Traffic Act 1988 deals with a person who has been driving and has committed a moving traffic offence, leading to the requirement of a preliminary breath test. The officer can suspect an offence has occurred if in uniform, but must believe the offence has occurred whilst not wearing a uniform.</w:t>
      </w:r>
    </w:p>
    <w:p w:rsidR="00932778" w:rsidRDefault="00932778" w:rsidP="00932778"/>
    <w:p w:rsidR="00932778" w:rsidRPr="00637071" w:rsidRDefault="00932778" w:rsidP="00932778">
      <w:pPr>
        <w:rPr>
          <w:rFonts w:cstheme="minorHAnsi"/>
        </w:rPr>
      </w:pPr>
      <w:r>
        <w:t xml:space="preserve">Q3. </w:t>
      </w:r>
      <w:r w:rsidRPr="00637071">
        <w:rPr>
          <w:rFonts w:cstheme="minorHAnsi"/>
        </w:rPr>
        <w:t>S</w:t>
      </w:r>
      <w:r w:rsidR="004C3C79">
        <w:rPr>
          <w:rFonts w:cstheme="minorHAnsi"/>
        </w:rPr>
        <w:t xml:space="preserve">ection </w:t>
      </w:r>
      <w:r w:rsidRPr="00637071">
        <w:rPr>
          <w:rFonts w:cstheme="minorHAnsi"/>
        </w:rPr>
        <w:t xml:space="preserve">3 </w:t>
      </w:r>
      <w:r w:rsidR="004C3C79">
        <w:rPr>
          <w:rFonts w:cstheme="minorHAnsi"/>
        </w:rPr>
        <w:t>Road Traffic Act</w:t>
      </w:r>
      <w:r w:rsidRPr="00637071">
        <w:rPr>
          <w:rFonts w:cstheme="minorHAnsi"/>
        </w:rPr>
        <w:t xml:space="preserve"> 1988 – If a person drives a mechanically propelled vehicle on a road or other public place without due care and attention or without reasonable consideration for other persons using the road or place </w:t>
      </w:r>
      <w:r w:rsidR="00495CC3">
        <w:rPr>
          <w:rFonts w:cstheme="minorHAnsi"/>
        </w:rPr>
        <w:t>they are</w:t>
      </w:r>
      <w:bookmarkStart w:id="0" w:name="_GoBack"/>
      <w:bookmarkEnd w:id="0"/>
      <w:r w:rsidRPr="00637071">
        <w:rPr>
          <w:rFonts w:cstheme="minorHAnsi"/>
        </w:rPr>
        <w:t xml:space="preserve"> guilty of an offence.</w:t>
      </w:r>
    </w:p>
    <w:p w:rsidR="00932778" w:rsidRDefault="00932778" w:rsidP="00932778"/>
    <w:p w:rsidR="00932778" w:rsidRDefault="00932778" w:rsidP="00932778">
      <w:r>
        <w:t>Q4.  The use of road policing powers helps to reduce the amount of unlawful drivers, thus making communities feel safer. This helps to build trust in the police force and the wider communities are more likely to be less tolerant of criminal activities – they would be more likely to report other crimes to us.</w:t>
      </w:r>
    </w:p>
    <w:p w:rsidR="00932778" w:rsidRDefault="00932778" w:rsidP="00932778"/>
    <w:p w:rsidR="00932778" w:rsidRDefault="00932778" w:rsidP="00932778">
      <w:r>
        <w:t>Q5. Section 165A of the Road Traffic Act</w:t>
      </w:r>
      <w:r w:rsidR="004C3C79">
        <w:t xml:space="preserve"> 1988</w:t>
      </w:r>
      <w:r w:rsidR="00687E74">
        <w:t xml:space="preserve"> -</w:t>
      </w:r>
      <w:r w:rsidRPr="00637071">
        <w:t xml:space="preserve"> If a constable in uniform has reasonable grounds to </w:t>
      </w:r>
      <w:r>
        <w:t>believe</w:t>
      </w:r>
      <w:r w:rsidRPr="00637071">
        <w:t xml:space="preserve"> a motor vehicle is or </w:t>
      </w:r>
      <w:proofErr w:type="gramStart"/>
      <w:r w:rsidRPr="00637071">
        <w:t>was be</w:t>
      </w:r>
      <w:r>
        <w:t>ing driven</w:t>
      </w:r>
      <w:proofErr w:type="gramEnd"/>
      <w:r>
        <w:t xml:space="preserve"> with no insurance or </w:t>
      </w:r>
      <w:r w:rsidRPr="00637071">
        <w:t xml:space="preserve">no driving licence, driving otherwise in accordance with a licence </w:t>
      </w:r>
      <w:r>
        <w:t>or</w:t>
      </w:r>
      <w:r w:rsidRPr="00637071">
        <w:t xml:space="preserve"> has failed to stop then the vehicle can be seized.</w:t>
      </w:r>
    </w:p>
    <w:p w:rsidR="00932778" w:rsidRPr="00637071" w:rsidRDefault="00932778" w:rsidP="00932778">
      <w:r>
        <w:t xml:space="preserve">If the constable cannot seize the vehicle at the time, they may seize it at any time within the next 24 hours and a seizure notice is to then </w:t>
      </w:r>
      <w:proofErr w:type="gramStart"/>
      <w:r>
        <w:t>be issued</w:t>
      </w:r>
      <w:proofErr w:type="gramEnd"/>
      <w:r>
        <w:t xml:space="preserve"> to the driver.</w:t>
      </w:r>
      <w:r w:rsidRPr="00637071">
        <w:t xml:space="preserve"> </w:t>
      </w:r>
    </w:p>
    <w:p w:rsidR="00932778" w:rsidRDefault="00932778" w:rsidP="00932778"/>
    <w:p w:rsidR="00932778" w:rsidRDefault="00932778" w:rsidP="00932778">
      <w:r>
        <w:t>Q6.</w:t>
      </w:r>
      <w:r w:rsidRPr="00637071">
        <w:t xml:space="preserve"> </w:t>
      </w:r>
      <w:proofErr w:type="gramStart"/>
      <w:r w:rsidR="004C3C79">
        <w:t xml:space="preserve">Section 170(1) Road Traffic Act 1988 - </w:t>
      </w:r>
      <w:r>
        <w:t>Owing to the presence of a mechanically propelled vehicle on a road or public place an accident occurs whereby personal injury is caused to a person other than the driver of that MPV, or damage is caused to a vehicle other than the MPV or any trailer drawn by it or any animal than one in or on that MPV or a trailer drawn by it or other property constructed on, fixed to, growing in or otherwise forming part of the land on which the road or other place in question is situated or land adjacent to such land.</w:t>
      </w:r>
      <w:proofErr w:type="gramEnd"/>
    </w:p>
    <w:p w:rsidR="00932778" w:rsidRDefault="00932778" w:rsidP="00932778"/>
    <w:p w:rsidR="00932778" w:rsidRDefault="00932778" w:rsidP="00932778">
      <w:r>
        <w:t>Q7. A Family Liaison Officer’s role is to help the family of the deceased person by providing comfort and support, and providing access to support charities to help with the grieving process.</w:t>
      </w:r>
    </w:p>
    <w:p w:rsidR="00932778" w:rsidRDefault="00932778" w:rsidP="00932778"/>
    <w:p w:rsidR="00932778" w:rsidRDefault="00932778" w:rsidP="00932778">
      <w:r>
        <w:lastRenderedPageBreak/>
        <w:t xml:space="preserve">Q8. The driver must report the incident in person </w:t>
      </w:r>
      <w:proofErr w:type="gramStart"/>
      <w:r>
        <w:t>to either</w:t>
      </w:r>
      <w:proofErr w:type="gramEnd"/>
      <w:r>
        <w:t xml:space="preserve"> a police officer or at a police station as soon as practicable, but within 24 hours. This does not apply to incidents where damage or injury only involves the driver/owner of the vehicle.</w:t>
      </w:r>
    </w:p>
    <w:p w:rsidR="00932778" w:rsidRDefault="00932778" w:rsidP="00932778"/>
    <w:p w:rsidR="00932778" w:rsidRDefault="00932778" w:rsidP="00932778">
      <w:r>
        <w:t xml:space="preserve">Q9. </w:t>
      </w:r>
      <w:proofErr w:type="gramStart"/>
      <w:r>
        <w:t>Section 6e Road Traffic Act 1988 – A constable may enter any premises using reasonable force, if necessary, in order to require a person reasonably believed to have been driving, attempting to drive, or in charge of a vehicle at the time of an accident to provide a preliminary test, or arrest a person who has provided a positive breath test, or arrest a person who  failed to cooperate with a requirement to take the preliminary tests, and who the constable reasonably expects that alcohol or a drug is in their body or is under the influence of a drug.</w:t>
      </w:r>
      <w:proofErr w:type="gramEnd"/>
    </w:p>
    <w:p w:rsidR="00932778" w:rsidRDefault="00932778" w:rsidP="00932778">
      <w:r>
        <w:t xml:space="preserve">The entry </w:t>
      </w:r>
      <w:proofErr w:type="gramStart"/>
      <w:r>
        <w:t>into a premises</w:t>
      </w:r>
      <w:proofErr w:type="gramEnd"/>
      <w:r>
        <w:t xml:space="preserve"> must be following a road traffic accident involving personal injury – if there is no damage then there is no power to enter.</w:t>
      </w:r>
    </w:p>
    <w:p w:rsidR="00932778" w:rsidRDefault="00932778" w:rsidP="00932778"/>
    <w:p w:rsidR="00932778" w:rsidRDefault="00932778" w:rsidP="00932778">
      <w:r>
        <w:t xml:space="preserve">Q10. </w:t>
      </w:r>
      <w:r w:rsidRPr="005B18A7">
        <w:t>Section 1 Road Traffic Act 1988</w:t>
      </w:r>
      <w:r>
        <w:t xml:space="preserve"> – A person who causes the death of another person by driving a mechanically propelled vehicle dangerously on a road or other public place is guilty of an offence.</w:t>
      </w:r>
    </w:p>
    <w:p w:rsidR="00932778" w:rsidRDefault="00932778" w:rsidP="00932778"/>
    <w:p w:rsidR="00932778" w:rsidRDefault="00932778" w:rsidP="00932778">
      <w:r>
        <w:t xml:space="preserve">Q11. </w:t>
      </w:r>
    </w:p>
    <w:p w:rsidR="00932778" w:rsidRDefault="00932778" w:rsidP="00932778">
      <w:pPr>
        <w:pStyle w:val="ListParagraph"/>
        <w:numPr>
          <w:ilvl w:val="0"/>
          <w:numId w:val="1"/>
        </w:numPr>
      </w:pPr>
      <w:r>
        <w:t xml:space="preserve">35 </w:t>
      </w:r>
      <w:proofErr w:type="spellStart"/>
      <w:r>
        <w:t>microgrammes</w:t>
      </w:r>
      <w:proofErr w:type="spellEnd"/>
      <w:r>
        <w:t xml:space="preserve"> of alcohol in 100 millilitres of breath</w:t>
      </w:r>
    </w:p>
    <w:p w:rsidR="00932778" w:rsidRDefault="00932778" w:rsidP="00932778">
      <w:pPr>
        <w:pStyle w:val="ListParagraph"/>
        <w:numPr>
          <w:ilvl w:val="0"/>
          <w:numId w:val="1"/>
        </w:numPr>
      </w:pPr>
      <w:r>
        <w:t xml:space="preserve">80 </w:t>
      </w:r>
      <w:proofErr w:type="spellStart"/>
      <w:r>
        <w:t>milligrammes</w:t>
      </w:r>
      <w:proofErr w:type="spellEnd"/>
      <w:r>
        <w:t xml:space="preserve"> of alcohol in 100 millilitres of blood</w:t>
      </w:r>
    </w:p>
    <w:p w:rsidR="00932778" w:rsidRDefault="00932778" w:rsidP="00932778">
      <w:pPr>
        <w:pStyle w:val="ListParagraph"/>
        <w:numPr>
          <w:ilvl w:val="0"/>
          <w:numId w:val="1"/>
        </w:numPr>
      </w:pPr>
      <w:proofErr w:type="gramStart"/>
      <w:r>
        <w:t>107</w:t>
      </w:r>
      <w:proofErr w:type="gramEnd"/>
      <w:r>
        <w:t xml:space="preserve"> </w:t>
      </w:r>
      <w:proofErr w:type="spellStart"/>
      <w:r>
        <w:t>milligrammes</w:t>
      </w:r>
      <w:proofErr w:type="spellEnd"/>
      <w:r>
        <w:t xml:space="preserve"> of alcohol in 100 millilitres of urine. </w:t>
      </w:r>
    </w:p>
    <w:p w:rsidR="00932778" w:rsidRDefault="00932778" w:rsidP="00932778"/>
    <w:p w:rsidR="00932778" w:rsidRDefault="00932778" w:rsidP="00932778">
      <w:r>
        <w:t>Q12. Relevant other people who could/should be present during a suspect</w:t>
      </w:r>
      <w:r w:rsidR="00687E74">
        <w:t xml:space="preserve"> interview</w:t>
      </w:r>
      <w:r>
        <w:t xml:space="preserve"> are:</w:t>
      </w:r>
    </w:p>
    <w:p w:rsidR="00932778" w:rsidRDefault="00687E74" w:rsidP="00932778">
      <w:pPr>
        <w:pStyle w:val="ListParagraph"/>
        <w:numPr>
          <w:ilvl w:val="0"/>
          <w:numId w:val="4"/>
        </w:numPr>
      </w:pPr>
      <w:r>
        <w:t>The s</w:t>
      </w:r>
      <w:r w:rsidR="00932778">
        <w:t xml:space="preserve">uspect’s legal representative – these will ensure that the interview </w:t>
      </w:r>
      <w:proofErr w:type="gramStart"/>
      <w:r w:rsidR="00932778">
        <w:t>is conducted</w:t>
      </w:r>
      <w:proofErr w:type="gramEnd"/>
      <w:r w:rsidR="00932778">
        <w:t xml:space="preserve"> legally and fairly</w:t>
      </w:r>
      <w:r>
        <w:t>, in adherence to PACE 1984, and to provide legal advice to their client.</w:t>
      </w:r>
    </w:p>
    <w:p w:rsidR="00932778" w:rsidRDefault="00932778" w:rsidP="00932778">
      <w:pPr>
        <w:pStyle w:val="ListParagraph"/>
        <w:numPr>
          <w:ilvl w:val="0"/>
          <w:numId w:val="4"/>
        </w:numPr>
      </w:pPr>
      <w:r>
        <w:t xml:space="preserve">If the suspect is a vulnerable person or a child, than an appropriate person </w:t>
      </w:r>
      <w:r w:rsidR="00687E74">
        <w:t xml:space="preserve">over the age of 18 </w:t>
      </w:r>
      <w:r>
        <w:t xml:space="preserve">(parent/guardian/carer etc.) should also </w:t>
      </w:r>
      <w:proofErr w:type="gramStart"/>
      <w:r>
        <w:t>be in attendance</w:t>
      </w:r>
      <w:proofErr w:type="gramEnd"/>
      <w:r>
        <w:t xml:space="preserve"> to ensure the welfare and wellbeing of the suspect.</w:t>
      </w:r>
    </w:p>
    <w:p w:rsidR="00932778" w:rsidRDefault="00932778" w:rsidP="00932778">
      <w:pPr>
        <w:pStyle w:val="ListParagraph"/>
        <w:numPr>
          <w:ilvl w:val="0"/>
          <w:numId w:val="4"/>
        </w:numPr>
      </w:pPr>
      <w:r>
        <w:t>If required, an interpreter can be present to aid with language barriers.</w:t>
      </w:r>
    </w:p>
    <w:p w:rsidR="00932778" w:rsidRDefault="00932778" w:rsidP="00932778"/>
    <w:p w:rsidR="00932778" w:rsidRDefault="004C3C79" w:rsidP="00932778">
      <w:r>
        <w:t>Q13. The National Police I</w:t>
      </w:r>
      <w:r w:rsidR="00932778">
        <w:t>nt</w:t>
      </w:r>
      <w:r>
        <w:t>erviewing M</w:t>
      </w:r>
      <w:r w:rsidR="00932778">
        <w:t>odel is as follows</w:t>
      </w:r>
    </w:p>
    <w:p w:rsidR="00932778" w:rsidRDefault="00932778" w:rsidP="00932778">
      <w:pPr>
        <w:pStyle w:val="ListParagraph"/>
        <w:numPr>
          <w:ilvl w:val="0"/>
          <w:numId w:val="3"/>
        </w:numPr>
      </w:pPr>
      <w:r>
        <w:t>Planning and preparation</w:t>
      </w:r>
    </w:p>
    <w:p w:rsidR="00932778" w:rsidRDefault="00932778" w:rsidP="00932778">
      <w:pPr>
        <w:pStyle w:val="ListParagraph"/>
        <w:numPr>
          <w:ilvl w:val="0"/>
          <w:numId w:val="3"/>
        </w:numPr>
      </w:pPr>
      <w:r>
        <w:t>Engage and explain</w:t>
      </w:r>
    </w:p>
    <w:p w:rsidR="00932778" w:rsidRDefault="00932778" w:rsidP="00932778">
      <w:pPr>
        <w:pStyle w:val="ListParagraph"/>
        <w:numPr>
          <w:ilvl w:val="0"/>
          <w:numId w:val="3"/>
        </w:numPr>
      </w:pPr>
      <w:r>
        <w:t>Account clarification and challenge</w:t>
      </w:r>
    </w:p>
    <w:p w:rsidR="00932778" w:rsidRDefault="00932778" w:rsidP="00932778">
      <w:pPr>
        <w:pStyle w:val="ListParagraph"/>
        <w:numPr>
          <w:ilvl w:val="0"/>
          <w:numId w:val="3"/>
        </w:numPr>
      </w:pPr>
      <w:r>
        <w:t>Closure</w:t>
      </w:r>
    </w:p>
    <w:p w:rsidR="00932778" w:rsidRDefault="00932778" w:rsidP="00932778">
      <w:pPr>
        <w:pStyle w:val="ListParagraph"/>
        <w:numPr>
          <w:ilvl w:val="0"/>
          <w:numId w:val="3"/>
        </w:numPr>
      </w:pPr>
      <w:r>
        <w:t>Evaluation</w:t>
      </w:r>
    </w:p>
    <w:p w:rsidR="00932778" w:rsidRDefault="00932778" w:rsidP="00932778"/>
    <w:p w:rsidR="00932778" w:rsidRDefault="00932778" w:rsidP="00932778">
      <w:r>
        <w:t xml:space="preserve">Q14. </w:t>
      </w:r>
      <w:r w:rsidR="00543295">
        <w:t xml:space="preserve">Coercive Control - </w:t>
      </w:r>
      <w:r>
        <w:t xml:space="preserve">A person (A) commits an offence if – </w:t>
      </w:r>
    </w:p>
    <w:p w:rsidR="00932778" w:rsidRDefault="00932778" w:rsidP="00932778">
      <w:r>
        <w:t>a. (A) repeatedly or continuously engages in behaviour towards another person (B) that is controlling or coercive,</w:t>
      </w:r>
    </w:p>
    <w:p w:rsidR="00932778" w:rsidRDefault="00932778" w:rsidP="00932778">
      <w:proofErr w:type="gramStart"/>
      <w:r>
        <w:t>b</w:t>
      </w:r>
      <w:proofErr w:type="gramEnd"/>
      <w:r>
        <w:t>. At the time of the behaviour, (A) and (B) are personally connected,</w:t>
      </w:r>
    </w:p>
    <w:p w:rsidR="00932778" w:rsidRDefault="00932778" w:rsidP="00932778">
      <w:r>
        <w:lastRenderedPageBreak/>
        <w:t>c. The behaviour has a serious effect on (B), and</w:t>
      </w:r>
    </w:p>
    <w:p w:rsidR="00932778" w:rsidRDefault="00932778" w:rsidP="00932778">
      <w:proofErr w:type="gramStart"/>
      <w:r>
        <w:t>d</w:t>
      </w:r>
      <w:proofErr w:type="gramEnd"/>
      <w:r>
        <w:t>. (A) knows or ought to know that the behaviour will have a serious effect on (B).</w:t>
      </w:r>
    </w:p>
    <w:p w:rsidR="00932778" w:rsidRDefault="00932778" w:rsidP="00932778"/>
    <w:p w:rsidR="00932778" w:rsidRDefault="00932778" w:rsidP="00932778">
      <w:pPr>
        <w:pStyle w:val="NoSpacing"/>
      </w:pPr>
      <w:r>
        <w:t>Q15. Coercive control is</w:t>
      </w:r>
      <w:r w:rsidRPr="003D313D">
        <w:t xml:space="preserve"> </w:t>
      </w:r>
      <w:proofErr w:type="gramStart"/>
      <w:r w:rsidRPr="003D313D">
        <w:t>behaviour which</w:t>
      </w:r>
      <w:proofErr w:type="gramEnd"/>
      <w:r w:rsidRPr="003D313D">
        <w:t xml:space="preserve"> seeks to take away</w:t>
      </w:r>
      <w:r>
        <w:t xml:space="preserve"> a</w:t>
      </w:r>
      <w:r w:rsidRPr="003D313D">
        <w:t xml:space="preserve"> victim’s liberty</w:t>
      </w:r>
      <w:r>
        <w:t>/</w:t>
      </w:r>
      <w:r w:rsidRPr="003D313D">
        <w:t xml:space="preserve">freedom, </w:t>
      </w:r>
      <w:r>
        <w:t>and to remove their</w:t>
      </w:r>
      <w:r w:rsidRPr="003D313D">
        <w:t xml:space="preserve"> sense of </w:t>
      </w:r>
      <w:r>
        <w:t>who they are</w:t>
      </w:r>
      <w:r w:rsidRPr="003D313D">
        <w:t xml:space="preserve">. </w:t>
      </w:r>
      <w:r>
        <w:t>It exploits people and makes them subordinate for the perpetrator’s personal gain, removing their m</w:t>
      </w:r>
      <w:r w:rsidR="00687E74">
        <w:t xml:space="preserve">eans of independence and escape, </w:t>
      </w:r>
      <w:r>
        <w:t>and regulates their normal everyday behaviour. Making “Coercive Control”</w:t>
      </w:r>
      <w:r w:rsidR="00687E74">
        <w:t xml:space="preserve"> an offence </w:t>
      </w:r>
      <w:r>
        <w:t>was important as it allows victims to regain their power, meaning they can escape the intimidation, degradation, humiliation, control and in some cases violence which is characterised by Coercive Control. The victim can then better manage the situation, re-evaluate the relationship and end the relationship and therefore the abuse. The safeguarding powers the police can provide greatly aid these steps of recovery, and making coercive control an offence can provide the respite and distance that the victim may require</w:t>
      </w:r>
      <w:r w:rsidR="00687E74">
        <w:t xml:space="preserve"> from the offender</w:t>
      </w:r>
      <w:r>
        <w:t>.</w:t>
      </w:r>
    </w:p>
    <w:p w:rsidR="00932778" w:rsidRDefault="00932778" w:rsidP="00932778">
      <w:pPr>
        <w:pStyle w:val="NoSpacing"/>
      </w:pPr>
    </w:p>
    <w:p w:rsidR="00932778" w:rsidRDefault="00932778" w:rsidP="00932778">
      <w:r>
        <w:t xml:space="preserve">Q16. Section 46 Children Act 1989 - Where a constable has reasonable cause to believe that a child would otherwise be likely to suffer significant harm, </w:t>
      </w:r>
      <w:proofErr w:type="gramStart"/>
      <w:r>
        <w:t>he</w:t>
      </w:r>
      <w:proofErr w:type="gramEnd"/>
      <w:r>
        <w:t xml:space="preserve"> may-</w:t>
      </w:r>
    </w:p>
    <w:p w:rsidR="00932778" w:rsidRDefault="00932778" w:rsidP="00932778">
      <w:r>
        <w:t>a) Remove the child to suitable accommodation and keep him there, or</w:t>
      </w:r>
    </w:p>
    <w:p w:rsidR="00932778" w:rsidRDefault="00932778" w:rsidP="00932778">
      <w:r>
        <w:t xml:space="preserve">b) Take such steps as are reasonable to ensure that the child’s removal from any hospital or other place, in which they </w:t>
      </w:r>
      <w:proofErr w:type="gramStart"/>
      <w:r>
        <w:t>are then being accommodated</w:t>
      </w:r>
      <w:proofErr w:type="gramEnd"/>
      <w:r>
        <w:t>, is prevented.</w:t>
      </w:r>
    </w:p>
    <w:p w:rsidR="00932778" w:rsidRDefault="00932778" w:rsidP="00932778">
      <w:r>
        <w:t>Section 46 allows officers to enforce Public Protection Order and the child can be kept in police protection for a maximum of 72 hours.</w:t>
      </w:r>
    </w:p>
    <w:p w:rsidR="00932778" w:rsidRDefault="00932778" w:rsidP="00932778"/>
    <w:p w:rsidR="00932778" w:rsidRDefault="00932778" w:rsidP="00932778">
      <w:r>
        <w:t xml:space="preserve">Q17. Section 1 Children &amp; Young Persons Act 1993-  it is an offence for a person 16 years or over who, having responsibility for a child under 16, wilfully assaults, </w:t>
      </w:r>
      <w:proofErr w:type="spellStart"/>
      <w:r>
        <w:t>ill treat</w:t>
      </w:r>
      <w:proofErr w:type="spellEnd"/>
      <w:r>
        <w:t>, neglects, abandons or exposes the child in a manner that is likely to cause unnecessary suffering or injury to health.</w:t>
      </w:r>
    </w:p>
    <w:p w:rsidR="00932778" w:rsidRDefault="00932778" w:rsidP="00932778"/>
    <w:p w:rsidR="00932778" w:rsidRDefault="00932778" w:rsidP="00932778">
      <w:r>
        <w:t xml:space="preserve">Q18. </w:t>
      </w:r>
    </w:p>
    <w:p w:rsidR="00932778" w:rsidRDefault="00932778" w:rsidP="00932778"/>
    <w:p w:rsidR="00932778" w:rsidRDefault="00932778" w:rsidP="00932778">
      <w:r>
        <w:t xml:space="preserve">Q19. A PPN form </w:t>
      </w:r>
      <w:proofErr w:type="gramStart"/>
      <w:r>
        <w:t>must be submitted</w:t>
      </w:r>
      <w:proofErr w:type="gramEnd"/>
      <w:r>
        <w:t xml:space="preserve"> in every single Domestic Abuse, Stalking and Harassment incident. It </w:t>
      </w:r>
      <w:proofErr w:type="gramStart"/>
      <w:r>
        <w:t>is used</w:t>
      </w:r>
      <w:proofErr w:type="gramEnd"/>
      <w:r>
        <w:t xml:space="preserve"> to prov</w:t>
      </w:r>
      <w:r w:rsidR="00543295">
        <w:t>ide an</w:t>
      </w:r>
      <w:r>
        <w:t xml:space="preserve"> update to partner agencies and share information in order for them to provide further assistance to the victims and other vulnerable persons.</w:t>
      </w:r>
    </w:p>
    <w:p w:rsidR="00932778" w:rsidRDefault="00932778" w:rsidP="00932778">
      <w:r>
        <w:t xml:space="preserve">The PPN is completed, reviewed by a Sergeant and then sent to social services. The officer who completes this has responsibility for the risk until </w:t>
      </w:r>
      <w:r w:rsidR="00543295">
        <w:t xml:space="preserve">handed on to specialist staff </w:t>
      </w:r>
      <w:r w:rsidR="00F86187">
        <w:t>(</w:t>
      </w:r>
      <w:r w:rsidR="00543295">
        <w:t>or</w:t>
      </w:r>
      <w:r w:rsidR="00F86187">
        <w:t xml:space="preserve"> the next oncoming shift (if necessary).</w:t>
      </w:r>
    </w:p>
    <w:p w:rsidR="00932778" w:rsidRDefault="00932778" w:rsidP="00932778"/>
    <w:p w:rsidR="00932778" w:rsidRDefault="00932778" w:rsidP="00932778">
      <w:r>
        <w:t xml:space="preserve">Q20. </w:t>
      </w:r>
      <w:proofErr w:type="gramStart"/>
      <w:r>
        <w:t>In order to apply for a DVPN, the investigating officer must have authorisation from the authorising officer (Superintendent or above) as long as the suspect is 18 years or above and there are reasonable grounds for believing that the suspect either has been violent or threatened violence and the officer believes that the issuing of a DVPN is necessary to protect the victim.</w:t>
      </w:r>
      <w:proofErr w:type="gramEnd"/>
      <w:r>
        <w:t xml:space="preserve"> A DVPN does not require the consent of the victim. </w:t>
      </w:r>
    </w:p>
    <w:p w:rsidR="00932778" w:rsidRDefault="00932778" w:rsidP="00932778">
      <w:r>
        <w:t xml:space="preserve">When the investigating officer is believes that a DVPN is necessary, they need to fully complete the DVPN form, compiling any relevant evidence or documentation, take reasonable steps to obtain any </w:t>
      </w:r>
      <w:r>
        <w:lastRenderedPageBreak/>
        <w:t>representations made by the suspect, have the form checked by their supervisor and then submit to the authorising officer.</w:t>
      </w:r>
    </w:p>
    <w:p w:rsidR="00932778" w:rsidRDefault="00932778" w:rsidP="00932778">
      <w:r>
        <w:t>The DVPN must be served on the suspect in writing by a constable, and this is treated a summons to court to consider a DVPO.</w:t>
      </w:r>
    </w:p>
    <w:p w:rsidR="00932778" w:rsidRDefault="00932778" w:rsidP="00932778">
      <w:r>
        <w:t>There is a power of arrest if there are reasonable grounds for believing that the suspect breaches the order, and the DVPO is in place for 14 to 28 days.</w:t>
      </w:r>
    </w:p>
    <w:p w:rsidR="00932778" w:rsidRDefault="00932778" w:rsidP="00932778"/>
    <w:p w:rsidR="00932778" w:rsidRDefault="00932778" w:rsidP="00932778">
      <w:r>
        <w:t xml:space="preserve">Q21. Child sexual exploitation is a form of child sexual abuse that occurs where a person or group of people take advantage of a child/young person under 18 </w:t>
      </w:r>
      <w:proofErr w:type="gramStart"/>
      <w:r>
        <w:t>due to</w:t>
      </w:r>
      <w:proofErr w:type="gramEnd"/>
      <w:r>
        <w:t>:</w:t>
      </w:r>
    </w:p>
    <w:p w:rsidR="00932778" w:rsidRDefault="00932778" w:rsidP="00932778">
      <w:pPr>
        <w:pStyle w:val="ListParagraph"/>
        <w:numPr>
          <w:ilvl w:val="0"/>
          <w:numId w:val="2"/>
        </w:numPr>
      </w:pPr>
      <w:r>
        <w:t>A power imbalance (because of age/gender/intelligence)</w:t>
      </w:r>
    </w:p>
    <w:p w:rsidR="00932778" w:rsidRDefault="00932778" w:rsidP="00932778">
      <w:pPr>
        <w:pStyle w:val="ListParagraph"/>
        <w:numPr>
          <w:ilvl w:val="0"/>
          <w:numId w:val="2"/>
        </w:numPr>
      </w:pPr>
      <w:r>
        <w:t>Swapping sex for gifts/money/food/affection</w:t>
      </w:r>
    </w:p>
    <w:p w:rsidR="00932778" w:rsidRDefault="00932778" w:rsidP="00932778">
      <w:pPr>
        <w:pStyle w:val="ListParagraph"/>
        <w:numPr>
          <w:ilvl w:val="0"/>
          <w:numId w:val="2"/>
        </w:numPr>
      </w:pPr>
      <w:r>
        <w:t>The use of violence, intimidation and/or coercion</w:t>
      </w:r>
    </w:p>
    <w:p w:rsidR="00932778" w:rsidRDefault="00932778" w:rsidP="00932778">
      <w:r>
        <w:t>This can also be for the financial advantage or increased status of the suspect/group of suspects.</w:t>
      </w:r>
    </w:p>
    <w:p w:rsidR="00932778" w:rsidRDefault="00932778" w:rsidP="00932778">
      <w:r>
        <w:t xml:space="preserve">The victim </w:t>
      </w:r>
      <w:proofErr w:type="gramStart"/>
      <w:r>
        <w:t>may have been sexually exploited</w:t>
      </w:r>
      <w:proofErr w:type="gramEnd"/>
      <w:r>
        <w:t xml:space="preserve"> even if it appears </w:t>
      </w:r>
      <w:r w:rsidR="002C5705">
        <w:t xml:space="preserve">that this was </w:t>
      </w:r>
      <w:r>
        <w:t>consensual.</w:t>
      </w:r>
    </w:p>
    <w:p w:rsidR="00932778" w:rsidRDefault="00932778" w:rsidP="00932778"/>
    <w:p w:rsidR="00932778" w:rsidRDefault="00932778" w:rsidP="00932778">
      <w:r>
        <w:t>Q22. Sarah’s Law is a scheme whereby anyone convicted of a child sex offence must register on the child protectio</w:t>
      </w:r>
      <w:r w:rsidR="00D256AD">
        <w:t>n register, and must disclose</w:t>
      </w:r>
      <w:r>
        <w:t xml:space="preserve"> their presence to the local authorities in the area they reside.</w:t>
      </w:r>
    </w:p>
    <w:p w:rsidR="00932778" w:rsidRDefault="00932778" w:rsidP="00932778"/>
    <w:p w:rsidR="00932778" w:rsidRDefault="00932778" w:rsidP="00932778">
      <w:pPr>
        <w:pStyle w:val="NoSpacing"/>
      </w:pPr>
      <w:r>
        <w:t>Q23.</w:t>
      </w:r>
      <w:r w:rsidRPr="00460ED1">
        <w:t xml:space="preserve"> </w:t>
      </w:r>
      <w:r>
        <w:t xml:space="preserve">Evidential Presumptions about Consent – </w:t>
      </w:r>
    </w:p>
    <w:p w:rsidR="00AD07C4" w:rsidRDefault="00AD07C4" w:rsidP="00932778">
      <w:pPr>
        <w:pStyle w:val="NoSpacing"/>
      </w:pPr>
    </w:p>
    <w:p w:rsidR="00932778" w:rsidRDefault="00932778" w:rsidP="00932778">
      <w:pPr>
        <w:pStyle w:val="NoSpacing"/>
      </w:pPr>
      <w:r w:rsidRPr="00460ED1">
        <w:t>Section 75(a) Sexual Offences Act 2003 -</w:t>
      </w:r>
      <w:r w:rsidR="00AD07C4">
        <w:t xml:space="preserve"> If it is proved in court that t</w:t>
      </w:r>
      <w:r>
        <w:t>he defendant carried out the sexual assault</w:t>
      </w:r>
      <w:r w:rsidR="00AD07C4">
        <w:t>, a</w:t>
      </w:r>
      <w:r>
        <w:t>ny of the specified circumstances existed and</w:t>
      </w:r>
      <w:r w:rsidR="00AD07C4">
        <w:t xml:space="preserve"> t</w:t>
      </w:r>
      <w:r>
        <w:t>he defendant knew any of the circumstances existed</w:t>
      </w:r>
      <w:r w:rsidR="00AD07C4">
        <w:t xml:space="preserve"> </w:t>
      </w:r>
      <w:r>
        <w:t>the court will make the presumption that consent was not given by the victim</w:t>
      </w:r>
    </w:p>
    <w:p w:rsidR="00932778" w:rsidRDefault="00932778" w:rsidP="00932778">
      <w:pPr>
        <w:pStyle w:val="NoSpacing"/>
      </w:pPr>
    </w:p>
    <w:p w:rsidR="00932778" w:rsidRDefault="00932778" w:rsidP="00932778">
      <w:pPr>
        <w:pStyle w:val="NoSpacing"/>
      </w:pPr>
      <w:r w:rsidRPr="00460ED1">
        <w:t>Section 75(b) Sexual Offences Act 2003</w:t>
      </w:r>
      <w:r>
        <w:t xml:space="preserve"> – </w:t>
      </w:r>
    </w:p>
    <w:p w:rsidR="00932778" w:rsidRDefault="00932778" w:rsidP="00932778">
      <w:pPr>
        <w:pStyle w:val="NoSpacing"/>
      </w:pPr>
      <w:r>
        <w:t>• Use of violence or fear of violence</w:t>
      </w:r>
    </w:p>
    <w:p w:rsidR="00932778" w:rsidRDefault="00932778" w:rsidP="00932778">
      <w:pPr>
        <w:pStyle w:val="NoSpacing"/>
      </w:pPr>
      <w:r>
        <w:t>• Unlawful detention</w:t>
      </w:r>
    </w:p>
    <w:p w:rsidR="00932778" w:rsidRDefault="00932778" w:rsidP="00932778">
      <w:pPr>
        <w:pStyle w:val="NoSpacing"/>
      </w:pPr>
      <w:r>
        <w:t>• Unconsciousness</w:t>
      </w:r>
    </w:p>
    <w:p w:rsidR="00932778" w:rsidRDefault="00932778" w:rsidP="00932778">
      <w:pPr>
        <w:pStyle w:val="NoSpacing"/>
      </w:pPr>
      <w:r>
        <w:t>• Inability to communicate from physical disability</w:t>
      </w:r>
    </w:p>
    <w:p w:rsidR="00932778" w:rsidRDefault="00932778" w:rsidP="00932778">
      <w:pPr>
        <w:pStyle w:val="NoSpacing"/>
      </w:pPr>
      <w:r>
        <w:t>• Substances non-consensually administered which are capable of stupefying or overpowering the victim</w:t>
      </w:r>
    </w:p>
    <w:p w:rsidR="00932778" w:rsidRDefault="00932778" w:rsidP="00932778"/>
    <w:p w:rsidR="00932778" w:rsidRDefault="00932778" w:rsidP="00932778">
      <w:r>
        <w:t xml:space="preserve">Q24. </w:t>
      </w:r>
    </w:p>
    <w:p w:rsidR="00932778" w:rsidRDefault="00932778" w:rsidP="00932778"/>
    <w:p w:rsidR="00932778" w:rsidRDefault="00932778" w:rsidP="00932778">
      <w:r>
        <w:t>Q25. The full code test requires that all police procedures have been followed correctly, and that all relevant evidence, whether detrimental to the prosecution or not, have been fully disclosed to the CPS and the defence.</w:t>
      </w:r>
      <w:r w:rsidR="00DF6508">
        <w:t xml:space="preserve"> All procedures must adhere to PACE 1984.</w:t>
      </w:r>
    </w:p>
    <w:p w:rsidR="00932778" w:rsidRDefault="00932778" w:rsidP="00932778"/>
    <w:p w:rsidR="009719E3" w:rsidRDefault="009719E3"/>
    <w:sectPr w:rsidR="009719E3" w:rsidSect="002C4F7C">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8189E"/>
    <w:multiLevelType w:val="hybridMultilevel"/>
    <w:tmpl w:val="31A25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67BAF"/>
    <w:multiLevelType w:val="hybridMultilevel"/>
    <w:tmpl w:val="68AE4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267C7A"/>
    <w:multiLevelType w:val="hybridMultilevel"/>
    <w:tmpl w:val="3B64F1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7A13089E"/>
    <w:multiLevelType w:val="hybridMultilevel"/>
    <w:tmpl w:val="91F61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778"/>
    <w:rsid w:val="00171C29"/>
    <w:rsid w:val="002C5705"/>
    <w:rsid w:val="002E5151"/>
    <w:rsid w:val="00495CC3"/>
    <w:rsid w:val="004C3C79"/>
    <w:rsid w:val="00543295"/>
    <w:rsid w:val="00687E74"/>
    <w:rsid w:val="006A67B5"/>
    <w:rsid w:val="00875DF7"/>
    <w:rsid w:val="00900121"/>
    <w:rsid w:val="00932778"/>
    <w:rsid w:val="009719E3"/>
    <w:rsid w:val="00AC43CE"/>
    <w:rsid w:val="00AD07C4"/>
    <w:rsid w:val="00AD10A5"/>
    <w:rsid w:val="00D256AD"/>
    <w:rsid w:val="00DF6508"/>
    <w:rsid w:val="00E3390B"/>
    <w:rsid w:val="00F8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2289E"/>
  <w15:chartTrackingRefBased/>
  <w15:docId w15:val="{9B2F0CAC-C57B-4D44-890A-43B7E5EB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7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778"/>
    <w:pPr>
      <w:ind w:left="720"/>
      <w:contextualSpacing/>
    </w:pPr>
  </w:style>
  <w:style w:type="paragraph" w:styleId="NoSpacing">
    <w:name w:val="No Spacing"/>
    <w:uiPriority w:val="1"/>
    <w:qFormat/>
    <w:rsid w:val="0093277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1450</Words>
  <Characters>8271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Mark</dc:creator>
  <cp:keywords/>
  <dc:description/>
  <cp:lastModifiedBy>Higgins, Mark</cp:lastModifiedBy>
  <cp:revision>20</cp:revision>
  <dcterms:created xsi:type="dcterms:W3CDTF">2020-11-16T14:34:00Z</dcterms:created>
  <dcterms:modified xsi:type="dcterms:W3CDTF">2020-11-16T15:00:00Z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