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left"/>
        <w:rPr>
          <w:rFonts w:hint="default"/>
          <w:b/>
          <w:bCs/>
          <w:lang w:val="en-US"/>
        </w:rPr>
      </w:pPr>
      <w:r>
        <w:rPr>
          <w:rFonts w:hint="eastAsia"/>
          <w:b/>
          <w:bCs/>
          <w:lang w:val="en-US" w:eastAsia="zh-CN"/>
        </w:rPr>
        <w:t>Huiwen Qi 2200154  BMB</w:t>
      </w:r>
      <w:r>
        <w:rPr>
          <w:rFonts w:hint="eastAsia"/>
          <w:b/>
          <w:bCs/>
          <w:lang w:val="en-US" w:eastAsia="zh-CN"/>
        </w:rPr>
        <w:t>M6012  Leading and Developing People</w:t>
      </w:r>
    </w:p>
    <w:p>
      <w:pPr>
        <w:bidi w:val="0"/>
        <w:rPr>
          <w:b/>
          <w:bCs/>
        </w:rPr>
      </w:pPr>
      <w:r>
        <w:rPr>
          <w:rFonts w:hint="eastAsia"/>
          <w:b/>
          <w:bCs/>
        </w:rPr>
        <w:t>https://web.microsoftstream.com/video/afa95ead-cd93-40e0-9f3a-1a9a73d44f6b</w:t>
      </w:r>
    </w:p>
    <w:p>
      <w:pPr>
        <w:pStyle w:val="2"/>
        <w:spacing w:before="156" w:beforeLines="50" w:after="312" w:afterLines="100" w:line="360" w:lineRule="auto"/>
        <w:jc w:val="both"/>
        <w:rPr>
          <w:rFonts w:ascii="Arial" w:hAnsi="Arial" w:cs="Arial"/>
          <w:sz w:val="28"/>
          <w:szCs w:val="28"/>
        </w:rPr>
      </w:pPr>
      <w:r>
        <w:rPr>
          <w:rFonts w:ascii="Arial" w:hAnsi="Arial" w:cs="Arial"/>
          <w:sz w:val="28"/>
          <w:szCs w:val="28"/>
        </w:rPr>
        <w:t xml:space="preserve">3. The alignment of the L&amp;D framework with the current and future needs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3.1 The L&amp;D framework and t</w:t>
      </w:r>
      <w:bookmarkStart w:id="1" w:name="_GoBack"/>
      <w:bookmarkEnd w:id="1"/>
      <w:r>
        <w:rPr>
          <w:rFonts w:ascii="Arial" w:hAnsi="Arial" w:cs="Arial"/>
          <w:sz w:val="24"/>
          <w:szCs w:val="24"/>
        </w:rPr>
        <w:t xml:space="preserve">he current needs </w:t>
      </w:r>
    </w:p>
    <w:p>
      <w:pPr>
        <w:spacing w:before="156" w:beforeLines="50" w:after="312" w:afterLines="100" w:line="360" w:lineRule="auto"/>
        <w:jc w:val="both"/>
        <w:rPr>
          <w:rFonts w:ascii="Arial" w:hAnsi="Arial" w:cs="Arial"/>
        </w:rPr>
      </w:pPr>
      <w:r>
        <w:rPr>
          <w:rFonts w:ascii="Arial" w:hAnsi="Arial" w:cs="Arial"/>
        </w:rPr>
        <w:t xml:space="preserve">The L&amp;D framework has addressed the current needs of Nottinghamshire Healthcare NHS Trust in improving its service quality. The quality of medical services is the top priority in the development of hospital management at present, and is also a problem that hospital managers should pay attention to </w:t>
      </w:r>
      <w:r>
        <w:rPr>
          <w:rFonts w:ascii="Arial" w:hAnsi="Arial" w:cs="Arial"/>
        </w:rPr>
        <w:fldChar w:fldCharType="begin"/>
      </w:r>
      <w:r>
        <w:rPr>
          <w:rFonts w:ascii="Arial" w:hAnsi="Arial" w:cs="Arial"/>
        </w:rPr>
        <w:instrText xml:space="preserve"> ADDIN ZOTERO_ITEM CSL_CITATION {"citationID":"xdG8XOMM","properties":{"formattedCitation":"(Abbasi-Moghaddam {\\i{}et al.}, 2019)","plainCitation":"(Abbasi-Moghaddam et al., 2019)","noteIndex":0},"citationItems":[{"id":1561,"uris":["http://zotero.org/users/10703570/items/K6AN89C7"],"itemData":{"id":1561,"type":"article-journal","container-title":"BMC health services research","ISSN":"1472-6963","issue":"1","journalAbbreviation":"BMC health services research","note":"publisher: BioMed Central","page":"1-7","title":"Evaluation of service quality from patients’ viewpoint","volume":"19","author":[{"family":"Abbasi-Moghaddam","given":"Mohammad Ali"},{"family":"Zarei","given":"Ehsan"},{"family":"Bagherzadeh","given":"Rafat"},{"family":"Dargahi","given":"Hossein"},{"family":"Farrokhi","given":"Pouria"}],"issued":{"date-parts":[["2019"]]}}}],"schema":"https://github.com/citation-style-language/schema/raw/master/csl-citation.json"} </w:instrText>
      </w:r>
      <w:r>
        <w:rPr>
          <w:rFonts w:ascii="Arial" w:hAnsi="Arial" w:cs="Arial"/>
        </w:rPr>
        <w:fldChar w:fldCharType="separate"/>
      </w:r>
      <w:r>
        <w:rPr>
          <w:rFonts w:ascii="Arial" w:hAnsi="Arial" w:cs="Arial"/>
          <w:szCs w:val="24"/>
        </w:rPr>
        <w:t xml:space="preserve">(Abbasi-Moghaddam </w:t>
      </w:r>
      <w:r>
        <w:rPr>
          <w:rFonts w:ascii="Arial" w:hAnsi="Arial" w:cs="Arial"/>
          <w:i/>
          <w:iCs/>
          <w:szCs w:val="24"/>
        </w:rPr>
        <w:t>et al.</w:t>
      </w:r>
      <w:r>
        <w:rPr>
          <w:rFonts w:ascii="Arial" w:hAnsi="Arial" w:cs="Arial"/>
          <w:szCs w:val="24"/>
        </w:rPr>
        <w:t>, 2019)</w:t>
      </w:r>
      <w:r>
        <w:rPr>
          <w:rFonts w:ascii="Arial" w:hAnsi="Arial" w:cs="Arial"/>
        </w:rPr>
        <w:fldChar w:fldCharType="end"/>
      </w:r>
      <w:r>
        <w:rPr>
          <w:rFonts w:ascii="Arial" w:hAnsi="Arial" w:cs="Arial"/>
        </w:rPr>
        <w:t xml:space="preserve">. With the continuous development of modern society and economy, medical and health care is also developing and advancing. Public hospitals have to continuously improve the quality management of their own medical services in order to do a good job in the medical services of society and to protect the quality of medical services and life safety of the people </w:t>
      </w:r>
      <w:r>
        <w:rPr>
          <w:rFonts w:ascii="Arial" w:hAnsi="Arial" w:cs="Arial"/>
        </w:rPr>
        <w:fldChar w:fldCharType="begin"/>
      </w:r>
      <w:r>
        <w:rPr>
          <w:rFonts w:ascii="Arial" w:hAnsi="Arial" w:cs="Arial"/>
        </w:rPr>
        <w:instrText xml:space="preserve"> ADDIN ZOTERO_ITEM CSL_CITATION {"citationID":"MvAA4La0","properties":{"formattedCitation":"(Chang, Chen and Lan, 2013)","plainCitation":"(Chang, Chen and Lan, 2013)","noteIndex":0},"citationItems":[{"id":1560,"uris":["http://zotero.org/users/10703570/items/ULHYHQWM"],"itemData":{"id":1560,"type":"article-journal","container-title":"BMC health services research","ISSN":"1472-6963","issue":"1","journalAbbreviation":"BMC health services research","note":"publisher: BioMed Central","page":"1-11","title":"Service quality, trust, and patient satisfaction in interpersonal-based medical service encounters","volume":"13","author":[{"family":"Chang","given":"Ching-Sheng"},{"family":"Chen","given":"Su-Yueh"},{"family":"Lan","given":"Yi-Ting"}],"issued":{"date-parts":[["2013"]]}}}],"schema":"https://github.com/citation-style-language/schema/raw/master/csl-citation.json"} </w:instrText>
      </w:r>
      <w:r>
        <w:rPr>
          <w:rFonts w:ascii="Arial" w:hAnsi="Arial" w:cs="Arial"/>
        </w:rPr>
        <w:fldChar w:fldCharType="separate"/>
      </w:r>
      <w:r>
        <w:rPr>
          <w:rFonts w:ascii="Arial" w:hAnsi="Arial" w:cs="Arial"/>
        </w:rPr>
        <w:t>(Chang, Chen and Lan, 2013)</w:t>
      </w:r>
      <w:r>
        <w:rPr>
          <w:rFonts w:ascii="Arial" w:hAnsi="Arial" w:cs="Arial"/>
        </w:rPr>
        <w:fldChar w:fldCharType="end"/>
      </w:r>
      <w:r>
        <w:rPr>
          <w:rFonts w:ascii="Arial" w:hAnsi="Arial" w:cs="Arial"/>
        </w:rPr>
        <w:t xml:space="preserve">. At the same time, public hospitals present an uneven distribution of medical resources, an unclear medical system and unbalanced medical institutions in terms of the quality of medical services, coupled with a shortage of medical staff in public hospitals and a failure to update the ideology and professionalism of medical services in a timely manner </w:t>
      </w:r>
      <w:r>
        <w:rPr>
          <w:rFonts w:ascii="Arial" w:hAnsi="Arial" w:cs="Arial"/>
        </w:rPr>
        <w:fldChar w:fldCharType="begin"/>
      </w:r>
      <w:r>
        <w:rPr>
          <w:rFonts w:ascii="Arial" w:hAnsi="Arial" w:cs="Arial"/>
        </w:rPr>
        <w:instrText xml:space="preserve"> ADDIN ZOTERO_ITEM CSL_CITATION {"citationID":"9LiddJMD","properties":{"formattedCitation":"(Asnawi {\\i{}et al.}, 2019)","plainCitation":"(Asnawi et al., 2019)","noteIndex":0},"citationItems":[{"id":1562,"uris":["http://zotero.org/users/10703570/items/X94G37XN"],"itemData":{"id":1562,"type":"article-journal","container-title":"Management Science Letters","issue":"6","journalAbbreviation":"Management Science Letters","page":"911-920","title":"The influence of hospital image and service quality on patients</w:instrText>
      </w:r>
      <w:r>
        <w:rPr>
          <w:rFonts w:hint="eastAsia" w:ascii="Arial" w:hAnsi="Arial" w:cs="Arial"/>
        </w:rPr>
        <w:instrText xml:space="preserve">’</w:instrText>
      </w:r>
      <w:r>
        <w:rPr>
          <w:rFonts w:ascii="Arial" w:hAnsi="Arial" w:cs="Arial"/>
        </w:rPr>
        <w:instrText xml:space="preserve"> satisfaction and loyalty","volume":"9","author":[{"family":"Asnawi","given":"A"},{"family":"Awang","given":"Zainudin"},{"family":"Afthanorhan","given":"Asyraf"},{"family":"Mohamad","given":"Mahadzirah"},{"family":"Karim","given":"FJMSL"}],"issued":{"date-parts":[["2019"]]}}}],"schema":"https://github.com/citation-style-language/schema/raw/master/csl-citation.json"} </w:instrText>
      </w:r>
      <w:r>
        <w:rPr>
          <w:rFonts w:ascii="Arial" w:hAnsi="Arial" w:cs="Arial"/>
        </w:rPr>
        <w:fldChar w:fldCharType="separate"/>
      </w:r>
      <w:r>
        <w:rPr>
          <w:rFonts w:ascii="Arial" w:hAnsi="Arial" w:cs="Arial"/>
          <w:szCs w:val="24"/>
        </w:rPr>
        <w:t xml:space="preserve">(Asnawi </w:t>
      </w:r>
      <w:r>
        <w:rPr>
          <w:rFonts w:ascii="Arial" w:hAnsi="Arial" w:cs="Arial"/>
          <w:i/>
          <w:iCs/>
          <w:szCs w:val="24"/>
        </w:rPr>
        <w:t>et al.</w:t>
      </w:r>
      <w:r>
        <w:rPr>
          <w:rFonts w:ascii="Arial" w:hAnsi="Arial" w:cs="Arial"/>
          <w:szCs w:val="24"/>
        </w:rPr>
        <w:t>, 2019)</w:t>
      </w:r>
      <w:r>
        <w:rPr>
          <w:rFonts w:ascii="Arial" w:hAnsi="Arial" w:cs="Arial"/>
        </w:rPr>
        <w:fldChar w:fldCharType="end"/>
      </w:r>
      <w:r>
        <w:rPr>
          <w:rFonts w:ascii="Arial" w:hAnsi="Arial" w:cs="Arial"/>
        </w:rPr>
        <w:t xml:space="preserve">. These are unable to meet the basic needs of patients, leading to gradual tension between doctors and patients in public hospitals and pressure to compete with private hospitals. As such, the L&amp;D framework can effectively eliminate the internal weakness of Nottinghamshire Healthcare NHS trust through meeting the basic needs of patients and improving the service quality.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 xml:space="preserve">3.2 The L&amp;D framework and the future needs </w:t>
      </w:r>
    </w:p>
    <w:p>
      <w:pPr>
        <w:spacing w:before="156" w:beforeLines="50" w:after="312" w:afterLines="100" w:line="360" w:lineRule="auto"/>
        <w:jc w:val="both"/>
        <w:rPr>
          <w:rFonts w:ascii="Arial" w:hAnsi="Arial" w:cs="Arial"/>
        </w:rPr>
      </w:pPr>
      <w:r>
        <w:rPr>
          <w:rFonts w:ascii="Arial" w:hAnsi="Arial" w:cs="Arial"/>
        </w:rPr>
        <w:t xml:space="preserve">As public hospital reform continues, the health awareness of the entire population grows, and hospital operations and management continue to improve, an orderly and healthy competition pattern has emerged in the healthcare industry </w:t>
      </w:r>
      <w:r>
        <w:rPr>
          <w:rFonts w:ascii="Arial" w:hAnsi="Arial" w:cs="Arial"/>
        </w:rPr>
        <w:fldChar w:fldCharType="begin"/>
      </w:r>
      <w:r>
        <w:rPr>
          <w:rFonts w:ascii="Arial" w:hAnsi="Arial" w:cs="Arial"/>
        </w:rPr>
        <w:instrText xml:space="preserve"> ADDIN ZOTERO_ITEM CSL_CITATION {"citationID":"acWphdhC","properties":{"formattedCitation":"(Wakefield, Williams and Le Menestrel, 2021)","plainCitation":"(Wakefield, Williams and Le Menestrel, 2021)","noteIndex":0},"citationItems":[{"id":1563,"uris":["http://zotero.org/users/10703570/items/WJ7H2UTN"],"itemData":{"id":1563,"type":"book","ISBN":"0-309-68506-0","publisher":"National Academy of Sciences","title":"The future of nursing 2020-2030: Charting a path to achieve health equity","author":[{"family":"Wakefield","given":"Mary"},{"family":"Williams","given":"David R"},{"family":"Le Menestrel","given":"Suzanne"}],"issued":{"date-parts":[["2021"]]}}}],"schema":"https://github.com/citation-style-language/schema/raw/master/csl-citation.json"} </w:instrText>
      </w:r>
      <w:r>
        <w:rPr>
          <w:rFonts w:ascii="Arial" w:hAnsi="Arial" w:cs="Arial"/>
        </w:rPr>
        <w:fldChar w:fldCharType="separate"/>
      </w:r>
      <w:r>
        <w:rPr>
          <w:rFonts w:ascii="Arial" w:hAnsi="Arial" w:cs="Arial"/>
        </w:rPr>
        <w:t>(Wakefield, Williams and Le Menestrel, 2021)</w:t>
      </w:r>
      <w:r>
        <w:rPr>
          <w:rFonts w:ascii="Arial" w:hAnsi="Arial" w:cs="Arial"/>
        </w:rPr>
        <w:fldChar w:fldCharType="end"/>
      </w:r>
      <w:r>
        <w:rPr>
          <w:rFonts w:ascii="Arial" w:hAnsi="Arial" w:cs="Arial"/>
        </w:rPr>
        <w:t xml:space="preserve">. The core competitiveness of public hospitals is the ability to sustainably add value to the health of society. By conducting a value chain analysis of the hospital's main business and management processes, the key to achieving a win-win situation for all parties is to clarify its competitive advantages and market positioning, and to precisely formulate an effective hospital development strategy </w:t>
      </w:r>
      <w:r>
        <w:rPr>
          <w:rFonts w:ascii="Arial" w:hAnsi="Arial" w:cs="Arial"/>
        </w:rPr>
        <w:fldChar w:fldCharType="begin"/>
      </w:r>
      <w:r>
        <w:rPr>
          <w:rFonts w:ascii="Arial" w:hAnsi="Arial" w:cs="Arial"/>
        </w:rPr>
        <w:instrText xml:space="preserve"> ADDIN ZOTERO_ITEM CSL_CITATION {"citationID":"fPRLVmei","properties":{"formattedCitation":"(Wakefield, Williams and Le Menestrel, 2021)","plainCitation":"(Wakefield, Williams and Le Menestrel, 2021)","noteIndex":0},"citationItems":[{"id":1563,"uris":["http://zotero.org/users/10703570/items/WJ7H2UTN"],"itemData":{"id":1563,"type":"book","ISBN":"0-309-68506-0","publisher":"National Academy of Sciences","title":"The future of nursing 2020-2030: Charting a path to achieve health equity","author":[{"family":"Wakefield","given":"Mary"},{"family":"Williams","given":"David R"},{"family":"Le Menestrel","given":"Suzanne"}],"issued":{"date-parts":[["2021"]]}}}],"schema":"https://github.com/citation-style-language/schema/raw/master/csl-citation.json"} </w:instrText>
      </w:r>
      <w:r>
        <w:rPr>
          <w:rFonts w:ascii="Arial" w:hAnsi="Arial" w:cs="Arial"/>
        </w:rPr>
        <w:fldChar w:fldCharType="separate"/>
      </w:r>
      <w:r>
        <w:rPr>
          <w:rFonts w:ascii="Arial" w:hAnsi="Arial" w:cs="Arial"/>
        </w:rPr>
        <w:t>(Wakefield, Williams and Le Menestrel, 2021)</w:t>
      </w:r>
      <w:r>
        <w:rPr>
          <w:rFonts w:ascii="Arial" w:hAnsi="Arial" w:cs="Arial"/>
        </w:rPr>
        <w:fldChar w:fldCharType="end"/>
      </w:r>
      <w:r>
        <w:rPr>
          <w:rFonts w:ascii="Arial" w:hAnsi="Arial" w:cs="Arial"/>
        </w:rPr>
        <w:t xml:space="preserve">. As we all know, human resources are the first productive force in the operation and development of public hospitals. It not only determines the direction of the public hospital's own work, but is also a powerful means to enhance its competitiveness and sustainable development </w:t>
      </w:r>
      <w:r>
        <w:rPr>
          <w:rFonts w:ascii="Arial" w:hAnsi="Arial" w:cs="Arial"/>
        </w:rPr>
        <w:fldChar w:fldCharType="begin"/>
      </w:r>
      <w:r>
        <w:rPr>
          <w:rFonts w:ascii="Arial" w:hAnsi="Arial" w:cs="Arial"/>
        </w:rPr>
        <w:instrText xml:space="preserve"> ADDIN ZOTERO_ITEM CSL_CITATION {"citationID":"lwg2mRGQ","properties":{"formattedCitation":"(Schneider, Oppel and Winter, 2021)","plainCitation":"(Schneider, Oppel and Winter, 2021)","noteIndex":0},"citationItems":[{"id":1564,"uris":["http://zotero.org/users/10703570/items/QYJ2CBS8"],"itemData":{"id":1564,"type":"article-journal","container-title":"Health Care Management Review","ISSN":"0361-6274","issue":"1","journalAbbreviation":"Health Care Management Review","note":"publisher: LWW","page":"2-11","title":"Explaining variations in hospitals’ use of strategic human resource management: How environmental and organizational factors matter","volume":"46","author":[{"family":"Schneider","given":"Annika M"},{"family":"Oppel","given":"Eva-Maria"},{"family":"Winter","given":"Vera"}],"issued":{"date-parts":[["2021"]]}}}],"schema":"https://github.com/citation-style-language/schema/raw/master/csl-citation.json"} </w:instrText>
      </w:r>
      <w:r>
        <w:rPr>
          <w:rFonts w:ascii="Arial" w:hAnsi="Arial" w:cs="Arial"/>
        </w:rPr>
        <w:fldChar w:fldCharType="separate"/>
      </w:r>
      <w:r>
        <w:rPr>
          <w:rFonts w:ascii="Arial" w:hAnsi="Arial" w:cs="Arial"/>
        </w:rPr>
        <w:t>(Schneider, Oppel and Winter, 2021)</w:t>
      </w:r>
      <w:r>
        <w:rPr>
          <w:rFonts w:ascii="Arial" w:hAnsi="Arial" w:cs="Arial"/>
        </w:rPr>
        <w:fldChar w:fldCharType="end"/>
      </w:r>
      <w:r>
        <w:rPr>
          <w:rFonts w:ascii="Arial" w:hAnsi="Arial" w:cs="Arial"/>
        </w:rPr>
        <w:t xml:space="preserve">. Nottinghamshire Healthcare NHS Trust is committed to a people-centred approach in its ways of managing employees and serving customers, with a focus on high quality staff and the achievement of staff self-worth, the maximization of patients’ satisfaction and promoting the long-term development of the hospital. These are enabled by the continuous implementation of the L&amp;D framework mentioned above. Thereby, it can be summarized that the L&amp;D framework can meet the future needs of Nottinghamshire Healthcare NHS Trust in enhancing overate competitiveness by using the L&amp;D framework to facilitate its customer-centric strategies. </w:t>
      </w:r>
    </w:p>
    <w:p>
      <w:pPr>
        <w:spacing w:before="156" w:beforeLines="50" w:after="312" w:afterLines="100" w:line="360" w:lineRule="auto"/>
        <w:jc w:val="both"/>
        <w:rPr>
          <w:rFonts w:hint="eastAsia" w:ascii="Arial" w:hAnsi="Arial" w:cs="Arial"/>
        </w:rPr>
      </w:pPr>
      <w:r>
        <w:rPr>
          <w:rFonts w:ascii="Arial" w:hAnsi="Arial" w:cs="Arial"/>
        </w:rPr>
        <w:t xml:space="preserve">At the same time, with primary industrial trends (such as the digital transformation in service provision, patient consumerization and care personalization) continuing to reshape the public hospital landscape in the UK, the L&amp;D framework by Nottinghamshire Healthcare NHS Trust can facilitate the organization to seize emerging opportunities presented in the health care industry. Nottinghamshire Healthcare NHS Trust can remain adaptive and responsive to any external environmental shifts through effective and continuous training and development in human resources. </w:t>
      </w:r>
    </w:p>
    <w:p>
      <w:pPr>
        <w:pStyle w:val="3"/>
        <w:spacing w:before="156" w:beforeLines="50" w:after="312" w:afterLines="100" w:line="360" w:lineRule="auto"/>
        <w:jc w:val="both"/>
        <w:rPr>
          <w:rFonts w:ascii="Arial" w:hAnsi="Arial" w:cs="Arial"/>
          <w:sz w:val="24"/>
          <w:szCs w:val="24"/>
        </w:rPr>
      </w:pPr>
      <w:r>
        <w:rPr>
          <w:rFonts w:ascii="Arial" w:hAnsi="Arial" w:cs="Arial"/>
          <w:sz w:val="24"/>
          <w:szCs w:val="24"/>
        </w:rPr>
        <w:t xml:space="preserve">3.3 The limitations of the L&amp;D framework </w:t>
      </w:r>
    </w:p>
    <w:p>
      <w:pPr>
        <w:spacing w:before="156" w:beforeLines="50" w:after="312" w:afterLines="100" w:line="360" w:lineRule="auto"/>
        <w:jc w:val="both"/>
        <w:rPr>
          <w:rFonts w:ascii="Arial" w:hAnsi="Arial" w:cs="Arial"/>
        </w:rPr>
      </w:pPr>
      <w:r>
        <w:rPr>
          <w:rFonts w:ascii="Arial" w:hAnsi="Arial" w:cs="Arial"/>
        </w:rPr>
        <w:t xml:space="preserve">The primary limitations of the L&amp;D framework prompt by </w:t>
      </w:r>
      <w:bookmarkStart w:id="0" w:name="_Hlk132566455"/>
      <w:r>
        <w:rPr>
          <w:rFonts w:ascii="Arial" w:hAnsi="Arial" w:cs="Arial"/>
        </w:rPr>
        <w:t>Nottinghamshire Healthcare NHS Trust</w:t>
      </w:r>
      <w:bookmarkEnd w:id="0"/>
      <w:r>
        <w:rPr>
          <w:rFonts w:ascii="Arial" w:hAnsi="Arial" w:cs="Arial"/>
        </w:rPr>
        <w:t xml:space="preserve"> are that the framework does not involve a corresponding model to evaluate the L&amp;D effectiveness and efficiency. Post-L&amp;D evaluation refers to the evaluation of the final effect of training and is the most important part of the training evaluation process </w:t>
      </w:r>
      <w:r>
        <w:rPr>
          <w:rFonts w:ascii="Arial" w:hAnsi="Arial" w:cs="Arial"/>
        </w:rPr>
        <w:fldChar w:fldCharType="begin"/>
      </w:r>
      <w:r>
        <w:rPr>
          <w:rFonts w:ascii="Arial" w:hAnsi="Arial" w:cs="Arial"/>
        </w:rPr>
        <w:instrText xml:space="preserve"> ADDIN ZOTERO_ITEM CSL_CITATION {"citationID":"fyfHemGA","properties":{"formattedCitation":"(Phillips and Phillips, 2016)","plainCitation":"(Phillips and Phillips, 2016)","noteIndex":0},"citationItems":[{"id":1565,"uris":["http://zotero.org/users/10703570/items/8N69XWT3"],"itemData":{"id":1565,"type":"book","ISBN":"1-317-63256-7","publisher":"Routledge","title":"Handbook of training evaluation and measurement methods","author":[{"family":"Phillips","given":"Jack J"},{"family":"Phillips","given":"Patricia Pulliam"}],"issued":{"date-parts":[["2016"]]}}}],"schema":"https://github.com/citation-style-language/schema/raw/master/csl-citation.json"} </w:instrText>
      </w:r>
      <w:r>
        <w:rPr>
          <w:rFonts w:ascii="Arial" w:hAnsi="Arial" w:cs="Arial"/>
        </w:rPr>
        <w:fldChar w:fldCharType="separate"/>
      </w:r>
      <w:r>
        <w:rPr>
          <w:rFonts w:ascii="Arial" w:hAnsi="Arial" w:cs="Arial"/>
        </w:rPr>
        <w:t>(Phillips and Phillips, 2016)</w:t>
      </w:r>
      <w:r>
        <w:rPr>
          <w:rFonts w:ascii="Arial" w:hAnsi="Arial" w:cs="Arial"/>
        </w:rPr>
        <w:fldChar w:fldCharType="end"/>
      </w:r>
      <w:r>
        <w:rPr>
          <w:rFonts w:ascii="Arial" w:hAnsi="Arial" w:cs="Arial"/>
        </w:rPr>
        <w:t xml:space="preserve">. The main purpose of implementing post-L&amp;D evaluation work is to enable enterprise managers to determine the degree of merit and demerit of the selection of L&amp;D programmes and the degree of achievement of the expected objectives of training, and to provide useful assistance for the development of L&amp;D plans and L&amp;D programmes in the later stages </w:t>
      </w:r>
      <w:r>
        <w:rPr>
          <w:rFonts w:ascii="Arial" w:hAnsi="Arial" w:cs="Arial"/>
        </w:rPr>
        <w:fldChar w:fldCharType="begin"/>
      </w:r>
      <w:r>
        <w:rPr>
          <w:rFonts w:ascii="Arial" w:hAnsi="Arial" w:cs="Arial"/>
        </w:rPr>
        <w:instrText xml:space="preserve"> ADDIN ZOTERO_ITEM CSL_CITATION {"citationID":"zgDtz1Lh","properties":{"formattedCitation":"(Griffin, 2010)","plainCitation":"(Griffin, 2010)","noteIndex":0},"citationItems":[{"id":1566,"uris":["http://zotero.org/users/10703570/items/SRE9CNA7"],"itemData":{"id":1566,"type":"article-journal","container-title":"Industrial and Commercial Training","ISSN":"0019-7858","issue":"4","journalAbbreviation":"Industrial and Commercial Training","note":"publisher: Emerald Group Publishing Limited","page":"220-225","title":"Means and ends: effective training evaluation","volume":"42","author":[{"family":"Griffin","given":"Richard Paul"}],"issued":{"date-parts":[["2010"]]}}}],"schema":"https://github.com/citation-style-language/schema/raw/master/csl-citation.json"} </w:instrText>
      </w:r>
      <w:r>
        <w:rPr>
          <w:rFonts w:ascii="Arial" w:hAnsi="Arial" w:cs="Arial"/>
        </w:rPr>
        <w:fldChar w:fldCharType="separate"/>
      </w:r>
      <w:r>
        <w:rPr>
          <w:rFonts w:ascii="Arial" w:hAnsi="Arial" w:cs="Arial"/>
        </w:rPr>
        <w:t>(Griffin, 2010)</w:t>
      </w:r>
      <w:r>
        <w:rPr>
          <w:rFonts w:ascii="Arial" w:hAnsi="Arial" w:cs="Arial"/>
        </w:rPr>
        <w:fldChar w:fldCharType="end"/>
      </w:r>
      <w:r>
        <w:rPr>
          <w:rFonts w:ascii="Arial" w:hAnsi="Arial" w:cs="Arial"/>
        </w:rPr>
        <w:t>. It should include an assessment of the achievement of training objectives, a comprehensive assessment of the effectiveness of the L&amp;D, an assessment of the performance of the trainers, and an assessment of the relevance of the trainees' improved knowledge and skills to the training received. For Nottinghamshire Healthcare NHS Trust, the implementation of education and training is an effective way to improve the 'soft power' of the organisation. However, in the current situation, the importance of evaluating the effectiveness of training in Nottinghamshire Healthcare NHS Trust's staff education and training system has been overlooked, thus affecting the effectiveness of training and the conversion of training outcomes. Specifically, the management of the hospital did not properly understand the importance and role of the implementation of training evaluation operations. In terms of the actual operation of the company, the management has not yet properly understood the importance of conducting assessments and has not developed a comprehensive assessment system in line with the actual situation of the company.</w:t>
      </w:r>
    </w:p>
    <w:p>
      <w:pPr>
        <w:spacing w:before="156" w:beforeLines="50" w:after="312" w:afterLines="100" w:line="360" w:lineRule="auto"/>
        <w:jc w:val="both"/>
        <w:rPr>
          <w:rFonts w:ascii="Arial" w:hAnsi="Arial" w:cs="Arial"/>
        </w:rPr>
      </w:pPr>
      <w:r>
        <w:rPr>
          <w:rFonts w:ascii="Arial" w:hAnsi="Arial" w:cs="Arial"/>
        </w:rPr>
        <w:t>Moreover, at Nottinghamshire Healthcare NHS Trust, during the development of the L&amp;D evaluation dimensions, they are not selected in the light of the characteristics of the employees, but a whole set of training effectiveness evaluation indicators are used in general. This approach is one-sided and ignores employees' subjective perceptions of the effectiveness of the L&amp;D scheme, and makes it difficult to fairly assess the effectiveness of the L&amp;D framework for employees, which ultimately leads to a lack of authenticity in the evaluation information and feedback collected by managers and does not reflect the return on investment of employees during L&amp;D.</w:t>
      </w:r>
    </w:p>
    <w:p>
      <w:pPr>
        <w:spacing w:before="156" w:beforeLines="50" w:after="312" w:afterLines="100" w:line="360" w:lineRule="auto"/>
        <w:jc w:val="both"/>
        <w:rPr>
          <w:rFonts w:ascii="Arial" w:hAnsi="Arial" w:cs="Arial"/>
        </w:rPr>
      </w:pPr>
    </w:p>
    <w:p>
      <w:pPr>
        <w:spacing w:before="156" w:beforeLines="50" w:after="312" w:afterLines="100" w:line="360" w:lineRule="auto"/>
        <w:jc w:val="both"/>
        <w:rPr>
          <w:rFonts w:ascii="Arial" w:hAnsi="Arial" w:cs="Arial"/>
        </w:rPr>
      </w:pPr>
      <w:r>
        <w:rPr>
          <w:rFonts w:hint="eastAsia" w:ascii="Arial" w:hAnsi="Arial" w:cs="Arial"/>
        </w:rPr>
        <w:t>R</w:t>
      </w:r>
      <w:r>
        <w:rPr>
          <w:rFonts w:ascii="Arial" w:hAnsi="Arial" w:cs="Arial"/>
        </w:rPr>
        <w:t>ef:</w:t>
      </w:r>
    </w:p>
    <w:p>
      <w:pPr>
        <w:pStyle w:val="41"/>
        <w:spacing w:before="156" w:beforeLines="50" w:after="312" w:afterLines="100" w:line="360" w:lineRule="auto"/>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Pr>
          <w:rFonts w:ascii="Arial" w:hAnsi="Arial" w:cs="Arial"/>
        </w:rPr>
        <w:t xml:space="preserve">Abbasi-Moghaddam, M.A. </w:t>
      </w:r>
      <w:r>
        <w:rPr>
          <w:rFonts w:ascii="Arial" w:hAnsi="Arial" w:cs="Arial"/>
          <w:i/>
          <w:iCs/>
        </w:rPr>
        <w:t>et al.</w:t>
      </w:r>
      <w:r>
        <w:rPr>
          <w:rFonts w:ascii="Arial" w:hAnsi="Arial" w:cs="Arial"/>
        </w:rPr>
        <w:t xml:space="preserve"> (2019) ‘Evaluation of service quality from patients’ viewpoint’, </w:t>
      </w:r>
      <w:r>
        <w:rPr>
          <w:rFonts w:ascii="Arial" w:hAnsi="Arial" w:cs="Arial"/>
          <w:i/>
          <w:iCs/>
        </w:rPr>
        <w:t>BMC health services research</w:t>
      </w:r>
      <w:r>
        <w:rPr>
          <w:rFonts w:ascii="Arial" w:hAnsi="Arial" w:cs="Arial"/>
        </w:rPr>
        <w:t>, 19(1), pp. 1–7.</w:t>
      </w:r>
    </w:p>
    <w:p>
      <w:pPr>
        <w:pStyle w:val="41"/>
        <w:spacing w:before="156" w:beforeLines="50" w:after="312" w:afterLines="100" w:line="360" w:lineRule="auto"/>
        <w:rPr>
          <w:rFonts w:ascii="Arial" w:hAnsi="Arial" w:cs="Arial"/>
        </w:rPr>
      </w:pPr>
      <w:r>
        <w:rPr>
          <w:rFonts w:ascii="Arial" w:hAnsi="Arial" w:cs="Arial"/>
        </w:rPr>
        <w:t xml:space="preserve">Asnawi, A. </w:t>
      </w:r>
      <w:r>
        <w:rPr>
          <w:rFonts w:ascii="Arial" w:hAnsi="Arial" w:cs="Arial"/>
          <w:i/>
          <w:iCs/>
        </w:rPr>
        <w:t>et al.</w:t>
      </w:r>
      <w:r>
        <w:rPr>
          <w:rFonts w:ascii="Arial" w:hAnsi="Arial" w:cs="Arial"/>
        </w:rPr>
        <w:t xml:space="preserve"> (2019) ‘The influence of hospital image and service quality on patients’ satisfaction and loyalty’, </w:t>
      </w:r>
      <w:r>
        <w:rPr>
          <w:rFonts w:ascii="Arial" w:hAnsi="Arial" w:cs="Arial"/>
          <w:i/>
          <w:iCs/>
        </w:rPr>
        <w:t>Management Science Letters</w:t>
      </w:r>
      <w:r>
        <w:rPr>
          <w:rFonts w:ascii="Arial" w:hAnsi="Arial" w:cs="Arial"/>
        </w:rPr>
        <w:t>, 9(6), pp. 911–920.</w:t>
      </w:r>
    </w:p>
    <w:p>
      <w:pPr>
        <w:pStyle w:val="41"/>
        <w:spacing w:before="156" w:beforeLines="50" w:after="312" w:afterLines="100" w:line="360" w:lineRule="auto"/>
        <w:rPr>
          <w:rFonts w:ascii="Arial" w:hAnsi="Arial" w:cs="Arial"/>
        </w:rPr>
      </w:pPr>
      <w:r>
        <w:rPr>
          <w:rFonts w:ascii="Arial" w:hAnsi="Arial" w:cs="Arial"/>
        </w:rPr>
        <w:t xml:space="preserve">Chang, C.-S., Chen, S.-Y. and Lan, Y.-T. (2013) ‘Service quality, trust, and patient satisfaction in interpersonal-based medical service encounters’, </w:t>
      </w:r>
      <w:r>
        <w:rPr>
          <w:rFonts w:ascii="Arial" w:hAnsi="Arial" w:cs="Arial"/>
          <w:i/>
          <w:iCs/>
        </w:rPr>
        <w:t>BMC health services research</w:t>
      </w:r>
      <w:r>
        <w:rPr>
          <w:rFonts w:ascii="Arial" w:hAnsi="Arial" w:cs="Arial"/>
        </w:rPr>
        <w:t>, 13(1), pp. 1–11.</w:t>
      </w:r>
    </w:p>
    <w:p>
      <w:pPr>
        <w:pStyle w:val="41"/>
        <w:spacing w:before="156" w:beforeLines="50" w:after="312" w:afterLines="100" w:line="360" w:lineRule="auto"/>
        <w:rPr>
          <w:rFonts w:ascii="Arial" w:hAnsi="Arial" w:cs="Arial"/>
        </w:rPr>
      </w:pPr>
      <w:r>
        <w:rPr>
          <w:rFonts w:ascii="Arial" w:hAnsi="Arial" w:cs="Arial"/>
        </w:rPr>
        <w:t xml:space="preserve">Griffin, R.P. (2010) ‘Means and ends: effective training evaluation’, </w:t>
      </w:r>
      <w:r>
        <w:rPr>
          <w:rFonts w:ascii="Arial" w:hAnsi="Arial" w:cs="Arial"/>
          <w:i/>
          <w:iCs/>
        </w:rPr>
        <w:t>Industrial and Commercial Training</w:t>
      </w:r>
      <w:r>
        <w:rPr>
          <w:rFonts w:ascii="Arial" w:hAnsi="Arial" w:cs="Arial"/>
        </w:rPr>
        <w:t>, 42(4), pp. 220–225.</w:t>
      </w:r>
    </w:p>
    <w:p>
      <w:pPr>
        <w:pStyle w:val="41"/>
        <w:spacing w:before="156" w:beforeLines="50" w:after="312" w:afterLines="100" w:line="360" w:lineRule="auto"/>
        <w:rPr>
          <w:rFonts w:ascii="Arial" w:hAnsi="Arial" w:cs="Arial"/>
        </w:rPr>
      </w:pPr>
      <w:r>
        <w:rPr>
          <w:rFonts w:ascii="Arial" w:hAnsi="Arial" w:cs="Arial"/>
        </w:rPr>
        <w:t xml:space="preserve">Phillips, J.J. and Phillips, P.P. (2016) </w:t>
      </w:r>
      <w:r>
        <w:rPr>
          <w:rFonts w:ascii="Arial" w:hAnsi="Arial" w:cs="Arial"/>
          <w:i/>
          <w:iCs/>
        </w:rPr>
        <w:t>Handbook of training evaluation and measurement methods</w:t>
      </w:r>
      <w:r>
        <w:rPr>
          <w:rFonts w:ascii="Arial" w:hAnsi="Arial" w:cs="Arial"/>
        </w:rPr>
        <w:t>. Routledge.</w:t>
      </w:r>
    </w:p>
    <w:p>
      <w:pPr>
        <w:pStyle w:val="41"/>
        <w:spacing w:before="156" w:beforeLines="50" w:after="312" w:afterLines="100" w:line="360" w:lineRule="auto"/>
        <w:rPr>
          <w:rFonts w:ascii="Arial" w:hAnsi="Arial" w:cs="Arial"/>
        </w:rPr>
      </w:pPr>
      <w:r>
        <w:rPr>
          <w:rFonts w:ascii="Arial" w:hAnsi="Arial" w:cs="Arial"/>
        </w:rPr>
        <w:t xml:space="preserve">Schneider, A.M., Oppel, E.-M. and Winter, V. (2021) ‘Explaining variations in hospitals’ use of strategic human resource management: How environmental and organizational factors matter’, </w:t>
      </w:r>
      <w:r>
        <w:rPr>
          <w:rFonts w:ascii="Arial" w:hAnsi="Arial" w:cs="Arial"/>
          <w:i/>
          <w:iCs/>
        </w:rPr>
        <w:t>Health Care Management Review</w:t>
      </w:r>
      <w:r>
        <w:rPr>
          <w:rFonts w:ascii="Arial" w:hAnsi="Arial" w:cs="Arial"/>
        </w:rPr>
        <w:t>, 46(1), pp. 2–11.</w:t>
      </w:r>
    </w:p>
    <w:p>
      <w:pPr>
        <w:pStyle w:val="41"/>
        <w:spacing w:before="156" w:beforeLines="50" w:after="312" w:afterLines="100" w:line="360" w:lineRule="auto"/>
        <w:rPr>
          <w:rFonts w:ascii="Arial" w:hAnsi="Arial" w:cs="Arial"/>
        </w:rPr>
      </w:pPr>
      <w:r>
        <w:rPr>
          <w:rFonts w:ascii="Arial" w:hAnsi="Arial" w:cs="Arial"/>
        </w:rPr>
        <w:t xml:space="preserve">Wakefield, M., Williams, D.R. and Le Menestrel, S. (2021) </w:t>
      </w:r>
      <w:r>
        <w:rPr>
          <w:rFonts w:ascii="Arial" w:hAnsi="Arial" w:cs="Arial"/>
          <w:i/>
          <w:iCs/>
        </w:rPr>
        <w:t>The future of nursing 2020-2030: Charting a path to achieve health equity</w:t>
      </w:r>
      <w:r>
        <w:rPr>
          <w:rFonts w:ascii="Arial" w:hAnsi="Arial" w:cs="Arial"/>
        </w:rPr>
        <w:t>. National Academy of Sciences.</w:t>
      </w:r>
    </w:p>
    <w:p>
      <w:pPr>
        <w:spacing w:before="156" w:beforeLines="50" w:after="312" w:afterLines="100" w:line="360" w:lineRule="auto"/>
        <w:jc w:val="both"/>
        <w:rPr>
          <w:rFonts w:hint="eastAsia" w:ascii="Arial" w:hAnsi="Arial" w:cs="Arial"/>
        </w:rPr>
      </w:pPr>
      <w:r>
        <w:rPr>
          <w:rFonts w:ascii="Arial" w:hAnsi="Arial" w:cs="Arial"/>
        </w:rPr>
        <w:fldChar w:fldCharType="end"/>
      </w:r>
    </w:p>
    <w:p>
      <w:pPr>
        <w:spacing w:before="156" w:beforeLines="50" w:after="312" w:afterLines="100" w:line="360" w:lineRule="auto"/>
        <w:jc w:val="both"/>
        <w:rPr>
          <w:rFonts w:ascii="Arial" w:hAnsi="Arial" w:cs="Arial"/>
        </w:rPr>
      </w:pPr>
    </w:p>
    <w:sectPr>
      <w:pgSz w:w="11906" w:h="16838"/>
      <w:pgMar w:top="1440" w:right="1080" w:bottom="1440" w:left="108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1"/>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M0Njc3s7Q0MjEyMTVR0lEKTi0uzszPAykwrAUAVSgf7iwAAAA="/>
    <w:docVar w:name="commondata" w:val="eyJoZGlkIjoiZTU0ZDdmMmJlM2U3NTA0ODY0ZmM0NzM5ZmJjNGUyNDMifQ=="/>
  </w:docVars>
  <w:rsids>
    <w:rsidRoot w:val="001B0569"/>
    <w:rsid w:val="001B0569"/>
    <w:rsid w:val="004A4EF5"/>
    <w:rsid w:val="00575151"/>
    <w:rsid w:val="00685CDF"/>
    <w:rsid w:val="006C5B2F"/>
    <w:rsid w:val="007E2D41"/>
    <w:rsid w:val="00D131D9"/>
    <w:rsid w:val="00F07B44"/>
    <w:rsid w:val="151264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6"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19"/>
    <w:qFormat/>
    <w:uiPriority w:val="9"/>
    <w:pPr>
      <w:keepNext/>
      <w:keepLines/>
      <w:pBdr>
        <w:bottom w:val="single" w:color="ED7D31" w:themeColor="accent2" w:sz="4" w:space="2"/>
      </w:pBdr>
      <w:spacing w:before="360" w:after="120" w:line="240" w:lineRule="auto"/>
      <w:outlineLvl w:val="0"/>
    </w:pPr>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paragraph" w:styleId="3">
    <w:name w:val="heading 2"/>
    <w:basedOn w:val="1"/>
    <w:next w:val="1"/>
    <w:link w:val="20"/>
    <w:unhideWhenUsed/>
    <w:qFormat/>
    <w:uiPriority w:val="9"/>
    <w:pPr>
      <w:keepNext/>
      <w:keepLines/>
      <w:spacing w:before="120" w:after="0" w:line="240" w:lineRule="auto"/>
      <w:outlineLvl w:val="1"/>
    </w:pPr>
    <w:rPr>
      <w:rFonts w:asciiTheme="majorHAnsi" w:hAnsiTheme="majorHAnsi" w:eastAsiaTheme="majorEastAsia" w:cstheme="majorBidi"/>
      <w:color w:val="ED7D31" w:themeColor="accent2"/>
      <w:sz w:val="36"/>
      <w:szCs w:val="36"/>
      <w14:textFill>
        <w14:solidFill>
          <w14:schemeClr w14:val="accent2"/>
        </w14:solidFill>
      </w14:textFill>
    </w:rPr>
  </w:style>
  <w:style w:type="paragraph" w:styleId="4">
    <w:name w:val="heading 3"/>
    <w:basedOn w:val="1"/>
    <w:next w:val="1"/>
    <w:link w:val="21"/>
    <w:semiHidden/>
    <w:unhideWhenUsed/>
    <w:qFormat/>
    <w:uiPriority w:val="9"/>
    <w:pPr>
      <w:keepNext/>
      <w:keepLines/>
      <w:spacing w:before="80" w:after="0" w:line="240" w:lineRule="auto"/>
      <w:outlineLvl w:val="2"/>
    </w:pPr>
    <w:rPr>
      <w:rFonts w:asciiTheme="majorHAnsi" w:hAnsiTheme="majorHAnsi" w:eastAsiaTheme="majorEastAsia" w:cstheme="majorBidi"/>
      <w:color w:val="C55A11" w:themeColor="accent2" w:themeShade="BF"/>
      <w:sz w:val="32"/>
      <w:szCs w:val="32"/>
    </w:rPr>
  </w:style>
  <w:style w:type="paragraph" w:styleId="5">
    <w:name w:val="heading 4"/>
    <w:basedOn w:val="1"/>
    <w:next w:val="1"/>
    <w:link w:val="22"/>
    <w:semiHidden/>
    <w:unhideWhenUsed/>
    <w:qFormat/>
    <w:uiPriority w:val="9"/>
    <w:pPr>
      <w:keepNext/>
      <w:keepLines/>
      <w:spacing w:before="80" w:after="0" w:line="240" w:lineRule="auto"/>
      <w:outlineLvl w:val="3"/>
    </w:pPr>
    <w:rPr>
      <w:rFonts w:asciiTheme="majorHAnsi" w:hAnsiTheme="majorHAnsi" w:eastAsiaTheme="majorEastAsia" w:cstheme="majorBidi"/>
      <w:i/>
      <w:iCs/>
      <w:color w:val="843C0B" w:themeColor="accent2" w:themeShade="80"/>
      <w:sz w:val="28"/>
      <w:szCs w:val="28"/>
    </w:rPr>
  </w:style>
  <w:style w:type="paragraph" w:styleId="6">
    <w:name w:val="heading 5"/>
    <w:basedOn w:val="1"/>
    <w:next w:val="1"/>
    <w:link w:val="23"/>
    <w:semiHidden/>
    <w:unhideWhenUsed/>
    <w:qFormat/>
    <w:uiPriority w:val="9"/>
    <w:pPr>
      <w:keepNext/>
      <w:keepLines/>
      <w:spacing w:before="80" w:after="0" w:line="240" w:lineRule="auto"/>
      <w:outlineLvl w:val="4"/>
    </w:pPr>
    <w:rPr>
      <w:rFonts w:asciiTheme="majorHAnsi" w:hAnsiTheme="majorHAnsi" w:eastAsiaTheme="majorEastAsia" w:cstheme="majorBidi"/>
      <w:color w:val="C55A11" w:themeColor="accent2" w:themeShade="BF"/>
      <w:sz w:val="24"/>
      <w:szCs w:val="24"/>
    </w:rPr>
  </w:style>
  <w:style w:type="paragraph" w:styleId="7">
    <w:name w:val="heading 6"/>
    <w:basedOn w:val="1"/>
    <w:next w:val="1"/>
    <w:link w:val="24"/>
    <w:semiHidden/>
    <w:unhideWhenUsed/>
    <w:qFormat/>
    <w:uiPriority w:val="9"/>
    <w:pPr>
      <w:keepNext/>
      <w:keepLines/>
      <w:spacing w:before="80" w:after="0" w:line="240" w:lineRule="auto"/>
      <w:outlineLvl w:val="5"/>
    </w:pPr>
    <w:rPr>
      <w:rFonts w:asciiTheme="majorHAnsi" w:hAnsiTheme="majorHAnsi" w:eastAsiaTheme="majorEastAsia" w:cstheme="majorBidi"/>
      <w:i/>
      <w:iCs/>
      <w:color w:val="843C0B" w:themeColor="accent2" w:themeShade="80"/>
      <w:sz w:val="24"/>
      <w:szCs w:val="24"/>
    </w:rPr>
  </w:style>
  <w:style w:type="paragraph" w:styleId="8">
    <w:name w:val="heading 7"/>
    <w:basedOn w:val="1"/>
    <w:next w:val="1"/>
    <w:link w:val="25"/>
    <w:semiHidden/>
    <w:unhideWhenUsed/>
    <w:qFormat/>
    <w:uiPriority w:val="9"/>
    <w:pPr>
      <w:keepNext/>
      <w:keepLines/>
      <w:spacing w:before="80" w:after="0" w:line="240" w:lineRule="auto"/>
      <w:outlineLvl w:val="6"/>
    </w:pPr>
    <w:rPr>
      <w:rFonts w:asciiTheme="majorHAnsi" w:hAnsiTheme="majorHAnsi" w:eastAsiaTheme="majorEastAsia" w:cstheme="majorBidi"/>
      <w:b/>
      <w:bCs/>
      <w:color w:val="843C0B" w:themeColor="accent2" w:themeShade="80"/>
      <w:sz w:val="22"/>
      <w:szCs w:val="22"/>
    </w:rPr>
  </w:style>
  <w:style w:type="paragraph" w:styleId="9">
    <w:name w:val="heading 8"/>
    <w:basedOn w:val="1"/>
    <w:next w:val="1"/>
    <w:link w:val="26"/>
    <w:semiHidden/>
    <w:unhideWhenUsed/>
    <w:qFormat/>
    <w:uiPriority w:val="9"/>
    <w:pPr>
      <w:keepNext/>
      <w:keepLines/>
      <w:spacing w:before="80" w:after="0" w:line="240" w:lineRule="auto"/>
      <w:outlineLvl w:val="7"/>
    </w:pPr>
    <w:rPr>
      <w:rFonts w:asciiTheme="majorHAnsi" w:hAnsiTheme="majorHAnsi" w:eastAsiaTheme="majorEastAsia" w:cstheme="majorBidi"/>
      <w:color w:val="843C0B" w:themeColor="accent2" w:themeShade="80"/>
      <w:sz w:val="22"/>
      <w:szCs w:val="22"/>
    </w:rPr>
  </w:style>
  <w:style w:type="paragraph" w:styleId="10">
    <w:name w:val="heading 9"/>
    <w:basedOn w:val="1"/>
    <w:next w:val="1"/>
    <w:link w:val="27"/>
    <w:semiHidden/>
    <w:unhideWhenUsed/>
    <w:qFormat/>
    <w:uiPriority w:val="9"/>
    <w:pPr>
      <w:keepNext/>
      <w:keepLines/>
      <w:spacing w:before="80" w:after="0" w:line="240" w:lineRule="auto"/>
      <w:outlineLvl w:val="8"/>
    </w:pPr>
    <w:rPr>
      <w:rFonts w:asciiTheme="majorHAnsi" w:hAnsiTheme="majorHAnsi" w:eastAsiaTheme="majorEastAsia" w:cstheme="majorBidi"/>
      <w:i/>
      <w:iCs/>
      <w:color w:val="843C0B" w:themeColor="accent2" w:themeShade="80"/>
      <w:sz w:val="22"/>
      <w:szCs w:val="22"/>
    </w:rPr>
  </w:style>
  <w:style w:type="character" w:default="1" w:styleId="15">
    <w:name w:val="Default Paragraph Font"/>
    <w:unhideWhenUsed/>
    <w:uiPriority w:val="1"/>
  </w:style>
  <w:style w:type="table" w:default="1" w:styleId="14">
    <w:name w:val="Normal Table"/>
    <w:semiHidden/>
    <w:unhideWhenUsed/>
    <w:uiPriority w:val="99"/>
    <w:tblPr>
      <w:tblCellMar>
        <w:top w:w="0" w:type="dxa"/>
        <w:left w:w="108" w:type="dxa"/>
        <w:bottom w:w="0" w:type="dxa"/>
        <w:right w:w="108" w:type="dxa"/>
      </w:tblCellMar>
    </w:tblPr>
  </w:style>
  <w:style w:type="paragraph" w:styleId="11">
    <w:name w:val="caption"/>
    <w:basedOn w:val="1"/>
    <w:next w:val="1"/>
    <w:semiHidden/>
    <w:unhideWhenUsed/>
    <w:qFormat/>
    <w:uiPriority w:val="35"/>
    <w:pPr>
      <w:spacing w:line="240" w:lineRule="auto"/>
    </w:pPr>
    <w:rPr>
      <w:b/>
      <w:bCs/>
      <w:color w:val="404040" w:themeColor="text1" w:themeTint="BF"/>
      <w:sz w:val="16"/>
      <w:szCs w:val="16"/>
      <w14:textFill>
        <w14:solidFill>
          <w14:schemeClr w14:val="tx1">
            <w14:lumMod w14:val="75000"/>
            <w14:lumOff w14:val="25000"/>
          </w14:schemeClr>
        </w14:solidFill>
      </w14:textFill>
    </w:rPr>
  </w:style>
  <w:style w:type="paragraph" w:styleId="12">
    <w:name w:val="Subtitle"/>
    <w:basedOn w:val="1"/>
    <w:next w:val="1"/>
    <w:link w:val="29"/>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paragraph" w:styleId="13">
    <w:name w:val="Title"/>
    <w:basedOn w:val="1"/>
    <w:next w:val="1"/>
    <w:link w:val="28"/>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styleId="16">
    <w:name w:val="Strong"/>
    <w:basedOn w:val="15"/>
    <w:qFormat/>
    <w:uiPriority w:val="22"/>
    <w:rPr>
      <w:b/>
      <w:bCs/>
    </w:rPr>
  </w:style>
  <w:style w:type="character" w:styleId="17">
    <w:name w:val="Emphasis"/>
    <w:basedOn w:val="15"/>
    <w:qFormat/>
    <w:uiPriority w:val="20"/>
    <w:rPr>
      <w:i/>
      <w:iCs/>
      <w:color w:val="000000" w:themeColor="text1"/>
      <w14:textFill>
        <w14:solidFill>
          <w14:schemeClr w14:val="tx1"/>
        </w14:solidFill>
      </w14:textFill>
    </w:rPr>
  </w:style>
  <w:style w:type="character" w:styleId="18">
    <w:name w:val="Hyperlink"/>
    <w:basedOn w:val="15"/>
    <w:semiHidden/>
    <w:unhideWhenUsed/>
    <w:uiPriority w:val="99"/>
    <w:rPr>
      <w:color w:val="0000FF"/>
      <w:u w:val="single"/>
    </w:rPr>
  </w:style>
  <w:style w:type="character" w:customStyle="1" w:styleId="19">
    <w:name w:val="标题 1 字符"/>
    <w:basedOn w:val="15"/>
    <w:link w:val="2"/>
    <w:uiPriority w:val="9"/>
    <w:rPr>
      <w:rFonts w:asciiTheme="majorHAnsi" w:hAnsiTheme="majorHAnsi" w:eastAsiaTheme="majorEastAsia" w:cstheme="majorBidi"/>
      <w:color w:val="262626" w:themeColor="text1" w:themeTint="D9"/>
      <w:sz w:val="40"/>
      <w:szCs w:val="40"/>
      <w14:textFill>
        <w14:solidFill>
          <w14:schemeClr w14:val="tx1">
            <w14:lumMod w14:val="85000"/>
            <w14:lumOff w14:val="15000"/>
          </w14:schemeClr>
        </w14:solidFill>
      </w14:textFill>
    </w:rPr>
  </w:style>
  <w:style w:type="character" w:customStyle="1" w:styleId="20">
    <w:name w:val="标题 2 字符"/>
    <w:basedOn w:val="15"/>
    <w:link w:val="3"/>
    <w:uiPriority w:val="9"/>
    <w:rPr>
      <w:rFonts w:asciiTheme="majorHAnsi" w:hAnsiTheme="majorHAnsi" w:eastAsiaTheme="majorEastAsia" w:cstheme="majorBidi"/>
      <w:color w:val="ED7D31" w:themeColor="accent2"/>
      <w:sz w:val="36"/>
      <w:szCs w:val="36"/>
      <w14:textFill>
        <w14:solidFill>
          <w14:schemeClr w14:val="accent2"/>
        </w14:solidFill>
      </w14:textFill>
    </w:rPr>
  </w:style>
  <w:style w:type="character" w:customStyle="1" w:styleId="21">
    <w:name w:val="标题 3 字符"/>
    <w:basedOn w:val="15"/>
    <w:link w:val="4"/>
    <w:semiHidden/>
    <w:uiPriority w:val="9"/>
    <w:rPr>
      <w:rFonts w:asciiTheme="majorHAnsi" w:hAnsiTheme="majorHAnsi" w:eastAsiaTheme="majorEastAsia" w:cstheme="majorBidi"/>
      <w:color w:val="C55A11" w:themeColor="accent2" w:themeShade="BF"/>
      <w:sz w:val="32"/>
      <w:szCs w:val="32"/>
    </w:rPr>
  </w:style>
  <w:style w:type="character" w:customStyle="1" w:styleId="22">
    <w:name w:val="标题 4 字符"/>
    <w:basedOn w:val="15"/>
    <w:link w:val="5"/>
    <w:semiHidden/>
    <w:uiPriority w:val="9"/>
    <w:rPr>
      <w:rFonts w:asciiTheme="majorHAnsi" w:hAnsiTheme="majorHAnsi" w:eastAsiaTheme="majorEastAsia" w:cstheme="majorBidi"/>
      <w:i/>
      <w:iCs/>
      <w:color w:val="843C0B" w:themeColor="accent2" w:themeShade="80"/>
      <w:sz w:val="28"/>
      <w:szCs w:val="28"/>
    </w:rPr>
  </w:style>
  <w:style w:type="character" w:customStyle="1" w:styleId="23">
    <w:name w:val="标题 5 字符"/>
    <w:basedOn w:val="15"/>
    <w:link w:val="6"/>
    <w:semiHidden/>
    <w:uiPriority w:val="9"/>
    <w:rPr>
      <w:rFonts w:asciiTheme="majorHAnsi" w:hAnsiTheme="majorHAnsi" w:eastAsiaTheme="majorEastAsia" w:cstheme="majorBidi"/>
      <w:color w:val="C55A11" w:themeColor="accent2" w:themeShade="BF"/>
      <w:sz w:val="24"/>
      <w:szCs w:val="24"/>
    </w:rPr>
  </w:style>
  <w:style w:type="character" w:customStyle="1" w:styleId="24">
    <w:name w:val="标题 6 字符"/>
    <w:basedOn w:val="15"/>
    <w:link w:val="7"/>
    <w:semiHidden/>
    <w:uiPriority w:val="9"/>
    <w:rPr>
      <w:rFonts w:asciiTheme="majorHAnsi" w:hAnsiTheme="majorHAnsi" w:eastAsiaTheme="majorEastAsia" w:cstheme="majorBidi"/>
      <w:i/>
      <w:iCs/>
      <w:color w:val="843C0B" w:themeColor="accent2" w:themeShade="80"/>
      <w:sz w:val="24"/>
      <w:szCs w:val="24"/>
    </w:rPr>
  </w:style>
  <w:style w:type="character" w:customStyle="1" w:styleId="25">
    <w:name w:val="标题 7 字符"/>
    <w:basedOn w:val="15"/>
    <w:link w:val="8"/>
    <w:semiHidden/>
    <w:uiPriority w:val="9"/>
    <w:rPr>
      <w:rFonts w:asciiTheme="majorHAnsi" w:hAnsiTheme="majorHAnsi" w:eastAsiaTheme="majorEastAsia" w:cstheme="majorBidi"/>
      <w:b/>
      <w:bCs/>
      <w:color w:val="843C0B" w:themeColor="accent2" w:themeShade="80"/>
      <w:sz w:val="22"/>
      <w:szCs w:val="22"/>
    </w:rPr>
  </w:style>
  <w:style w:type="character" w:customStyle="1" w:styleId="26">
    <w:name w:val="标题 8 字符"/>
    <w:basedOn w:val="15"/>
    <w:link w:val="9"/>
    <w:semiHidden/>
    <w:uiPriority w:val="9"/>
    <w:rPr>
      <w:rFonts w:asciiTheme="majorHAnsi" w:hAnsiTheme="majorHAnsi" w:eastAsiaTheme="majorEastAsia" w:cstheme="majorBidi"/>
      <w:color w:val="843C0B" w:themeColor="accent2" w:themeShade="80"/>
      <w:sz w:val="22"/>
      <w:szCs w:val="22"/>
    </w:rPr>
  </w:style>
  <w:style w:type="character" w:customStyle="1" w:styleId="27">
    <w:name w:val="标题 9 字符"/>
    <w:basedOn w:val="15"/>
    <w:link w:val="10"/>
    <w:semiHidden/>
    <w:qFormat/>
    <w:uiPriority w:val="9"/>
    <w:rPr>
      <w:rFonts w:asciiTheme="majorHAnsi" w:hAnsiTheme="majorHAnsi" w:eastAsiaTheme="majorEastAsia" w:cstheme="majorBidi"/>
      <w:i/>
      <w:iCs/>
      <w:color w:val="843C0B" w:themeColor="accent2" w:themeShade="80"/>
      <w:sz w:val="22"/>
      <w:szCs w:val="22"/>
    </w:rPr>
  </w:style>
  <w:style w:type="character" w:customStyle="1" w:styleId="28">
    <w:name w:val="标题 字符"/>
    <w:basedOn w:val="15"/>
    <w:link w:val="13"/>
    <w:uiPriority w:val="10"/>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customStyle="1" w:styleId="29">
    <w:name w:val="副标题 字符"/>
    <w:basedOn w:val="15"/>
    <w:link w:val="12"/>
    <w:uiPriority w:val="11"/>
    <w:rPr>
      <w:caps/>
      <w:color w:val="404040" w:themeColor="text1" w:themeTint="BF"/>
      <w:spacing w:val="20"/>
      <w:sz w:val="28"/>
      <w:szCs w:val="28"/>
      <w14:textFill>
        <w14:solidFill>
          <w14:schemeClr w14:val="tx1">
            <w14:lumMod w14:val="75000"/>
            <w14:lumOff w14:val="25000"/>
          </w14:schemeClr>
        </w14:solidFill>
      </w14:textFill>
    </w:rPr>
  </w:style>
  <w:style w:type="paragraph" w:styleId="30">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styleId="31">
    <w:name w:val="Quote"/>
    <w:basedOn w:val="1"/>
    <w:next w:val="1"/>
    <w:link w:val="32"/>
    <w:qFormat/>
    <w:uiPriority w:val="29"/>
    <w:pPr>
      <w:spacing w:before="160"/>
      <w:ind w:left="720" w:right="720"/>
      <w:jc w:val="center"/>
    </w:pPr>
    <w:rPr>
      <w:rFonts w:asciiTheme="majorHAnsi" w:hAnsiTheme="majorHAnsi" w:eastAsiaTheme="majorEastAsia" w:cstheme="majorBidi"/>
      <w:color w:val="000000" w:themeColor="text1"/>
      <w:sz w:val="24"/>
      <w:szCs w:val="24"/>
      <w14:textFill>
        <w14:solidFill>
          <w14:schemeClr w14:val="tx1"/>
        </w14:solidFill>
      </w14:textFill>
    </w:rPr>
  </w:style>
  <w:style w:type="character" w:customStyle="1" w:styleId="32">
    <w:name w:val="引用 字符"/>
    <w:basedOn w:val="15"/>
    <w:link w:val="31"/>
    <w:uiPriority w:val="29"/>
    <w:rPr>
      <w:rFonts w:asciiTheme="majorHAnsi" w:hAnsiTheme="majorHAnsi" w:eastAsiaTheme="majorEastAsia" w:cstheme="majorBidi"/>
      <w:color w:val="000000" w:themeColor="text1"/>
      <w:sz w:val="24"/>
      <w:szCs w:val="24"/>
      <w14:textFill>
        <w14:solidFill>
          <w14:schemeClr w14:val="tx1"/>
        </w14:solidFill>
      </w14:textFill>
    </w:rPr>
  </w:style>
  <w:style w:type="paragraph" w:styleId="33">
    <w:name w:val="Intense Quote"/>
    <w:basedOn w:val="1"/>
    <w:next w:val="1"/>
    <w:link w:val="34"/>
    <w:qFormat/>
    <w:uiPriority w:val="30"/>
    <w:pPr>
      <w:pBdr>
        <w:top w:val="single" w:color="ED7D31"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customStyle="1" w:styleId="34">
    <w:name w:val="明显引用 字符"/>
    <w:basedOn w:val="15"/>
    <w:link w:val="33"/>
    <w:uiPriority w:val="30"/>
    <w:rPr>
      <w:rFonts w:asciiTheme="majorHAnsi" w:hAnsiTheme="majorHAnsi" w:eastAsiaTheme="majorEastAsia" w:cstheme="majorBidi"/>
      <w:sz w:val="24"/>
      <w:szCs w:val="24"/>
    </w:rPr>
  </w:style>
  <w:style w:type="character" w:customStyle="1" w:styleId="35">
    <w:name w:val="Subtle Emphasis"/>
    <w:basedOn w:val="15"/>
    <w:qFormat/>
    <w:uiPriority w:val="19"/>
    <w:rPr>
      <w:i/>
      <w:iCs/>
      <w:color w:val="595959" w:themeColor="text1" w:themeTint="A6"/>
      <w14:textFill>
        <w14:solidFill>
          <w14:schemeClr w14:val="tx1">
            <w14:lumMod w14:val="65000"/>
            <w14:lumOff w14:val="35000"/>
          </w14:schemeClr>
        </w14:solidFill>
      </w14:textFill>
    </w:rPr>
  </w:style>
  <w:style w:type="character" w:customStyle="1" w:styleId="36">
    <w:name w:val="Intense Emphasis"/>
    <w:basedOn w:val="15"/>
    <w:qFormat/>
    <w:uiPriority w:val="21"/>
    <w:rPr>
      <w:b/>
      <w:bCs/>
      <w:i/>
      <w:iCs/>
      <w:color w:val="ED7D31" w:themeColor="accent2"/>
      <w14:textFill>
        <w14:solidFill>
          <w14:schemeClr w14:val="accent2"/>
        </w14:solidFill>
      </w14:textFill>
    </w:rPr>
  </w:style>
  <w:style w:type="character" w:customStyle="1" w:styleId="37">
    <w:name w:val="Subtle Reference"/>
    <w:basedOn w:val="15"/>
    <w:qFormat/>
    <w:uiPriority w:val="31"/>
    <w:rPr>
      <w:smallCaps/>
      <w:color w:val="404040" w:themeColor="text1" w:themeTint="BF"/>
      <w:spacing w:val="0"/>
      <w:u w:val="single" w:color="7E7E7E" w:themeColor="text1" w:themeTint="80"/>
      <w14:textFill>
        <w14:solidFill>
          <w14:schemeClr w14:val="tx1">
            <w14:lumMod w14:val="75000"/>
            <w14:lumOff w14:val="25000"/>
          </w14:schemeClr>
        </w14:solidFill>
      </w14:textFill>
    </w:rPr>
  </w:style>
  <w:style w:type="character" w:customStyle="1" w:styleId="38">
    <w:name w:val="Intense Reference"/>
    <w:basedOn w:val="15"/>
    <w:qFormat/>
    <w:uiPriority w:val="32"/>
    <w:rPr>
      <w:b/>
      <w:bCs/>
      <w:smallCaps/>
      <w:color w:val="auto"/>
      <w:spacing w:val="0"/>
      <w:u w:val="single"/>
    </w:rPr>
  </w:style>
  <w:style w:type="character" w:customStyle="1" w:styleId="39">
    <w:name w:val="Book Title"/>
    <w:basedOn w:val="15"/>
    <w:qFormat/>
    <w:uiPriority w:val="33"/>
    <w:rPr>
      <w:b/>
      <w:bCs/>
      <w:smallCaps/>
      <w:spacing w:val="0"/>
    </w:rPr>
  </w:style>
  <w:style w:type="paragraph" w:customStyle="1" w:styleId="40">
    <w:name w:val="TOC Heading"/>
    <w:basedOn w:val="2"/>
    <w:next w:val="1"/>
    <w:semiHidden/>
    <w:unhideWhenUsed/>
    <w:qFormat/>
    <w:uiPriority w:val="39"/>
    <w:pPr>
      <w:outlineLvl w:val="9"/>
    </w:pPr>
  </w:style>
  <w:style w:type="paragraph" w:customStyle="1" w:styleId="41">
    <w:name w:val="Bibliography"/>
    <w:basedOn w:val="1"/>
    <w:next w:val="1"/>
    <w:unhideWhenUsed/>
    <w:uiPriority w:val="37"/>
    <w:pPr>
      <w:spacing w:after="240" w:line="240" w:lineRule="auto"/>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4</Pages>
  <Words>1124</Words>
  <Characters>6445</Characters>
  <Lines>100</Lines>
  <Paragraphs>28</Paragraphs>
  <TotalTime>8</TotalTime>
  <ScaleCrop>false</ScaleCrop>
  <LinksUpToDate>false</LinksUpToDate>
  <CharactersWithSpaces>7560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2023-04-16T16:56:00Z</dcterms:created>
  <dc:creator>admin admin</dc:creator>
  <cp:lastModifiedBy>@</cp:lastModifiedBy>
  <dcterms:modified xsi:type="dcterms:W3CDTF">2023-04-30T14:43:34Z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id="OMkb06zk"/&gt;&lt;style id="http://www.zotero.org/styles/harvard-cite-them-right" hasBibliography="1" bibliographyStyleHasBeenSet="1"/&gt;&lt;prefs&gt;&lt;pref name="fieldType" value="Field"/&gt;&lt;/prefs&gt;&lt;/data&gt;</vt:lpwstr>
  </property>
  <property fmtid="{D5CDD505-2E9C-101B-9397-08002B2CF9AE}" pid="3" name="KSOProductBuildVer">
    <vt:lpwstr>2052-11.1.0.14036</vt:lpwstr>
  </property>
  <property fmtid="{D5CDD505-2E9C-101B-9397-08002B2CF9AE}" pid="4" name="ICV">
    <vt:lpwstr>40E6163DD7884396AD1C5EEE52E730D5_13</vt:lpwstr>
  </property>
</Properties>
</file>