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571EC182" w14:paraId="5E5787A5" wp14:textId="3619ECB1">
      <w:pPr>
        <w:pStyle w:val="Normal"/>
        <w:jc w:val="center"/>
        <w:rPr>
          <w:b w:val="1"/>
          <w:bCs w:val="1"/>
          <w:sz w:val="40"/>
          <w:szCs w:val="40"/>
          <w:u w:val="single"/>
        </w:rPr>
      </w:pPr>
      <w:r w:rsidRPr="571EC182" w:rsidR="571EC182">
        <w:rPr>
          <w:b w:val="1"/>
          <w:bCs w:val="1"/>
          <w:sz w:val="40"/>
          <w:szCs w:val="40"/>
          <w:u w:val="single"/>
        </w:rPr>
        <w:t>A Guidance Handbook for Early Years keyworkers during childhood transitions</w:t>
      </w:r>
    </w:p>
    <w:p w:rsidR="571EC182" w:rsidP="571EC182" w:rsidRDefault="571EC182" w14:paraId="39F1CA91" w14:textId="4F7EC138">
      <w:pPr>
        <w:pStyle w:val="Normal"/>
        <w:jc w:val="center"/>
        <w:rPr>
          <w:b w:val="1"/>
          <w:bCs w:val="1"/>
          <w:sz w:val="40"/>
          <w:szCs w:val="40"/>
          <w:u w:val="single"/>
        </w:rPr>
      </w:pPr>
    </w:p>
    <w:p w:rsidR="571EC182" w:rsidP="571EC182" w:rsidRDefault="571EC182" w14:paraId="095F9135" w14:textId="6553F1BF">
      <w:pPr>
        <w:pStyle w:val="Normal"/>
        <w:jc w:val="center"/>
        <w:rPr>
          <w:b w:val="1"/>
          <w:bCs w:val="1"/>
          <w:sz w:val="40"/>
          <w:szCs w:val="40"/>
          <w:u w:val="single"/>
        </w:rPr>
      </w:pPr>
    </w:p>
    <w:p w:rsidR="571EC182" w:rsidP="571EC182" w:rsidRDefault="571EC182" w14:paraId="43E257BE" w14:textId="6BC8EC6F">
      <w:pPr>
        <w:pStyle w:val="Normal"/>
        <w:jc w:val="center"/>
        <w:rPr>
          <w:b w:val="1"/>
          <w:bCs w:val="1"/>
          <w:sz w:val="40"/>
          <w:szCs w:val="40"/>
          <w:u w:val="single"/>
        </w:rPr>
      </w:pPr>
    </w:p>
    <w:p w:rsidR="571EC182" w:rsidP="571EC182" w:rsidRDefault="571EC182" w14:paraId="4DAAA185" w14:textId="6AA5C2AE">
      <w:pPr>
        <w:pStyle w:val="Normal"/>
        <w:jc w:val="center"/>
        <w:rPr>
          <w:b w:val="1"/>
          <w:bCs w:val="1"/>
          <w:sz w:val="40"/>
          <w:szCs w:val="40"/>
          <w:u w:val="single"/>
        </w:rPr>
      </w:pPr>
    </w:p>
    <w:p w:rsidR="571EC182" w:rsidP="571EC182" w:rsidRDefault="571EC182" w14:paraId="32EF9D6D" w14:textId="589F20CD">
      <w:pPr>
        <w:pStyle w:val="Normal"/>
        <w:jc w:val="center"/>
        <w:rPr>
          <w:b w:val="1"/>
          <w:bCs w:val="1"/>
          <w:sz w:val="40"/>
          <w:szCs w:val="40"/>
          <w:u w:val="single"/>
        </w:rPr>
      </w:pPr>
    </w:p>
    <w:p w:rsidR="571EC182" w:rsidP="571EC182" w:rsidRDefault="571EC182" w14:paraId="55E2A6D6" w14:textId="7589FF75">
      <w:pPr>
        <w:pStyle w:val="Normal"/>
        <w:jc w:val="center"/>
        <w:rPr>
          <w:b w:val="1"/>
          <w:bCs w:val="1"/>
          <w:sz w:val="40"/>
          <w:szCs w:val="40"/>
          <w:u w:val="single"/>
        </w:rPr>
      </w:pPr>
    </w:p>
    <w:p w:rsidR="571EC182" w:rsidP="571EC182" w:rsidRDefault="571EC182" w14:paraId="62E4AC49" w14:textId="361658AA">
      <w:pPr>
        <w:pStyle w:val="Normal"/>
        <w:jc w:val="center"/>
        <w:rPr>
          <w:b w:val="1"/>
          <w:bCs w:val="1"/>
          <w:sz w:val="40"/>
          <w:szCs w:val="40"/>
          <w:u w:val="single"/>
        </w:rPr>
      </w:pPr>
    </w:p>
    <w:p w:rsidR="571EC182" w:rsidP="571EC182" w:rsidRDefault="571EC182" w14:paraId="09A29B2C" w14:textId="14F18F27">
      <w:pPr>
        <w:pStyle w:val="Normal"/>
        <w:jc w:val="center"/>
        <w:rPr>
          <w:b w:val="1"/>
          <w:bCs w:val="1"/>
          <w:sz w:val="40"/>
          <w:szCs w:val="40"/>
          <w:u w:val="single"/>
        </w:rPr>
      </w:pPr>
    </w:p>
    <w:p w:rsidR="571EC182" w:rsidP="571EC182" w:rsidRDefault="571EC182" w14:paraId="14DCC3DB" w14:textId="1AEAA9E3">
      <w:pPr>
        <w:pStyle w:val="Normal"/>
        <w:jc w:val="center"/>
        <w:rPr>
          <w:b w:val="1"/>
          <w:bCs w:val="1"/>
          <w:sz w:val="40"/>
          <w:szCs w:val="40"/>
          <w:u w:val="single"/>
        </w:rPr>
      </w:pPr>
    </w:p>
    <w:p w:rsidR="571EC182" w:rsidP="571EC182" w:rsidRDefault="571EC182" w14:paraId="1317675A" w14:textId="21BC2164">
      <w:pPr>
        <w:pStyle w:val="Normal"/>
        <w:jc w:val="center"/>
        <w:rPr>
          <w:b w:val="1"/>
          <w:bCs w:val="1"/>
          <w:sz w:val="40"/>
          <w:szCs w:val="40"/>
          <w:u w:val="single"/>
        </w:rPr>
      </w:pPr>
    </w:p>
    <w:p w:rsidR="571EC182" w:rsidP="571EC182" w:rsidRDefault="571EC182" w14:paraId="12641C15" w14:textId="4BCB74BB">
      <w:pPr>
        <w:pStyle w:val="Normal"/>
        <w:jc w:val="center"/>
        <w:rPr>
          <w:b w:val="1"/>
          <w:bCs w:val="1"/>
          <w:sz w:val="40"/>
          <w:szCs w:val="40"/>
          <w:u w:val="single"/>
        </w:rPr>
      </w:pPr>
    </w:p>
    <w:p w:rsidR="571EC182" w:rsidP="571EC182" w:rsidRDefault="571EC182" w14:paraId="0B8741FE" w14:textId="22F3C3B7">
      <w:pPr>
        <w:pStyle w:val="Normal"/>
        <w:jc w:val="center"/>
        <w:rPr>
          <w:b w:val="1"/>
          <w:bCs w:val="1"/>
          <w:sz w:val="40"/>
          <w:szCs w:val="40"/>
          <w:u w:val="single"/>
        </w:rPr>
      </w:pPr>
    </w:p>
    <w:p w:rsidR="571EC182" w:rsidP="571EC182" w:rsidRDefault="571EC182" w14:paraId="3EBC9D99" w14:textId="42F7C14F">
      <w:pPr>
        <w:pStyle w:val="Normal"/>
        <w:jc w:val="center"/>
        <w:rPr>
          <w:b w:val="1"/>
          <w:bCs w:val="1"/>
          <w:sz w:val="40"/>
          <w:szCs w:val="40"/>
          <w:u w:val="single"/>
        </w:rPr>
      </w:pPr>
    </w:p>
    <w:p w:rsidR="571EC182" w:rsidP="571EC182" w:rsidRDefault="571EC182" w14:paraId="7687BFC5" w14:textId="4A5A8BC6">
      <w:pPr>
        <w:pStyle w:val="Normal"/>
        <w:jc w:val="center"/>
        <w:rPr>
          <w:b w:val="1"/>
          <w:bCs w:val="1"/>
          <w:sz w:val="40"/>
          <w:szCs w:val="40"/>
          <w:u w:val="single"/>
        </w:rPr>
      </w:pPr>
    </w:p>
    <w:p w:rsidR="571EC182" w:rsidP="571EC182" w:rsidRDefault="571EC182" w14:paraId="60D23DA1" w14:textId="644726E1">
      <w:pPr>
        <w:pStyle w:val="Normal"/>
        <w:jc w:val="center"/>
        <w:rPr>
          <w:b w:val="1"/>
          <w:bCs w:val="1"/>
          <w:sz w:val="40"/>
          <w:szCs w:val="40"/>
          <w:u w:val="single"/>
        </w:rPr>
      </w:pPr>
    </w:p>
    <w:p w:rsidR="571EC182" w:rsidP="571EC182" w:rsidRDefault="571EC182" w14:paraId="28EEB16B" w14:textId="6F5D3E4B">
      <w:pPr>
        <w:pStyle w:val="Normal"/>
        <w:jc w:val="center"/>
        <w:rPr>
          <w:b w:val="1"/>
          <w:bCs w:val="1"/>
          <w:sz w:val="40"/>
          <w:szCs w:val="40"/>
          <w:u w:val="single"/>
        </w:rPr>
      </w:pPr>
    </w:p>
    <w:p w:rsidR="571EC182" w:rsidP="571EC182" w:rsidRDefault="571EC182" w14:paraId="479773DF" w14:textId="2E2D8DF5">
      <w:pPr>
        <w:pStyle w:val="Normal"/>
        <w:jc w:val="center"/>
        <w:rPr>
          <w:b w:val="1"/>
          <w:bCs w:val="1"/>
          <w:sz w:val="40"/>
          <w:szCs w:val="40"/>
          <w:u w:val="single"/>
        </w:rPr>
      </w:pPr>
    </w:p>
    <w:p w:rsidR="571EC182" w:rsidP="571EC182" w:rsidRDefault="571EC182" w14:paraId="63B8F563" w14:textId="2F3ADD8A">
      <w:pPr>
        <w:pStyle w:val="Normal"/>
        <w:jc w:val="center"/>
        <w:rPr>
          <w:b w:val="1"/>
          <w:bCs w:val="1"/>
          <w:sz w:val="40"/>
          <w:szCs w:val="40"/>
          <w:u w:val="single"/>
        </w:rPr>
      </w:pPr>
    </w:p>
    <w:p w:rsidR="571EC182" w:rsidP="571EC182" w:rsidRDefault="571EC182" w14:paraId="0318C97C" w14:textId="09D341CC">
      <w:pPr>
        <w:pStyle w:val="Normal"/>
        <w:jc w:val="center"/>
        <w:rPr>
          <w:b w:val="1"/>
          <w:bCs w:val="1"/>
          <w:sz w:val="40"/>
          <w:szCs w:val="40"/>
          <w:u w:val="single"/>
        </w:rPr>
      </w:pPr>
    </w:p>
    <w:p w:rsidR="571EC182" w:rsidP="571EC182" w:rsidRDefault="571EC182" w14:paraId="462C15D0" w14:textId="71BBAF4B">
      <w:pPr>
        <w:pStyle w:val="Normal"/>
        <w:jc w:val="center"/>
        <w:rPr>
          <w:b w:val="1"/>
          <w:bCs w:val="1"/>
          <w:sz w:val="40"/>
          <w:szCs w:val="40"/>
          <w:u w:val="single"/>
        </w:rPr>
      </w:pPr>
    </w:p>
    <w:p w:rsidR="571EC182" w:rsidP="571EC182" w:rsidRDefault="571EC182" w14:paraId="77035A31" w14:textId="7B78993E">
      <w:pPr>
        <w:pStyle w:val="Normal"/>
        <w:jc w:val="center"/>
        <w:rPr>
          <w:b w:val="1"/>
          <w:bCs w:val="1"/>
          <w:sz w:val="40"/>
          <w:szCs w:val="40"/>
          <w:u w:val="single"/>
        </w:rPr>
      </w:pPr>
      <w:r w:rsidRPr="571EC182" w:rsidR="571EC182">
        <w:rPr>
          <w:b w:val="1"/>
          <w:bCs w:val="1"/>
          <w:sz w:val="40"/>
          <w:szCs w:val="40"/>
          <w:u w:val="single"/>
        </w:rPr>
        <w:t>Contents</w:t>
      </w:r>
      <w:r w:rsidRPr="571EC182" w:rsidR="571EC182">
        <w:rPr>
          <w:b w:val="1"/>
          <w:bCs w:val="1"/>
          <w:sz w:val="40"/>
          <w:szCs w:val="40"/>
          <w:u w:val="none"/>
        </w:rPr>
        <w:t xml:space="preserve">                                                    </w:t>
      </w:r>
      <w:r w:rsidRPr="571EC182" w:rsidR="571EC182">
        <w:rPr>
          <w:b w:val="1"/>
          <w:bCs w:val="1"/>
          <w:sz w:val="40"/>
          <w:szCs w:val="40"/>
          <w:u w:val="single"/>
        </w:rPr>
        <w:t>Page no.</w:t>
      </w:r>
    </w:p>
    <w:p w:rsidR="571EC182" w:rsidP="571EC182" w:rsidRDefault="571EC182" w14:paraId="077F58B6" w14:textId="0DE8EFC6">
      <w:pPr>
        <w:pStyle w:val="Normal"/>
        <w:ind w:left="0"/>
        <w:jc w:val="both"/>
        <w:rPr>
          <w:b w:val="1"/>
          <w:bCs w:val="1"/>
          <w:sz w:val="40"/>
          <w:szCs w:val="40"/>
          <w:u w:val="single"/>
        </w:rPr>
      </w:pPr>
      <w:r w:rsidRPr="571EC182" w:rsidR="571EC182">
        <w:rPr>
          <w:b w:val="0"/>
          <w:bCs w:val="0"/>
          <w:sz w:val="40"/>
          <w:szCs w:val="40"/>
          <w:u w:val="none"/>
        </w:rPr>
        <w:t>Introduction                                                           3</w:t>
      </w:r>
    </w:p>
    <w:p w:rsidR="571EC182" w:rsidP="571EC182" w:rsidRDefault="571EC182" w14:paraId="14AB7F15" w14:textId="1521AEBA">
      <w:pPr>
        <w:pStyle w:val="Normal"/>
        <w:ind w:left="0"/>
        <w:jc w:val="both"/>
        <w:rPr>
          <w:b w:val="0"/>
          <w:bCs w:val="0"/>
          <w:sz w:val="40"/>
          <w:szCs w:val="40"/>
          <w:u w:val="none"/>
        </w:rPr>
      </w:pPr>
      <w:r w:rsidRPr="571EC182" w:rsidR="571EC182">
        <w:rPr>
          <w:b w:val="0"/>
          <w:bCs w:val="0"/>
          <w:sz w:val="40"/>
          <w:szCs w:val="40"/>
          <w:u w:val="none"/>
        </w:rPr>
        <w:t>How to use the guidance handbook                  5</w:t>
      </w:r>
    </w:p>
    <w:p w:rsidR="571EC182" w:rsidP="571EC182" w:rsidRDefault="571EC182" w14:paraId="39E832BD" w14:textId="3B9B96DC">
      <w:pPr>
        <w:pStyle w:val="Normal"/>
        <w:ind w:left="0"/>
        <w:jc w:val="both"/>
        <w:rPr>
          <w:b w:val="0"/>
          <w:bCs w:val="0"/>
          <w:sz w:val="40"/>
          <w:szCs w:val="40"/>
          <w:u w:val="none"/>
        </w:rPr>
      </w:pPr>
      <w:r w:rsidRPr="571EC182" w:rsidR="571EC182">
        <w:rPr>
          <w:b w:val="0"/>
          <w:bCs w:val="0"/>
          <w:sz w:val="40"/>
          <w:szCs w:val="40"/>
          <w:u w:val="none"/>
        </w:rPr>
        <w:t>The role of the adult                                             7</w:t>
      </w:r>
    </w:p>
    <w:p w:rsidR="571EC182" w:rsidP="571EC182" w:rsidRDefault="571EC182" w14:paraId="1701046D" w14:textId="42A75194">
      <w:pPr>
        <w:pStyle w:val="Normal"/>
        <w:ind w:left="0"/>
        <w:jc w:val="both"/>
        <w:rPr>
          <w:b w:val="0"/>
          <w:bCs w:val="0"/>
          <w:sz w:val="40"/>
          <w:szCs w:val="40"/>
          <w:u w:val="none"/>
        </w:rPr>
      </w:pPr>
      <w:r w:rsidRPr="571EC182" w:rsidR="571EC182">
        <w:rPr>
          <w:b w:val="0"/>
          <w:bCs w:val="0"/>
          <w:sz w:val="40"/>
          <w:szCs w:val="40"/>
          <w:u w:val="none"/>
        </w:rPr>
        <w:t>The needs of the child                                          9</w:t>
      </w:r>
    </w:p>
    <w:p w:rsidR="571EC182" w:rsidP="571EC182" w:rsidRDefault="571EC182" w14:paraId="419ABEBB" w14:textId="218B2CEF">
      <w:pPr>
        <w:pStyle w:val="Normal"/>
        <w:ind w:left="0"/>
        <w:jc w:val="both"/>
        <w:rPr>
          <w:b w:val="0"/>
          <w:bCs w:val="0"/>
          <w:sz w:val="40"/>
          <w:szCs w:val="40"/>
          <w:u w:val="none"/>
        </w:rPr>
      </w:pPr>
      <w:r w:rsidRPr="571EC182" w:rsidR="571EC182">
        <w:rPr>
          <w:b w:val="0"/>
          <w:bCs w:val="0"/>
          <w:sz w:val="40"/>
          <w:szCs w:val="40"/>
          <w:u w:val="none"/>
        </w:rPr>
        <w:t>Partnerships                                                          11</w:t>
      </w:r>
    </w:p>
    <w:p w:rsidR="571EC182" w:rsidP="571EC182" w:rsidRDefault="571EC182" w14:paraId="44027D58" w14:textId="17567EEF">
      <w:pPr>
        <w:pStyle w:val="Normal"/>
        <w:ind w:left="0"/>
        <w:jc w:val="both"/>
        <w:rPr>
          <w:b w:val="0"/>
          <w:bCs w:val="0"/>
          <w:sz w:val="40"/>
          <w:szCs w:val="40"/>
          <w:u w:val="none"/>
        </w:rPr>
      </w:pPr>
      <w:r w:rsidRPr="571EC182" w:rsidR="571EC182">
        <w:rPr>
          <w:b w:val="0"/>
          <w:bCs w:val="0"/>
          <w:sz w:val="40"/>
          <w:szCs w:val="40"/>
          <w:u w:val="none"/>
        </w:rPr>
        <w:t>Interventions                                                         12</w:t>
      </w:r>
    </w:p>
    <w:p w:rsidR="571EC182" w:rsidP="571EC182" w:rsidRDefault="571EC182" w14:paraId="219F401B" w14:textId="6CAE63A1">
      <w:pPr>
        <w:pStyle w:val="Normal"/>
        <w:ind w:left="0"/>
        <w:jc w:val="left"/>
        <w:rPr>
          <w:b w:val="0"/>
          <w:bCs w:val="0"/>
          <w:sz w:val="40"/>
          <w:szCs w:val="40"/>
          <w:u w:val="none"/>
        </w:rPr>
      </w:pPr>
      <w:r w:rsidRPr="571EC182" w:rsidR="571EC182">
        <w:rPr>
          <w:b w:val="0"/>
          <w:bCs w:val="0"/>
          <w:sz w:val="40"/>
          <w:szCs w:val="40"/>
          <w:u w:val="none"/>
        </w:rPr>
        <w:t>Proposed outcomes                                             13</w:t>
      </w:r>
    </w:p>
    <w:p w:rsidR="571EC182" w:rsidP="571EC182" w:rsidRDefault="571EC182" w14:paraId="4D948E18" w14:textId="2D63AA7F">
      <w:pPr>
        <w:pStyle w:val="Normal"/>
        <w:ind w:left="0"/>
        <w:jc w:val="left"/>
        <w:rPr>
          <w:b w:val="0"/>
          <w:bCs w:val="0"/>
          <w:sz w:val="40"/>
          <w:szCs w:val="40"/>
          <w:u w:val="none"/>
        </w:rPr>
      </w:pPr>
      <w:r w:rsidRPr="571EC182" w:rsidR="571EC182">
        <w:rPr>
          <w:b w:val="0"/>
          <w:bCs w:val="0"/>
          <w:sz w:val="40"/>
          <w:szCs w:val="40"/>
          <w:u w:val="none"/>
        </w:rPr>
        <w:t>Reference list                                                        14</w:t>
      </w:r>
    </w:p>
    <w:p w:rsidR="571EC182" w:rsidP="571EC182" w:rsidRDefault="571EC182" w14:paraId="4CC590AE" w14:textId="3FCC8DBB">
      <w:pPr>
        <w:pStyle w:val="Normal"/>
        <w:jc w:val="left"/>
        <w:rPr>
          <w:b w:val="0"/>
          <w:bCs w:val="0"/>
          <w:sz w:val="40"/>
          <w:szCs w:val="40"/>
          <w:u w:val="none"/>
        </w:rPr>
      </w:pPr>
    </w:p>
    <w:p w:rsidR="571EC182" w:rsidP="571EC182" w:rsidRDefault="571EC182" w14:paraId="27AD144F" w14:textId="774E7F1F">
      <w:pPr>
        <w:pStyle w:val="Normal"/>
        <w:jc w:val="left"/>
        <w:rPr>
          <w:b w:val="0"/>
          <w:bCs w:val="0"/>
          <w:sz w:val="40"/>
          <w:szCs w:val="40"/>
          <w:u w:val="none"/>
        </w:rPr>
      </w:pPr>
    </w:p>
    <w:p w:rsidR="571EC182" w:rsidP="571EC182" w:rsidRDefault="571EC182" w14:paraId="09CD30CE" w14:textId="564808EA">
      <w:pPr>
        <w:pStyle w:val="Normal"/>
        <w:jc w:val="left"/>
        <w:rPr>
          <w:b w:val="0"/>
          <w:bCs w:val="0"/>
          <w:sz w:val="40"/>
          <w:szCs w:val="40"/>
          <w:u w:val="none"/>
        </w:rPr>
      </w:pPr>
    </w:p>
    <w:p w:rsidR="571EC182" w:rsidP="571EC182" w:rsidRDefault="571EC182" w14:paraId="780B1FD4" w14:textId="55DED5FD">
      <w:pPr>
        <w:pStyle w:val="Normal"/>
        <w:jc w:val="left"/>
        <w:rPr>
          <w:b w:val="0"/>
          <w:bCs w:val="0"/>
          <w:sz w:val="40"/>
          <w:szCs w:val="40"/>
          <w:u w:val="none"/>
        </w:rPr>
      </w:pPr>
    </w:p>
    <w:p w:rsidR="571EC182" w:rsidP="571EC182" w:rsidRDefault="571EC182" w14:paraId="50D4CE01" w14:textId="1E94911A">
      <w:pPr>
        <w:pStyle w:val="Normal"/>
        <w:jc w:val="left"/>
        <w:rPr>
          <w:b w:val="0"/>
          <w:bCs w:val="0"/>
          <w:sz w:val="40"/>
          <w:szCs w:val="40"/>
          <w:u w:val="none"/>
        </w:rPr>
      </w:pPr>
    </w:p>
    <w:p w:rsidR="571EC182" w:rsidP="571EC182" w:rsidRDefault="571EC182" w14:paraId="5FC5A2DB" w14:textId="6BB3F417">
      <w:pPr>
        <w:pStyle w:val="Normal"/>
        <w:jc w:val="left"/>
        <w:rPr>
          <w:b w:val="0"/>
          <w:bCs w:val="0"/>
          <w:sz w:val="40"/>
          <w:szCs w:val="40"/>
          <w:u w:val="none"/>
        </w:rPr>
      </w:pPr>
    </w:p>
    <w:p w:rsidR="571EC182" w:rsidP="571EC182" w:rsidRDefault="571EC182" w14:paraId="6CC3D1AF" w14:textId="2343D13A">
      <w:pPr>
        <w:pStyle w:val="Normal"/>
        <w:jc w:val="left"/>
        <w:rPr>
          <w:b w:val="0"/>
          <w:bCs w:val="0"/>
          <w:sz w:val="40"/>
          <w:szCs w:val="40"/>
          <w:u w:val="none"/>
        </w:rPr>
      </w:pPr>
      <w:r w:rsidRPr="571EC182" w:rsidR="571EC182">
        <w:rPr>
          <w:b w:val="0"/>
          <w:bCs w:val="0"/>
          <w:sz w:val="40"/>
          <w:szCs w:val="40"/>
          <w:u w:val="none"/>
        </w:rPr>
        <w:t xml:space="preserve"> </w:t>
      </w:r>
    </w:p>
    <w:p w:rsidR="571EC182" w:rsidP="571EC182" w:rsidRDefault="571EC182" w14:paraId="28BAEF54" w14:textId="49C8CC0E">
      <w:pPr>
        <w:pStyle w:val="Normal"/>
        <w:jc w:val="left"/>
        <w:rPr>
          <w:b w:val="0"/>
          <w:bCs w:val="0"/>
          <w:sz w:val="40"/>
          <w:szCs w:val="40"/>
          <w:u w:val="none"/>
        </w:rPr>
      </w:pPr>
    </w:p>
    <w:p w:rsidR="571EC182" w:rsidP="571EC182" w:rsidRDefault="571EC182" w14:paraId="374692D1" w14:textId="72211930">
      <w:pPr>
        <w:pStyle w:val="Normal"/>
        <w:jc w:val="left"/>
        <w:rPr>
          <w:b w:val="1"/>
          <w:bCs w:val="1"/>
          <w:sz w:val="40"/>
          <w:szCs w:val="40"/>
          <w:u w:val="single"/>
        </w:rPr>
      </w:pPr>
    </w:p>
    <w:p w:rsidR="571EC182" w:rsidP="571EC182" w:rsidRDefault="571EC182" w14:paraId="0E742A1D" w14:textId="4283B017">
      <w:pPr>
        <w:pStyle w:val="Normal"/>
        <w:jc w:val="left"/>
        <w:rPr>
          <w:b w:val="1"/>
          <w:bCs w:val="1"/>
          <w:sz w:val="40"/>
          <w:szCs w:val="40"/>
          <w:u w:val="single"/>
        </w:rPr>
      </w:pPr>
    </w:p>
    <w:p w:rsidR="571EC182" w:rsidP="571EC182" w:rsidRDefault="571EC182" w14:paraId="51D0444B" w14:textId="5D1D4FFA">
      <w:pPr>
        <w:pStyle w:val="Normal"/>
        <w:jc w:val="left"/>
        <w:rPr>
          <w:b w:val="1"/>
          <w:bCs w:val="1"/>
          <w:sz w:val="40"/>
          <w:szCs w:val="40"/>
          <w:u w:val="single"/>
        </w:rPr>
      </w:pPr>
      <w:r w:rsidRPr="571EC182" w:rsidR="571EC182">
        <w:rPr>
          <w:b w:val="1"/>
          <w:bCs w:val="1"/>
          <w:sz w:val="40"/>
          <w:szCs w:val="40"/>
          <w:u w:val="single"/>
        </w:rPr>
        <w:t>Introduction</w:t>
      </w:r>
    </w:p>
    <w:p w:rsidR="571EC182" w:rsidP="571EC182" w:rsidRDefault="571EC182" w14:paraId="3B496FEE" w14:textId="48890AFE">
      <w:pPr>
        <w:pStyle w:val="Normal"/>
        <w:jc w:val="both"/>
        <w:rPr>
          <w:b w:val="0"/>
          <w:bCs w:val="0"/>
          <w:sz w:val="32"/>
          <w:szCs w:val="32"/>
          <w:u w:val="none"/>
        </w:rPr>
      </w:pPr>
      <w:r w:rsidRPr="571EC182" w:rsidR="571EC182">
        <w:rPr>
          <w:b w:val="0"/>
          <w:bCs w:val="0"/>
          <w:sz w:val="32"/>
          <w:szCs w:val="32"/>
          <w:u w:val="none"/>
        </w:rPr>
        <w:t>This handbook will focus on how keyworkers in early years setting can understand and support young children's learning and development during transitions. It will emphasise the importance of effective communication between the keyworker and the child in order for the child to feel comfortable and valued when going through these transitions.</w:t>
      </w:r>
    </w:p>
    <w:p w:rsidR="571EC182" w:rsidP="571EC182" w:rsidRDefault="571EC182" w14:paraId="1BC3BAAD" w14:textId="47824387">
      <w:pPr>
        <w:pStyle w:val="Normal"/>
        <w:jc w:val="both"/>
        <w:rPr>
          <w:b w:val="0"/>
          <w:bCs w:val="0"/>
          <w:sz w:val="32"/>
          <w:szCs w:val="32"/>
          <w:u w:val="none"/>
        </w:rPr>
      </w:pPr>
      <w:r w:rsidRPr="571EC182" w:rsidR="571EC182">
        <w:rPr>
          <w:b w:val="0"/>
          <w:bCs w:val="0"/>
          <w:sz w:val="32"/>
          <w:szCs w:val="32"/>
          <w:u w:val="none"/>
        </w:rPr>
        <w:t xml:space="preserve">A transition is the process or a period of changing from one state to another (Oxford dictionary, 2018). </w:t>
      </w:r>
      <w:r w:rsidRPr="571EC182" w:rsidR="571EC182">
        <w:rPr>
          <w:rFonts w:ascii="Calibri" w:hAnsi="Calibri" w:eastAsia="Calibri" w:cs="Calibri"/>
          <w:noProof w:val="0"/>
          <w:sz w:val="32"/>
          <w:szCs w:val="32"/>
          <w:lang w:val="en-GB"/>
        </w:rPr>
        <w:t>Many transitions are experienced throughout childhood, particularly from birth to five years old, and through to adulthood. A transition a child faces could be as simple as transitioning from nursery to reception, yet it is important that they are carried out effectively as transitions are central to a young child’s development and emotional wellbeing. All children will react differently when faced with these transitions, some with confidence or apprehension, and too many adjustments are likely to have long lasting effects if the importance of coherence and continuity is not well understood. It is important that the way in which the first transitions are handled, as they could have a big impact on the child’s capacity to cope with change in both short and long term. These first transitions are shaped by social structures and involve parents/carers as well as early years practitioners. In order for the transition children face from home to pre-school to be successful, the preparation for this should begin early. (Daly, Byers, Taylor, 2009). Therefore, it is important that all these significant people in a child’s life can understand that transitions can be stressful for children and that their ability to help the children to cope with this momentous experience in their childhood will help their future resilience to change.</w:t>
      </w:r>
    </w:p>
    <w:p w:rsidR="571EC182" w:rsidP="571EC182" w:rsidRDefault="571EC182" w14:paraId="66C32D5E" w14:textId="542F805E">
      <w:pPr>
        <w:jc w:val="both"/>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In order for a smooth transition and a positive outcome for the child, effective communication and socialisation between both practitioner/parents and child throughout the transition process is key to success, as the child’s development could be affected both positively or negatively during this process. This can involve physical, emotional, personal or psychological development. Therefore, it is very important that these transitions are done as smoothly as possible for the child to feel comfortable and settled into their new environment as they leave their ‘comfort zone.’</w:t>
      </w:r>
    </w:p>
    <w:p w:rsidR="571EC182" w:rsidP="571EC182" w:rsidRDefault="571EC182" w14:paraId="5C6D1115" w14:textId="38AFBF46">
      <w:pPr>
        <w:jc w:val="both"/>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 xml:space="preserve">Bronfenbrenner (1979) identified that those children who experienced a positive smooth transition from home into the school environment, were more likely to make successful transitions in the future. He also recognised that depending on the environment that the child would transition into and develop in their learning, also depended on the outcome of the child and their ability to become successful learners. The more encouraging and nurturing these environments and relationships are the better chance the child will be able to grow, learn and develop. Bronfenbrenner states that listening and responding to young children as they prepare and experience a transition, can help them to make meaning change. </w:t>
      </w:r>
    </w:p>
    <w:p w:rsidR="571EC182" w:rsidP="571EC182" w:rsidRDefault="571EC182" w14:paraId="671A2CFF" w14:textId="07B9AB32">
      <w:pPr>
        <w:jc w:val="both"/>
      </w:pPr>
      <w:r>
        <w:br/>
      </w:r>
      <w:r w:rsidRPr="571EC182" w:rsidR="571EC182">
        <w:rPr>
          <w:rFonts w:ascii="Calibri" w:hAnsi="Calibri" w:eastAsia="Calibri" w:cs="Calibri" w:asciiTheme="minorAscii" w:hAnsiTheme="minorAscii" w:eastAsiaTheme="minorAscii" w:cstheme="minorAscii"/>
          <w:noProof w:val="0"/>
          <w:sz w:val="32"/>
          <w:szCs w:val="32"/>
          <w:lang w:val="en-GB"/>
        </w:rPr>
        <w:t xml:space="preserve">Bronfenbrenner’s Bioecological Model of the Human Development represents a way of understanding children’s development and experiences. It focuses on how a person's development is affected by everything in their surrounding environment and illustrates the complexity and range of transitions that a child may encounter on a daily basis. </w:t>
      </w:r>
    </w:p>
    <w:p w:rsidR="571EC182" w:rsidP="571EC182" w:rsidRDefault="571EC182" w14:paraId="70295942" w14:textId="2FA5F37B">
      <w:pPr>
        <w:pStyle w:val="Normal"/>
        <w:jc w:val="both"/>
        <w:rPr>
          <w:rFonts w:ascii="Calibri" w:hAnsi="Calibri" w:eastAsia="Calibri" w:cs="Calibri" w:asciiTheme="minorAscii" w:hAnsiTheme="minorAscii" w:eastAsiaTheme="minorAscii" w:cstheme="minorAscii"/>
          <w:noProof w:val="0"/>
          <w:sz w:val="32"/>
          <w:szCs w:val="32"/>
          <w:lang w:val="en-GB"/>
        </w:rPr>
      </w:pPr>
    </w:p>
    <w:p w:rsidR="571EC182" w:rsidP="571EC182" w:rsidRDefault="571EC182" w14:paraId="5DE9403E" w14:textId="7E34D1D3">
      <w:pPr>
        <w:pStyle w:val="Normal"/>
        <w:jc w:val="center"/>
      </w:pPr>
      <w:r>
        <w:drawing>
          <wp:inline wp14:editId="5761EF87" wp14:anchorId="263CEA36">
            <wp:extent cx="4533900" cy="4572000"/>
            <wp:effectExtent l="0" t="0" r="0" b="0"/>
            <wp:docPr id="1749598154" name="" title=""/>
            <wp:cNvGraphicFramePr>
              <a:graphicFrameLocks noChangeAspect="1"/>
            </wp:cNvGraphicFramePr>
            <a:graphic>
              <a:graphicData uri="http://schemas.openxmlformats.org/drawingml/2006/picture">
                <pic:pic>
                  <pic:nvPicPr>
                    <pic:cNvPr id="0" name=""/>
                    <pic:cNvPicPr/>
                  </pic:nvPicPr>
                  <pic:blipFill>
                    <a:blip r:embed="R8690c24f3f564555">
                      <a:extLst>
                        <a:ext xmlns:a="http://schemas.openxmlformats.org/drawingml/2006/main" uri="{28A0092B-C50C-407E-A947-70E740481C1C}">
                          <a14:useLocalDpi val="0"/>
                        </a:ext>
                      </a:extLst>
                    </a:blip>
                    <a:stretch>
                      <a:fillRect/>
                    </a:stretch>
                  </pic:blipFill>
                  <pic:spPr>
                    <a:xfrm>
                      <a:off x="0" y="0"/>
                      <a:ext cx="4533900" cy="4572000"/>
                    </a:xfrm>
                    <a:prstGeom prst="rect">
                      <a:avLst/>
                    </a:prstGeom>
                  </pic:spPr>
                </pic:pic>
              </a:graphicData>
            </a:graphic>
          </wp:inline>
        </w:drawing>
      </w:r>
    </w:p>
    <w:p w:rsidR="571EC182" w:rsidP="571EC182" w:rsidRDefault="571EC182" w14:paraId="60ABFF5D" w14:textId="3F3E8B90">
      <w:pPr>
        <w:pStyle w:val="Normal"/>
        <w:jc w:val="both"/>
      </w:pPr>
    </w:p>
    <w:p w:rsidR="571EC182" w:rsidP="571EC182" w:rsidRDefault="571EC182" w14:paraId="2D10F9EF" w14:textId="355C7809">
      <w:pPr>
        <w:pStyle w:val="Normal"/>
        <w:jc w:val="center"/>
      </w:pPr>
      <w:r w:rsidRPr="571EC182" w:rsidR="571EC182">
        <w:rPr>
          <w:sz w:val="32"/>
          <w:szCs w:val="32"/>
        </w:rPr>
        <w:t>(Source: Bronfenbrenner model, Pinterest. 2016)</w:t>
      </w:r>
    </w:p>
    <w:p w:rsidR="571EC182" w:rsidP="571EC182" w:rsidRDefault="571EC182" w14:paraId="4AFD59ED" w14:textId="1FB1D586">
      <w:pPr>
        <w:pStyle w:val="Normal"/>
        <w:jc w:val="both"/>
        <w:rPr>
          <w:rFonts w:ascii="Calibri" w:hAnsi="Calibri" w:eastAsia="Calibri" w:cs="Calibri" w:asciiTheme="minorAscii" w:hAnsiTheme="minorAscii" w:eastAsiaTheme="minorAscii" w:cstheme="minorAscii"/>
          <w:noProof w:val="0"/>
          <w:sz w:val="32"/>
          <w:szCs w:val="32"/>
          <w:lang w:val="en-GB"/>
        </w:rPr>
      </w:pPr>
    </w:p>
    <w:p w:rsidR="571EC182" w:rsidP="571EC182" w:rsidRDefault="571EC182" w14:paraId="29B2C262" w14:textId="1664279A">
      <w:pPr>
        <w:pStyle w:val="Normal"/>
        <w:jc w:val="left"/>
        <w:rPr>
          <w:rFonts w:ascii="Calibri" w:hAnsi="Calibri" w:eastAsia="Calibri" w:cs="Calibri" w:asciiTheme="minorAscii" w:hAnsiTheme="minorAscii" w:eastAsiaTheme="minorAscii" w:cstheme="minorAscii"/>
          <w:noProof w:val="0"/>
          <w:sz w:val="32"/>
          <w:szCs w:val="32"/>
          <w:lang w:val="en-GB"/>
        </w:rPr>
      </w:pPr>
      <w:r w:rsidRPr="571EC182" w:rsidR="571EC182">
        <w:rPr>
          <w:b w:val="1"/>
          <w:bCs w:val="1"/>
          <w:sz w:val="40"/>
          <w:szCs w:val="40"/>
          <w:u w:val="single"/>
        </w:rPr>
        <w:t>How to use this guidance handbook</w:t>
      </w:r>
    </w:p>
    <w:p w:rsidR="571EC182" w:rsidP="571EC182" w:rsidRDefault="571EC182" w14:paraId="49CF1FC8" w14:textId="7078D19B">
      <w:pPr>
        <w:pStyle w:val="Normal"/>
        <w:jc w:val="both"/>
        <w:rPr>
          <w:b w:val="0"/>
          <w:bCs w:val="0"/>
          <w:sz w:val="32"/>
          <w:szCs w:val="32"/>
          <w:u w:val="none"/>
        </w:rPr>
      </w:pPr>
      <w:r w:rsidRPr="571EC182" w:rsidR="571EC182">
        <w:rPr>
          <w:rFonts w:ascii="Calibri" w:hAnsi="Calibri" w:eastAsia="Calibri" w:cs="Calibri" w:asciiTheme="minorAscii" w:hAnsiTheme="minorAscii" w:eastAsiaTheme="minorAscii" w:cstheme="minorAscii"/>
          <w:b w:val="0"/>
          <w:bCs w:val="0"/>
          <w:noProof w:val="0"/>
          <w:color w:val="202124"/>
          <w:sz w:val="32"/>
          <w:szCs w:val="32"/>
          <w:lang w:val="en-GB"/>
        </w:rPr>
        <w:t xml:space="preserve">Children thrive from a base of loving and secure relationships, which is provided by the key people in a child’s life. This tends to be the parent and the early years practitioner, who allow the children to feel safe and cared for. </w:t>
      </w:r>
      <w:r w:rsidRPr="571EC182" w:rsidR="571EC182">
        <w:rPr>
          <w:rFonts w:ascii="Calibri" w:hAnsi="Calibri" w:eastAsia="Calibri" w:cs="Calibri"/>
          <w:noProof w:val="0"/>
          <w:sz w:val="32"/>
          <w:szCs w:val="32"/>
          <w:lang w:val="en-GB"/>
        </w:rPr>
        <w:t>This guidance handbook is specifically designed for these keyworkers, working with children age 2-4 years where they would be in pre-school settings. This handbook should be used by the keyworker as a guide to enhance their understanding of the importance of effective communication for children’s development during transitions.</w:t>
      </w:r>
    </w:p>
    <w:p w:rsidR="571EC182" w:rsidP="571EC182" w:rsidRDefault="571EC182" w14:paraId="04C0E229" w14:textId="76500619">
      <w:pPr>
        <w:pStyle w:val="Normal"/>
        <w:jc w:val="both"/>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noProof w:val="0"/>
          <w:sz w:val="32"/>
          <w:szCs w:val="32"/>
          <w:lang w:val="en-GB"/>
        </w:rPr>
        <w:t>The aim for this guidance handbook is t</w:t>
      </w:r>
      <w:r w:rsidRPr="571EC182" w:rsidR="571EC182">
        <w:rPr>
          <w:rFonts w:ascii="Calibri" w:hAnsi="Calibri" w:eastAsia="Calibri" w:cs="Calibri" w:asciiTheme="minorAscii" w:hAnsiTheme="minorAscii" w:eastAsiaTheme="minorAscii" w:cstheme="minorAscii"/>
          <w:noProof w:val="0"/>
          <w:color w:val="1A1A1A"/>
          <w:sz w:val="32"/>
          <w:szCs w:val="32"/>
          <w:lang w:val="en-GB"/>
        </w:rPr>
        <w:t xml:space="preserve">o facilitate smooth transitions for young children from nursey to reception as well as from reception to year 1, being the foundation phase at primary school. Throughout this handbook it will cover </w:t>
      </w:r>
      <w:r w:rsidRPr="571EC182" w:rsidR="571EC182">
        <w:rPr>
          <w:rFonts w:ascii="Calibri" w:hAnsi="Calibri" w:eastAsia="Calibri" w:cs="Calibri" w:asciiTheme="minorAscii" w:hAnsiTheme="minorAscii" w:eastAsiaTheme="minorAscii" w:cstheme="minorAscii"/>
          <w:noProof w:val="0"/>
          <w:sz w:val="32"/>
          <w:szCs w:val="32"/>
          <w:lang w:val="en-GB"/>
        </w:rPr>
        <w:t xml:space="preserve">your role as the adult as well as the needs of the child. Sigmund Freud states children develop confidence in themselves and their abilities because of their interactions with the world. This supports that practitioners must ensure the transition is a gradual process focusing on the child's well-being, this can be done by using a holistic approach. This is an approach to learning that emphasises the importance of emotional, physical and psychological well-being of young children throughout early childhood. Therefore, this handbook will ensure that keyworkers understand that getting transitions right is vital for every child and should not be seen as an event but as a process that involves children, practitioners and children together. </w:t>
      </w:r>
    </w:p>
    <w:p w:rsidR="571EC182" w:rsidP="571EC182" w:rsidRDefault="571EC182" w14:paraId="04C05CE2" w14:textId="14CB465E">
      <w:pPr>
        <w:pStyle w:val="Normal"/>
        <w:jc w:val="both"/>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By using this guidance, keyworkers should be able to understand how to support a smooth transition by planning and preparing for improved transitions for children between different provisions. The keyworker should be able to form a good relationship with the child’s parent/carer and respect the parents as partners throughout the transition, as well as understand that it can be a time of worry for them as well their child. Successful transitions are dependent on the commitment from all keyworkers involved and positive relationships between the parent and practitioner are significantly important for the child as they construct a platform for secure development and effective communication systems. (Patel,2000)</w:t>
      </w:r>
    </w:p>
    <w:p w:rsidR="571EC182" w:rsidP="571EC182" w:rsidRDefault="571EC182" w14:paraId="396B2CD3" w14:textId="5D26FA51">
      <w:pPr>
        <w:pStyle w:val="Normal"/>
        <w:jc w:val="both"/>
        <w:rPr>
          <w:rFonts w:ascii="Calibri" w:hAnsi="Calibri" w:eastAsia="Calibri" w:cs="Calibri" w:asciiTheme="minorAscii" w:hAnsiTheme="minorAscii" w:eastAsiaTheme="minorAscii" w:cstheme="minorAscii"/>
          <w:noProof w:val="0"/>
          <w:color w:val="1A1A1A"/>
          <w:sz w:val="32"/>
          <w:szCs w:val="32"/>
          <w:lang w:val="en-GB"/>
        </w:rPr>
      </w:pPr>
    </w:p>
    <w:p w:rsidR="571EC182" w:rsidP="571EC182" w:rsidRDefault="571EC182" w14:paraId="20F71D2D" w14:textId="115F7C78">
      <w:pPr>
        <w:pStyle w:val="Normal"/>
        <w:ind w:left="0"/>
        <w:jc w:val="both"/>
        <w:rPr>
          <w:b w:val="0"/>
          <w:bCs w:val="0"/>
          <w:sz w:val="32"/>
          <w:szCs w:val="32"/>
          <w:u w:val="none"/>
        </w:rPr>
      </w:pPr>
      <w:r w:rsidRPr="571EC182" w:rsidR="571EC182">
        <w:rPr>
          <w:b w:val="1"/>
          <w:bCs w:val="1"/>
          <w:sz w:val="40"/>
          <w:szCs w:val="40"/>
          <w:u w:val="single"/>
        </w:rPr>
        <w:t>The role of the adult</w:t>
      </w:r>
    </w:p>
    <w:p w:rsidR="571EC182" w:rsidP="571EC182" w:rsidRDefault="571EC182" w14:paraId="5A3D3D37" w14:textId="3EA0B780">
      <w:pPr>
        <w:pStyle w:val="Normal"/>
        <w:jc w:val="both"/>
        <w:rPr>
          <w:b w:val="0"/>
          <w:bCs w:val="0"/>
          <w:sz w:val="32"/>
          <w:szCs w:val="32"/>
          <w:u w:val="none"/>
        </w:rPr>
      </w:pPr>
      <w:r w:rsidRPr="571EC182" w:rsidR="571EC182">
        <w:rPr>
          <w:b w:val="0"/>
          <w:bCs w:val="0"/>
          <w:sz w:val="32"/>
          <w:szCs w:val="32"/>
          <w:u w:val="none"/>
        </w:rPr>
        <w:t xml:space="preserve">Early years practitioners are a significant person in young children's lives during their transition stage, so it is up to them as well as the parents/carers to work together to ensure the child is fully supported. The practitioner and parent can make sure the child’s needs are met appropriately by planning ahead. </w:t>
      </w:r>
      <w:r w:rsidRPr="571EC182" w:rsidR="571EC182">
        <w:rPr>
          <w:rFonts w:ascii="Calibri" w:hAnsi="Calibri" w:eastAsia="Calibri" w:cs="Calibri" w:asciiTheme="minorAscii" w:hAnsiTheme="minorAscii" w:eastAsiaTheme="minorAscii" w:cstheme="minorAscii"/>
          <w:noProof w:val="0"/>
          <w:sz w:val="32"/>
          <w:szCs w:val="32"/>
          <w:lang w:val="en-GB"/>
        </w:rPr>
        <w:t xml:space="preserve">The needs of each child need to be identified and tailored to each individual in order to encourage independence for the child to settle into their </w:t>
      </w:r>
      <w:r w:rsidRPr="571EC182" w:rsidR="571EC182">
        <w:rPr>
          <w:rFonts w:ascii="Calibri" w:hAnsi="Calibri" w:eastAsia="Calibri" w:cs="Calibri" w:asciiTheme="minorAscii" w:hAnsiTheme="minorAscii" w:eastAsiaTheme="minorAscii" w:cstheme="minorAscii"/>
          <w:noProof w:val="0"/>
          <w:sz w:val="32"/>
          <w:szCs w:val="32"/>
          <w:lang w:val="en-GB"/>
        </w:rPr>
        <w:t>surroundings</w:t>
      </w:r>
      <w:r w:rsidRPr="571EC182" w:rsidR="571EC182">
        <w:rPr>
          <w:rFonts w:ascii="Calibri" w:hAnsi="Calibri" w:eastAsia="Calibri" w:cs="Calibri" w:asciiTheme="minorAscii" w:hAnsiTheme="minorAscii" w:eastAsiaTheme="minorAscii" w:cstheme="minorAscii"/>
          <w:noProof w:val="0"/>
          <w:sz w:val="32"/>
          <w:szCs w:val="32"/>
          <w:lang w:val="en-GB"/>
        </w:rPr>
        <w:t>. This can be done by effective communication between the practitioner and the parents;</w:t>
      </w:r>
    </w:p>
    <w:p w:rsidR="571EC182" w:rsidP="571EC182" w:rsidRDefault="571EC182" w14:paraId="3CAAF1C0" w14:textId="1FEC186B">
      <w:pPr>
        <w:pStyle w:val="ListParagraph"/>
        <w:numPr>
          <w:ilvl w:val="0"/>
          <w:numId w:val="2"/>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571EC182" w:rsidR="571EC182">
        <w:rPr>
          <w:rFonts w:ascii="Calibri" w:hAnsi="Calibri" w:eastAsia="Calibri" w:cs="Calibri" w:asciiTheme="minorAscii" w:hAnsiTheme="minorAscii" w:eastAsiaTheme="minorAscii" w:cstheme="minorAscii"/>
          <w:noProof w:val="0"/>
          <w:color w:val="auto"/>
          <w:sz w:val="32"/>
          <w:szCs w:val="32"/>
          <w:lang w:val="en-GB"/>
        </w:rPr>
        <w:t>Ask parents for as much information as possible about their child including their feeding, sleeping and changing routines so individual needs can be planned for.</w:t>
      </w:r>
    </w:p>
    <w:p w:rsidR="571EC182" w:rsidP="571EC182" w:rsidRDefault="571EC182" w14:paraId="4D99B372" w14:textId="790959A4">
      <w:pPr>
        <w:pStyle w:val="ListParagraph"/>
        <w:numPr>
          <w:ilvl w:val="0"/>
          <w:numId w:val="2"/>
        </w:numPr>
        <w:jc w:val="both"/>
        <w:rPr>
          <w:rFonts w:ascii="Calibri" w:hAnsi="Calibri" w:eastAsia="Calibri" w:cs="Calibri" w:asciiTheme="minorAscii" w:hAnsiTheme="minorAscii" w:eastAsiaTheme="minorAscii" w:cstheme="minorAscii"/>
          <w:color w:val="000000" w:themeColor="text1" w:themeTint="FF" w:themeShade="FF"/>
          <w:sz w:val="32"/>
          <w:szCs w:val="32"/>
        </w:rPr>
      </w:pPr>
      <w:r w:rsidRPr="571EC182" w:rsidR="571EC182">
        <w:rPr>
          <w:rFonts w:ascii="Calibri" w:hAnsi="Calibri" w:eastAsia="Calibri" w:cs="Calibri" w:asciiTheme="minorAscii" w:hAnsiTheme="minorAscii" w:eastAsiaTheme="minorAscii" w:cstheme="minorAscii"/>
          <w:noProof w:val="0"/>
          <w:color w:val="auto"/>
          <w:sz w:val="32"/>
          <w:szCs w:val="32"/>
          <w:lang w:val="en-GB"/>
        </w:rPr>
        <w:t>Invite parents to stay with the child as they adjust to the new environment.</w:t>
      </w:r>
    </w:p>
    <w:p w:rsidR="571EC182" w:rsidP="571EC182" w:rsidRDefault="571EC182" w14:paraId="5DA9C23B" w14:textId="763CF2B2">
      <w:pPr>
        <w:pStyle w:val="ListParagraph"/>
        <w:numPr>
          <w:ilvl w:val="0"/>
          <w:numId w:val="2"/>
        </w:num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571EC182" w:rsidR="571EC182">
        <w:rPr>
          <w:rFonts w:ascii="Calibri" w:hAnsi="Calibri" w:eastAsia="Calibri" w:cs="Calibri" w:asciiTheme="minorAscii" w:hAnsiTheme="minorAscii" w:eastAsiaTheme="minorAscii" w:cstheme="minorAscii"/>
          <w:noProof w:val="0"/>
          <w:color w:val="auto"/>
          <w:sz w:val="32"/>
          <w:szCs w:val="32"/>
          <w:lang w:val="en-GB"/>
        </w:rPr>
        <w:t>Review how each child is settling in on a daily basis with parents/key worker and use a settling-in diary.</w:t>
      </w:r>
    </w:p>
    <w:p w:rsidR="571EC182" w:rsidP="571EC182" w:rsidRDefault="571EC182" w14:paraId="19C5C664" w14:textId="314C5C5C">
      <w:pPr>
        <w:pStyle w:val="Normal"/>
        <w:jc w:val="both"/>
        <w:rPr>
          <w:rFonts w:ascii="Calibri" w:hAnsi="Calibri" w:eastAsia="Calibri" w:cs="Calibri" w:asciiTheme="minorAscii" w:hAnsiTheme="minorAscii" w:eastAsiaTheme="minorAscii" w:cstheme="minorAscii"/>
          <w:noProof w:val="0"/>
          <w:color w:val="auto"/>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The practitioner will support the child when they move onto the next step, such as transitioning from reception to year 1. For this to be a smooth transition the practitioner needs to be flexible with their approach and it must be specific to the needs of each individual child. However, they also need to be aware of the individual's family needs as the family should also be supported throughout this transition as it is a stressful time for them too. This can be a successful transition for all by using the key worker approach. This is where a reciprocal relationship is formed between the practitioner, the child and the family. It provides the child with a sense of security so that they feel confident to form further relationships. (Oxford Brookes University, 2020). Bowlby believes that young children become attached to their mother figure and that children need a strong base allowing them to socially develop. His work focused on the fact it is important for the practitioner and child to form a strong bond so the child feels a sense of comfort when parted with their parent, as children tend to feel a sense of loss during this transition</w:t>
      </w:r>
      <w:r w:rsidRPr="571EC182" w:rsidR="571EC182">
        <w:rPr>
          <w:rFonts w:ascii="Calibri" w:hAnsi="Calibri" w:eastAsia="Calibri" w:cs="Calibri" w:asciiTheme="minorAscii" w:hAnsiTheme="minorAscii" w:eastAsiaTheme="minorAscii" w:cstheme="minorAscii"/>
          <w:i w:val="1"/>
          <w:iCs w:val="1"/>
          <w:noProof w:val="0"/>
          <w:color w:val="auto"/>
          <w:sz w:val="32"/>
          <w:szCs w:val="32"/>
          <w:lang w:val="en-GB"/>
        </w:rPr>
        <w:t xml:space="preserve"> </w:t>
      </w:r>
      <w:r w:rsidRPr="571EC182" w:rsidR="571EC182">
        <w:rPr>
          <w:rFonts w:ascii="Calibri" w:hAnsi="Calibri" w:eastAsia="Calibri" w:cs="Calibri" w:asciiTheme="minorAscii" w:hAnsiTheme="minorAscii" w:eastAsiaTheme="minorAscii" w:cstheme="minorAscii"/>
          <w:noProof w:val="0"/>
          <w:color w:val="auto"/>
          <w:sz w:val="32"/>
          <w:szCs w:val="32"/>
          <w:lang w:val="en-GB"/>
        </w:rPr>
        <w:t xml:space="preserve">(Daly, Byers, Taylor, 2004) </w:t>
      </w:r>
    </w:p>
    <w:p w:rsidR="571EC182" w:rsidP="571EC182" w:rsidRDefault="571EC182" w14:paraId="3B22B8A8" w14:textId="30A9B1C1">
      <w:pPr>
        <w:pStyle w:val="Normal"/>
        <w:jc w:val="both"/>
        <w:rPr>
          <w:rFonts w:ascii="Calibri" w:hAnsi="Calibri" w:eastAsia="Calibri" w:cs="Calibri"/>
          <w:noProof w:val="0"/>
          <w:sz w:val="32"/>
          <w:szCs w:val="32"/>
          <w:lang w:val="en-GB"/>
        </w:rPr>
      </w:pPr>
      <w:r w:rsidRPr="571EC182" w:rsidR="571EC182">
        <w:rPr>
          <w:rFonts w:ascii="Calibri" w:hAnsi="Calibri" w:eastAsia="Calibri" w:cs="Calibri"/>
          <w:noProof w:val="0"/>
          <w:sz w:val="32"/>
          <w:szCs w:val="32"/>
          <w:lang w:val="en-GB"/>
        </w:rPr>
        <w:t>This process should firstly begin with a home visit from the practitioner where information about the child can be gathered in a home environment. This allows the family to ask any questions as well as being the initial building block of their relationship. Bronfenbrenner supports this as he believed that during the child’s early years, it is important that parents and practitioners have a positive partnership between home to pre-school or nursery to primary school, as this makes the transitional event less stressful to both the child and the parent / care giver (Bronfenbrenner, 2015). It also gives the practitioner the opportunity to gather background information such as any additional needs, disabilities or development concerns that would need to be taken into account. In addition to this, the child visiting the nursery/pre-school setting, will massively help the child to settle in as it allows them to become more familiar with their new surroundings and new people (staff). Once the child has settled in, it is up to the keyworkers to sustain their commitment to the child's transition by:</w:t>
      </w:r>
    </w:p>
    <w:p w:rsidR="571EC182" w:rsidP="571EC182" w:rsidRDefault="571EC182" w14:paraId="7332C720" w14:textId="589939B2">
      <w:pPr>
        <w:pStyle w:val="Normal"/>
        <w:jc w:val="left"/>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  Ensure processes and procedures are supportive and inclusive</w:t>
      </w:r>
    </w:p>
    <w:p w:rsidR="571EC182" w:rsidP="571EC182" w:rsidRDefault="571EC182" w14:paraId="1B56C4D6" w14:textId="60EA1711">
      <w:pPr>
        <w:pStyle w:val="Normal"/>
        <w:jc w:val="both"/>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 Effective communication between practitioner, parents and the child</w:t>
      </w:r>
    </w:p>
    <w:p w:rsidR="571EC182" w:rsidP="571EC182" w:rsidRDefault="571EC182" w14:paraId="6F150230" w14:textId="16586779">
      <w:pPr>
        <w:pStyle w:val="Normal"/>
        <w:jc w:val="both"/>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  Making sure parents are involved and supported</w:t>
      </w:r>
    </w:p>
    <w:p w:rsidR="571EC182" w:rsidP="571EC182" w:rsidRDefault="571EC182" w14:paraId="4E4D97A3" w14:textId="11CF8400">
      <w:pPr>
        <w:pStyle w:val="Normal"/>
        <w:ind w:left="0"/>
        <w:jc w:val="both"/>
        <w:rPr>
          <w:rFonts w:ascii="-webkit-standard" w:hAnsi="-webkit-standard" w:eastAsia="-webkit-standard" w:cs="-webkit-standard"/>
          <w:noProof w:val="0"/>
          <w:sz w:val="24"/>
          <w:szCs w:val="24"/>
          <w:lang w:val="en-GB"/>
        </w:rPr>
      </w:pPr>
      <w:r w:rsidRPr="571EC182" w:rsidR="571EC182">
        <w:rPr>
          <w:rFonts w:ascii="Calibri" w:hAnsi="Calibri" w:eastAsia="Calibri" w:cs="Calibri" w:asciiTheme="minorAscii" w:hAnsiTheme="minorAscii" w:eastAsiaTheme="minorAscii" w:cstheme="minorAscii"/>
          <w:noProof w:val="0"/>
          <w:color w:val="auto"/>
          <w:sz w:val="32"/>
          <w:szCs w:val="32"/>
          <w:lang w:val="en-GB"/>
        </w:rPr>
        <w:t>•  Have welcoming and non-stigmatising environments</w:t>
      </w:r>
    </w:p>
    <w:p w:rsidR="571EC182" w:rsidP="571EC182" w:rsidRDefault="571EC182" w14:paraId="71591A08" w14:textId="07B2184B">
      <w:pPr>
        <w:pStyle w:val="Normal"/>
        <w:ind w:left="0"/>
        <w:jc w:val="both"/>
        <w:rPr>
          <w:rFonts w:ascii="Calibri" w:hAnsi="Calibri" w:eastAsia="Calibri" w:cs="Calibri" w:asciiTheme="minorAscii" w:hAnsiTheme="minorAscii" w:eastAsiaTheme="minorAscii" w:cstheme="minorAscii"/>
          <w:noProof w:val="0"/>
          <w:color w:val="auto"/>
          <w:sz w:val="32"/>
          <w:szCs w:val="32"/>
          <w:lang w:val="en-GB"/>
        </w:rPr>
      </w:pPr>
      <w:r w:rsidRPr="571EC182" w:rsidR="571EC182">
        <w:rPr>
          <w:rFonts w:ascii="Calibri" w:hAnsi="Calibri" w:eastAsia="Calibri" w:cs="Calibri" w:asciiTheme="minorAscii" w:hAnsiTheme="minorAscii" w:eastAsiaTheme="minorAscii" w:cstheme="minorAscii"/>
          <w:noProof w:val="0"/>
          <w:color w:val="auto"/>
          <w:sz w:val="32"/>
          <w:szCs w:val="32"/>
          <w:lang w:val="en-GB"/>
        </w:rPr>
        <w:t>•  To value both child and family</w:t>
      </w:r>
    </w:p>
    <w:p w:rsidR="571EC182" w:rsidP="571EC182" w:rsidRDefault="571EC182" w14:paraId="58123613" w14:textId="608AED29">
      <w:pPr>
        <w:pStyle w:val="Normal"/>
        <w:ind w:left="0"/>
        <w:jc w:val="both"/>
        <w:rPr>
          <w:rFonts w:ascii="Calibri" w:hAnsi="Calibri" w:eastAsia="Calibri" w:cs="Calibri" w:asciiTheme="minorAscii" w:hAnsiTheme="minorAscii" w:eastAsiaTheme="minorAscii" w:cstheme="minorAscii"/>
          <w:noProof w:val="0"/>
          <w:color w:val="auto"/>
          <w:sz w:val="32"/>
          <w:szCs w:val="32"/>
          <w:lang w:val="en-GB"/>
        </w:rPr>
      </w:pPr>
      <w:r w:rsidRPr="571EC182" w:rsidR="571EC182">
        <w:rPr>
          <w:rFonts w:ascii="Calibri" w:hAnsi="Calibri" w:eastAsia="Calibri" w:cs="Calibri" w:asciiTheme="minorAscii" w:hAnsiTheme="minorAscii" w:eastAsiaTheme="minorAscii" w:cstheme="minorAscii"/>
          <w:noProof w:val="0"/>
          <w:color w:val="auto"/>
          <w:sz w:val="32"/>
          <w:szCs w:val="32"/>
          <w:lang w:val="en-GB"/>
        </w:rPr>
        <w:t xml:space="preserve">•  To carry on supporting the child whilst transitioning onto to their next stage. For example, providing visits to pre-school when transitioning from nursery to reception. </w:t>
      </w:r>
    </w:p>
    <w:p w:rsidR="571EC182" w:rsidP="571EC182" w:rsidRDefault="571EC182" w14:paraId="76D18847" w14:textId="224005C3">
      <w:pPr>
        <w:pStyle w:val="Normal"/>
        <w:jc w:val="both"/>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color w:val="auto"/>
          <w:sz w:val="32"/>
          <w:szCs w:val="32"/>
          <w:lang w:val="en-GB"/>
        </w:rPr>
        <w:t xml:space="preserve">These processes carried out effectively by all keyworkers coming together will provide a successful transition. This will have a positive outcome on the child in the long term as children learn best when interacting with others. Education is a process of living and not preparation for future living, teachers do not just teach a subject but how to live in a society. (John Devey, 1859). </w:t>
      </w:r>
      <w:r w:rsidRPr="571EC182" w:rsidR="571EC182">
        <w:rPr>
          <w:rFonts w:ascii="Calibri" w:hAnsi="Calibri" w:eastAsia="Calibri" w:cs="Calibri"/>
          <w:noProof w:val="0"/>
          <w:sz w:val="32"/>
          <w:szCs w:val="32"/>
          <w:lang w:val="en-GB"/>
        </w:rPr>
        <w:t>Therefore, it is in the best interest of the child for the transitions they experience to be successful, as a poor transition could traumatise a child and make the child presume that all future transitions will be traumatic.</w:t>
      </w:r>
    </w:p>
    <w:p w:rsidR="571EC182" w:rsidP="571EC182" w:rsidRDefault="571EC182" w14:paraId="28E2995B" w14:textId="4677D99C">
      <w:pPr>
        <w:pStyle w:val="Normal"/>
        <w:jc w:val="both"/>
        <w:rPr>
          <w:rFonts w:ascii="Calibri" w:hAnsi="Calibri" w:eastAsia="Calibri" w:cs="Calibri" w:asciiTheme="minorAscii" w:hAnsiTheme="minorAscii" w:eastAsiaTheme="minorAscii" w:cstheme="minorAscii"/>
          <w:noProof w:val="0"/>
          <w:color w:val="auto"/>
          <w:sz w:val="32"/>
          <w:szCs w:val="32"/>
          <w:lang w:val="en-GB"/>
        </w:rPr>
      </w:pPr>
    </w:p>
    <w:p w:rsidR="571EC182" w:rsidP="571EC182" w:rsidRDefault="571EC182" w14:paraId="68328884" w14:textId="19881F9C">
      <w:pPr>
        <w:pStyle w:val="Normal"/>
        <w:ind w:left="0"/>
        <w:jc w:val="both"/>
        <w:rPr>
          <w:rFonts w:ascii="Calibri" w:hAnsi="Calibri" w:eastAsia="Calibri" w:cs="Calibri" w:asciiTheme="minorAscii" w:hAnsiTheme="minorAscii" w:eastAsiaTheme="minorAscii" w:cstheme="minorAscii"/>
          <w:noProof w:val="0"/>
          <w:color w:val="auto"/>
          <w:sz w:val="32"/>
          <w:szCs w:val="32"/>
          <w:lang w:val="en-GB"/>
        </w:rPr>
      </w:pPr>
      <w:r w:rsidRPr="571EC182" w:rsidR="571EC182">
        <w:rPr>
          <w:b w:val="1"/>
          <w:bCs w:val="1"/>
          <w:sz w:val="40"/>
          <w:szCs w:val="40"/>
          <w:u w:val="single"/>
        </w:rPr>
        <w:t>The needs of the child</w:t>
      </w:r>
    </w:p>
    <w:p w:rsidR="571EC182" w:rsidP="571EC182" w:rsidRDefault="571EC182" w14:paraId="30C46088" w14:textId="249F0D53">
      <w:pPr>
        <w:pStyle w:val="Normal"/>
        <w:jc w:val="both"/>
        <w:rPr>
          <w:b w:val="0"/>
          <w:bCs w:val="0"/>
          <w:color w:val="auto"/>
          <w:sz w:val="32"/>
          <w:szCs w:val="32"/>
          <w:u w:val="none"/>
        </w:rPr>
      </w:pPr>
      <w:r w:rsidRPr="571EC182" w:rsidR="571EC182">
        <w:rPr>
          <w:b w:val="0"/>
          <w:bCs w:val="0"/>
          <w:sz w:val="32"/>
          <w:szCs w:val="32"/>
          <w:u w:val="none"/>
        </w:rPr>
        <w:t>Positive relationships are central to a child’s development and construct a platform for secure development. A strong bond with a practitioner will help the young child settle in and feel more comfortable when going through transitions. Penny Tassoni states that a bond is like an emotional safety net and it is essential that it is strong enough to catch the child in the absence of their parents or carers. When children have this bond with a practitioner, they will naturally feel more secure and relaxed resulting in them more likely to enjoy being in the pre-school setting. However, every child should be included and cared for to support their development despite their culture, disability, gender, ethnicity, family background or ability. Vygotsky states that the world is shaped by our families, communities, socioeconomic status, education and culture. Vygotsky’s zone of proximal development can be defined as the range of abilities that an individual can perform with assistance but cannot yet perform independently. It is the distance between the child’s actual development level as determined by independent problem solving and the level of potential development as determined through problem solving under the practitioner's guidance. As the child becomes more competent, the practitioner gradually stops supporting the child until they can carry out the skill by themselves.</w:t>
      </w:r>
      <w:r w:rsidRPr="571EC182" w:rsidR="571EC182">
        <w:rPr>
          <w:b w:val="0"/>
          <w:bCs w:val="0"/>
          <w:sz w:val="40"/>
          <w:szCs w:val="40"/>
          <w:u w:val="none"/>
        </w:rPr>
        <w:t xml:space="preserve"> </w:t>
      </w:r>
      <w:r w:rsidRPr="571EC182" w:rsidR="571EC182">
        <w:rPr>
          <w:b w:val="0"/>
          <w:bCs w:val="0"/>
          <w:color w:val="auto"/>
          <w:sz w:val="32"/>
          <w:szCs w:val="32"/>
          <w:u w:val="none"/>
        </w:rPr>
        <w:t xml:space="preserve">Vygotsky suggests that the keyworkers in a child’s influence their perspectives and values and are actively engaging within their learning environments and continuously analysing the reactions of others and their responses. </w:t>
      </w:r>
      <w:r w:rsidRPr="571EC182" w:rsidR="571EC182">
        <w:rPr>
          <w:rFonts w:ascii="Calibri" w:hAnsi="Calibri" w:eastAsia="Calibri" w:cs="Calibri" w:asciiTheme="minorAscii" w:hAnsiTheme="minorAscii" w:eastAsiaTheme="minorAscii" w:cstheme="minorAscii"/>
          <w:noProof w:val="0"/>
          <w:sz w:val="32"/>
          <w:szCs w:val="32"/>
          <w:lang w:val="en-GB"/>
        </w:rPr>
        <w:t>Young children are able to communicate their feelings initially through sounds, gestures, actions, and later through speech. Vogler et al, 2008 emphasises that w</w:t>
      </w:r>
      <w:r w:rsidRPr="571EC182" w:rsidR="571EC182">
        <w:rPr>
          <w:b w:val="0"/>
          <w:bCs w:val="0"/>
          <w:color w:val="auto"/>
          <w:sz w:val="32"/>
          <w:szCs w:val="32"/>
          <w:u w:val="none"/>
        </w:rPr>
        <w:t xml:space="preserve">hen a child is developing their communication and social skills, it is vital for keyworkers to react appropriately to their feelings with actions such as a hug or as simple as eye contact, to enhance the neural connections in their brain. These interactions shape brain architecture as the brain of an infant develops through experiences. </w:t>
      </w:r>
    </w:p>
    <w:p w:rsidR="571EC182" w:rsidP="571EC182" w:rsidRDefault="571EC182" w14:paraId="4DA15530" w14:textId="21A0515D">
      <w:pPr>
        <w:pStyle w:val="Normal"/>
        <w:jc w:val="left"/>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Both learning and culture are depended on the other: individuals are constantly determining what is acceptable in society, and the environment is continuously confirming what would be considered appropriate behaviour. Vygotsky states that it is the combination of cultural influences and genetics that create one’s personality.</w:t>
      </w:r>
    </w:p>
    <w:p w:rsidR="571EC182" w:rsidP="571EC182" w:rsidRDefault="571EC182" w14:paraId="387B468F" w14:textId="6AECBF8A">
      <w:pPr>
        <w:pStyle w:val="Normal"/>
        <w:jc w:val="both"/>
        <w:rPr>
          <w:rFonts w:ascii="Calibri" w:hAnsi="Calibri" w:eastAsia="Calibri" w:cs="Calibr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 xml:space="preserve">The United Nations Convention states that every child has a right to play. </w:t>
      </w:r>
      <w:r w:rsidRPr="571EC182" w:rsidR="571EC182">
        <w:rPr>
          <w:rFonts w:ascii="Calibri" w:hAnsi="Calibri" w:eastAsia="Calibri" w:cs="Calibri"/>
          <w:noProof w:val="0"/>
          <w:sz w:val="32"/>
          <w:szCs w:val="32"/>
          <w:lang w:val="en-GB"/>
        </w:rPr>
        <w:t>Encouraging physical well-being in children is central to enhancing learning and this is why ‘play’ is a very important part of a child’s transition process. Play between both child and keyworker can have a positive impact on their relationship as well as their learning and development.</w:t>
      </w:r>
      <w:r w:rsidRPr="571EC182" w:rsidR="571EC182">
        <w:rPr>
          <w:rFonts w:ascii="Calibri" w:hAnsi="Calibri" w:eastAsia="Calibri" w:cs="Calibri" w:asciiTheme="minorAscii" w:hAnsiTheme="minorAscii" w:eastAsiaTheme="minorAscii" w:cstheme="minorAscii"/>
          <w:noProof w:val="0"/>
          <w:sz w:val="32"/>
          <w:szCs w:val="32"/>
          <w:lang w:val="en-GB"/>
        </w:rPr>
        <w:t xml:space="preserve"> Research suggests that children’s experiences can be enhanced through play when keyworkers actively support the child. </w:t>
      </w:r>
      <w:r w:rsidRPr="571EC182" w:rsidR="571EC182">
        <w:rPr>
          <w:rFonts w:ascii="Calibri" w:hAnsi="Calibri" w:eastAsia="Calibri" w:cs="Calibri"/>
          <w:noProof w:val="0"/>
          <w:sz w:val="32"/>
          <w:szCs w:val="32"/>
          <w:lang w:val="en-GB"/>
        </w:rPr>
        <w:t>Froebel supports this as he believes the natural growth of children is through action and play.</w:t>
      </w:r>
    </w:p>
    <w:p w:rsidR="571EC182" w:rsidP="571EC182" w:rsidRDefault="571EC182" w14:paraId="1C5616A9" w14:textId="1D0ADF25">
      <w:pPr>
        <w:jc w:val="left"/>
        <w:rPr>
          <w:rFonts w:ascii="Calibri" w:hAnsi="Calibri" w:eastAsia="Calibri" w:cs="Calibri" w:asciiTheme="minorAscii" w:hAnsiTheme="minorAscii" w:eastAsiaTheme="minorAscii" w:cstheme="minorAscii"/>
          <w:noProof w:val="0"/>
          <w:sz w:val="32"/>
          <w:szCs w:val="32"/>
          <w:lang w:val="en-GB"/>
        </w:rPr>
      </w:pPr>
      <w:r w:rsidRPr="571EC182" w:rsidR="571EC182">
        <w:rPr>
          <w:rFonts w:ascii="Calibri" w:hAnsi="Calibri" w:eastAsia="Calibri" w:cs="Calibri" w:asciiTheme="minorAscii" w:hAnsiTheme="minorAscii" w:eastAsiaTheme="minorAscii" w:cstheme="minorAscii"/>
          <w:noProof w:val="0"/>
          <w:sz w:val="32"/>
          <w:szCs w:val="32"/>
          <w:lang w:val="en-GB"/>
        </w:rPr>
        <w:t xml:space="preserve">Abraham Maslow hierarchy of needs triangle shows the needs of the child and what are needed for the child to move onto the next stage, practitioners are always encouraged to support this. </w:t>
      </w:r>
    </w:p>
    <w:p w:rsidR="571EC182" w:rsidP="571EC182" w:rsidRDefault="571EC182" w14:paraId="2058AD13" w14:textId="29CF7361">
      <w:pPr>
        <w:jc w:val="both"/>
      </w:pPr>
    </w:p>
    <w:p w:rsidR="571EC182" w:rsidP="571EC182" w:rsidRDefault="571EC182" w14:paraId="27AF3C02" w14:textId="6306BC12">
      <w:pPr>
        <w:pStyle w:val="Normal"/>
        <w:jc w:val="center"/>
      </w:pPr>
      <w:r>
        <w:drawing>
          <wp:inline wp14:editId="6EC1AC56" wp14:anchorId="70847CAB">
            <wp:extent cx="4572000" cy="2571750"/>
            <wp:effectExtent l="0" t="0" r="0" b="0"/>
            <wp:docPr id="807780961" name="" title=""/>
            <wp:cNvGraphicFramePr>
              <a:graphicFrameLocks noChangeAspect="1"/>
            </wp:cNvGraphicFramePr>
            <a:graphic>
              <a:graphicData uri="http://schemas.openxmlformats.org/drawingml/2006/picture">
                <pic:pic>
                  <pic:nvPicPr>
                    <pic:cNvPr id="0" name=""/>
                    <pic:cNvPicPr/>
                  </pic:nvPicPr>
                  <pic:blipFill>
                    <a:blip r:embed="Rbdf4d52ff8eb4674">
                      <a:extLst>
                        <a:ext xmlns:a="http://schemas.openxmlformats.org/drawingml/2006/main" uri="{28A0092B-C50C-407E-A947-70E740481C1C}">
                          <a14:useLocalDpi val="0"/>
                        </a:ext>
                      </a:extLst>
                    </a:blip>
                    <a:stretch>
                      <a:fillRect/>
                    </a:stretch>
                  </pic:blipFill>
                  <pic:spPr>
                    <a:xfrm>
                      <a:off x="0" y="0"/>
                      <a:ext cx="4572000" cy="2571750"/>
                    </a:xfrm>
                    <a:prstGeom prst="rect">
                      <a:avLst/>
                    </a:prstGeom>
                  </pic:spPr>
                </pic:pic>
              </a:graphicData>
            </a:graphic>
          </wp:inline>
        </w:drawing>
      </w:r>
      <w:r>
        <w:br/>
      </w:r>
    </w:p>
    <w:p w:rsidR="571EC182" w:rsidP="571EC182" w:rsidRDefault="571EC182" w14:paraId="528CC14E" w14:textId="574B9C0F">
      <w:pPr>
        <w:pStyle w:val="Normal"/>
        <w:jc w:val="center"/>
      </w:pPr>
      <w:r w:rsidRPr="571EC182" w:rsidR="571EC182">
        <w:rPr>
          <w:sz w:val="32"/>
          <w:szCs w:val="32"/>
        </w:rPr>
        <w:t>Maslow’s hierarchy of needs (1943)</w:t>
      </w:r>
    </w:p>
    <w:p w:rsidR="571EC182" w:rsidP="571EC182" w:rsidRDefault="571EC182" w14:paraId="79F6DF7C" w14:textId="2B87B399">
      <w:pPr>
        <w:pStyle w:val="Normal"/>
        <w:jc w:val="center"/>
        <w:rPr>
          <w:sz w:val="32"/>
          <w:szCs w:val="32"/>
        </w:rPr>
      </w:pPr>
      <w:r w:rsidRPr="571EC182" w:rsidR="571EC182">
        <w:rPr>
          <w:sz w:val="32"/>
          <w:szCs w:val="32"/>
        </w:rPr>
        <w:t>(</w:t>
      </w:r>
      <w:r w:rsidRPr="571EC182" w:rsidR="571EC182">
        <w:rPr>
          <w:sz w:val="32"/>
          <w:szCs w:val="32"/>
        </w:rPr>
        <w:t>Source:</w:t>
      </w:r>
      <w:r w:rsidRPr="571EC182" w:rsidR="571EC182">
        <w:rPr>
          <w:sz w:val="32"/>
          <w:szCs w:val="32"/>
        </w:rPr>
        <w:t xml:space="preserve"> Inspiredtrait.com, 2018)</w:t>
      </w:r>
    </w:p>
    <w:p w:rsidR="571EC182" w:rsidP="571EC182" w:rsidRDefault="571EC182" w14:paraId="600C59CB" w14:textId="555BBFDC">
      <w:pPr>
        <w:pStyle w:val="Normal"/>
        <w:jc w:val="both"/>
        <w:rPr>
          <w:sz w:val="32"/>
          <w:szCs w:val="32"/>
        </w:rPr>
      </w:pPr>
    </w:p>
    <w:p w:rsidR="571EC182" w:rsidP="571EC182" w:rsidRDefault="571EC182" w14:paraId="33CEF3C1" w14:textId="5080F730">
      <w:pPr>
        <w:pStyle w:val="Normal"/>
        <w:jc w:val="both"/>
        <w:rPr>
          <w:sz w:val="32"/>
          <w:szCs w:val="32"/>
        </w:rPr>
      </w:pPr>
      <w:r w:rsidRPr="571EC182" w:rsidR="571EC182">
        <w:rPr>
          <w:sz w:val="32"/>
          <w:szCs w:val="32"/>
        </w:rPr>
        <w:t xml:space="preserve">Maslow’s hierarchy of needs states that self-actualization has the greatest intensity. This is the realisation of one's potentialities and a drive to present in everyone. Self-actualization is achieved through struggle which leads to useful results, whereas physiological needs are the basic needs that everyone has. </w:t>
      </w:r>
    </w:p>
    <w:p w:rsidR="571EC182" w:rsidP="571EC182" w:rsidRDefault="571EC182" w14:paraId="7F2605BC" w14:textId="3801347F">
      <w:pPr>
        <w:pStyle w:val="Normal"/>
        <w:jc w:val="both"/>
        <w:rPr>
          <w:rFonts w:ascii="Times New Roman" w:hAnsi="Times New Roman" w:eastAsia="Times New Roman" w:cs="Times New Roman"/>
          <w:noProof w:val="0"/>
          <w:sz w:val="30"/>
          <w:szCs w:val="30"/>
          <w:lang w:val="en-GB"/>
        </w:rPr>
      </w:pPr>
    </w:p>
    <w:p w:rsidR="571EC182" w:rsidP="571EC182" w:rsidRDefault="571EC182" w14:paraId="55E32EA4" w14:textId="1117BA05">
      <w:pPr>
        <w:jc w:val="left"/>
        <w:rPr>
          <w:rFonts w:ascii="Calibri" w:hAnsi="Calibri" w:eastAsia="Calibri" w:cs="Calibri" w:asciiTheme="minorAscii" w:hAnsiTheme="minorAscii" w:eastAsiaTheme="minorAscii" w:cstheme="minorAscii"/>
          <w:b w:val="1"/>
          <w:bCs w:val="1"/>
          <w:noProof w:val="0"/>
          <w:sz w:val="40"/>
          <w:szCs w:val="40"/>
          <w:u w:val="single"/>
          <w:lang w:val="en-GB"/>
        </w:rPr>
      </w:pPr>
      <w:r w:rsidRPr="571EC182" w:rsidR="571EC182">
        <w:rPr>
          <w:rFonts w:ascii="Calibri" w:hAnsi="Calibri" w:eastAsia="Calibri" w:cs="Calibri" w:asciiTheme="minorAscii" w:hAnsiTheme="minorAscii" w:eastAsiaTheme="minorAscii" w:cstheme="minorAscii"/>
          <w:b w:val="1"/>
          <w:bCs w:val="1"/>
          <w:noProof w:val="0"/>
          <w:sz w:val="40"/>
          <w:szCs w:val="40"/>
          <w:u w:val="single"/>
          <w:lang w:val="en-GB"/>
        </w:rPr>
        <w:t>Partnerships</w:t>
      </w:r>
    </w:p>
    <w:p w:rsidR="571EC182" w:rsidP="571EC182" w:rsidRDefault="571EC182" w14:paraId="26878F78" w14:textId="67BE5FDC">
      <w:pPr>
        <w:pStyle w:val="Normal"/>
        <w:jc w:val="both"/>
      </w:pPr>
      <w:r w:rsidRPr="571EC182" w:rsidR="571EC182">
        <w:rPr>
          <w:rFonts w:ascii="Calibri" w:hAnsi="Calibri" w:eastAsia="Calibri" w:cs="Calibri" w:asciiTheme="minorAscii" w:hAnsiTheme="minorAscii" w:eastAsiaTheme="minorAscii" w:cstheme="minorAscii"/>
          <w:noProof w:val="0"/>
          <w:sz w:val="32"/>
          <w:szCs w:val="32"/>
          <w:u w:val="none"/>
          <w:lang w:val="en-GB"/>
        </w:rPr>
        <w:t>As a keyworker it is vital that parents and carers are involved on their child's transition processes. It is important that they are informed and updated on a daily basis as quite often it appears that it is more problematic for parents during the transition to pre-school than it is for the child. This can lead to a lot of parental anxiety which will have a negative impact on the child. A big role whilst being an early year's practitioner is ensuring that the parents understand the importance of projecting a positive attitude to help the child enjoy the transition without creating more worry for them. The practitioner can involve the parents in many ways. The main one being communication. This is a major factor in how parent partnerships can support positive transitions for their child. An effective way of doing this is by talking to parents, encouraging them to ask any questions they may have and sending emails. Whilst communicating with parents, the practitioner needs to be able to be flexible and mindful of adapting to different languages or specific learning needs. (Pacey, 2018). Another strategy would be having respect for the parents. When a partnership is</w:t>
      </w:r>
      <w:r w:rsidRPr="571EC182" w:rsidR="571EC182">
        <w:rPr>
          <w:rFonts w:ascii="Calibri" w:hAnsi="Calibri" w:eastAsia="Calibri" w:cs="Calibri"/>
          <w:noProof w:val="0"/>
          <w:color w:val="auto"/>
          <w:sz w:val="32"/>
          <w:szCs w:val="32"/>
          <w:lang w:val="en-GB"/>
        </w:rPr>
        <w:t xml:space="preserve"> respectful, it can lead to an open dialogue which is more supportive of positive transitions. This can include inviting the parents into school to discuss how you can work together for a positive outcome. </w:t>
      </w:r>
    </w:p>
    <w:p w:rsidR="571EC182" w:rsidP="571EC182" w:rsidRDefault="571EC182" w14:paraId="70D6A293" w14:textId="2C2DB2D7">
      <w:pPr>
        <w:pStyle w:val="Normal"/>
        <w:jc w:val="both"/>
        <w:rPr>
          <w:rFonts w:ascii="Calibri" w:hAnsi="Calibri" w:eastAsia="Calibri" w:cs="Calibri"/>
          <w:noProof w:val="0"/>
          <w:color w:val="auto"/>
          <w:sz w:val="32"/>
          <w:szCs w:val="32"/>
          <w:lang w:val="en-GB"/>
        </w:rPr>
      </w:pPr>
      <w:r w:rsidRPr="571EC182" w:rsidR="571EC182">
        <w:rPr>
          <w:rFonts w:ascii="Calibri" w:hAnsi="Calibri" w:eastAsia="Calibri" w:cs="Calibri"/>
          <w:noProof w:val="0"/>
          <w:color w:val="auto"/>
          <w:sz w:val="32"/>
          <w:szCs w:val="32"/>
          <w:lang w:val="en-GB"/>
        </w:rPr>
        <w:t xml:space="preserve">As a keyworker, it is your role to recognise that not only children are unique, but so are their parents. In this approach there is no “one size fits all” so it is very important to consider the individual needs that both children and parents may have. Some parents may need more reassurance than others, where as some parents may have already experienced these </w:t>
      </w:r>
      <w:r w:rsidRPr="571EC182" w:rsidR="571EC182">
        <w:rPr>
          <w:rFonts w:ascii="Calibri" w:hAnsi="Calibri" w:eastAsia="Calibri" w:cs="Calibri"/>
          <w:b w:val="0"/>
          <w:bCs w:val="0"/>
          <w:noProof w:val="0"/>
          <w:color w:val="auto"/>
          <w:sz w:val="32"/>
          <w:szCs w:val="32"/>
          <w:lang w:val="en-GB"/>
        </w:rPr>
        <w:t>transitions</w:t>
      </w:r>
      <w:r w:rsidRPr="571EC182" w:rsidR="571EC182">
        <w:rPr>
          <w:rFonts w:ascii="Calibri" w:hAnsi="Calibri" w:eastAsia="Calibri" w:cs="Calibri"/>
          <w:noProof w:val="0"/>
          <w:color w:val="auto"/>
          <w:sz w:val="32"/>
          <w:szCs w:val="32"/>
          <w:lang w:val="en-GB"/>
        </w:rPr>
        <w:t xml:space="preserve"> with their older children and have no concerns. Therefore, this is why communication and respect are vital factors in achieving a smooth transition. </w:t>
      </w:r>
    </w:p>
    <w:p w:rsidR="571EC182" w:rsidP="571EC182" w:rsidRDefault="571EC182" w14:paraId="60245872" w14:textId="19FE432F">
      <w:pPr>
        <w:pStyle w:val="Normal"/>
        <w:jc w:val="both"/>
        <w:rPr>
          <w:rFonts w:ascii="Calibri" w:hAnsi="Calibri" w:eastAsia="Calibri" w:cs="Calibri"/>
          <w:noProof w:val="0"/>
          <w:color w:val="auto"/>
          <w:sz w:val="32"/>
          <w:szCs w:val="32"/>
          <w:lang w:val="en-GB"/>
        </w:rPr>
      </w:pPr>
    </w:p>
    <w:p w:rsidR="571EC182" w:rsidP="571EC182" w:rsidRDefault="571EC182" w14:paraId="3E77CF1A" w14:textId="0E6C43E9">
      <w:pPr>
        <w:pStyle w:val="Normal"/>
        <w:jc w:val="both"/>
        <w:rPr>
          <w:rFonts w:ascii="Calibri" w:hAnsi="Calibri" w:eastAsia="Calibri" w:cs="Calibri"/>
          <w:noProof w:val="0"/>
          <w:color w:val="auto"/>
          <w:sz w:val="32"/>
          <w:szCs w:val="32"/>
          <w:lang w:val="en-GB"/>
        </w:rPr>
      </w:pPr>
      <w:r w:rsidRPr="571EC182" w:rsidR="571EC182">
        <w:rPr>
          <w:rFonts w:ascii="Calibri" w:hAnsi="Calibri" w:eastAsia="Calibri" w:cs="Calibri"/>
          <w:b w:val="1"/>
          <w:bCs w:val="1"/>
          <w:noProof w:val="0"/>
          <w:color w:val="auto"/>
          <w:sz w:val="40"/>
          <w:szCs w:val="40"/>
          <w:u w:val="single"/>
          <w:lang w:val="en-GB"/>
        </w:rPr>
        <w:t>Interventions</w:t>
      </w:r>
    </w:p>
    <w:p w:rsidR="571EC182" w:rsidP="571EC182" w:rsidRDefault="571EC182" w14:paraId="709CCDFA" w14:textId="549623C3">
      <w:pPr>
        <w:pStyle w:val="Normal"/>
        <w:jc w:val="both"/>
        <w:rPr>
          <w:rFonts w:ascii="Calibri" w:hAnsi="Calibri" w:eastAsia="Calibri" w:cs="Calibri"/>
          <w:b w:val="1"/>
          <w:bCs w:val="1"/>
          <w:noProof w:val="0"/>
          <w:color w:val="auto"/>
          <w:sz w:val="40"/>
          <w:szCs w:val="40"/>
          <w:u w:val="single"/>
          <w:lang w:val="en-GB"/>
        </w:rPr>
      </w:pPr>
      <w:r w:rsidRPr="571EC182" w:rsidR="571EC182">
        <w:rPr>
          <w:rFonts w:ascii="Calibri" w:hAnsi="Calibri" w:eastAsia="Calibri" w:cs="Calibri"/>
          <w:b w:val="0"/>
          <w:bCs w:val="0"/>
          <w:noProof w:val="0"/>
          <w:color w:val="auto"/>
          <w:sz w:val="32"/>
          <w:szCs w:val="32"/>
          <w:u w:val="none"/>
          <w:lang w:val="en-GB"/>
        </w:rPr>
        <w:t xml:space="preserve">Bandura’s social learning theory posits that people learn from one another via observation, imitation and modelling. Bandura (1977) states “learning would be exceedingly laborious, not to mention hazardous, if people had to rely solely on the effects of their own actions to inform them what to do”. There are 4 steps to his theory including attention, retention, reproduction and motivation. It encompasses memory, motivation and attention meaning that his social learning theory spans both cognitive and behavioural frameworks. Bandura’s theory is related to Vygotsky’s as they both focus on the central role of social learning. However, Bandura’s moves beyond </w:t>
      </w:r>
      <w:hyperlink r:id="R8668f3264aa349cf">
        <w:r w:rsidRPr="571EC182" w:rsidR="571EC182">
          <w:rPr>
            <w:rStyle w:val="Hyperlink"/>
            <w:rFonts w:ascii="Calibri" w:hAnsi="Calibri" w:eastAsia="Calibri" w:cs="Calibri"/>
            <w:noProof w:val="0"/>
            <w:color w:val="auto"/>
            <w:sz w:val="32"/>
            <w:szCs w:val="32"/>
            <w:u w:val="none"/>
            <w:lang w:val="en-GB"/>
          </w:rPr>
          <w:t>behavioral theories</w:t>
        </w:r>
      </w:hyperlink>
      <w:r w:rsidRPr="571EC182" w:rsidR="571EC182">
        <w:rPr>
          <w:rFonts w:ascii="Calibri" w:hAnsi="Calibri" w:eastAsia="Calibri" w:cs="Calibri"/>
          <w:noProof w:val="0"/>
          <w:color w:val="auto"/>
          <w:sz w:val="32"/>
          <w:szCs w:val="32"/>
          <w:u w:val="none"/>
          <w:lang w:val="en-GB"/>
        </w:rPr>
        <w:t xml:space="preserve">, which suggest that all behaviours are learned through conditioning, and cognitive theories, which take into account psychological influences such as attention and </w:t>
      </w:r>
      <w:hyperlink r:id="Re053c223aab54c67">
        <w:r w:rsidRPr="571EC182" w:rsidR="571EC182">
          <w:rPr>
            <w:rStyle w:val="Hyperlink"/>
            <w:rFonts w:ascii="Calibri" w:hAnsi="Calibri" w:eastAsia="Calibri" w:cs="Calibri"/>
            <w:noProof w:val="0"/>
            <w:color w:val="auto"/>
            <w:sz w:val="32"/>
            <w:szCs w:val="32"/>
            <w:u w:val="none"/>
            <w:lang w:val="en-GB"/>
          </w:rPr>
          <w:t>memory</w:t>
        </w:r>
      </w:hyperlink>
      <w:r w:rsidRPr="571EC182" w:rsidR="571EC182">
        <w:rPr>
          <w:rFonts w:ascii="Calibri" w:hAnsi="Calibri" w:eastAsia="Calibri" w:cs="Calibri"/>
          <w:noProof w:val="0"/>
          <w:color w:val="auto"/>
          <w:sz w:val="32"/>
          <w:szCs w:val="32"/>
          <w:u w:val="none"/>
          <w:lang w:val="en-GB"/>
        </w:rPr>
        <w:t xml:space="preserve">. </w:t>
      </w:r>
      <w:r w:rsidRPr="571EC182" w:rsidR="571EC182">
        <w:rPr>
          <w:rFonts w:ascii="Calibri" w:hAnsi="Calibri" w:eastAsia="Calibri" w:cs="Calibri"/>
          <w:noProof w:val="0"/>
          <w:color w:val="212121"/>
          <w:sz w:val="32"/>
          <w:szCs w:val="32"/>
          <w:lang w:val="en-GB"/>
        </w:rPr>
        <w:t xml:space="preserve">His theory added a social element, arguing that people can learn new information and behaviours by watching other people. For example, Bandura demonstrated that children learn and imitate behaviours they have observed in other people. The children in Bandura’s studies observed an adult acting violently toward a Bobo doll. When the children were later allowed to play in a room with the Bobo doll, they began to imitate the aggressive actions they had previously observed. </w:t>
      </w:r>
    </w:p>
    <w:p w:rsidR="571EC182" w:rsidP="571EC182" w:rsidRDefault="571EC182" w14:paraId="29B62034" w14:textId="3C5660DD">
      <w:pPr>
        <w:pStyle w:val="Normal"/>
        <w:jc w:val="both"/>
        <w:rPr>
          <w:rFonts w:ascii="Calibri" w:hAnsi="Calibri" w:eastAsia="Calibri" w:cs="Calibri"/>
          <w:noProof w:val="0"/>
          <w:color w:val="212121"/>
          <w:sz w:val="32"/>
          <w:szCs w:val="32"/>
          <w:lang w:val="en-GB"/>
        </w:rPr>
      </w:pPr>
      <w:r w:rsidRPr="571EC182" w:rsidR="571EC182">
        <w:rPr>
          <w:rFonts w:ascii="Calibri" w:hAnsi="Calibri" w:eastAsia="Calibri" w:cs="Calibri"/>
          <w:noProof w:val="0"/>
          <w:color w:val="auto"/>
          <w:sz w:val="32"/>
          <w:szCs w:val="32"/>
          <w:lang w:val="en-GB"/>
        </w:rPr>
        <w:t xml:space="preserve">However, not all observed behaviours are effectively learned. </w:t>
      </w:r>
      <w:r w:rsidRPr="571EC182" w:rsidR="571EC182">
        <w:rPr>
          <w:rFonts w:ascii="Calibri" w:hAnsi="Calibri" w:eastAsia="Calibri" w:cs="Calibri"/>
          <w:noProof w:val="0"/>
          <w:color w:val="212121"/>
          <w:sz w:val="32"/>
          <w:szCs w:val="32"/>
          <w:lang w:val="en-GB"/>
        </w:rPr>
        <w:t xml:space="preserve">Factors involving both the model and the learner can play a role in whether social learning is successful. </w:t>
      </w:r>
      <w:r w:rsidRPr="571EC182" w:rsidR="571EC182">
        <w:rPr>
          <w:rFonts w:ascii="Calibri" w:hAnsi="Calibri" w:eastAsia="Calibri" w:cs="Calibri"/>
          <w:b w:val="0"/>
          <w:bCs w:val="0"/>
          <w:noProof w:val="0"/>
          <w:color w:val="auto"/>
          <w:sz w:val="32"/>
          <w:szCs w:val="32"/>
          <w:u w:val="none"/>
          <w:lang w:val="en-GB"/>
        </w:rPr>
        <w:t>This theory can be applied to a child’s transition from reception to year 1 through these 4 steps:</w:t>
      </w:r>
    </w:p>
    <w:p w:rsidR="571EC182" w:rsidP="571EC182" w:rsidRDefault="571EC182" w14:paraId="3CFB09DD" w14:textId="5263E123">
      <w:pPr>
        <w:pStyle w:val="Normal"/>
        <w:jc w:val="both"/>
        <w:rPr>
          <w:rFonts w:ascii="Calibri" w:hAnsi="Calibri" w:eastAsia="Calibri" w:cs="Calibri"/>
          <w:b w:val="0"/>
          <w:bCs w:val="0"/>
          <w:noProof w:val="0"/>
          <w:color w:val="auto"/>
          <w:sz w:val="32"/>
          <w:szCs w:val="32"/>
          <w:u w:val="none"/>
          <w:lang w:val="en-GB"/>
        </w:rPr>
      </w:pPr>
      <w:r w:rsidRPr="571EC182" w:rsidR="571EC182">
        <w:rPr>
          <w:rFonts w:ascii="Calibri" w:hAnsi="Calibri" w:eastAsia="Calibri" w:cs="Calibri"/>
          <w:b w:val="0"/>
          <w:bCs w:val="0"/>
          <w:noProof w:val="0"/>
          <w:color w:val="auto"/>
          <w:sz w:val="32"/>
          <w:szCs w:val="32"/>
          <w:u w:val="none"/>
          <w:lang w:val="en-GB"/>
        </w:rPr>
        <w:t xml:space="preserve">• Attention – In order for a child to learn, they need to be paying attention. This could be in regards to paying attention to their new setting and surroundings in their new class room. </w:t>
      </w:r>
    </w:p>
    <w:p w:rsidR="571EC182" w:rsidP="571EC182" w:rsidRDefault="571EC182" w14:paraId="6F886CA9" w14:textId="26F9FB4B">
      <w:pPr>
        <w:pStyle w:val="Normal"/>
        <w:jc w:val="both"/>
        <w:rPr>
          <w:rFonts w:ascii="Calibri" w:hAnsi="Calibri" w:eastAsia="Calibri" w:cs="Calibri"/>
          <w:b w:val="0"/>
          <w:bCs w:val="0"/>
          <w:noProof w:val="0"/>
          <w:color w:val="auto"/>
          <w:sz w:val="32"/>
          <w:szCs w:val="32"/>
          <w:u w:val="none"/>
          <w:lang w:val="en-GB"/>
        </w:rPr>
      </w:pPr>
      <w:r w:rsidRPr="571EC182" w:rsidR="571EC182">
        <w:rPr>
          <w:rFonts w:ascii="Calibri" w:hAnsi="Calibri" w:eastAsia="Calibri" w:cs="Calibri"/>
          <w:b w:val="0"/>
          <w:bCs w:val="0"/>
          <w:noProof w:val="0"/>
          <w:color w:val="auto"/>
          <w:sz w:val="32"/>
          <w:szCs w:val="32"/>
          <w:u w:val="none"/>
          <w:lang w:val="en-GB"/>
        </w:rPr>
        <w:t xml:space="preserve">• Retention – The ability to store information. This could be them remembering their new class room and feeling more comfortable during the transition due to recalling being there before. </w:t>
      </w:r>
    </w:p>
    <w:p w:rsidR="571EC182" w:rsidP="571EC182" w:rsidRDefault="571EC182" w14:paraId="73ED463E" w14:textId="2EEBEEDA">
      <w:pPr>
        <w:pStyle w:val="Normal"/>
        <w:jc w:val="both"/>
        <w:rPr>
          <w:rFonts w:ascii="Calibri" w:hAnsi="Calibri" w:eastAsia="Calibri" w:cs="Calibri"/>
          <w:b w:val="0"/>
          <w:bCs w:val="0"/>
          <w:noProof w:val="0"/>
          <w:color w:val="auto"/>
          <w:sz w:val="32"/>
          <w:szCs w:val="32"/>
          <w:u w:val="none"/>
          <w:lang w:val="en-GB"/>
        </w:rPr>
      </w:pPr>
      <w:r w:rsidRPr="571EC182" w:rsidR="571EC182">
        <w:rPr>
          <w:rFonts w:ascii="Calibri" w:hAnsi="Calibri" w:eastAsia="Calibri" w:cs="Calibri"/>
          <w:b w:val="0"/>
          <w:bCs w:val="0"/>
          <w:noProof w:val="0"/>
          <w:color w:val="auto"/>
          <w:sz w:val="32"/>
          <w:szCs w:val="32"/>
          <w:u w:val="none"/>
          <w:lang w:val="en-GB"/>
        </w:rPr>
        <w:t xml:space="preserve">• Reproduction – Where the child would perform the behaviour they have observed. This would be the child smoothly settling into their new routine. </w:t>
      </w:r>
    </w:p>
    <w:p w:rsidR="571EC182" w:rsidP="571EC182" w:rsidRDefault="571EC182" w14:paraId="1A9B2C9A" w14:textId="4696C322">
      <w:pPr>
        <w:pStyle w:val="Normal"/>
        <w:jc w:val="both"/>
        <w:rPr>
          <w:rFonts w:ascii="Calibri" w:hAnsi="Calibri" w:eastAsia="Calibri" w:cs="Calibri"/>
          <w:noProof w:val="0"/>
          <w:color w:val="212121"/>
          <w:sz w:val="32"/>
          <w:szCs w:val="32"/>
          <w:lang w:val="en-GB"/>
        </w:rPr>
      </w:pPr>
      <w:r w:rsidRPr="571EC182" w:rsidR="571EC182">
        <w:rPr>
          <w:rFonts w:ascii="Calibri" w:hAnsi="Calibri" w:eastAsia="Calibri" w:cs="Calibri"/>
          <w:b w:val="0"/>
          <w:bCs w:val="0"/>
          <w:noProof w:val="0"/>
          <w:color w:val="auto"/>
          <w:sz w:val="32"/>
          <w:szCs w:val="32"/>
          <w:u w:val="none"/>
          <w:lang w:val="en-GB"/>
        </w:rPr>
        <w:t>• Motivation – For</w:t>
      </w:r>
      <w:r w:rsidRPr="571EC182" w:rsidR="571EC182">
        <w:rPr>
          <w:rFonts w:ascii="Calibri" w:hAnsi="Calibri" w:eastAsia="Calibri" w:cs="Calibri"/>
          <w:noProof w:val="0"/>
          <w:color w:val="212121"/>
          <w:sz w:val="32"/>
          <w:szCs w:val="32"/>
          <w:lang w:val="en-GB"/>
        </w:rPr>
        <w:t xml:space="preserve"> observational learning to be successful, the child would have to be motivated to imitate the behaviour they have observed. This could be achieved through the practitioner rewarding the child with a sticker, therefore motivating the child throughout the transition process. </w:t>
      </w:r>
    </w:p>
    <w:p w:rsidR="571EC182" w:rsidP="571EC182" w:rsidRDefault="571EC182" w14:paraId="50DA9416" w14:textId="1885C00D">
      <w:pPr>
        <w:pStyle w:val="Normal"/>
        <w:jc w:val="both"/>
        <w:rPr>
          <w:rFonts w:ascii="Calibri" w:hAnsi="Calibri" w:eastAsia="Calibri" w:cs="Calibri"/>
          <w:noProof w:val="0"/>
          <w:color w:val="212121"/>
          <w:sz w:val="32"/>
          <w:szCs w:val="32"/>
          <w:lang w:val="en-GB"/>
        </w:rPr>
      </w:pPr>
    </w:p>
    <w:p w:rsidR="571EC182" w:rsidP="571EC182" w:rsidRDefault="571EC182" w14:paraId="4F6BDE68" w14:textId="56247954">
      <w:pPr>
        <w:pStyle w:val="Normal"/>
        <w:jc w:val="both"/>
        <w:rPr>
          <w:rFonts w:ascii="Calibri" w:hAnsi="Calibri" w:eastAsia="Calibri" w:cs="Calibri"/>
          <w:noProof w:val="0"/>
          <w:color w:val="212121"/>
          <w:sz w:val="32"/>
          <w:szCs w:val="32"/>
          <w:lang w:val="en-GB"/>
        </w:rPr>
      </w:pPr>
      <w:r w:rsidRPr="571EC182" w:rsidR="571EC182">
        <w:rPr>
          <w:rFonts w:ascii="Calibri" w:hAnsi="Calibri" w:eastAsia="Calibri" w:cs="Calibri"/>
          <w:b w:val="1"/>
          <w:bCs w:val="1"/>
          <w:noProof w:val="0"/>
          <w:color w:val="212121"/>
          <w:sz w:val="40"/>
          <w:szCs w:val="40"/>
          <w:u w:val="single"/>
          <w:lang w:val="en-GB"/>
        </w:rPr>
        <w:t>Proposed outcomes</w:t>
      </w:r>
    </w:p>
    <w:p w:rsidR="571EC182" w:rsidP="571EC182" w:rsidRDefault="571EC182" w14:paraId="63D2CFE0" w14:textId="23D8191E">
      <w:pPr>
        <w:pStyle w:val="Normal"/>
        <w:jc w:val="both"/>
        <w:rPr>
          <w:rFonts w:ascii="Calibri" w:hAnsi="Calibri" w:eastAsia="Calibri" w:cs="Calibri"/>
          <w:b w:val="0"/>
          <w:bCs w:val="0"/>
          <w:noProof w:val="0"/>
          <w:color w:val="212121"/>
          <w:sz w:val="32"/>
          <w:szCs w:val="32"/>
          <w:u w:val="none"/>
          <w:lang w:val="en-GB"/>
        </w:rPr>
      </w:pPr>
      <w:r w:rsidRPr="571EC182" w:rsidR="571EC182">
        <w:rPr>
          <w:rFonts w:ascii="Calibri" w:hAnsi="Calibri" w:eastAsia="Calibri" w:cs="Calibri"/>
          <w:b w:val="0"/>
          <w:bCs w:val="0"/>
          <w:noProof w:val="0"/>
          <w:color w:val="212121"/>
          <w:sz w:val="32"/>
          <w:szCs w:val="32"/>
          <w:u w:val="none"/>
          <w:lang w:val="en-GB"/>
        </w:rPr>
        <w:t xml:space="preserve">The proposed outcome for this guidance handbook is to ensure that both children and parents are both fully supported throughout all transition stages, to facilitate a smooth transition for the child whilst transitioning from nursery to reception or reception to year 1 and to ensure that the child has settled comfortably into their new class setting.   Every child is individual and unique, whilst developing at their own rates and all adapt differently to challenges and transitions. John Locke supports this by stating that the child’s mind is like a blank slate and that teaching should begin in the early years. He emphasises that a child’s learning should be enjoyable. A proposed outcome for this would be that the child is able to learn and develop through play, whilst having a strong connection with their key workers. These quality relationships between the child and the practitioner are particularly important not only for the child to feel settled, but allowing the key worker to use the “sustained shared thinking” process. Activities within this process reflect the child’s desire to develop and learn, resulting in the child continuing wanting to learn as they grow older. </w:t>
      </w:r>
    </w:p>
    <w:p w:rsidR="571EC182" w:rsidP="571EC182" w:rsidRDefault="571EC182" w14:paraId="42771BBE" w14:textId="2C25AE03">
      <w:pPr>
        <w:pStyle w:val="Normal"/>
        <w:jc w:val="both"/>
        <w:rPr>
          <w:rFonts w:ascii="Calibri" w:hAnsi="Calibri" w:eastAsia="Calibri" w:cs="Calibri"/>
          <w:noProof w:val="0"/>
          <w:color w:val="212121"/>
          <w:sz w:val="32"/>
          <w:szCs w:val="32"/>
          <w:lang w:val="en-GB"/>
        </w:rPr>
      </w:pPr>
    </w:p>
    <w:p w:rsidR="571EC182" w:rsidP="571EC182" w:rsidRDefault="571EC182" w14:paraId="70524967" w14:textId="1B0E1986">
      <w:pPr>
        <w:pStyle w:val="Normal"/>
        <w:jc w:val="both"/>
        <w:rPr>
          <w:rFonts w:ascii="Calibri" w:hAnsi="Calibri" w:eastAsia="Calibri" w:cs="Calibri"/>
          <w:b w:val="1"/>
          <w:bCs w:val="1"/>
          <w:noProof w:val="0"/>
          <w:color w:val="212121"/>
          <w:sz w:val="40"/>
          <w:szCs w:val="40"/>
          <w:u w:val="single"/>
          <w:lang w:val="en-GB"/>
        </w:rPr>
      </w:pPr>
      <w:r w:rsidRPr="571EC182" w:rsidR="571EC182">
        <w:rPr>
          <w:rFonts w:ascii="Calibri" w:hAnsi="Calibri" w:eastAsia="Calibri" w:cs="Calibri"/>
          <w:b w:val="1"/>
          <w:bCs w:val="1"/>
          <w:noProof w:val="0"/>
          <w:color w:val="212121"/>
          <w:sz w:val="40"/>
          <w:szCs w:val="40"/>
          <w:u w:val="single"/>
          <w:lang w:val="en-GB"/>
        </w:rPr>
        <w:t>Reference list</w:t>
      </w:r>
    </w:p>
    <w:p w:rsidR="571EC182" w:rsidP="571EC182" w:rsidRDefault="571EC182" w14:paraId="3C864373" w14:textId="24E418D4">
      <w:pPr>
        <w:pStyle w:val="Normal"/>
        <w:jc w:val="left"/>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pPr>
    </w:p>
    <w:p w:rsidR="571EC182" w:rsidP="571EC182" w:rsidRDefault="571EC182" w14:paraId="48BED0FA" w14:textId="14511EBD">
      <w:pPr>
        <w:jc w:val="left"/>
      </w:pPr>
      <w:r w:rsidRPr="571EC182" w:rsidR="571EC182">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Bronfenbrenner.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u w:val="none"/>
          <w:lang w:val="en-GB"/>
        </w:rPr>
        <w:t>M</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u w:val="none"/>
          <w:lang w:val="en-GB"/>
        </w:rPr>
        <w:t>odel</w:t>
      </w:r>
      <w:r w:rsidRPr="571EC182" w:rsidR="571EC182">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of human development.</w:t>
      </w:r>
      <w:r w:rsidRPr="571EC182" w:rsidR="571EC182">
        <w:rPr>
          <w:rFonts w:ascii="Times New Roman" w:hAnsi="Times New Roman" w:eastAsia="Times New Roman" w:cs="Times New Roman"/>
          <w:i w:val="1"/>
          <w:iCs w:val="1"/>
          <w:noProof w:val="0"/>
          <w:color w:val="000000" w:themeColor="text1" w:themeTint="FF" w:themeShade="FF"/>
          <w:sz w:val="30"/>
          <w:szCs w:val="30"/>
          <w:lang w:val="en-GB"/>
        </w:rPr>
        <w:t xml:space="preserve">  at:</w:t>
      </w:r>
      <w:hyperlink r:id="Rfd17742ac1254a64">
        <w:r w:rsidRPr="571EC182" w:rsidR="571EC182">
          <w:rPr>
            <w:rStyle w:val="Hyperlink"/>
            <w:rFonts w:ascii="Times New Roman" w:hAnsi="Times New Roman" w:eastAsia="Times New Roman" w:cs="Times New Roman"/>
            <w:noProof w:val="0"/>
            <w:sz w:val="30"/>
            <w:szCs w:val="30"/>
            <w:lang w:val="en-GB"/>
          </w:rPr>
          <w:t>http://experience.jumpfoundation.org/bronfenbrenner-biological-model-of-human-development/</w:t>
        </w:r>
      </w:hyperlink>
    </w:p>
    <w:p w:rsidR="571EC182" w:rsidP="571EC182" w:rsidRDefault="571EC182" w14:paraId="13E7796D" w14:textId="2580D364">
      <w:pPr>
        <w:pStyle w:val="Normal"/>
        <w:jc w:val="both"/>
        <w:rPr>
          <w:rFonts w:ascii="Calibri" w:hAnsi="Calibri" w:eastAsia="Calibri" w:cs="Calibri"/>
          <w:b w:val="1"/>
          <w:bCs w:val="1"/>
          <w:noProof w:val="0"/>
          <w:color w:val="212121"/>
          <w:sz w:val="40"/>
          <w:szCs w:val="40"/>
          <w:u w:val="single"/>
          <w:lang w:val="en-GB"/>
        </w:rPr>
      </w:pPr>
    </w:p>
    <w:p w:rsidR="571EC182" w:rsidP="571EC182" w:rsidRDefault="571EC182" w14:paraId="2D9438B0" w14:textId="5BF1B48F">
      <w:pPr>
        <w:jc w:val="left"/>
      </w:pPr>
      <w:r w:rsidRPr="571EC182" w:rsidR="571EC182">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Early years matters (2018)</w:t>
      </w:r>
      <w:r w:rsidRPr="571EC182" w:rsidR="571EC182">
        <w:rPr>
          <w:rFonts w:ascii="Times New Roman" w:hAnsi="Times New Roman" w:eastAsia="Times New Roman" w:cs="Times New Roman"/>
          <w:noProof w:val="0"/>
          <w:color w:val="000000" w:themeColor="text1" w:themeTint="FF" w:themeShade="FF"/>
          <w:sz w:val="30"/>
          <w:szCs w:val="30"/>
          <w:lang w:val="en-GB"/>
        </w:rPr>
        <w:t xml:space="preserve">  </w:t>
      </w:r>
      <w:hyperlink r:id="R60c05b7a0e3745cc">
        <w:r w:rsidRPr="571EC182" w:rsidR="571EC182">
          <w:rPr>
            <w:rStyle w:val="Hyperlink"/>
            <w:rFonts w:ascii="Times New Roman" w:hAnsi="Times New Roman" w:eastAsia="Times New Roman" w:cs="Times New Roman"/>
            <w:noProof w:val="0"/>
            <w:sz w:val="30"/>
            <w:szCs w:val="30"/>
            <w:lang w:val="en-GB"/>
          </w:rPr>
          <w:t>http://earlyyeasmatters.co.uk/index.php/transitions/</w:t>
        </w:r>
      </w:hyperlink>
    </w:p>
    <w:p w:rsidR="571EC182" w:rsidP="571EC182" w:rsidRDefault="571EC182" w14:paraId="70DC4DE2" w14:textId="48F82504">
      <w:pPr>
        <w:pStyle w:val="Normal"/>
        <w:jc w:val="both"/>
        <w:rPr>
          <w:rFonts w:ascii="Calibri" w:hAnsi="Calibri" w:eastAsia="Calibri" w:cs="Calibri"/>
          <w:b w:val="1"/>
          <w:bCs w:val="1"/>
          <w:noProof w:val="0"/>
          <w:color w:val="212121"/>
          <w:sz w:val="40"/>
          <w:szCs w:val="40"/>
          <w:u w:val="single"/>
          <w:lang w:val="en-GB"/>
        </w:rPr>
      </w:pPr>
    </w:p>
    <w:p w:rsidR="571EC182" w:rsidP="571EC182" w:rsidRDefault="571EC182" w14:paraId="3E9A4878" w14:textId="185EFDB3">
      <w:pPr>
        <w:jc w:val="left"/>
      </w:pPr>
      <w:r w:rsidRPr="571EC182" w:rsidR="571EC182">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Early years matters (2018)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Positive Relationships.</w:t>
      </w:r>
      <w:r w:rsidRPr="571EC182" w:rsidR="571EC182">
        <w:rPr>
          <w:rFonts w:ascii="Times New Roman" w:hAnsi="Times New Roman" w:eastAsia="Times New Roman" w:cs="Times New Roman"/>
          <w:i w:val="1"/>
          <w:iCs w:val="1"/>
          <w:noProof w:val="0"/>
          <w:color w:val="000000" w:themeColor="text1" w:themeTint="FF" w:themeShade="FF"/>
          <w:sz w:val="30"/>
          <w:szCs w:val="30"/>
          <w:lang w:val="en-GB"/>
        </w:rPr>
        <w:t xml:space="preserve"> </w:t>
      </w:r>
      <w:r w:rsidRPr="571EC182" w:rsidR="571EC182">
        <w:rPr>
          <w:rFonts w:ascii="Times New Roman" w:hAnsi="Times New Roman" w:eastAsia="Times New Roman" w:cs="Times New Roman"/>
          <w:noProof w:val="0"/>
          <w:color w:val="000000" w:themeColor="text1" w:themeTint="FF" w:themeShade="FF"/>
          <w:sz w:val="30"/>
          <w:szCs w:val="30"/>
          <w:lang w:val="en-GB"/>
        </w:rPr>
        <w:t xml:space="preserve"> </w:t>
      </w:r>
      <w:hyperlink r:id="R5be7572d07644edb">
        <w:r w:rsidRPr="571EC182" w:rsidR="571EC182">
          <w:rPr>
            <w:rStyle w:val="Hyperlink"/>
            <w:rFonts w:ascii="Times New Roman" w:hAnsi="Times New Roman" w:eastAsia="Times New Roman" w:cs="Times New Roman"/>
            <w:noProof w:val="0"/>
            <w:sz w:val="30"/>
            <w:szCs w:val="30"/>
            <w:lang w:val="en-GB"/>
          </w:rPr>
          <w:t>http://www.earlyyearsmatters.co.uk/eyfs/positive-relationships/transitions/</w:t>
        </w:r>
      </w:hyperlink>
    </w:p>
    <w:p w:rsidR="571EC182" w:rsidP="571EC182" w:rsidRDefault="571EC182" w14:paraId="6CFD112C" w14:textId="26D912ED">
      <w:pPr>
        <w:pStyle w:val="Normal"/>
        <w:jc w:val="both"/>
        <w:rPr>
          <w:rFonts w:ascii="Calibri" w:hAnsi="Calibri" w:eastAsia="Calibri" w:cs="Calibri"/>
          <w:b w:val="1"/>
          <w:bCs w:val="1"/>
          <w:noProof w:val="0"/>
          <w:color w:val="212121"/>
          <w:sz w:val="40"/>
          <w:szCs w:val="40"/>
          <w:u w:val="single"/>
          <w:lang w:val="en-GB"/>
        </w:rPr>
      </w:pPr>
    </w:p>
    <w:p w:rsidR="571EC182" w:rsidP="571EC182" w:rsidRDefault="571EC182" w14:paraId="1EF09352" w14:textId="49D2BA20">
      <w:pPr>
        <w:jc w:val="left"/>
      </w:pPr>
      <w:r w:rsidRPr="571EC182" w:rsidR="571EC182">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Early years matters (2018)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Transitions.</w:t>
      </w:r>
      <w:r w:rsidRPr="571EC182" w:rsidR="571EC182">
        <w:rPr>
          <w:rFonts w:ascii="Times New Roman" w:hAnsi="Times New Roman" w:eastAsia="Times New Roman" w:cs="Times New Roman"/>
          <w:noProof w:val="0"/>
          <w:color w:val="000000" w:themeColor="text1" w:themeTint="FF" w:themeShade="FF"/>
          <w:sz w:val="30"/>
          <w:szCs w:val="30"/>
          <w:lang w:val="en-GB"/>
        </w:rPr>
        <w:t xml:space="preserve">  </w:t>
      </w:r>
      <w:hyperlink r:id="R19fde0f9cfbe43d3">
        <w:r w:rsidRPr="571EC182" w:rsidR="571EC182">
          <w:rPr>
            <w:rStyle w:val="Hyperlink"/>
            <w:rFonts w:ascii="Times New Roman" w:hAnsi="Times New Roman" w:eastAsia="Times New Roman" w:cs="Times New Roman"/>
            <w:noProof w:val="0"/>
            <w:sz w:val="30"/>
            <w:szCs w:val="30"/>
            <w:lang w:val="en-GB"/>
          </w:rPr>
          <w:t>https://www.teachearlyyears.com/a-unique-child/view/supporting-transitions-in-the-early-years/</w:t>
        </w:r>
      </w:hyperlink>
      <w:r w:rsidRPr="571EC182" w:rsidR="571EC182">
        <w:rPr>
          <w:rFonts w:ascii="Times New Roman" w:hAnsi="Times New Roman" w:eastAsia="Times New Roman" w:cs="Times New Roman"/>
          <w:noProof w:val="0"/>
          <w:color w:val="000000" w:themeColor="text1" w:themeTint="FF" w:themeShade="FF"/>
          <w:sz w:val="30"/>
          <w:szCs w:val="30"/>
          <w:lang w:val="en-GB"/>
        </w:rPr>
        <w:t xml:space="preserve"> (Accessed:25/11/2018).</w:t>
      </w:r>
    </w:p>
    <w:p w:rsidR="571EC182" w:rsidP="571EC182" w:rsidRDefault="571EC182" w14:paraId="443B8FDC" w14:textId="32908B6A">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p>
    <w:p w:rsidR="571EC182" w:rsidP="571EC182" w:rsidRDefault="571EC182" w14:paraId="79F37BB7" w14:textId="3AC3B18E">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r w:rsidRPr="571EC182" w:rsidR="571EC182">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Maslow’s hierarchy of needs (image)</w:t>
      </w:r>
    </w:p>
    <w:p w:rsidR="571EC182" w:rsidP="571EC182" w:rsidRDefault="571EC182" w14:paraId="0D0B4FC1" w14:textId="44E72449">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hyperlink r:id="Rcfeadaa3f4ae4e9a">
        <w:r w:rsidRPr="571EC182" w:rsidR="571EC182">
          <w:rPr>
            <w:rStyle w:val="Hyperlink"/>
            <w:rFonts w:ascii="Calibri" w:hAnsi="Calibri" w:eastAsia="Calibri" w:cs="Calibri" w:asciiTheme="minorAscii" w:hAnsiTheme="minorAscii" w:eastAsiaTheme="minorAscii" w:cstheme="minorAscii"/>
            <w:noProof w:val="0"/>
            <w:sz w:val="32"/>
            <w:szCs w:val="32"/>
            <w:lang w:val="en-GB"/>
          </w:rPr>
          <w:t>https://www.quora.com/What-is-Abraham-Maslows-hierarchy-of-needs</w:t>
        </w:r>
      </w:hyperlink>
      <w:r w:rsidRPr="571EC182" w:rsidR="571EC182">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 </w:t>
      </w:r>
    </w:p>
    <w:p w:rsidR="571EC182" w:rsidP="571EC182" w:rsidRDefault="571EC182" w14:paraId="14897FE2" w14:textId="5B7A32AF">
      <w:pPr>
        <w:pStyle w:val="Normal"/>
        <w:jc w:val="left"/>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pPr>
    </w:p>
    <w:p w:rsidR="571EC182" w:rsidP="571EC182" w:rsidRDefault="571EC182" w14:paraId="25164B53" w14:textId="400C48E1">
      <w:pPr>
        <w:pStyle w:val="Normal"/>
        <w:jc w:val="left"/>
        <w:rPr>
          <w:rFonts w:ascii="Calibri" w:hAnsi="Calibri" w:eastAsia="Calibri" w:cs="Calibri"/>
          <w:noProof w:val="0"/>
          <w:color w:val="121212"/>
          <w:sz w:val="32"/>
          <w:szCs w:val="32"/>
          <w:lang w:val="en-GB"/>
        </w:rPr>
      </w:pPr>
      <w:r w:rsidRPr="571EC182" w:rsidR="571EC182">
        <w:rPr>
          <w:rFonts w:ascii="Calibri" w:hAnsi="Calibri" w:eastAsia="Calibri" w:cs="Calibri"/>
          <w:noProof w:val="0"/>
          <w:color w:val="121212"/>
          <w:sz w:val="32"/>
          <w:szCs w:val="32"/>
          <w:lang w:val="en-GB"/>
        </w:rPr>
        <w:t xml:space="preserve">McLeod, S. A. (2016, February 05). </w:t>
      </w:r>
      <w:r w:rsidRPr="571EC182" w:rsidR="571EC182">
        <w:rPr>
          <w:rFonts w:ascii="Calibri" w:hAnsi="Calibri" w:eastAsia="Calibri" w:cs="Calibri"/>
          <w:i w:val="1"/>
          <w:iCs w:val="1"/>
          <w:noProof w:val="0"/>
          <w:color w:val="121212"/>
          <w:sz w:val="32"/>
          <w:szCs w:val="32"/>
          <w:lang w:val="en-GB"/>
        </w:rPr>
        <w:t>Bandura - social learning theory</w:t>
      </w:r>
      <w:r w:rsidRPr="571EC182" w:rsidR="571EC182">
        <w:rPr>
          <w:rFonts w:ascii="Calibri" w:hAnsi="Calibri" w:eastAsia="Calibri" w:cs="Calibri"/>
          <w:noProof w:val="0"/>
          <w:color w:val="121212"/>
          <w:sz w:val="32"/>
          <w:szCs w:val="32"/>
          <w:lang w:val="en-GB"/>
        </w:rPr>
        <w:t>. Simply Psychology.</w:t>
      </w:r>
    </w:p>
    <w:p w:rsidR="571EC182" w:rsidP="571EC182" w:rsidRDefault="571EC182" w14:paraId="4176AC75" w14:textId="43F7ABBA">
      <w:pPr>
        <w:pStyle w:val="Normal"/>
        <w:jc w:val="left"/>
        <w:rPr>
          <w:rFonts w:ascii="Calibri" w:hAnsi="Calibri" w:eastAsia="Calibri" w:cs="Calibri"/>
          <w:noProof w:val="0"/>
          <w:color w:val="121212"/>
          <w:sz w:val="32"/>
          <w:szCs w:val="32"/>
          <w:lang w:val="en-GB"/>
        </w:rPr>
      </w:pPr>
      <w:hyperlink r:id="R923943d74bb1442c">
        <w:r w:rsidRPr="571EC182" w:rsidR="571EC182">
          <w:rPr>
            <w:rStyle w:val="Hyperlink"/>
            <w:rFonts w:ascii="Calibri" w:hAnsi="Calibri" w:eastAsia="Calibri" w:cs="Calibri"/>
            <w:noProof w:val="0"/>
            <w:sz w:val="32"/>
            <w:szCs w:val="32"/>
            <w:lang w:val="en-GB"/>
          </w:rPr>
          <w:t>https://www.simplypsychology.org/bandura.html</w:t>
        </w:r>
      </w:hyperlink>
    </w:p>
    <w:p w:rsidR="571EC182" w:rsidP="571EC182" w:rsidRDefault="571EC182" w14:paraId="4CFC9BD2" w14:textId="0E14A094">
      <w:pPr>
        <w:pStyle w:val="Normal"/>
        <w:jc w:val="left"/>
        <w:rPr>
          <w:rFonts w:ascii="Calibri" w:hAnsi="Calibri" w:eastAsia="Calibri" w:cs="Calibri"/>
          <w:noProof w:val="0"/>
          <w:color w:val="121212"/>
          <w:sz w:val="32"/>
          <w:szCs w:val="32"/>
          <w:lang w:val="en-GB"/>
        </w:rPr>
      </w:pPr>
    </w:p>
    <w:p w:rsidR="571EC182" w:rsidP="571EC182" w:rsidRDefault="571EC182" w14:paraId="4A178F50" w14:textId="18FB0F83">
      <w:pPr>
        <w:pStyle w:val="Normal"/>
        <w:jc w:val="left"/>
        <w:rPr>
          <w:rFonts w:ascii="Calibri" w:hAnsi="Calibri" w:eastAsia="Calibri" w:cs="Calibri" w:asciiTheme="minorAscii" w:hAnsiTheme="minorAscii" w:eastAsiaTheme="minorAscii" w:cstheme="minorAscii"/>
          <w:i w:val="1"/>
          <w:iCs w:val="1"/>
          <w:noProof w:val="0"/>
          <w:color w:val="000000" w:themeColor="text1" w:themeTint="FF" w:themeShade="FF"/>
          <w:sz w:val="30"/>
          <w:szCs w:val="30"/>
          <w:lang w:val="en-GB"/>
        </w:rPr>
      </w:pPr>
      <w:r w:rsidRPr="571EC182" w:rsidR="571EC182">
        <w:rPr>
          <w:rFonts w:ascii="Calibri" w:hAnsi="Calibri" w:eastAsia="Calibri" w:cs="Calibri" w:asciiTheme="minorAscii" w:hAnsiTheme="minorAscii" w:eastAsiaTheme="minorAscii" w:cstheme="minorAscii"/>
          <w:noProof w:val="0"/>
          <w:color w:val="000000" w:themeColor="text1" w:themeTint="FF" w:themeShade="FF"/>
          <w:sz w:val="30"/>
          <w:szCs w:val="30"/>
          <w:lang w:val="en-GB"/>
        </w:rPr>
        <w:t xml:space="preserve">Nursery World. (2018)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0"/>
          <w:szCs w:val="30"/>
          <w:lang w:val="en-GB"/>
        </w:rPr>
        <w:t>Supporting transitions: Effective partnerships between families, carers and practitioners</w:t>
      </w:r>
    </w:p>
    <w:p w:rsidR="571EC182" w:rsidP="571EC182" w:rsidRDefault="571EC182" w14:paraId="16EC21A0" w14:textId="0AA266FE">
      <w:pPr>
        <w:pStyle w:val="Normal"/>
        <w:jc w:val="both"/>
        <w:rPr>
          <w:rFonts w:ascii="Times New Roman" w:hAnsi="Times New Roman" w:eastAsia="Times New Roman" w:cs="Times New Roman"/>
          <w:i w:val="1"/>
          <w:iCs w:val="1"/>
          <w:noProof w:val="0"/>
          <w:color w:val="000000" w:themeColor="text1" w:themeTint="FF" w:themeShade="FF"/>
          <w:sz w:val="30"/>
          <w:szCs w:val="30"/>
          <w:lang w:val="en-GB"/>
        </w:rPr>
      </w:pPr>
      <w:hyperlink r:id="R384af878738e43f7">
        <w:r w:rsidRPr="571EC182" w:rsidR="571EC182">
          <w:rPr>
            <w:rStyle w:val="Hyperlink"/>
            <w:rFonts w:ascii="Times New Roman" w:hAnsi="Times New Roman" w:eastAsia="Times New Roman" w:cs="Times New Roman"/>
            <w:i w:val="1"/>
            <w:iCs w:val="1"/>
            <w:noProof w:val="0"/>
            <w:sz w:val="30"/>
            <w:szCs w:val="30"/>
            <w:lang w:val="en-GB"/>
          </w:rPr>
          <w:t>https://www.nurseryworld.co.uk/knowledge-bank/article/supporting-transitions-effective-partnership-working-between-families-carers-and-practitioners</w:t>
        </w:r>
      </w:hyperlink>
      <w:r w:rsidRPr="571EC182" w:rsidR="571EC182">
        <w:rPr>
          <w:rFonts w:ascii="Times New Roman" w:hAnsi="Times New Roman" w:eastAsia="Times New Roman" w:cs="Times New Roman"/>
          <w:i w:val="1"/>
          <w:iCs w:val="1"/>
          <w:noProof w:val="0"/>
          <w:color w:val="000000" w:themeColor="text1" w:themeTint="FF" w:themeShade="FF"/>
          <w:sz w:val="30"/>
          <w:szCs w:val="30"/>
          <w:lang w:val="en-GB"/>
        </w:rPr>
        <w:t xml:space="preserve"> </w:t>
      </w:r>
    </w:p>
    <w:p w:rsidR="571EC182" w:rsidP="571EC182" w:rsidRDefault="571EC182" w14:paraId="46FAC943" w14:textId="3604CC36">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p>
    <w:p w:rsidR="571EC182" w:rsidP="571EC182" w:rsidRDefault="571EC182" w14:paraId="05CC5413" w14:textId="360E833F">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r w:rsidRPr="571EC182" w:rsidR="571EC182">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Open University. (2017)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Childrens transitions</w:t>
      </w:r>
    </w:p>
    <w:p w:rsidR="571EC182" w:rsidP="571EC182" w:rsidRDefault="571EC182" w14:paraId="0A9B241B" w14:textId="5C5CEE33">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55b96a15f47944a0">
        <w:r w:rsidRPr="571EC182" w:rsidR="571EC182">
          <w:rPr>
            <w:rStyle w:val="Hyperlink"/>
            <w:rFonts w:ascii="Calibri" w:hAnsi="Calibri" w:eastAsia="Calibri" w:cs="Calibri" w:asciiTheme="minorAscii" w:hAnsiTheme="minorAscii" w:eastAsiaTheme="minorAscii" w:cstheme="minorAscii"/>
            <w:i w:val="1"/>
            <w:iCs w:val="1"/>
            <w:noProof w:val="0"/>
            <w:sz w:val="32"/>
            <w:szCs w:val="32"/>
            <w:lang w:val="en-GB"/>
          </w:rPr>
          <w:t>https://www.open.edu/openlearncreate/mod/oucontent/view.php?id=79794&amp;section=3</w:t>
        </w:r>
      </w:hyperlink>
    </w:p>
    <w:p w:rsidR="571EC182" w:rsidP="571EC182" w:rsidRDefault="571EC182" w14:paraId="0F8DB0C6" w14:textId="68A5FE9E">
      <w:pPr>
        <w:pStyle w:val="Normal"/>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p>
    <w:p w:rsidR="571EC182" w:rsidP="571EC182" w:rsidRDefault="571EC182" w14:paraId="149FFE79" w14:textId="60D581A8">
      <w:pPr>
        <w:pStyle w:val="Normal"/>
        <w:jc w:val="both"/>
        <w:rPr>
          <w:rFonts w:ascii="Times New Roman" w:hAnsi="Times New Roman" w:eastAsia="Times New Roman" w:cs="Times New Roman"/>
          <w:noProof w:val="0"/>
          <w:color w:val="000000" w:themeColor="text1" w:themeTint="FF" w:themeShade="FF"/>
          <w:sz w:val="30"/>
          <w:szCs w:val="30"/>
          <w:lang w:val="en-GB"/>
        </w:rPr>
      </w:pPr>
      <w:r w:rsidRPr="571EC182" w:rsidR="571EC182">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Oxford Brookes University. (2020)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 xml:space="preserve">The key person approach </w:t>
      </w:r>
    </w:p>
    <w:p w:rsidR="571EC182" w:rsidP="571EC182" w:rsidRDefault="571EC182" w14:paraId="73A504E1" w14:textId="3E90A225">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9f9716ed38864d56">
        <w:r w:rsidRPr="571EC182" w:rsidR="571EC182">
          <w:rPr>
            <w:rStyle w:val="Hyperlink"/>
            <w:rFonts w:ascii="Calibri" w:hAnsi="Calibri" w:eastAsia="Calibri" w:cs="Calibri" w:asciiTheme="minorAscii" w:hAnsiTheme="minorAscii" w:eastAsiaTheme="minorAscii" w:cstheme="minorAscii"/>
            <w:i w:val="1"/>
            <w:iCs w:val="1"/>
            <w:noProof w:val="0"/>
            <w:sz w:val="32"/>
            <w:szCs w:val="32"/>
            <w:lang w:val="en-GB"/>
          </w:rPr>
          <w:t>https://www.brookes.ac.uk/nursery/policies/the-keyperson-approach/</w:t>
        </w:r>
      </w:hyperlink>
    </w:p>
    <w:p w:rsidR="571EC182" w:rsidP="571EC182" w:rsidRDefault="571EC182" w14:paraId="261CD837" w14:textId="731C3F8A">
      <w:pPr>
        <w:jc w:val="both"/>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pPr>
    </w:p>
    <w:p w:rsidR="571EC182" w:rsidP="571EC182" w:rsidRDefault="571EC182" w14:paraId="7B4A2811" w14:textId="61F6AB1E">
      <w:pPr>
        <w:jc w:val="both"/>
      </w:pPr>
      <w:r w:rsidRPr="571EC182" w:rsidR="571EC182">
        <w:rPr>
          <w:rFonts w:ascii="Calibri" w:hAnsi="Calibri" w:eastAsia="Calibri" w:cs="Calibri" w:asciiTheme="minorAscii" w:hAnsiTheme="minorAscii" w:eastAsiaTheme="minorAscii" w:cstheme="minorAscii"/>
          <w:noProof w:val="0"/>
          <w:color w:val="000000" w:themeColor="text1" w:themeTint="FF" w:themeShade="FF"/>
          <w:sz w:val="32"/>
          <w:szCs w:val="32"/>
          <w:lang w:val="en-GB"/>
        </w:rPr>
        <w:t xml:space="preserve">Pacey.org (2018)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Partnership with parents.</w:t>
      </w:r>
      <w:r w:rsidRPr="571EC182" w:rsidR="571EC182">
        <w:rPr>
          <w:rFonts w:ascii="Times New Roman" w:hAnsi="Times New Roman" w:eastAsia="Times New Roman" w:cs="Times New Roman"/>
          <w:i w:val="1"/>
          <w:iCs w:val="1"/>
          <w:noProof w:val="0"/>
          <w:color w:val="000000" w:themeColor="text1" w:themeTint="FF" w:themeShade="FF"/>
          <w:sz w:val="30"/>
          <w:szCs w:val="30"/>
          <w:lang w:val="en-GB"/>
        </w:rPr>
        <w:t xml:space="preserve"> </w:t>
      </w:r>
    </w:p>
    <w:p w:rsidR="571EC182" w:rsidP="571EC182" w:rsidRDefault="571EC182" w14:paraId="338B2DD4" w14:textId="4892B74F">
      <w:pPr>
        <w:jc w:val="both"/>
      </w:pPr>
      <w:r w:rsidRPr="571EC182" w:rsidR="571EC182">
        <w:rPr>
          <w:rFonts w:ascii="Times New Roman" w:hAnsi="Times New Roman" w:eastAsia="Times New Roman" w:cs="Times New Roman"/>
          <w:i w:val="1"/>
          <w:iCs w:val="1"/>
          <w:noProof w:val="0"/>
          <w:color w:val="000000" w:themeColor="text1" w:themeTint="FF" w:themeShade="FF"/>
          <w:sz w:val="30"/>
          <w:szCs w:val="30"/>
          <w:lang w:val="en-GB"/>
        </w:rPr>
        <w:t xml:space="preserve"> </w:t>
      </w:r>
      <w:hyperlink r:id="R1a76465a6055420a">
        <w:r w:rsidRPr="571EC182" w:rsidR="571EC182">
          <w:rPr>
            <w:rStyle w:val="Hyperlink"/>
            <w:rFonts w:ascii="Times New Roman" w:hAnsi="Times New Roman" w:eastAsia="Times New Roman" w:cs="Times New Roman"/>
            <w:noProof w:val="0"/>
            <w:sz w:val="30"/>
            <w:szCs w:val="30"/>
            <w:lang w:val="en-GB"/>
          </w:rPr>
          <w:t>https://www.pacey.org.uk/working-in-childcare/spotlight-on/partnerships-with-parents/</w:t>
        </w:r>
      </w:hyperlink>
    </w:p>
    <w:p w:rsidR="571EC182" w:rsidP="571EC182" w:rsidRDefault="571EC182" w14:paraId="0642C481" w14:textId="781BC6C8">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p>
    <w:p w:rsidR="571EC182" w:rsidP="571EC182" w:rsidRDefault="571EC182" w14:paraId="390384A8" w14:textId="3DA1044B">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r w:rsidRPr="571EC182" w:rsidR="571EC182">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Pinterest. (2016)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Bronfenbrenner model of human development</w:t>
      </w:r>
    </w:p>
    <w:p w:rsidR="571EC182" w:rsidP="571EC182" w:rsidRDefault="571EC182" w14:paraId="1B84E9B6" w14:textId="67EEA40E">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6622a72bb9034c25">
        <w:r w:rsidRPr="571EC182" w:rsidR="571EC182">
          <w:rPr>
            <w:rStyle w:val="Hyperlink"/>
            <w:rFonts w:ascii="Calibri" w:hAnsi="Calibri" w:eastAsia="Calibri" w:cs="Calibri" w:asciiTheme="minorAscii" w:hAnsiTheme="minorAscii" w:eastAsiaTheme="minorAscii" w:cstheme="minorAscii"/>
            <w:i w:val="1"/>
            <w:iCs w:val="1"/>
            <w:noProof w:val="0"/>
            <w:sz w:val="32"/>
            <w:szCs w:val="32"/>
            <w:lang w:val="en-GB"/>
          </w:rPr>
          <w:t>https://www.pinterest.co.uk/pin/304063412319600898/</w:t>
        </w:r>
      </w:hyperlink>
    </w:p>
    <w:p w:rsidR="571EC182" w:rsidP="571EC182" w:rsidRDefault="571EC182" w14:paraId="14392A04" w14:textId="1F298D41">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p>
    <w:p w:rsidR="571EC182" w:rsidP="571EC182" w:rsidRDefault="571EC182" w14:paraId="229DE5C7" w14:textId="04857420">
      <w:pPr>
        <w:pStyle w:val="Normal"/>
        <w:jc w:val="both"/>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pPr>
      <w:proofErr w:type="spellStart"/>
      <w:r w:rsidRPr="571EC182" w:rsidR="571EC182">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VeryWellMind</w:t>
      </w:r>
      <w:proofErr w:type="spellEnd"/>
      <w:r w:rsidRPr="571EC182" w:rsidR="571EC182">
        <w:rPr>
          <w:rFonts w:ascii="Calibri" w:hAnsi="Calibri" w:eastAsia="Calibri" w:cs="Calibri" w:asciiTheme="minorAscii" w:hAnsiTheme="minorAscii" w:eastAsiaTheme="minorAscii" w:cstheme="minorAscii"/>
          <w:i w:val="0"/>
          <w:iCs w:val="0"/>
          <w:noProof w:val="0"/>
          <w:color w:val="000000" w:themeColor="text1" w:themeTint="FF" w:themeShade="FF"/>
          <w:sz w:val="32"/>
          <w:szCs w:val="32"/>
          <w:lang w:val="en-GB"/>
        </w:rPr>
        <w:t xml:space="preserve">. </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How</w:t>
      </w: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 xml:space="preserve"> social learning theories work</w:t>
      </w:r>
    </w:p>
    <w:p w:rsidR="571EC182" w:rsidP="571EC182" w:rsidRDefault="571EC182" w14:paraId="4EF5F8D0" w14:textId="683D83CD">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hyperlink r:id="R2b168cfb130c48af">
        <w:r w:rsidRPr="571EC182" w:rsidR="571EC182">
          <w:rPr>
            <w:rStyle w:val="Hyperlink"/>
            <w:rFonts w:ascii="Calibri" w:hAnsi="Calibri" w:eastAsia="Calibri" w:cs="Calibri" w:asciiTheme="minorAscii" w:hAnsiTheme="minorAscii" w:eastAsiaTheme="minorAscii" w:cstheme="minorAscii"/>
            <w:i w:val="1"/>
            <w:iCs w:val="1"/>
            <w:noProof w:val="0"/>
            <w:sz w:val="32"/>
            <w:szCs w:val="32"/>
            <w:lang w:val="en-GB"/>
          </w:rPr>
          <w:t>https://www.verywellmind.com/social-learning-theory-2795074</w:t>
        </w:r>
      </w:hyperlink>
    </w:p>
    <w:p w:rsidR="571EC182" w:rsidP="571EC182" w:rsidRDefault="571EC182" w14:paraId="52E993E1" w14:textId="63EECAF4">
      <w:pPr>
        <w:pStyle w:val="Normal"/>
        <w:jc w:val="both"/>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pPr>
      <w:r w:rsidRPr="571EC182" w:rsidR="571EC182">
        <w:rPr>
          <w:rFonts w:ascii="Calibri" w:hAnsi="Calibri" w:eastAsia="Calibri" w:cs="Calibri" w:asciiTheme="minorAscii" w:hAnsiTheme="minorAscii" w:eastAsiaTheme="minorAscii" w:cstheme="minorAscii"/>
          <w:i w:val="1"/>
          <w:iCs w:val="1"/>
          <w:noProof w:val="0"/>
          <w:color w:val="000000" w:themeColor="text1" w:themeTint="FF" w:themeShade="FF"/>
          <w:sz w:val="32"/>
          <w:szCs w:val="32"/>
          <w:lang w:val="en-GB"/>
        </w:rPr>
        <w:t xml:space="preserve"> </w:t>
      </w:r>
    </w:p>
    <w:p w:rsidR="571EC182" w:rsidP="571EC182" w:rsidRDefault="571EC182" w14:paraId="5F64A212" w14:textId="27D8004F">
      <w:pPr>
        <w:jc w:val="both"/>
      </w:pPr>
      <w:r>
        <w:br/>
      </w:r>
    </w:p>
    <w:p w:rsidR="571EC182" w:rsidP="571EC182" w:rsidRDefault="571EC182" w14:paraId="2CE30584" w14:textId="0266B19E">
      <w:pPr>
        <w:pStyle w:val="Normal"/>
        <w:jc w:val="both"/>
        <w:rPr>
          <w:rFonts w:ascii="Calibri" w:hAnsi="Calibri" w:eastAsia="Calibri" w:cs="Calibri"/>
          <w:b w:val="1"/>
          <w:bCs w:val="1"/>
          <w:noProof w:val="0"/>
          <w:color w:val="212121"/>
          <w:sz w:val="40"/>
          <w:szCs w:val="40"/>
          <w:u w:val="single"/>
          <w:lang w:val="en-GB"/>
        </w:rPr>
      </w:pPr>
    </w:p>
    <w:p w:rsidR="571EC182" w:rsidP="571EC182" w:rsidRDefault="571EC182" w14:paraId="3A19F7C8" w14:textId="587391E9">
      <w:pPr>
        <w:pStyle w:val="Normal"/>
        <w:jc w:val="both"/>
        <w:rPr>
          <w:rFonts w:ascii="Calibri" w:hAnsi="Calibri" w:eastAsia="Calibri" w:cs="Calibri"/>
          <w:noProof w:val="0"/>
          <w:color w:val="auto"/>
          <w:sz w:val="32"/>
          <w:szCs w:val="32"/>
          <w:lang w:val="en-GB"/>
        </w:rPr>
      </w:pPr>
    </w:p>
    <w:p w:rsidR="571EC182" w:rsidP="571EC182" w:rsidRDefault="571EC182" w14:paraId="60C8C51C" w14:textId="7074BE82">
      <w:pPr>
        <w:pStyle w:val="Normal"/>
        <w:jc w:val="both"/>
        <w:rPr>
          <w:rFonts w:ascii="Calibri" w:hAnsi="Calibri" w:eastAsia="Calibri" w:cs="Calibri"/>
          <w:noProof w:val="0"/>
          <w:color w:val="auto"/>
          <w:sz w:val="32"/>
          <w:szCs w:val="32"/>
          <w:lang w:val="en-GB"/>
        </w:rPr>
      </w:pPr>
    </w:p>
    <w:p w:rsidR="571EC182" w:rsidP="571EC182" w:rsidRDefault="571EC182" w14:paraId="0ABDBA3F" w14:textId="76B6F982">
      <w:pPr>
        <w:jc w:val="left"/>
      </w:pPr>
    </w:p>
    <w:p w:rsidR="571EC182" w:rsidP="571EC182" w:rsidRDefault="571EC182" w14:paraId="1B2A4BDA" w14:textId="21369CAF">
      <w:pPr>
        <w:pStyle w:val="Normal"/>
        <w:jc w:val="left"/>
        <w:rPr>
          <w:rFonts w:ascii="Arial" w:hAnsi="Arial" w:eastAsia="Arial" w:cs="Arial"/>
          <w:noProof w:val="0"/>
          <w:color w:val="394753"/>
          <w:sz w:val="21"/>
          <w:szCs w:val="21"/>
          <w:lang w:val="en-GB"/>
        </w:rPr>
      </w:pPr>
    </w:p>
    <w:sectPr>
      <w:pgSz w:w="11906" w:h="16838" w:orient="portrait"/>
      <w:pgMar w:top="1440" w:right="1440" w:bottom="1440" w:left="1440" w:header="720" w:footer="720" w:gutter="0"/>
      <w:cols w:space="720"/>
      <w:docGrid w:linePitch="360"/>
      <w:headerReference w:type="default" r:id="R4352d361966d4f8a"/>
      <w:footerReference w:type="default" r:id="R38da7035bcc44b5b"/>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1EC182" w:rsidTr="571EC182" w14:paraId="7037435A">
      <w:tc>
        <w:tcPr>
          <w:tcW w:w="3005" w:type="dxa"/>
          <w:tcMar/>
        </w:tcPr>
        <w:p w:rsidR="571EC182" w:rsidP="571EC182" w:rsidRDefault="571EC182" w14:paraId="5401034A" w14:textId="3DFACD30">
          <w:pPr>
            <w:pStyle w:val="Header"/>
            <w:bidi w:val="0"/>
            <w:ind w:left="-115"/>
            <w:jc w:val="left"/>
          </w:pPr>
        </w:p>
      </w:tc>
      <w:tc>
        <w:tcPr>
          <w:tcW w:w="3005" w:type="dxa"/>
          <w:tcMar/>
        </w:tcPr>
        <w:p w:rsidR="571EC182" w:rsidP="571EC182" w:rsidRDefault="571EC182" w14:paraId="19B9FD8B" w14:textId="2DA33ACE">
          <w:pPr>
            <w:pStyle w:val="Header"/>
            <w:bidi w:val="0"/>
            <w:jc w:val="center"/>
          </w:pPr>
          <w:r w:rsidR="571EC182">
            <w:rPr/>
            <w:t>1</w:t>
          </w:r>
        </w:p>
      </w:tc>
      <w:tc>
        <w:tcPr>
          <w:tcW w:w="3005" w:type="dxa"/>
          <w:tcMar/>
        </w:tcPr>
        <w:p w:rsidR="571EC182" w:rsidP="571EC182" w:rsidRDefault="571EC182" w14:paraId="1C51BDEA" w14:textId="0FB93C9B">
          <w:pPr>
            <w:pStyle w:val="Header"/>
            <w:bidi w:val="0"/>
            <w:ind w:right="-115"/>
            <w:jc w:val="right"/>
          </w:pPr>
        </w:p>
      </w:tc>
    </w:tr>
  </w:tbl>
  <w:p w:rsidR="571EC182" w:rsidP="571EC182" w:rsidRDefault="571EC182" w14:paraId="33ABECFF" w14:textId="3B2E3710">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571EC182" w:rsidTr="571EC182" w14:paraId="37596BAE">
      <w:tc>
        <w:tcPr>
          <w:tcW w:w="3005" w:type="dxa"/>
          <w:tcMar/>
        </w:tcPr>
        <w:p w:rsidR="571EC182" w:rsidP="571EC182" w:rsidRDefault="571EC182" w14:paraId="3326A323" w14:textId="44460A5E">
          <w:pPr>
            <w:pStyle w:val="Header"/>
            <w:bidi w:val="0"/>
            <w:ind w:left="-115"/>
            <w:jc w:val="left"/>
          </w:pPr>
        </w:p>
      </w:tc>
      <w:tc>
        <w:tcPr>
          <w:tcW w:w="3005" w:type="dxa"/>
          <w:tcMar/>
        </w:tcPr>
        <w:p w:rsidR="571EC182" w:rsidP="571EC182" w:rsidRDefault="571EC182" w14:paraId="579A1D91" w14:textId="260B6027">
          <w:pPr>
            <w:pStyle w:val="Header"/>
            <w:bidi w:val="0"/>
            <w:jc w:val="center"/>
          </w:pPr>
          <w:r>
            <w:fldChar w:fldCharType="begin"/>
          </w:r>
          <w:r>
            <w:instrText xml:space="preserve">PAGE</w:instrText>
          </w:r>
          <w:r>
            <w:fldChar w:fldCharType="separate"/>
          </w:r>
          <w:r>
            <w:fldChar w:fldCharType="end"/>
          </w:r>
        </w:p>
      </w:tc>
      <w:tc>
        <w:tcPr>
          <w:tcW w:w="3005" w:type="dxa"/>
          <w:tcMar/>
        </w:tcPr>
        <w:p w:rsidR="571EC182" w:rsidP="571EC182" w:rsidRDefault="571EC182" w14:paraId="47EA70AC" w14:textId="2B0F58D5">
          <w:pPr>
            <w:pStyle w:val="Header"/>
            <w:bidi w:val="0"/>
            <w:ind w:right="-115"/>
            <w:jc w:val="right"/>
          </w:pPr>
        </w:p>
      </w:tc>
    </w:tr>
  </w:tbl>
  <w:p w:rsidR="571EC182" w:rsidP="571EC182" w:rsidRDefault="571EC182" w14:paraId="0B54135F" w14:textId="1FD038B9">
    <w:pPr>
      <w:pStyle w:val="Header"/>
      <w:bidi w:val="0"/>
    </w:pPr>
  </w:p>
</w:hdr>
</file>

<file path=word/numbering.xml><?xml version="1.0" encoding="utf-8"?>
<w:numbering xmlns:w="http://schemas.openxmlformats.org/wordprocessingml/2006/main">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1D77F857"/>
  <w15:docId w15:val="{349628e9-7719-4500-ac72-adfaabe90da0}"/>
  <w:rsids>
    <w:rsidRoot w:val="1D77F857"/>
    <w:rsid w:val="1D77F857"/>
    <w:rsid w:val="571EC182"/>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8690c24f3f564555" /><Relationship Type="http://schemas.openxmlformats.org/officeDocument/2006/relationships/image" Target="/media/image2.png" Id="Rbdf4d52ff8eb4674" /><Relationship Type="http://schemas.openxmlformats.org/officeDocument/2006/relationships/hyperlink" Target="https://www.verywellmind.com/behavioral-psychology-4157183" TargetMode="External" Id="R8668f3264aa349cf" /><Relationship Type="http://schemas.openxmlformats.org/officeDocument/2006/relationships/hyperlink" Target="https://www.verywellmind.com/what-is-memory-2795006" TargetMode="External" Id="Re053c223aab54c67" /><Relationship Type="http://schemas.openxmlformats.org/officeDocument/2006/relationships/hyperlink" Target="http://experience.jumpfoundation.org/bronfenbrenner-biological-model-of-human-development/" TargetMode="External" Id="Rfd17742ac1254a64" /><Relationship Type="http://schemas.openxmlformats.org/officeDocument/2006/relationships/hyperlink" Target="http://earlyyeasmatters.co.uk/index.php/transitions/" TargetMode="External" Id="R60c05b7a0e3745cc" /><Relationship Type="http://schemas.openxmlformats.org/officeDocument/2006/relationships/hyperlink" Target="http://www.earlyyearsmatters.co.uk/eyfs/positive-relationships/transitions/" TargetMode="External" Id="R5be7572d07644edb" /><Relationship Type="http://schemas.openxmlformats.org/officeDocument/2006/relationships/hyperlink" Target="https://www.teachearlyyears.com/a-unique-child/view/supporting-transitions-in-the-early-years/" TargetMode="External" Id="R19fde0f9cfbe43d3" /><Relationship Type="http://schemas.openxmlformats.org/officeDocument/2006/relationships/hyperlink" Target="https://www.quora.com/What-is-Abraham-Maslows-hierarchy-of-needs" TargetMode="External" Id="Rcfeadaa3f4ae4e9a" /><Relationship Type="http://schemas.openxmlformats.org/officeDocument/2006/relationships/hyperlink" Target="https://www.simplypsychology.org/bandura.html" TargetMode="External" Id="R923943d74bb1442c" /><Relationship Type="http://schemas.openxmlformats.org/officeDocument/2006/relationships/hyperlink" Target="https://www.nurseryworld.co.uk/knowledge-bank/article/supporting-transitions-effective-partnership-working-between-families-carers-and-practitioners" TargetMode="External" Id="R384af878738e43f7" /><Relationship Type="http://schemas.openxmlformats.org/officeDocument/2006/relationships/hyperlink" Target="https://www.open.edu/openlearncreate/mod/oucontent/view.php?id=79794&amp;section=3" TargetMode="External" Id="R55b96a15f47944a0" /><Relationship Type="http://schemas.openxmlformats.org/officeDocument/2006/relationships/hyperlink" Target="https://www.brookes.ac.uk/nursery/policies/the-keyperson-approach/" TargetMode="External" Id="R9f9716ed38864d56" /><Relationship Type="http://schemas.openxmlformats.org/officeDocument/2006/relationships/hyperlink" Target="https://www.pacey.org.uk/working-in-childcare/spotlight-on/partnerships-with-parents/" TargetMode="External" Id="R1a76465a6055420a" /><Relationship Type="http://schemas.openxmlformats.org/officeDocument/2006/relationships/hyperlink" Target="https://www.pinterest.co.uk/pin/304063412319600898/" TargetMode="External" Id="R6622a72bb9034c25" /><Relationship Type="http://schemas.openxmlformats.org/officeDocument/2006/relationships/hyperlink" Target="https://www.verywellmind.com/social-learning-theory-2795074" TargetMode="External" Id="R2b168cfb130c48af" /><Relationship Type="http://schemas.openxmlformats.org/officeDocument/2006/relationships/header" Target="/word/header.xml" Id="R4352d361966d4f8a" /><Relationship Type="http://schemas.openxmlformats.org/officeDocument/2006/relationships/footer" Target="/word/footer.xml" Id="R38da7035bcc44b5b" /><Relationship Type="http://schemas.openxmlformats.org/officeDocument/2006/relationships/numbering" Target="/word/numbering.xml" Id="Ra69b7c3402f3426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Guest User</dc:creator>
  <keywords/>
  <dc:description/>
  <lastModifiedBy>Guest User</lastModifiedBy>
  <revision>2</revision>
  <dcterms:created xsi:type="dcterms:W3CDTF">2020-11-23T13:05:05.0598736Z</dcterms:created>
  <dcterms:modified xsi:type="dcterms:W3CDTF">2020-11-27T21:13:13.7944408Z</dcterms:modified>
</coreProperties>
</file>