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jc w:val="center"/>
        <w:rPr>
          <w:b w:val="1"/>
          <w:bCs w:val="1"/>
        </w:rPr>
      </w:pPr>
      <w:r>
        <w:rPr>
          <w:b w:val="1"/>
          <w:bCs w:val="1"/>
          <w:rtl w:val="0"/>
          <w:lang w:val="en-US"/>
        </w:rPr>
        <w:t xml:space="preserve">ECAD 6004/C - Part B </w:t>
      </w:r>
    </w:p>
    <w:p>
      <w:pPr>
        <w:pStyle w:val="Body"/>
        <w:jc w:val="center"/>
        <w:rPr>
          <w:b w:val="1"/>
          <w:bCs w:val="1"/>
        </w:rPr>
      </w:pPr>
      <w:r>
        <w:rPr>
          <w:b w:val="1"/>
          <w:bCs w:val="1"/>
          <w:rtl w:val="0"/>
          <w:lang w:val="en-US"/>
        </w:rPr>
        <w:t>1401279</w:t>
      </w:r>
    </w:p>
    <w:p>
      <w:pPr>
        <w:pStyle w:val="Body"/>
        <w:jc w:val="center"/>
        <w:rPr>
          <w:b w:val="1"/>
          <w:bCs w:val="1"/>
        </w:rPr>
      </w:pPr>
    </w:p>
    <w:p>
      <w:pPr>
        <w:pStyle w:val="Body"/>
        <w:jc w:val="center"/>
      </w:pPr>
      <w:r>
        <w:rPr>
          <w:rtl w:val="0"/>
          <w:lang w:val="en-US"/>
        </w:rPr>
        <w:t xml:space="preserve">Video available at: </w:t>
      </w:r>
      <w:r>
        <w:rPr>
          <w:rStyle w:val="Hyperlink.0"/>
        </w:rPr>
        <w:fldChar w:fldCharType="begin" w:fldLock="0"/>
      </w:r>
      <w:r>
        <w:rPr>
          <w:rStyle w:val="Hyperlink.0"/>
        </w:rPr>
        <w:instrText xml:space="preserve"> HYPERLINK "https://www.youtube.com/user/ArranWatt"</w:instrText>
      </w:r>
      <w:r>
        <w:rPr>
          <w:rStyle w:val="Hyperlink.0"/>
        </w:rPr>
        <w:fldChar w:fldCharType="separate" w:fldLock="0"/>
      </w:r>
      <w:r>
        <w:rPr>
          <w:rStyle w:val="Hyperlink.0"/>
          <w:rtl w:val="0"/>
          <w:lang w:val="en-US"/>
        </w:rPr>
        <w:t>https://www.youtube.com/user/ArranWatt</w:t>
      </w:r>
      <w:r>
        <w:rPr/>
        <w:fldChar w:fldCharType="end" w:fldLock="0"/>
      </w:r>
      <w:r>
        <w:br w:type="textWrapping"/>
      </w:r>
      <w:r>
        <w:rPr>
          <w:rtl w:val="0"/>
          <w:lang w:val="en-US"/>
        </w:rPr>
        <w:t>Titled: ECAD 6004/C Part B</w:t>
      </w:r>
    </w:p>
    <w:p>
      <w:pPr>
        <w:pStyle w:val="Body"/>
        <w:jc w:val="center"/>
      </w:pPr>
    </w:p>
    <w:p>
      <w:pPr>
        <w:pStyle w:val="Body"/>
        <w:jc w:val="left"/>
      </w:pPr>
      <w:r>
        <w:rPr>
          <w:rtl w:val="0"/>
        </w:rPr>
        <w:tab/>
        <w:t xml:space="preserve">Creativity is a complex and multi-faceted abstract concept. There is not one, singular definition. Whilst some believe creativity is innate, </w:t>
      </w:r>
      <w:r>
        <w:rPr>
          <w:rtl w:val="0"/>
          <w:lang w:val="en-US"/>
        </w:rPr>
        <w:t>creativity is increasingly gaining recognition as a human characteristic that can and should be developed through education</w:t>
      </w:r>
      <w:r>
        <w:rPr>
          <w:rtl w:val="0"/>
          <w:lang w:val="en-US"/>
        </w:rPr>
        <w:t xml:space="preserve"> (Sharp, 2001). It has also been described as a </w:t>
      </w:r>
      <w:r>
        <w:rPr>
          <w:rtl w:val="0"/>
          <w:lang w:val="en-US"/>
        </w:rPr>
        <w:t>‘</w:t>
      </w:r>
      <w:r>
        <w:rPr>
          <w:rtl w:val="0"/>
          <w:lang w:val="en-US"/>
        </w:rPr>
        <w:t>way of thinking, making choices, and solving problems</w:t>
      </w:r>
      <w:r>
        <w:rPr>
          <w:rtl w:val="0"/>
          <w:lang w:val="en-US"/>
        </w:rPr>
        <w:t xml:space="preserve">’ </w:t>
      </w:r>
      <w:r>
        <w:rPr>
          <w:rtl w:val="0"/>
          <w:lang w:val="en-US"/>
        </w:rPr>
        <w:t xml:space="preserve">(Thornton and Brunton, 2005). A further alternative definition is the ability to see, to be aware, and to respond. (Fromm, 1959). </w:t>
      </w:r>
    </w:p>
    <w:p>
      <w:pPr>
        <w:pStyle w:val="Body"/>
        <w:jc w:val="left"/>
      </w:pPr>
    </w:p>
    <w:p>
      <w:pPr>
        <w:pStyle w:val="Body"/>
        <w:jc w:val="left"/>
      </w:pPr>
      <w:r>
        <w:rPr>
          <w:rtl w:val="0"/>
        </w:rPr>
        <w:tab/>
        <w:t xml:space="preserve">Teaching creativity will allow learners to be equipped with a broader skill set and the ability to solve problems and create. The deeper purpose of teaching is to instil the desire and capacity for lifelong learning within children, which is one of the curriculum principles that Donaldson (2015) states: </w:t>
      </w:r>
      <w:r>
        <w:rPr>
          <w:rtl w:val="0"/>
          <w:lang w:val="en-US"/>
        </w:rPr>
        <w:t xml:space="preserve"> to equip all children with the knowledge, skills, and dispositions for future challenges as lifelong learners</w:t>
      </w:r>
      <w:r>
        <w:rPr>
          <w:rtl w:val="0"/>
          <w:lang w:val="en-US"/>
        </w:rPr>
        <w:t>.</w:t>
      </w:r>
    </w:p>
    <w:p>
      <w:pPr>
        <w:pStyle w:val="Body"/>
        <w:jc w:val="left"/>
      </w:pPr>
    </w:p>
    <w:p>
      <w:pPr>
        <w:pStyle w:val="Body"/>
        <w:jc w:val="left"/>
      </w:pPr>
      <w:r>
        <w:rPr>
          <w:rtl w:val="0"/>
        </w:rPr>
        <w:tab/>
        <w:t>To achieve this, the implementation of Koberg and Bagnall</w:t>
      </w:r>
      <w:r>
        <w:rPr>
          <w:rtl w:val="0"/>
          <w:lang w:val="en-US"/>
        </w:rPr>
        <w:t>’</w:t>
      </w:r>
      <w:r>
        <w:rPr>
          <w:rtl w:val="0"/>
          <w:lang w:val="en-US"/>
        </w:rPr>
        <w:t xml:space="preserve">s model of creativity can be used in conjunction with the synthesis of other research. </w:t>
      </w:r>
      <w:r>
        <w:rPr>
          <w:rtl w:val="0"/>
          <w:lang w:val="en-US"/>
        </w:rPr>
        <w:t>Koberg and Bagnall</w:t>
      </w:r>
      <w:r>
        <w:rPr>
          <w:rtl w:val="0"/>
        </w:rPr>
        <w:t>’</w:t>
      </w:r>
      <w:r>
        <w:rPr>
          <w:rtl w:val="0"/>
          <w:lang w:val="en-US"/>
        </w:rPr>
        <w:t>s model of creativity offers a structured exploration of the creative process in seven steps. Firstly, accept the situation as a challenge</w:t>
      </w:r>
      <w:r>
        <w:rPr>
          <w:rtl w:val="0"/>
          <w:lang w:val="en-US"/>
        </w:rPr>
        <w:t>; a</w:t>
      </w:r>
      <w:r>
        <w:rPr>
          <w:rtl w:val="0"/>
          <w:lang w:val="en-US"/>
        </w:rPr>
        <w:t xml:space="preserve">nalyse, to discover the </w:t>
      </w:r>
      <w:r>
        <w:rPr>
          <w:rtl w:val="0"/>
          <w:lang w:val="en-US"/>
        </w:rPr>
        <w:t xml:space="preserve">scope, or </w:t>
      </w:r>
      <w:r>
        <w:rPr>
          <w:rtl w:val="0"/>
          <w:lang w:val="en-US"/>
        </w:rPr>
        <w:t>‘</w:t>
      </w:r>
      <w:r>
        <w:rPr>
          <w:rtl w:val="0"/>
          <w:lang w:val="en-US"/>
        </w:rPr>
        <w:t>world</w:t>
      </w:r>
      <w:r>
        <w:rPr>
          <w:rtl w:val="0"/>
          <w:lang w:val="en-US"/>
        </w:rPr>
        <w:t>’</w:t>
      </w:r>
      <w:r>
        <w:rPr>
          <w:rtl w:val="0"/>
          <w:lang w:val="en-US"/>
        </w:rPr>
        <w:t xml:space="preserve"> of the problem</w:t>
      </w:r>
      <w:r>
        <w:rPr>
          <w:rtl w:val="0"/>
          <w:lang w:val="en-US"/>
        </w:rPr>
        <w:t>; d</w:t>
      </w:r>
      <w:r>
        <w:rPr>
          <w:rtl w:val="0"/>
          <w:lang w:val="it-IT"/>
        </w:rPr>
        <w:t>efine</w:t>
      </w:r>
      <w:r>
        <w:rPr>
          <w:rtl w:val="0"/>
        </w:rPr>
        <w:t> </w:t>
      </w:r>
      <w:r>
        <w:rPr>
          <w:rtl w:val="0"/>
          <w:lang w:val="en-US"/>
        </w:rPr>
        <w:t xml:space="preserve">the main issues and </w:t>
      </w:r>
      <w:r>
        <w:rPr>
          <w:rtl w:val="0"/>
          <w:lang w:val="en-US"/>
        </w:rPr>
        <w:t>your goals with the situation; i</w:t>
      </w:r>
      <w:r>
        <w:rPr>
          <w:rtl w:val="0"/>
          <w:lang w:val="en-US"/>
        </w:rPr>
        <w:t>deate</w:t>
      </w:r>
      <w:r>
        <w:rPr>
          <w:rtl w:val="0"/>
          <w:lang w:val="en-US"/>
        </w:rPr>
        <w:t xml:space="preserve"> (idea generation); s</w:t>
      </w:r>
      <w:r>
        <w:rPr>
          <w:rtl w:val="0"/>
          <w:lang w:val="en-US"/>
        </w:rPr>
        <w:t>elect</w:t>
      </w:r>
      <w:r>
        <w:rPr>
          <w:rtl w:val="0"/>
        </w:rPr>
        <w:t> </w:t>
      </w:r>
      <w:r>
        <w:rPr>
          <w:rtl w:val="0"/>
          <w:lang w:val="en-US"/>
        </w:rPr>
        <w:t xml:space="preserve">(to choose </w:t>
      </w:r>
      <w:r>
        <w:rPr>
          <w:rtl w:val="0"/>
          <w:lang w:val="en-US"/>
        </w:rPr>
        <w:t>the most appropriate idea generated</w:t>
      </w:r>
      <w:r>
        <w:rPr>
          <w:rtl w:val="0"/>
        </w:rPr>
        <w:t>)</w:t>
      </w:r>
      <w:r>
        <w:rPr>
          <w:rtl w:val="0"/>
          <w:lang w:val="en-US"/>
        </w:rPr>
        <w:t>; i</w:t>
      </w:r>
      <w:r>
        <w:rPr>
          <w:rtl w:val="0"/>
          <w:lang w:val="fr-FR"/>
        </w:rPr>
        <w:t>mplement</w:t>
      </w:r>
      <w:r>
        <w:rPr>
          <w:rtl w:val="0"/>
          <w:lang w:val="en-US"/>
        </w:rPr>
        <w:t>; e</w:t>
      </w:r>
      <w:r>
        <w:rPr>
          <w:rtl w:val="0"/>
        </w:rPr>
        <w:t>valuate</w:t>
      </w:r>
      <w:r>
        <w:rPr>
          <w:rtl w:val="0"/>
          <w:lang w:val="en-US"/>
        </w:rPr>
        <w:t>, review, and plan again</w:t>
      </w:r>
      <w:r>
        <w:rPr>
          <w:rtl w:val="0"/>
        </w:rPr>
        <w:t>).</w:t>
      </w:r>
      <w:r>
        <w:rPr>
          <w:rtl w:val="0"/>
          <w:lang w:val="en-US"/>
        </w:rPr>
        <w:t xml:space="preserve"> </w:t>
      </w:r>
    </w:p>
    <w:p>
      <w:pPr>
        <w:pStyle w:val="Body"/>
        <w:jc w:val="left"/>
      </w:pPr>
    </w:p>
    <w:p>
      <w:pPr>
        <w:pStyle w:val="Body"/>
        <w:jc w:val="left"/>
        <w:rPr>
          <w:b w:val="1"/>
          <w:bCs w:val="1"/>
        </w:rPr>
      </w:pPr>
      <w:r>
        <w:rPr>
          <w:b w:val="1"/>
          <w:bCs w:val="1"/>
          <w:rtl w:val="0"/>
          <w:lang w:val="en-US"/>
        </w:rPr>
        <w:t>Bibliography</w:t>
      </w:r>
    </w:p>
    <w:p>
      <w:pPr>
        <w:pStyle w:val="Body"/>
        <w:jc w:val="left"/>
      </w:pPr>
    </w:p>
    <w:p>
      <w:pPr>
        <w:pStyle w:val="Body"/>
        <w:jc w:val="left"/>
      </w:pPr>
      <w:r>
        <w:rPr>
          <w:rtl w:val="0"/>
          <w:lang w:val="en-US"/>
        </w:rPr>
        <w:t xml:space="preserve">De Bono, E. (1993), </w:t>
      </w:r>
      <w:r>
        <w:rPr>
          <w:i w:val="1"/>
          <w:iCs w:val="1"/>
          <w:rtl w:val="0"/>
          <w:lang w:val="en-US"/>
        </w:rPr>
        <w:t xml:space="preserve">Teach Your Child How To Think. </w:t>
      </w:r>
      <w:r>
        <w:rPr>
          <w:rtl w:val="0"/>
          <w:lang w:val="en-US"/>
        </w:rPr>
        <w:t xml:space="preserve">London: Penguin Books Ltd. </w:t>
      </w:r>
    </w:p>
    <w:p>
      <w:pPr>
        <w:pStyle w:val="Body"/>
        <w:jc w:val="left"/>
      </w:pPr>
    </w:p>
    <w:p>
      <w:pPr>
        <w:pStyle w:val="Body"/>
        <w:jc w:val="left"/>
      </w:pPr>
      <w:r>
        <w:rPr>
          <w:rtl w:val="0"/>
          <w:lang w:val="en-US"/>
        </w:rPr>
        <w:t xml:space="preserve">Lucas, B., G. Claxton, and E. Spencer (2013), </w:t>
      </w:r>
      <w:r>
        <w:rPr>
          <w:i w:val="1"/>
          <w:iCs w:val="1"/>
          <w:rtl w:val="0"/>
          <w:lang w:val="en-US"/>
        </w:rPr>
        <w:t>Progression in Student Creativity in School: First Steps Towards New Forms of Formative Assessments</w:t>
      </w:r>
      <w:r>
        <w:rPr>
          <w:rtl w:val="0"/>
          <w:lang w:val="en-US"/>
        </w:rPr>
        <w:t xml:space="preserve">, OECD Education Working Papers, No. 86, OECD Publishing, </w:t>
      </w:r>
      <w:r>
        <w:rPr>
          <w:rStyle w:val="Hyperlink.0"/>
        </w:rPr>
        <w:fldChar w:fldCharType="begin" w:fldLock="0"/>
      </w:r>
      <w:r>
        <w:rPr>
          <w:rStyle w:val="Hyperlink.0"/>
        </w:rPr>
        <w:instrText xml:space="preserve"> HYPERLINK "http://dx.doi.org/10.1787/5k4dp59msdwk-en"</w:instrText>
      </w:r>
      <w:r>
        <w:rPr>
          <w:rStyle w:val="Hyperlink.0"/>
        </w:rPr>
        <w:fldChar w:fldCharType="separate" w:fldLock="0"/>
      </w:r>
      <w:r>
        <w:rPr>
          <w:rStyle w:val="Hyperlink.0"/>
          <w:rtl w:val="0"/>
          <w:lang w:val="en-US"/>
        </w:rPr>
        <w:t>http://dx.doi.org/10.1787/5k4dp59msdwk-en</w:t>
      </w:r>
      <w:r>
        <w:rPr/>
        <w:fldChar w:fldCharType="end" w:fldLock="0"/>
      </w:r>
      <w:r>
        <w:rPr>
          <w:rtl w:val="0"/>
          <w:lang w:val="en-US"/>
        </w:rPr>
        <w:t xml:space="preserve"> </w:t>
      </w:r>
    </w:p>
    <w:p>
      <w:pPr>
        <w:pStyle w:val="Body"/>
        <w:jc w:val="left"/>
      </w:pPr>
    </w:p>
    <w:p>
      <w:pPr>
        <w:pStyle w:val="Body"/>
        <w:jc w:val="left"/>
      </w:pPr>
      <w:r>
        <w:rPr>
          <w:rtl w:val="0"/>
          <w:lang w:val="en-US"/>
        </w:rPr>
        <w:t xml:space="preserve">Biggs, J. (unknown date), </w:t>
      </w:r>
      <w:r>
        <w:rPr>
          <w:i w:val="1"/>
          <w:iCs w:val="1"/>
          <w:rtl w:val="0"/>
          <w:lang w:val="en-US"/>
        </w:rPr>
        <w:t xml:space="preserve">Aligning Teaching for Constructive Learning, </w:t>
      </w:r>
      <w:r>
        <w:rPr>
          <w:rtl w:val="0"/>
          <w:lang w:val="en-US"/>
        </w:rPr>
        <w:t xml:space="preserve">The Higher Education Academy. </w:t>
      </w:r>
    </w:p>
    <w:p>
      <w:pPr>
        <w:pStyle w:val="Body"/>
        <w:jc w:val="left"/>
      </w:pPr>
    </w:p>
    <w:p>
      <w:pPr>
        <w:pStyle w:val="Body"/>
        <w:jc w:val="left"/>
      </w:pPr>
      <w:r>
        <w:rPr>
          <w:rtl w:val="0"/>
          <w:lang w:val="en-US"/>
        </w:rPr>
        <w:t xml:space="preserve">Fromm, E. (1959) </w:t>
      </w:r>
      <w:r>
        <w:rPr>
          <w:rtl w:val="0"/>
        </w:rPr>
        <w:t xml:space="preserve">1959c: </w:t>
      </w:r>
      <w:r>
        <w:rPr>
          <w:i w:val="1"/>
          <w:iCs w:val="1"/>
          <w:rtl w:val="0"/>
          <w:lang w:val="en-US"/>
        </w:rPr>
        <w:t>The Creative Attitude</w:t>
      </w:r>
      <w:r>
        <w:rPr>
          <w:rtl w:val="0"/>
        </w:rPr>
        <w:t xml:space="preserve">, </w:t>
      </w:r>
      <w:r>
        <w:rPr>
          <w:rtl w:val="0"/>
          <w:lang w:val="en-US"/>
        </w:rPr>
        <w:t xml:space="preserve">[cited </w:t>
      </w:r>
      <w:r>
        <w:rPr>
          <w:rtl w:val="0"/>
          <w:lang w:val="en-US"/>
        </w:rPr>
        <w:t>in: H. A. Anderson (Ed.): Creativity and Its Cultivation, New York (Harper and Row) 1959, p. 44.</w:t>
      </w:r>
      <w:r>
        <w:rPr>
          <w:rtl w:val="0"/>
          <w:lang w:val="en-US"/>
        </w:rPr>
        <w:t>]</w:t>
      </w:r>
    </w:p>
    <w:p>
      <w:pPr>
        <w:pStyle w:val="Body"/>
        <w:jc w:val="left"/>
      </w:pPr>
    </w:p>
    <w:p>
      <w:pPr>
        <w:pStyle w:val="Body"/>
        <w:jc w:val="left"/>
      </w:pPr>
      <w:r>
        <w:rPr>
          <w:rtl w:val="0"/>
        </w:rPr>
        <w:t xml:space="preserve">Donaldson, G. (2015) </w:t>
      </w:r>
      <w:r>
        <w:rPr>
          <w:rtl w:val="0"/>
        </w:rPr>
        <w:t>‘</w:t>
      </w:r>
      <w:r>
        <w:rPr>
          <w:rtl w:val="0"/>
          <w:lang w:val="en-US"/>
        </w:rPr>
        <w:t>Successful Futures. Independent Review of Curriculum and Assessment Arrangements in Wales</w:t>
      </w:r>
      <w:r>
        <w:rPr>
          <w:rtl w:val="0"/>
        </w:rPr>
        <w:t>’</w:t>
      </w:r>
      <w:r>
        <w:rPr>
          <w:rtl w:val="0"/>
          <w:lang w:val="en-US"/>
        </w:rPr>
        <w:t xml:space="preserve">. Available at: http://gov.wales/docs/dcells/publications/150317-successful-futures-en.pdf </w:t>
      </w:r>
    </w:p>
    <w:p>
      <w:pPr>
        <w:pStyle w:val="Body"/>
        <w:jc w:val="left"/>
      </w:pPr>
    </w:p>
    <w:p>
      <w:pPr>
        <w:pStyle w:val="Body"/>
        <w:jc w:val="left"/>
      </w:pPr>
      <w:r>
        <w:rPr>
          <w:rtl w:val="0"/>
          <w:lang w:val="en-US"/>
        </w:rPr>
        <w:t>Sharp, C. (2001) Developing Young Children</w:t>
      </w:r>
      <w:r>
        <w:rPr>
          <w:rtl w:val="0"/>
        </w:rPr>
        <w:t>’</w:t>
      </w:r>
      <w:r>
        <w:rPr>
          <w:rtl w:val="0"/>
          <w:lang w:val="en-US"/>
        </w:rPr>
        <w:t>s Creativity Through the Arts: What Does Research Have to Offer? Available at: https://www.nfer.ac.uk/publications/44420/44420.pdf</w:t>
      </w:r>
    </w:p>
    <w:p>
      <w:pPr>
        <w:pStyle w:val="Body"/>
        <w:jc w:val="left"/>
      </w:pPr>
    </w:p>
    <w:p>
      <w:pPr>
        <w:pStyle w:val="Body"/>
        <w:jc w:val="left"/>
      </w:pPr>
      <w:r>
        <w:rPr>
          <w:rtl w:val="0"/>
          <w:lang w:val="en-US"/>
        </w:rPr>
        <w:t>Thornton, L. and Brunton, P. (2005) Understanding the Reggio Approach. London: David Fulton Publishers Ltd.</w:t>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lang w:val="en-US"/>
    </w:rPr>
  </w:style>
  <w:style w:type="character" w:styleId="Hyperlink.0">
    <w:name w:val="Hyperlink.0"/>
    <w:basedOn w:val="Hyperlink"/>
    <w:next w:val="Hyperlink.0"/>
    <w:rPr>
      <w:u w:val="single"/>
    </w:r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