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1CE2D" w14:textId="59B9E17C" w:rsidR="00593B69" w:rsidRPr="005C3055" w:rsidRDefault="00593B69">
      <w:pPr>
        <w:rPr>
          <w:rFonts w:ascii="Times New Roman" w:hAnsi="Times New Roman" w:cs="Times New Roman"/>
          <w:b/>
          <w:bCs/>
          <w:sz w:val="32"/>
          <w:szCs w:val="32"/>
        </w:rPr>
      </w:pPr>
      <w:r w:rsidRPr="005C3055">
        <w:rPr>
          <w:rFonts w:ascii="Times New Roman" w:hAnsi="Times New Roman" w:cs="Times New Roman"/>
          <w:b/>
          <w:bCs/>
          <w:sz w:val="32"/>
          <w:szCs w:val="32"/>
        </w:rPr>
        <w:t>Exploring Gender Differences in Anxiety</w:t>
      </w:r>
      <w:r w:rsidR="00B53235" w:rsidRPr="005C3055">
        <w:rPr>
          <w:rFonts w:ascii="Times New Roman" w:hAnsi="Times New Roman" w:cs="Times New Roman"/>
          <w:b/>
          <w:bCs/>
          <w:sz w:val="32"/>
          <w:szCs w:val="32"/>
        </w:rPr>
        <w:t xml:space="preserve"> of Undergraduate Students. </w:t>
      </w:r>
    </w:p>
    <w:p w14:paraId="78200153" w14:textId="1059E14A" w:rsidR="00593B69" w:rsidRPr="005C3055" w:rsidRDefault="00593B69">
      <w:pPr>
        <w:rPr>
          <w:rFonts w:ascii="Times New Roman" w:hAnsi="Times New Roman" w:cs="Times New Roman"/>
          <w:color w:val="FF0000"/>
        </w:rPr>
      </w:pPr>
    </w:p>
    <w:p w14:paraId="54E2BF2F" w14:textId="19CD5DB8" w:rsidR="00593B69" w:rsidRPr="005C3055" w:rsidRDefault="00593B69">
      <w:pPr>
        <w:rPr>
          <w:rFonts w:ascii="Times New Roman" w:hAnsi="Times New Roman" w:cs="Times New Roman"/>
          <w:color w:val="FF0000"/>
        </w:rPr>
      </w:pPr>
    </w:p>
    <w:p w14:paraId="7691280B" w14:textId="6C2A5200" w:rsidR="00593B69" w:rsidRPr="005C3055" w:rsidRDefault="00593B69" w:rsidP="005C3055">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Abstract</w:t>
      </w:r>
      <w:r w:rsidR="00B53235" w:rsidRPr="005C3055">
        <w:rPr>
          <w:rFonts w:ascii="Times New Roman" w:hAnsi="Times New Roman" w:cs="Times New Roman"/>
          <w:b/>
          <w:bCs/>
          <w:color w:val="000000" w:themeColor="text1"/>
        </w:rPr>
        <w:t xml:space="preserve">. </w:t>
      </w:r>
    </w:p>
    <w:p w14:paraId="1E21CF72" w14:textId="27D3DE0F" w:rsidR="00593B69" w:rsidRPr="005C3055" w:rsidRDefault="00933383" w:rsidP="005C3055">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Anxiety is a mental illness that effects people of a variety of ages. Anxiety has been proven to be prevalent is younger people. Forty undergraduate students, 20 male and 20 females, completed the Beck Anxiety Inventory scale to measure the level of anxiety that they are experiencing. Results shows that females scored higher in anxiety levels then males, yet males had a higher score of ‘low anxiety’. Conclusion for this study is that women score higher levels of anxiety than men.  </w:t>
      </w:r>
    </w:p>
    <w:p w14:paraId="05FA9D93" w14:textId="77777777" w:rsidR="00933383" w:rsidRPr="005C3055" w:rsidRDefault="00933383" w:rsidP="00933383">
      <w:pPr>
        <w:spacing w:line="360" w:lineRule="auto"/>
        <w:ind w:firstLine="720"/>
        <w:rPr>
          <w:rFonts w:ascii="Times New Roman" w:hAnsi="Times New Roman" w:cs="Times New Roman"/>
          <w:color w:val="FF0000"/>
        </w:rPr>
      </w:pPr>
    </w:p>
    <w:p w14:paraId="3878ACAF" w14:textId="77777777" w:rsidR="00577211" w:rsidRPr="005C3055" w:rsidRDefault="00593B69"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Introduction.</w:t>
      </w:r>
    </w:p>
    <w:p w14:paraId="751411B0" w14:textId="66D69298" w:rsidR="00593B69" w:rsidRPr="005C3055" w:rsidRDefault="00577211" w:rsidP="005C3055">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Levels of anxiety disorders are increasing in the UK with 8.2 million cases in 2013, where woman were twice as likely to be diagnosed than men (No Panic 2018). Stressful events or a change in lifestyle make many people feel anxious at times, yet this is a natural human response when we are faced with a feeling of danger. Anxiety is described as having persistent feelings of worry, nervousness and fear. However, if these feeling of anxiousness continue and have an impact on lives, it may be an anxiety disorder (Mental Health UK). </w:t>
      </w:r>
    </w:p>
    <w:p w14:paraId="17C4DA6E" w14:textId="50C2BB04" w:rsidR="00577211" w:rsidRPr="005C3055" w:rsidRDefault="00577211" w:rsidP="005C3055">
      <w:pPr>
        <w:spacing w:line="360" w:lineRule="auto"/>
        <w:rPr>
          <w:rFonts w:ascii="Times New Roman" w:hAnsi="Times New Roman" w:cs="Times New Roman"/>
          <w:color w:val="000000" w:themeColor="text1"/>
        </w:rPr>
      </w:pPr>
      <w:r w:rsidRPr="005C3055">
        <w:rPr>
          <w:rFonts w:ascii="Times New Roman" w:hAnsi="Times New Roman" w:cs="Times New Roman"/>
          <w:color w:val="000000" w:themeColor="text1"/>
        </w:rPr>
        <w:t>People of all ages can have an anxiety disorder and research has shown that “the median age of onset for anxiety disorders is 11 years” and “GAD has the latest median age at onset (31 years)” (</w:t>
      </w:r>
      <w:proofErr w:type="spellStart"/>
      <w:r w:rsidRPr="005C3055">
        <w:rPr>
          <w:rFonts w:ascii="Times New Roman" w:hAnsi="Times New Roman" w:cs="Times New Roman"/>
          <w:color w:val="000000" w:themeColor="text1"/>
        </w:rPr>
        <w:t>Borwin</w:t>
      </w:r>
      <w:proofErr w:type="spellEnd"/>
      <w:r w:rsidRPr="005C3055">
        <w:rPr>
          <w:rFonts w:ascii="Times New Roman" w:hAnsi="Times New Roman" w:cs="Times New Roman"/>
          <w:color w:val="000000" w:themeColor="text1"/>
        </w:rPr>
        <w:t xml:space="preserve"> </w:t>
      </w:r>
      <w:proofErr w:type="spellStart"/>
      <w:r w:rsidRPr="005C3055">
        <w:rPr>
          <w:rFonts w:ascii="Times New Roman" w:hAnsi="Times New Roman" w:cs="Times New Roman"/>
          <w:color w:val="000000" w:themeColor="text1"/>
        </w:rPr>
        <w:t>Bandelow</w:t>
      </w:r>
      <w:proofErr w:type="spellEnd"/>
      <w:r w:rsidRPr="005C3055">
        <w:rPr>
          <w:rFonts w:ascii="Times New Roman" w:hAnsi="Times New Roman" w:cs="Times New Roman"/>
          <w:color w:val="000000" w:themeColor="text1"/>
        </w:rPr>
        <w:t xml:space="preserve">, 2015). </w:t>
      </w:r>
    </w:p>
    <w:p w14:paraId="598D7493" w14:textId="0E71662A" w:rsidR="00577211" w:rsidRPr="005C3055" w:rsidRDefault="00577211" w:rsidP="005C3055">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(Hunt, C et al, 2002) </w:t>
      </w:r>
      <w:r w:rsidRPr="005C3055">
        <w:rPr>
          <w:rFonts w:ascii="Times New Roman" w:hAnsi="Times New Roman" w:cs="Times New Roman"/>
          <w:color w:val="000000" w:themeColor="text1"/>
        </w:rPr>
        <w:t xml:space="preserve">A nationwide household survey was carried out on 10,641 participants to discover the well-being and mental health of those living in Australia. Generalised Anxiety Disorder (GAD) was prevalent in those of younger age groups that those over the age of 55 years. “The logistics regression analysis showed that a diagnosis of GAD was significantly associated with being of younger to middle age, being separated, divorced or widowed, not having tertiary qualifications or being unemployed” yet this study did not find association with gender. </w:t>
      </w:r>
    </w:p>
    <w:p w14:paraId="2F691FD7" w14:textId="36BD7C44" w:rsidR="00577211" w:rsidRPr="005C3055" w:rsidRDefault="00577211" w:rsidP="005C3055">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One study that does show gender having an impact of the results was one by Ahmed, M, et al (2004), where the results conclude that females had a higher mean anxiety score than their male counterparts. </w:t>
      </w:r>
    </w:p>
    <w:p w14:paraId="63145F10" w14:textId="354B9B96" w:rsidR="00577211" w:rsidRPr="005C3055" w:rsidRDefault="00577211" w:rsidP="005C3055">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Research by Carmen P. McLean et al, (2001), looked at the gender differences in anxiety disorders where 20,013 participants were involved in the study, and results showed </w:t>
      </w:r>
      <w:r w:rsidRPr="005C3055">
        <w:rPr>
          <w:rFonts w:ascii="Times New Roman" w:hAnsi="Times New Roman" w:cs="Times New Roman"/>
          <w:color w:val="000000" w:themeColor="text1"/>
        </w:rPr>
        <w:lastRenderedPageBreak/>
        <w:t xml:space="preserve">that “women had higher rates of lifetime diagnosis for each anxiety disorder except for social anxiety where there was no gender difference in prevalence. Women who were diagnosed with a lifetime diagnosis of anxiety were also more likely than men to have another form of anxiety disorder such as bulimia nervosa and major depression”. From this study females had a higher rate of anxiety than men and also the illness was more disabling in women than men. </w:t>
      </w:r>
    </w:p>
    <w:p w14:paraId="707B093A" w14:textId="01E289A4" w:rsidR="00577211" w:rsidRPr="005C3055" w:rsidRDefault="00577211" w:rsidP="005C3055">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Continuing with the topic of the above research material, it has led to investigating further into gender-based anxiety levels of undergraduate students of a more recent period to add to previous research results. The aim for this study is to discover whether women continue to score a higher level of anxiety than men</w:t>
      </w:r>
      <w:r w:rsidR="00B53235" w:rsidRPr="005C3055">
        <w:rPr>
          <w:rFonts w:ascii="Times New Roman" w:hAnsi="Times New Roman" w:cs="Times New Roman"/>
          <w:color w:val="000000" w:themeColor="text1"/>
        </w:rPr>
        <w:t xml:space="preserve"> in a University based study. </w:t>
      </w:r>
      <w:r w:rsidRPr="005C3055">
        <w:rPr>
          <w:rFonts w:ascii="Times New Roman" w:hAnsi="Times New Roman" w:cs="Times New Roman"/>
          <w:color w:val="000000" w:themeColor="text1"/>
        </w:rPr>
        <w:t xml:space="preserve"> </w:t>
      </w:r>
    </w:p>
    <w:p w14:paraId="110D786F" w14:textId="77777777" w:rsidR="00577211" w:rsidRPr="005C3055" w:rsidRDefault="00577211" w:rsidP="005C3055">
      <w:pPr>
        <w:spacing w:line="360" w:lineRule="auto"/>
        <w:rPr>
          <w:rFonts w:ascii="Times New Roman" w:hAnsi="Times New Roman" w:cs="Times New Roman"/>
          <w:b/>
          <w:bCs/>
          <w:color w:val="FF0000"/>
        </w:rPr>
      </w:pPr>
      <w:bookmarkStart w:id="0" w:name="_GoBack"/>
      <w:bookmarkEnd w:id="0"/>
    </w:p>
    <w:p w14:paraId="33DE5C2F" w14:textId="77777777" w:rsidR="009D0774" w:rsidRPr="005C3055" w:rsidRDefault="009D0774" w:rsidP="005C3055">
      <w:pPr>
        <w:spacing w:line="360" w:lineRule="auto"/>
        <w:rPr>
          <w:rFonts w:ascii="Times New Roman" w:hAnsi="Times New Roman" w:cs="Times New Roman"/>
          <w:b/>
          <w:bCs/>
          <w:color w:val="FF0000"/>
        </w:rPr>
      </w:pPr>
    </w:p>
    <w:p w14:paraId="411EE45B" w14:textId="3CA03A2F" w:rsidR="00593B69" w:rsidRPr="005C3055" w:rsidRDefault="00593B69" w:rsidP="00933383">
      <w:pPr>
        <w:spacing w:line="360" w:lineRule="auto"/>
        <w:rPr>
          <w:rFonts w:ascii="Times New Roman" w:hAnsi="Times New Roman" w:cs="Times New Roman"/>
          <w:color w:val="FF0000"/>
        </w:rPr>
      </w:pPr>
    </w:p>
    <w:p w14:paraId="69E50034" w14:textId="42586E90" w:rsidR="00593B69" w:rsidRPr="005C3055" w:rsidRDefault="00593B69" w:rsidP="00933383">
      <w:pPr>
        <w:spacing w:line="360" w:lineRule="auto"/>
        <w:rPr>
          <w:rFonts w:ascii="Times New Roman" w:hAnsi="Times New Roman" w:cs="Times New Roman"/>
          <w:color w:val="000000" w:themeColor="text1"/>
        </w:rPr>
      </w:pPr>
      <w:r w:rsidRPr="005C3055">
        <w:rPr>
          <w:rFonts w:ascii="Times New Roman" w:hAnsi="Times New Roman" w:cs="Times New Roman"/>
          <w:b/>
          <w:bCs/>
          <w:color w:val="000000" w:themeColor="text1"/>
        </w:rPr>
        <w:t>Method</w:t>
      </w:r>
      <w:r w:rsidRPr="005C3055">
        <w:rPr>
          <w:rFonts w:ascii="Times New Roman" w:hAnsi="Times New Roman" w:cs="Times New Roman"/>
          <w:color w:val="000000" w:themeColor="text1"/>
        </w:rPr>
        <w:t xml:space="preserve">. </w:t>
      </w:r>
    </w:p>
    <w:p w14:paraId="5596552A" w14:textId="034E17B6" w:rsidR="00593B69" w:rsidRPr="005C3055" w:rsidRDefault="00593B69" w:rsidP="00933383">
      <w:pPr>
        <w:spacing w:line="360" w:lineRule="auto"/>
        <w:rPr>
          <w:rFonts w:ascii="Times New Roman" w:hAnsi="Times New Roman" w:cs="Times New Roman"/>
          <w:color w:val="FF0000"/>
        </w:rPr>
      </w:pPr>
    </w:p>
    <w:p w14:paraId="65F0405C" w14:textId="07A40899" w:rsidR="00593B69" w:rsidRPr="005C3055" w:rsidRDefault="00593B69"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 xml:space="preserve">Participants. </w:t>
      </w:r>
    </w:p>
    <w:p w14:paraId="003BD7C0" w14:textId="7A0D8EBD" w:rsidR="00593B69" w:rsidRPr="005C3055" w:rsidRDefault="00593B69" w:rsidP="00933383">
      <w:pPr>
        <w:spacing w:line="360" w:lineRule="auto"/>
        <w:ind w:firstLine="720"/>
        <w:rPr>
          <w:rFonts w:ascii="Times New Roman" w:hAnsi="Times New Roman" w:cs="Times New Roman"/>
          <w:color w:val="FF0000"/>
        </w:rPr>
      </w:pPr>
      <w:r w:rsidRPr="005C3055">
        <w:rPr>
          <w:rFonts w:ascii="Times New Roman" w:hAnsi="Times New Roman" w:cs="Times New Roman"/>
          <w:color w:val="000000" w:themeColor="text1"/>
        </w:rPr>
        <w:t xml:space="preserve">Participants in this study were 40 undergraduate students, 20 male and 20 females. Ages ranged from 18years to 39 years old (M = 25.20, SD = 5.55). Participants were recruited through opportunity sampling and were given course credits in return for their participation. </w:t>
      </w:r>
    </w:p>
    <w:p w14:paraId="66B0C84B" w14:textId="77777777" w:rsidR="00593B69" w:rsidRPr="005C3055" w:rsidRDefault="00593B69" w:rsidP="00933383">
      <w:pPr>
        <w:spacing w:line="360" w:lineRule="auto"/>
        <w:rPr>
          <w:rFonts w:ascii="Times New Roman" w:hAnsi="Times New Roman" w:cs="Times New Roman"/>
          <w:color w:val="000000" w:themeColor="text1"/>
        </w:rPr>
      </w:pPr>
    </w:p>
    <w:p w14:paraId="77F23DBA" w14:textId="74834EF6" w:rsidR="00593B69" w:rsidRPr="005C3055" w:rsidRDefault="00593B69"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 xml:space="preserve">Design. </w:t>
      </w:r>
    </w:p>
    <w:p w14:paraId="66B127CA" w14:textId="631BFEA1" w:rsidR="00593B69" w:rsidRPr="005C3055" w:rsidRDefault="00593B69"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This study is a between-subjects design. The independent variable being ‘gender’ which was on two levels, male and female. The dependant variable is ‘anxiety’ which was assessed through self-reporting levels of anxiety using the Beck Anxiety Inventory (BAI). The change in the DV is dependent on the IV.   </w:t>
      </w:r>
    </w:p>
    <w:p w14:paraId="44046378" w14:textId="76422321" w:rsidR="00F7616C" w:rsidRPr="005C3055" w:rsidRDefault="00F7616C" w:rsidP="00933383">
      <w:pPr>
        <w:spacing w:line="360" w:lineRule="auto"/>
        <w:rPr>
          <w:rFonts w:ascii="Times New Roman" w:hAnsi="Times New Roman" w:cs="Times New Roman"/>
          <w:color w:val="FF0000"/>
        </w:rPr>
      </w:pPr>
    </w:p>
    <w:p w14:paraId="0A55118D" w14:textId="624AA272" w:rsidR="00F7616C" w:rsidRPr="005C3055" w:rsidRDefault="00F7616C"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 xml:space="preserve">Materials. </w:t>
      </w:r>
    </w:p>
    <w:p w14:paraId="1AA60934" w14:textId="767EE4E1" w:rsidR="00F7616C" w:rsidRPr="005C3055" w:rsidRDefault="00F7616C"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The materials used for this study was the Beck Anxiety Inventory (BAI). This was correlated with the revised Hamilton Anxiety Rating Scale (.51) and mildly correlated with the Hamilton Rating Scale (.25) (Beck et al., 1988). </w:t>
      </w:r>
    </w:p>
    <w:p w14:paraId="7D1F93BB" w14:textId="47D9B2E0" w:rsidR="00F7616C" w:rsidRPr="005C3055" w:rsidRDefault="00F7616C"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Using this scale participants will self-report levels of anxiety, and questions are to be answered in relation to the last month including the present day of the experiment. Twenty-one items are included with common symptoms of anxiety. All of the questions are related to indicate how much it has bothered the participant within the last month. The options are </w:t>
      </w:r>
      <w:r w:rsidRPr="005C3055">
        <w:rPr>
          <w:rFonts w:ascii="Times New Roman" w:hAnsi="Times New Roman" w:cs="Times New Roman"/>
          <w:color w:val="000000" w:themeColor="text1"/>
        </w:rPr>
        <w:lastRenderedPageBreak/>
        <w:t xml:space="preserve">scored on a four-point Likert scale; not at all, mildly, but it didn’t bother me much, moderately – it wasn’t pleasant at times and severely – it bothered me a lot. Scores ranging from 0-3 with potential scores ranging from zero to 63, with the higher scores indicating a more severe anxiety level experienced in the last month. They are to be answered by circling the appropriate answer. The scoring key includes information relating to cut-off points for levels of anxiety; 0-21 = low anxiety, 22-35 = moderate anxiety, 36+ = potentially concerning levels of anxiety. </w:t>
      </w:r>
    </w:p>
    <w:p w14:paraId="05B00F73" w14:textId="04165432" w:rsidR="00F7616C" w:rsidRPr="005C3055" w:rsidRDefault="00F7616C"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A demographic information sheet is provided for the participants to indicate their age and gender before the BAI scale is used. </w:t>
      </w:r>
    </w:p>
    <w:p w14:paraId="76B07D07" w14:textId="6BB97658" w:rsidR="00F7616C" w:rsidRPr="005C3055" w:rsidRDefault="00F7616C" w:rsidP="00933383">
      <w:pPr>
        <w:spacing w:line="360" w:lineRule="auto"/>
        <w:rPr>
          <w:rFonts w:ascii="Times New Roman" w:hAnsi="Times New Roman" w:cs="Times New Roman"/>
          <w:color w:val="FF0000"/>
        </w:rPr>
      </w:pPr>
    </w:p>
    <w:p w14:paraId="44FDF119" w14:textId="67A8C257" w:rsidR="00F7616C" w:rsidRPr="005C3055" w:rsidRDefault="00F7616C"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 xml:space="preserve">Procedure. </w:t>
      </w:r>
    </w:p>
    <w:p w14:paraId="6EF03335" w14:textId="77777777" w:rsidR="00B25802" w:rsidRPr="005C3055" w:rsidRDefault="00F7616C"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Recruitment for this study was done through posting information out via a module’s Virtual Learning Environment which consists information and main aims of the study and how to participate.</w:t>
      </w:r>
      <w:r w:rsidR="00B25802" w:rsidRPr="005C3055">
        <w:rPr>
          <w:rFonts w:ascii="Times New Roman" w:hAnsi="Times New Roman" w:cs="Times New Roman"/>
          <w:color w:val="000000" w:themeColor="text1"/>
        </w:rPr>
        <w:t xml:space="preserve"> </w:t>
      </w:r>
    </w:p>
    <w:p w14:paraId="50346054" w14:textId="3DA7BB60" w:rsidR="00F7616C" w:rsidRPr="005C3055" w:rsidRDefault="00B25802"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Participants were welcomed on arrival at the University and then lead to the laboratories where the experiment took place. A study consent form was given to all participants to read and sign as a form of consent for their participation. Once consent was given a demographic information sheet was given for all to complete to indicate their gender and age. </w:t>
      </w:r>
    </w:p>
    <w:p w14:paraId="66CC2C3D" w14:textId="157A0558" w:rsidR="00B25802" w:rsidRPr="005C3055" w:rsidRDefault="00B25802"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The BAI scale sheet was then given for completion with the explanation of how to complete correctly. </w:t>
      </w:r>
    </w:p>
    <w:p w14:paraId="63BC6A1B" w14:textId="77777777" w:rsidR="00260E3B" w:rsidRPr="005C3055" w:rsidRDefault="00260E3B"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 xml:space="preserve">Once completed, participants were provided with a debrief form summarising all the aims of the study, including information that all participants have the right to withdraw. </w:t>
      </w:r>
    </w:p>
    <w:p w14:paraId="16C5507C" w14:textId="1996EA9D" w:rsidR="00B25802" w:rsidRPr="005C3055" w:rsidRDefault="00260E3B" w:rsidP="00933383">
      <w:pPr>
        <w:spacing w:line="360" w:lineRule="auto"/>
        <w:rPr>
          <w:rFonts w:ascii="Times New Roman" w:hAnsi="Times New Roman" w:cs="Times New Roman"/>
          <w:color w:val="000000" w:themeColor="text1"/>
        </w:rPr>
      </w:pPr>
      <w:r w:rsidRPr="005C3055">
        <w:rPr>
          <w:rFonts w:ascii="Times New Roman" w:hAnsi="Times New Roman" w:cs="Times New Roman"/>
          <w:color w:val="000000" w:themeColor="text1"/>
        </w:rPr>
        <w:t xml:space="preserve">All were thanked for taking part in the study.   </w:t>
      </w:r>
    </w:p>
    <w:p w14:paraId="488F987C" w14:textId="77777777" w:rsidR="00F7616C" w:rsidRPr="005C3055" w:rsidRDefault="00F7616C" w:rsidP="00933383">
      <w:pPr>
        <w:spacing w:line="360" w:lineRule="auto"/>
        <w:rPr>
          <w:rFonts w:ascii="Times New Roman" w:hAnsi="Times New Roman" w:cs="Times New Roman"/>
          <w:color w:val="FF0000"/>
        </w:rPr>
      </w:pPr>
    </w:p>
    <w:p w14:paraId="2A83E0D5" w14:textId="20550F57" w:rsidR="00F7616C" w:rsidRPr="005C3055" w:rsidRDefault="00F7616C" w:rsidP="00933383">
      <w:pPr>
        <w:spacing w:line="360" w:lineRule="auto"/>
        <w:rPr>
          <w:rFonts w:ascii="Times New Roman" w:hAnsi="Times New Roman" w:cs="Times New Roman"/>
          <w:color w:val="FF0000"/>
        </w:rPr>
      </w:pPr>
    </w:p>
    <w:p w14:paraId="7A3A4CC7" w14:textId="4DB3540A" w:rsidR="00F7616C" w:rsidRPr="005C3055" w:rsidRDefault="00F7616C"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 xml:space="preserve">Results. </w:t>
      </w:r>
    </w:p>
    <w:p w14:paraId="73ABE227" w14:textId="0B8376C5" w:rsidR="00957CC6" w:rsidRPr="005C3055" w:rsidRDefault="00957CC6"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The results for this study are quantitative. Scores have been calculated to produce the results. Results show that women have a higher scoring level of anxiety than men using the BAI scale. The mean score for anxiety levels for women is 28.25 whereas the mean for men is 22.25</w:t>
      </w:r>
      <w:r w:rsidR="00CB6C28" w:rsidRPr="005C3055">
        <w:rPr>
          <w:rFonts w:ascii="Times New Roman" w:hAnsi="Times New Roman" w:cs="Times New Roman"/>
          <w:color w:val="000000" w:themeColor="text1"/>
        </w:rPr>
        <w:t>, view appendix 1.</w:t>
      </w:r>
      <w:r w:rsidRPr="005C3055">
        <w:rPr>
          <w:rFonts w:ascii="Times New Roman" w:hAnsi="Times New Roman" w:cs="Times New Roman"/>
          <w:color w:val="000000" w:themeColor="text1"/>
        </w:rPr>
        <w:t xml:space="preserve"> This result is categorized in the moderate score for anxiety. The mean age for woman participating in this study is 25.1 and the mean age for men is 25.3</w:t>
      </w:r>
      <w:r w:rsidR="00CB6C28" w:rsidRPr="005C3055">
        <w:rPr>
          <w:rFonts w:ascii="Times New Roman" w:hAnsi="Times New Roman" w:cs="Times New Roman"/>
          <w:color w:val="000000" w:themeColor="text1"/>
        </w:rPr>
        <w:t xml:space="preserve">, view appendix 2. </w:t>
      </w:r>
      <w:r w:rsidRPr="005C3055">
        <w:rPr>
          <w:rFonts w:ascii="Times New Roman" w:hAnsi="Times New Roman" w:cs="Times New Roman"/>
          <w:color w:val="000000" w:themeColor="text1"/>
        </w:rPr>
        <w:t>The mean result for the age in both genders are very simila</w:t>
      </w:r>
      <w:r w:rsidR="00CB6C28" w:rsidRPr="005C3055">
        <w:rPr>
          <w:rFonts w:ascii="Times New Roman" w:hAnsi="Times New Roman" w:cs="Times New Roman"/>
          <w:color w:val="000000" w:themeColor="text1"/>
        </w:rPr>
        <w:t xml:space="preserve">r. </w:t>
      </w:r>
      <w:r w:rsidRPr="005C3055">
        <w:rPr>
          <w:rFonts w:ascii="Times New Roman" w:hAnsi="Times New Roman" w:cs="Times New Roman"/>
          <w:color w:val="000000" w:themeColor="text1"/>
        </w:rPr>
        <w:t xml:space="preserve"> </w:t>
      </w:r>
      <w:r w:rsidR="00CB6C28" w:rsidRPr="005C3055">
        <w:rPr>
          <w:rFonts w:ascii="Times New Roman" w:hAnsi="Times New Roman" w:cs="Times New Roman"/>
          <w:color w:val="000000" w:themeColor="text1"/>
        </w:rPr>
        <w:t xml:space="preserve">A clear chart in appendix 3 shows the 3 scoring levels for anxiety for both men and women. </w:t>
      </w:r>
    </w:p>
    <w:p w14:paraId="4D7018FD" w14:textId="607B8F4E" w:rsidR="00CB6C28" w:rsidRPr="005C3055" w:rsidRDefault="00CB6C28" w:rsidP="00933383">
      <w:pPr>
        <w:spacing w:line="360" w:lineRule="auto"/>
        <w:rPr>
          <w:rFonts w:ascii="Times New Roman" w:hAnsi="Times New Roman" w:cs="Times New Roman"/>
          <w:color w:val="000000" w:themeColor="text1"/>
        </w:rPr>
      </w:pPr>
    </w:p>
    <w:p w14:paraId="7F3584AA" w14:textId="509A9257" w:rsidR="00CB6C28" w:rsidRPr="005C3055" w:rsidRDefault="00CB6C28"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 xml:space="preserve">Discussion. </w:t>
      </w:r>
    </w:p>
    <w:p w14:paraId="71517247" w14:textId="77777777" w:rsidR="00B53235" w:rsidRPr="005C3055" w:rsidRDefault="00FD6CB3" w:rsidP="00933383">
      <w:pPr>
        <w:spacing w:line="360" w:lineRule="auto"/>
        <w:ind w:firstLine="720"/>
        <w:rPr>
          <w:rFonts w:ascii="Times New Roman" w:hAnsi="Times New Roman" w:cs="Times New Roman"/>
          <w:color w:val="000000" w:themeColor="text1"/>
        </w:rPr>
      </w:pPr>
      <w:r w:rsidRPr="005C3055">
        <w:rPr>
          <w:rFonts w:ascii="Times New Roman" w:hAnsi="Times New Roman" w:cs="Times New Roman"/>
          <w:color w:val="000000" w:themeColor="text1"/>
        </w:rPr>
        <w:t>The findings f</w:t>
      </w:r>
      <w:r w:rsidR="00B53235" w:rsidRPr="005C3055">
        <w:rPr>
          <w:rFonts w:ascii="Times New Roman" w:hAnsi="Times New Roman" w:cs="Times New Roman"/>
          <w:color w:val="000000" w:themeColor="text1"/>
        </w:rPr>
        <w:t>ro</w:t>
      </w:r>
      <w:r w:rsidRPr="005C3055">
        <w:rPr>
          <w:rFonts w:ascii="Times New Roman" w:hAnsi="Times New Roman" w:cs="Times New Roman"/>
          <w:color w:val="000000" w:themeColor="text1"/>
        </w:rPr>
        <w:t>m this study indicate that women have higher levels of anxiety than men. Many studies have found a similar result, yet this study has focused on undergraduates rather than the general public for which it would have a greater age range. Studies have shown that</w:t>
      </w:r>
      <w:r w:rsidR="00B53235" w:rsidRPr="005C3055">
        <w:rPr>
          <w:rFonts w:ascii="Times New Roman" w:hAnsi="Times New Roman" w:cs="Times New Roman"/>
          <w:color w:val="000000" w:themeColor="text1"/>
        </w:rPr>
        <w:t xml:space="preserve"> anxiety</w:t>
      </w:r>
      <w:r w:rsidRPr="005C3055">
        <w:rPr>
          <w:rFonts w:ascii="Times New Roman" w:hAnsi="Times New Roman" w:cs="Times New Roman"/>
          <w:color w:val="000000" w:themeColor="text1"/>
        </w:rPr>
        <w:t xml:space="preserve"> </w:t>
      </w:r>
      <w:r w:rsidR="00B53235" w:rsidRPr="005C3055">
        <w:rPr>
          <w:rFonts w:ascii="Times New Roman" w:hAnsi="Times New Roman" w:cs="Times New Roman"/>
          <w:color w:val="000000" w:themeColor="text1"/>
        </w:rPr>
        <w:t>prevalence</w:t>
      </w:r>
      <w:r w:rsidRPr="005C3055">
        <w:rPr>
          <w:rFonts w:ascii="Times New Roman" w:hAnsi="Times New Roman" w:cs="Times New Roman"/>
          <w:color w:val="000000" w:themeColor="text1"/>
        </w:rPr>
        <w:t xml:space="preserve"> </w:t>
      </w:r>
      <w:r w:rsidR="00B53235" w:rsidRPr="005C3055">
        <w:rPr>
          <w:rFonts w:ascii="Times New Roman" w:hAnsi="Times New Roman" w:cs="Times New Roman"/>
          <w:color w:val="000000" w:themeColor="text1"/>
        </w:rPr>
        <w:t xml:space="preserve">in younger people are higher than the older generation, yet this study has focused on the levels of anxiety and gender. </w:t>
      </w:r>
    </w:p>
    <w:p w14:paraId="54ECFC6E" w14:textId="30D39AB0" w:rsidR="00FD6CB3" w:rsidRPr="005C3055" w:rsidRDefault="00B53235" w:rsidP="00933383">
      <w:pPr>
        <w:spacing w:line="360" w:lineRule="auto"/>
        <w:rPr>
          <w:rFonts w:ascii="Times New Roman" w:hAnsi="Times New Roman" w:cs="Times New Roman"/>
          <w:color w:val="000000" w:themeColor="text1"/>
        </w:rPr>
      </w:pPr>
      <w:r w:rsidRPr="005C3055">
        <w:rPr>
          <w:rFonts w:ascii="Times New Roman" w:hAnsi="Times New Roman" w:cs="Times New Roman"/>
          <w:color w:val="000000" w:themeColor="text1"/>
        </w:rPr>
        <w:t xml:space="preserve">With results proving that undergraduate women scoring higher levels of anxiety than men, the aim of the study has been met, yet a greater number of participants may give a different result in both gender and scores.   </w:t>
      </w:r>
      <w:r w:rsidR="00FD6CB3" w:rsidRPr="005C3055">
        <w:rPr>
          <w:rFonts w:ascii="Times New Roman" w:hAnsi="Times New Roman" w:cs="Times New Roman"/>
          <w:color w:val="000000" w:themeColor="text1"/>
        </w:rPr>
        <w:t xml:space="preserve">   </w:t>
      </w:r>
    </w:p>
    <w:p w14:paraId="7838DF83" w14:textId="77777777" w:rsidR="00FD6CB3" w:rsidRPr="005C3055" w:rsidRDefault="00FD6CB3" w:rsidP="00933383">
      <w:pPr>
        <w:spacing w:line="360" w:lineRule="auto"/>
        <w:rPr>
          <w:rFonts w:ascii="Times New Roman" w:hAnsi="Times New Roman" w:cs="Times New Roman"/>
          <w:color w:val="000000" w:themeColor="text1"/>
        </w:rPr>
      </w:pPr>
    </w:p>
    <w:p w14:paraId="010E386A" w14:textId="10C3F842" w:rsidR="00957CC6" w:rsidRPr="005C3055" w:rsidRDefault="00957CC6" w:rsidP="00933383">
      <w:pPr>
        <w:spacing w:line="360" w:lineRule="auto"/>
        <w:rPr>
          <w:rFonts w:ascii="Times New Roman" w:hAnsi="Times New Roman" w:cs="Times New Roman"/>
          <w:color w:val="FF0000"/>
        </w:rPr>
      </w:pPr>
    </w:p>
    <w:p w14:paraId="7E15288E" w14:textId="77777777" w:rsidR="00957CC6" w:rsidRPr="005C3055" w:rsidRDefault="00957CC6" w:rsidP="00933383">
      <w:pPr>
        <w:spacing w:line="360" w:lineRule="auto"/>
        <w:rPr>
          <w:rFonts w:ascii="Times New Roman" w:hAnsi="Times New Roman" w:cs="Times New Roman"/>
          <w:color w:val="FF0000"/>
        </w:rPr>
      </w:pPr>
    </w:p>
    <w:p w14:paraId="38663A60" w14:textId="44DA4F04" w:rsidR="00F7616C" w:rsidRPr="005C3055" w:rsidRDefault="00F7616C" w:rsidP="00933383">
      <w:pPr>
        <w:spacing w:line="360" w:lineRule="auto"/>
        <w:rPr>
          <w:rFonts w:ascii="Times New Roman" w:hAnsi="Times New Roman" w:cs="Times New Roman"/>
          <w:color w:val="FF0000"/>
        </w:rPr>
      </w:pPr>
    </w:p>
    <w:p w14:paraId="061613A4" w14:textId="7A7BC5C0" w:rsidR="00F7616C" w:rsidRPr="005C3055" w:rsidRDefault="00F7616C" w:rsidP="00933383">
      <w:pPr>
        <w:spacing w:line="360" w:lineRule="auto"/>
        <w:rPr>
          <w:rFonts w:ascii="Times New Roman" w:hAnsi="Times New Roman" w:cs="Times New Roman"/>
          <w:b/>
          <w:bCs/>
          <w:color w:val="000000" w:themeColor="text1"/>
        </w:rPr>
      </w:pPr>
      <w:r w:rsidRPr="005C3055">
        <w:rPr>
          <w:rFonts w:ascii="Times New Roman" w:hAnsi="Times New Roman" w:cs="Times New Roman"/>
          <w:b/>
          <w:bCs/>
          <w:color w:val="000000" w:themeColor="text1"/>
        </w:rPr>
        <w:t xml:space="preserve">References. </w:t>
      </w:r>
    </w:p>
    <w:p w14:paraId="795E3D2C" w14:textId="531E4B45" w:rsidR="00933383" w:rsidRPr="005C3055" w:rsidRDefault="00933383" w:rsidP="00933383">
      <w:pPr>
        <w:spacing w:line="360" w:lineRule="auto"/>
        <w:rPr>
          <w:rFonts w:ascii="Times New Roman" w:hAnsi="Times New Roman" w:cs="Times New Roman"/>
          <w:color w:val="000000" w:themeColor="text1"/>
        </w:rPr>
      </w:pPr>
      <w:r w:rsidRPr="005C3055">
        <w:rPr>
          <w:rFonts w:ascii="Times New Roman" w:hAnsi="Times New Roman" w:cs="Times New Roman"/>
          <w:color w:val="000000" w:themeColor="text1"/>
        </w:rPr>
        <w:tab/>
        <w:t xml:space="preserve">McLean, C, P., </w:t>
      </w:r>
      <w:proofErr w:type="spellStart"/>
      <w:r w:rsidRPr="005C3055">
        <w:rPr>
          <w:rFonts w:ascii="Times New Roman" w:hAnsi="Times New Roman" w:cs="Times New Roman"/>
          <w:color w:val="000000" w:themeColor="text1"/>
        </w:rPr>
        <w:t>Asnaani</w:t>
      </w:r>
      <w:proofErr w:type="spellEnd"/>
      <w:r w:rsidRPr="005C3055">
        <w:rPr>
          <w:rFonts w:ascii="Times New Roman" w:hAnsi="Times New Roman" w:cs="Times New Roman"/>
          <w:color w:val="000000" w:themeColor="text1"/>
        </w:rPr>
        <w:t xml:space="preserve">, A., </w:t>
      </w:r>
      <w:proofErr w:type="spellStart"/>
      <w:r w:rsidRPr="005C3055">
        <w:rPr>
          <w:rFonts w:ascii="Times New Roman" w:hAnsi="Times New Roman" w:cs="Times New Roman"/>
          <w:color w:val="000000" w:themeColor="text1"/>
        </w:rPr>
        <w:t>Litz</w:t>
      </w:r>
      <w:proofErr w:type="spellEnd"/>
      <w:r w:rsidRPr="005C3055">
        <w:rPr>
          <w:rFonts w:ascii="Times New Roman" w:hAnsi="Times New Roman" w:cs="Times New Roman"/>
          <w:color w:val="000000" w:themeColor="text1"/>
        </w:rPr>
        <w:t xml:space="preserve">, B, T., Hofmann, S, G. (2011). Gender Differences in Anxiety Disorders: Prevalence, Course of Illness, Comorbidity and Burden of Illness. 45(8): 1027-1035. </w:t>
      </w:r>
    </w:p>
    <w:p w14:paraId="4C3A68B6" w14:textId="77CFF55E" w:rsidR="00933383" w:rsidRPr="005C3055" w:rsidRDefault="00933383" w:rsidP="00933383">
      <w:pPr>
        <w:spacing w:line="360" w:lineRule="auto"/>
        <w:rPr>
          <w:rFonts w:ascii="Times New Roman" w:hAnsi="Times New Roman" w:cs="Times New Roman"/>
          <w:color w:val="000000" w:themeColor="text1"/>
        </w:rPr>
      </w:pPr>
    </w:p>
    <w:p w14:paraId="0004FC88" w14:textId="518F8319" w:rsidR="00933383" w:rsidRPr="005C3055" w:rsidRDefault="00417993" w:rsidP="00933383">
      <w:pPr>
        <w:spacing w:line="360" w:lineRule="auto"/>
        <w:rPr>
          <w:rFonts w:ascii="Times New Roman" w:hAnsi="Times New Roman" w:cs="Times New Roman"/>
          <w:color w:val="000000" w:themeColor="text1"/>
        </w:rPr>
      </w:pPr>
      <w:r w:rsidRPr="005C3055">
        <w:rPr>
          <w:rFonts w:ascii="Times New Roman" w:hAnsi="Times New Roman" w:cs="Times New Roman"/>
          <w:color w:val="000000" w:themeColor="text1"/>
        </w:rPr>
        <w:tab/>
        <w:t>Ahmed, M., Abdel-</w:t>
      </w:r>
      <w:proofErr w:type="spellStart"/>
      <w:r w:rsidRPr="005C3055">
        <w:rPr>
          <w:rFonts w:ascii="Times New Roman" w:hAnsi="Times New Roman" w:cs="Times New Roman"/>
          <w:color w:val="000000" w:themeColor="text1"/>
        </w:rPr>
        <w:t>Khalek</w:t>
      </w:r>
      <w:proofErr w:type="spellEnd"/>
      <w:r w:rsidRPr="005C3055">
        <w:rPr>
          <w:rFonts w:ascii="Times New Roman" w:hAnsi="Times New Roman" w:cs="Times New Roman"/>
          <w:color w:val="000000" w:themeColor="text1"/>
        </w:rPr>
        <w:t xml:space="preserve">; </w:t>
      </w:r>
      <w:proofErr w:type="spellStart"/>
      <w:r w:rsidRPr="005C3055">
        <w:rPr>
          <w:rFonts w:ascii="Times New Roman" w:hAnsi="Times New Roman" w:cs="Times New Roman"/>
          <w:color w:val="000000" w:themeColor="text1"/>
        </w:rPr>
        <w:t>Alansari</w:t>
      </w:r>
      <w:proofErr w:type="spellEnd"/>
      <w:r w:rsidRPr="005C3055">
        <w:rPr>
          <w:rFonts w:ascii="Times New Roman" w:hAnsi="Times New Roman" w:cs="Times New Roman"/>
          <w:color w:val="000000" w:themeColor="text1"/>
        </w:rPr>
        <w:t xml:space="preserve">, B, </w:t>
      </w:r>
      <w:proofErr w:type="gramStart"/>
      <w:r w:rsidRPr="005C3055">
        <w:rPr>
          <w:rFonts w:ascii="Times New Roman" w:hAnsi="Times New Roman" w:cs="Times New Roman"/>
          <w:color w:val="000000" w:themeColor="text1"/>
        </w:rPr>
        <w:t>M,.</w:t>
      </w:r>
      <w:proofErr w:type="gramEnd"/>
      <w:r w:rsidRPr="005C3055">
        <w:rPr>
          <w:rFonts w:ascii="Times New Roman" w:hAnsi="Times New Roman" w:cs="Times New Roman"/>
          <w:color w:val="000000" w:themeColor="text1"/>
        </w:rPr>
        <w:t xml:space="preserve"> </w:t>
      </w:r>
      <w:proofErr w:type="gramStart"/>
      <w:r w:rsidRPr="005C3055">
        <w:rPr>
          <w:rFonts w:ascii="Times New Roman" w:hAnsi="Times New Roman" w:cs="Times New Roman"/>
          <w:color w:val="000000" w:themeColor="text1"/>
        </w:rPr>
        <w:t>(</w:t>
      </w:r>
      <w:proofErr w:type="gramEnd"/>
      <w:r w:rsidRPr="005C3055">
        <w:rPr>
          <w:rFonts w:ascii="Times New Roman" w:hAnsi="Times New Roman" w:cs="Times New Roman"/>
          <w:color w:val="000000" w:themeColor="text1"/>
        </w:rPr>
        <w:t xml:space="preserve">2004). Social Behaviour and Personality: Gender Differences in Anxiety among undergraduates from Ten Arab Countries. 35(7): 649-655(7) </w:t>
      </w:r>
    </w:p>
    <w:p w14:paraId="09A54042" w14:textId="239EE637" w:rsidR="00417993" w:rsidRPr="005C3055" w:rsidRDefault="00417993" w:rsidP="00933383">
      <w:pPr>
        <w:spacing w:line="360" w:lineRule="auto"/>
        <w:rPr>
          <w:rFonts w:ascii="Times New Roman" w:hAnsi="Times New Roman" w:cs="Times New Roman"/>
          <w:color w:val="000000" w:themeColor="text1"/>
        </w:rPr>
      </w:pPr>
    </w:p>
    <w:p w14:paraId="21F29556" w14:textId="59190896" w:rsidR="00417993" w:rsidRPr="005C3055" w:rsidRDefault="00417993" w:rsidP="00933383">
      <w:pPr>
        <w:spacing w:line="360" w:lineRule="auto"/>
        <w:rPr>
          <w:rFonts w:ascii="Times New Roman" w:hAnsi="Times New Roman" w:cs="Times New Roman"/>
          <w:color w:val="000000" w:themeColor="text1"/>
        </w:rPr>
      </w:pPr>
      <w:r w:rsidRPr="005C3055">
        <w:rPr>
          <w:rFonts w:ascii="Times New Roman" w:hAnsi="Times New Roman" w:cs="Times New Roman"/>
          <w:color w:val="000000" w:themeColor="text1"/>
        </w:rPr>
        <w:tab/>
        <w:t xml:space="preserve">Hunt, C., </w:t>
      </w:r>
      <w:proofErr w:type="spellStart"/>
      <w:r w:rsidRPr="005C3055">
        <w:rPr>
          <w:rFonts w:ascii="Times New Roman" w:hAnsi="Times New Roman" w:cs="Times New Roman"/>
          <w:color w:val="000000" w:themeColor="text1"/>
        </w:rPr>
        <w:t>Issakidis</w:t>
      </w:r>
      <w:proofErr w:type="spellEnd"/>
      <w:r w:rsidRPr="005C3055">
        <w:rPr>
          <w:rFonts w:ascii="Times New Roman" w:hAnsi="Times New Roman" w:cs="Times New Roman"/>
          <w:color w:val="000000" w:themeColor="text1"/>
        </w:rPr>
        <w:t>, C., Andrews, G. (2002) DSM-IV Generalized Anxiety Disorder in the Australian National Survey of Mental Health and Well-Being. 32(4): 649-59</w:t>
      </w:r>
    </w:p>
    <w:p w14:paraId="306B5176" w14:textId="2020F615" w:rsidR="00417993" w:rsidRDefault="00417993" w:rsidP="00933383">
      <w:pPr>
        <w:spacing w:line="360" w:lineRule="auto"/>
        <w:rPr>
          <w:color w:val="000000" w:themeColor="text1"/>
        </w:rPr>
      </w:pPr>
    </w:p>
    <w:p w14:paraId="2B8D51C8" w14:textId="77777777" w:rsidR="00417993" w:rsidRPr="00933383" w:rsidRDefault="00417993" w:rsidP="00933383">
      <w:pPr>
        <w:spacing w:line="360" w:lineRule="auto"/>
        <w:rPr>
          <w:color w:val="000000" w:themeColor="text1"/>
        </w:rPr>
      </w:pPr>
    </w:p>
    <w:p w14:paraId="62E2E319" w14:textId="352F2281" w:rsidR="00933383" w:rsidRDefault="00933383" w:rsidP="00933383">
      <w:pPr>
        <w:spacing w:line="360" w:lineRule="auto"/>
        <w:rPr>
          <w:b/>
          <w:bCs/>
          <w:color w:val="000000" w:themeColor="text1"/>
        </w:rPr>
      </w:pPr>
    </w:p>
    <w:p w14:paraId="6C4B8255" w14:textId="77777777" w:rsidR="00933383" w:rsidRPr="00933383" w:rsidRDefault="00933383" w:rsidP="00933383">
      <w:pPr>
        <w:spacing w:line="360" w:lineRule="auto"/>
        <w:rPr>
          <w:b/>
          <w:bCs/>
          <w:color w:val="000000" w:themeColor="text1"/>
        </w:rPr>
      </w:pPr>
    </w:p>
    <w:p w14:paraId="4B4F9545" w14:textId="471E6889" w:rsidR="00F7616C" w:rsidRDefault="00F7616C" w:rsidP="00933383">
      <w:pPr>
        <w:spacing w:line="360" w:lineRule="auto"/>
        <w:rPr>
          <w:color w:val="FF0000"/>
        </w:rPr>
      </w:pPr>
    </w:p>
    <w:p w14:paraId="7D4E609A" w14:textId="5567D5D7" w:rsidR="00F7616C" w:rsidRPr="00933383" w:rsidRDefault="00F7616C" w:rsidP="00933383">
      <w:pPr>
        <w:spacing w:line="360" w:lineRule="auto"/>
        <w:rPr>
          <w:b/>
          <w:bCs/>
          <w:color w:val="000000" w:themeColor="text1"/>
        </w:rPr>
      </w:pPr>
      <w:r w:rsidRPr="00933383">
        <w:rPr>
          <w:b/>
          <w:bCs/>
          <w:color w:val="000000" w:themeColor="text1"/>
        </w:rPr>
        <w:t>Appendices.</w:t>
      </w:r>
    </w:p>
    <w:p w14:paraId="4F1AB81A" w14:textId="37CE227B" w:rsidR="004944DF" w:rsidRDefault="004944DF" w:rsidP="00933383">
      <w:pPr>
        <w:spacing w:line="360" w:lineRule="auto"/>
        <w:rPr>
          <w:rFonts w:ascii="Arial" w:eastAsia="Times New Roman" w:hAnsi="Arial" w:cs="Arial"/>
          <w:color w:val="222222"/>
          <w:shd w:val="clear" w:color="auto" w:fill="FFFFFF"/>
          <w:lang w:eastAsia="en-GB"/>
        </w:rPr>
      </w:pPr>
    </w:p>
    <w:p w14:paraId="7630A15A" w14:textId="595CAFCD" w:rsidR="00CB6C28" w:rsidRDefault="00CB6C28" w:rsidP="00933383">
      <w:pPr>
        <w:spacing w:line="360" w:lineRule="auto"/>
        <w:rPr>
          <w:rFonts w:ascii="Arial" w:eastAsia="Times New Roman" w:hAnsi="Arial" w:cs="Arial"/>
          <w:color w:val="222222"/>
          <w:shd w:val="clear" w:color="auto" w:fill="FFFFFF"/>
          <w:lang w:eastAsia="en-GB"/>
        </w:rPr>
      </w:pPr>
    </w:p>
    <w:p w14:paraId="53D1216A" w14:textId="730A0D4E" w:rsidR="00CB6C28" w:rsidRDefault="00CB6C28" w:rsidP="00933383">
      <w:pPr>
        <w:spacing w:line="360" w:lineRule="auto"/>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lastRenderedPageBreak/>
        <w:t>Appendix 1</w:t>
      </w:r>
    </w:p>
    <w:p w14:paraId="63AD4EF0" w14:textId="77777777" w:rsidR="00CB6C28" w:rsidRPr="004944DF" w:rsidRDefault="00CB6C28" w:rsidP="004944DF">
      <w:pPr>
        <w:rPr>
          <w:rFonts w:ascii="Times New Roman" w:eastAsia="Times New Roman" w:hAnsi="Times New Roman" w:cs="Times New Roman"/>
          <w:lang w:eastAsia="en-GB"/>
        </w:rPr>
      </w:pPr>
    </w:p>
    <w:p w14:paraId="6F9184CA" w14:textId="0ABA32B8" w:rsidR="00593B69" w:rsidRDefault="00CB6C28">
      <w:pPr>
        <w:rPr>
          <w:color w:val="FF0000"/>
        </w:rPr>
      </w:pPr>
      <w:r>
        <w:rPr>
          <w:noProof/>
        </w:rPr>
        <w:drawing>
          <wp:inline distT="0" distB="0" distL="0" distR="0" wp14:anchorId="7BBA9325" wp14:editId="3FABE250">
            <wp:extent cx="5676900" cy="3435350"/>
            <wp:effectExtent l="0" t="0" r="12700" b="6350"/>
            <wp:docPr id="2" name="Chart 2">
              <a:extLst xmlns:a="http://schemas.openxmlformats.org/drawingml/2006/main">
                <a:ext uri="{FF2B5EF4-FFF2-40B4-BE49-F238E27FC236}">
                  <a16:creationId xmlns:a16="http://schemas.microsoft.com/office/drawing/2014/main" id="{FA6084AF-0733-8844-A85F-F2C6F1EF70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2438750B" w14:textId="24EEE351" w:rsidR="00CB6C28" w:rsidRDefault="00CB6C28">
      <w:pPr>
        <w:rPr>
          <w:color w:val="FF0000"/>
        </w:rPr>
      </w:pPr>
    </w:p>
    <w:p w14:paraId="7B93565D" w14:textId="5E6539F9" w:rsidR="00CB6C28" w:rsidRDefault="00CB6C28">
      <w:pPr>
        <w:rPr>
          <w:color w:val="FF0000"/>
        </w:rPr>
      </w:pPr>
    </w:p>
    <w:p w14:paraId="6C6DFFF6" w14:textId="53017FE5" w:rsidR="00CB6C28" w:rsidRDefault="00CB6C28">
      <w:pPr>
        <w:rPr>
          <w:color w:val="FF0000"/>
        </w:rPr>
      </w:pPr>
    </w:p>
    <w:p w14:paraId="7B945405" w14:textId="0468503C" w:rsidR="00CB6C28" w:rsidRDefault="00CB6C28">
      <w:pPr>
        <w:rPr>
          <w:color w:val="FF0000"/>
        </w:rPr>
      </w:pPr>
    </w:p>
    <w:p w14:paraId="30DAD08F" w14:textId="557FD1B8" w:rsidR="00CB6C28" w:rsidRDefault="00CB6C28">
      <w:pPr>
        <w:rPr>
          <w:color w:val="FF0000"/>
        </w:rPr>
      </w:pPr>
    </w:p>
    <w:p w14:paraId="239D5C88" w14:textId="66F39B54" w:rsidR="00CB6C28" w:rsidRDefault="00CB6C28">
      <w:pPr>
        <w:rPr>
          <w:color w:val="FF0000"/>
        </w:rPr>
      </w:pPr>
    </w:p>
    <w:p w14:paraId="144CEFCE" w14:textId="66986130" w:rsidR="00CB6C28" w:rsidRDefault="00CB6C28">
      <w:pPr>
        <w:rPr>
          <w:color w:val="FF0000"/>
        </w:rPr>
      </w:pPr>
    </w:p>
    <w:p w14:paraId="7ED566D8" w14:textId="451C7E39" w:rsidR="00CB6C28" w:rsidRPr="00CB6C28" w:rsidRDefault="00CB6C28">
      <w:pPr>
        <w:rPr>
          <w:color w:val="000000" w:themeColor="text1"/>
        </w:rPr>
      </w:pPr>
      <w:r w:rsidRPr="00CB6C28">
        <w:rPr>
          <w:color w:val="000000" w:themeColor="text1"/>
        </w:rPr>
        <w:t>Appendix 2</w:t>
      </w:r>
    </w:p>
    <w:p w14:paraId="712336E8" w14:textId="77777777" w:rsidR="00CB6C28" w:rsidRDefault="00CB6C28">
      <w:pPr>
        <w:rPr>
          <w:color w:val="FF0000"/>
        </w:rPr>
      </w:pPr>
    </w:p>
    <w:p w14:paraId="0B1632C6" w14:textId="3DC9563C" w:rsidR="00593B69" w:rsidRDefault="00583C6F">
      <w:pPr>
        <w:rPr>
          <w:color w:val="FF0000"/>
        </w:rPr>
      </w:pPr>
      <w:r>
        <w:rPr>
          <w:noProof/>
        </w:rPr>
        <w:drawing>
          <wp:inline distT="0" distB="0" distL="0" distR="0" wp14:anchorId="6FFE0CB8" wp14:editId="70DAE923">
            <wp:extent cx="5727700" cy="3150870"/>
            <wp:effectExtent l="0" t="0" r="12700" b="11430"/>
            <wp:docPr id="1" name="Chart 1">
              <a:extLst xmlns:a="http://schemas.openxmlformats.org/drawingml/2006/main">
                <a:ext uri="{FF2B5EF4-FFF2-40B4-BE49-F238E27FC236}">
                  <a16:creationId xmlns:a16="http://schemas.microsoft.com/office/drawing/2014/main" id="{BCC52FD9-8D10-0845-A4A0-5A215388F4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2B95AE10" w14:textId="438537B0" w:rsidR="00593B69" w:rsidRDefault="00593B69">
      <w:pPr>
        <w:rPr>
          <w:color w:val="000000" w:themeColor="text1"/>
        </w:rPr>
      </w:pPr>
    </w:p>
    <w:p w14:paraId="3E85E362" w14:textId="0C2CDC6B" w:rsidR="00583C6F" w:rsidRDefault="00CB6C28">
      <w:pPr>
        <w:rPr>
          <w:color w:val="000000" w:themeColor="text1"/>
        </w:rPr>
      </w:pPr>
      <w:r>
        <w:rPr>
          <w:color w:val="000000" w:themeColor="text1"/>
        </w:rPr>
        <w:t>Appendix 3</w:t>
      </w:r>
    </w:p>
    <w:p w14:paraId="555BF58B" w14:textId="37660E1C" w:rsidR="00583C6F" w:rsidRDefault="00583C6F">
      <w:pPr>
        <w:rPr>
          <w:color w:val="000000" w:themeColor="text1"/>
        </w:rPr>
      </w:pPr>
    </w:p>
    <w:tbl>
      <w:tblPr>
        <w:tblStyle w:val="TableGrid"/>
        <w:tblW w:w="0" w:type="auto"/>
        <w:tblLook w:val="04A0" w:firstRow="1" w:lastRow="0" w:firstColumn="1" w:lastColumn="0" w:noHBand="0" w:noVBand="1"/>
      </w:tblPr>
      <w:tblGrid>
        <w:gridCol w:w="3003"/>
        <w:gridCol w:w="3003"/>
        <w:gridCol w:w="3004"/>
      </w:tblGrid>
      <w:tr w:rsidR="00583C6F" w14:paraId="6AFF5F04" w14:textId="77777777" w:rsidTr="00583C6F">
        <w:tc>
          <w:tcPr>
            <w:tcW w:w="3003" w:type="dxa"/>
          </w:tcPr>
          <w:p w14:paraId="69CE96E7" w14:textId="2EE205DC" w:rsidR="00583C6F" w:rsidRDefault="00583C6F">
            <w:pPr>
              <w:rPr>
                <w:color w:val="000000" w:themeColor="text1"/>
              </w:rPr>
            </w:pPr>
            <w:r>
              <w:rPr>
                <w:color w:val="000000" w:themeColor="text1"/>
              </w:rPr>
              <w:t>Anxiety Score</w:t>
            </w:r>
          </w:p>
        </w:tc>
        <w:tc>
          <w:tcPr>
            <w:tcW w:w="3003" w:type="dxa"/>
          </w:tcPr>
          <w:p w14:paraId="35800F3C" w14:textId="15913AE3" w:rsidR="00583C6F" w:rsidRDefault="00583C6F">
            <w:pPr>
              <w:rPr>
                <w:color w:val="000000" w:themeColor="text1"/>
              </w:rPr>
            </w:pPr>
            <w:r>
              <w:rPr>
                <w:color w:val="000000" w:themeColor="text1"/>
              </w:rPr>
              <w:t>Male</w:t>
            </w:r>
          </w:p>
        </w:tc>
        <w:tc>
          <w:tcPr>
            <w:tcW w:w="3004" w:type="dxa"/>
          </w:tcPr>
          <w:p w14:paraId="0CD5392E" w14:textId="08FBD391" w:rsidR="00583C6F" w:rsidRDefault="00583C6F">
            <w:pPr>
              <w:rPr>
                <w:color w:val="000000" w:themeColor="text1"/>
              </w:rPr>
            </w:pPr>
            <w:r>
              <w:rPr>
                <w:color w:val="000000" w:themeColor="text1"/>
              </w:rPr>
              <w:t>Female</w:t>
            </w:r>
          </w:p>
        </w:tc>
      </w:tr>
      <w:tr w:rsidR="00583C6F" w14:paraId="1A58DCB5" w14:textId="77777777" w:rsidTr="00583C6F">
        <w:tc>
          <w:tcPr>
            <w:tcW w:w="3003" w:type="dxa"/>
            <w:shd w:val="clear" w:color="auto" w:fill="C7EFCF"/>
          </w:tcPr>
          <w:p w14:paraId="61ED1D54" w14:textId="4A6716E4" w:rsidR="00583C6F" w:rsidRDefault="00583C6F">
            <w:pPr>
              <w:rPr>
                <w:color w:val="000000" w:themeColor="text1"/>
              </w:rPr>
            </w:pPr>
            <w:r>
              <w:rPr>
                <w:color w:val="000000" w:themeColor="text1"/>
              </w:rPr>
              <w:t>Low Anxiety (0-21)</w:t>
            </w:r>
          </w:p>
        </w:tc>
        <w:tc>
          <w:tcPr>
            <w:tcW w:w="3003" w:type="dxa"/>
            <w:shd w:val="clear" w:color="auto" w:fill="C7EFCF"/>
          </w:tcPr>
          <w:p w14:paraId="608B098A" w14:textId="19B3F303" w:rsidR="00583C6F" w:rsidRDefault="00583C6F">
            <w:pPr>
              <w:rPr>
                <w:color w:val="000000" w:themeColor="text1"/>
              </w:rPr>
            </w:pPr>
            <w:r>
              <w:rPr>
                <w:color w:val="000000" w:themeColor="text1"/>
              </w:rPr>
              <w:t>13</w:t>
            </w:r>
          </w:p>
        </w:tc>
        <w:tc>
          <w:tcPr>
            <w:tcW w:w="3004" w:type="dxa"/>
            <w:shd w:val="clear" w:color="auto" w:fill="C7EFCF"/>
          </w:tcPr>
          <w:p w14:paraId="50F9CDCC" w14:textId="21803B76" w:rsidR="00583C6F" w:rsidRDefault="00583C6F">
            <w:pPr>
              <w:rPr>
                <w:color w:val="000000" w:themeColor="text1"/>
              </w:rPr>
            </w:pPr>
            <w:r>
              <w:rPr>
                <w:color w:val="000000" w:themeColor="text1"/>
              </w:rPr>
              <w:t>7</w:t>
            </w:r>
          </w:p>
        </w:tc>
      </w:tr>
      <w:tr w:rsidR="00583C6F" w14:paraId="6DC8737E" w14:textId="77777777" w:rsidTr="00583C6F">
        <w:tc>
          <w:tcPr>
            <w:tcW w:w="3003" w:type="dxa"/>
            <w:shd w:val="clear" w:color="auto" w:fill="FFED9E"/>
          </w:tcPr>
          <w:p w14:paraId="5E17DE2C" w14:textId="1151867C" w:rsidR="00583C6F" w:rsidRDefault="00583C6F">
            <w:pPr>
              <w:rPr>
                <w:color w:val="000000" w:themeColor="text1"/>
              </w:rPr>
            </w:pPr>
            <w:r>
              <w:rPr>
                <w:color w:val="000000" w:themeColor="text1"/>
              </w:rPr>
              <w:t>Moderate Anxiety (22-35)</w:t>
            </w:r>
          </w:p>
        </w:tc>
        <w:tc>
          <w:tcPr>
            <w:tcW w:w="3003" w:type="dxa"/>
            <w:shd w:val="clear" w:color="auto" w:fill="FFED9E"/>
          </w:tcPr>
          <w:p w14:paraId="54B336B1" w14:textId="277E7549" w:rsidR="00583C6F" w:rsidRDefault="00583C6F">
            <w:pPr>
              <w:rPr>
                <w:color w:val="000000" w:themeColor="text1"/>
              </w:rPr>
            </w:pPr>
            <w:r>
              <w:rPr>
                <w:color w:val="000000" w:themeColor="text1"/>
              </w:rPr>
              <w:t>4</w:t>
            </w:r>
          </w:p>
        </w:tc>
        <w:tc>
          <w:tcPr>
            <w:tcW w:w="3004" w:type="dxa"/>
            <w:shd w:val="clear" w:color="auto" w:fill="FFED9E"/>
          </w:tcPr>
          <w:p w14:paraId="7A46160A" w14:textId="4F75EC51" w:rsidR="00583C6F" w:rsidRDefault="00583C6F">
            <w:pPr>
              <w:rPr>
                <w:color w:val="000000" w:themeColor="text1"/>
              </w:rPr>
            </w:pPr>
            <w:r>
              <w:rPr>
                <w:color w:val="000000" w:themeColor="text1"/>
              </w:rPr>
              <w:t>8</w:t>
            </w:r>
          </w:p>
        </w:tc>
      </w:tr>
      <w:tr w:rsidR="00583C6F" w14:paraId="0042C596" w14:textId="77777777" w:rsidTr="00583C6F">
        <w:tc>
          <w:tcPr>
            <w:tcW w:w="3003" w:type="dxa"/>
            <w:shd w:val="clear" w:color="auto" w:fill="FEC7CF"/>
          </w:tcPr>
          <w:p w14:paraId="3E039E56" w14:textId="0BDC6988" w:rsidR="00583C6F" w:rsidRDefault="00583C6F">
            <w:pPr>
              <w:rPr>
                <w:color w:val="000000" w:themeColor="text1"/>
              </w:rPr>
            </w:pPr>
            <w:r>
              <w:rPr>
                <w:color w:val="000000" w:themeColor="text1"/>
              </w:rPr>
              <w:t>Potentially Concerning Levels of Anxiety (36+)</w:t>
            </w:r>
          </w:p>
        </w:tc>
        <w:tc>
          <w:tcPr>
            <w:tcW w:w="3003" w:type="dxa"/>
            <w:shd w:val="clear" w:color="auto" w:fill="FEC7CF"/>
          </w:tcPr>
          <w:p w14:paraId="2BDE22EF" w14:textId="39663807" w:rsidR="00583C6F" w:rsidRDefault="00583C6F">
            <w:pPr>
              <w:rPr>
                <w:color w:val="000000" w:themeColor="text1"/>
              </w:rPr>
            </w:pPr>
            <w:r>
              <w:rPr>
                <w:color w:val="000000" w:themeColor="text1"/>
              </w:rPr>
              <w:t>3</w:t>
            </w:r>
          </w:p>
        </w:tc>
        <w:tc>
          <w:tcPr>
            <w:tcW w:w="3004" w:type="dxa"/>
            <w:shd w:val="clear" w:color="auto" w:fill="FEC7CF"/>
          </w:tcPr>
          <w:p w14:paraId="03EEEE90" w14:textId="79F7C014" w:rsidR="00583C6F" w:rsidRDefault="00583C6F">
            <w:pPr>
              <w:rPr>
                <w:color w:val="000000" w:themeColor="text1"/>
              </w:rPr>
            </w:pPr>
            <w:r>
              <w:rPr>
                <w:color w:val="000000" w:themeColor="text1"/>
              </w:rPr>
              <w:t>5</w:t>
            </w:r>
          </w:p>
        </w:tc>
      </w:tr>
    </w:tbl>
    <w:p w14:paraId="613829BA" w14:textId="21C93863" w:rsidR="00583C6F" w:rsidRDefault="00583C6F">
      <w:pPr>
        <w:rPr>
          <w:color w:val="000000" w:themeColor="text1"/>
        </w:rPr>
      </w:pPr>
    </w:p>
    <w:p w14:paraId="3F84E75C" w14:textId="77777777" w:rsidR="00583C6F" w:rsidRPr="00593B69" w:rsidRDefault="00583C6F">
      <w:pPr>
        <w:rPr>
          <w:color w:val="000000" w:themeColor="text1"/>
        </w:rPr>
      </w:pPr>
    </w:p>
    <w:sectPr w:rsidR="00583C6F" w:rsidRPr="00593B69" w:rsidSect="004B23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B69"/>
    <w:rsid w:val="00126B03"/>
    <w:rsid w:val="00260E3B"/>
    <w:rsid w:val="004149B9"/>
    <w:rsid w:val="00417993"/>
    <w:rsid w:val="004944DF"/>
    <w:rsid w:val="004B238F"/>
    <w:rsid w:val="00577211"/>
    <w:rsid w:val="00583C6F"/>
    <w:rsid w:val="00593B69"/>
    <w:rsid w:val="005C3055"/>
    <w:rsid w:val="00933383"/>
    <w:rsid w:val="00957CC6"/>
    <w:rsid w:val="009D0774"/>
    <w:rsid w:val="00B25802"/>
    <w:rsid w:val="00B53235"/>
    <w:rsid w:val="00CB6C28"/>
    <w:rsid w:val="00CD2699"/>
    <w:rsid w:val="00E5614F"/>
    <w:rsid w:val="00F7616C"/>
    <w:rsid w:val="00FD6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0AE72"/>
  <w15:chartTrackingRefBased/>
  <w15:docId w15:val="{DD674B11-4061-8148-AF7B-7C72CD6EC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944DF"/>
  </w:style>
  <w:style w:type="table" w:styleId="TableGrid">
    <w:name w:val="Table Grid"/>
    <w:basedOn w:val="TableNormal"/>
    <w:uiPriority w:val="39"/>
    <w:rsid w:val="00583C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7120029">
      <w:bodyDiv w:val="1"/>
      <w:marLeft w:val="0"/>
      <w:marRight w:val="0"/>
      <w:marTop w:val="0"/>
      <w:marBottom w:val="0"/>
      <w:divBdr>
        <w:top w:val="none" w:sz="0" w:space="0" w:color="auto"/>
        <w:left w:val="none" w:sz="0" w:space="0" w:color="auto"/>
        <w:bottom w:val="none" w:sz="0" w:space="0" w:color="auto"/>
        <w:right w:val="none" w:sz="0" w:space="0" w:color="auto"/>
      </w:divBdr>
    </w:div>
    <w:div w:id="515314063">
      <w:bodyDiv w:val="1"/>
      <w:marLeft w:val="0"/>
      <w:marRight w:val="0"/>
      <w:marTop w:val="0"/>
      <w:marBottom w:val="0"/>
      <w:divBdr>
        <w:top w:val="none" w:sz="0" w:space="0" w:color="auto"/>
        <w:left w:val="none" w:sz="0" w:space="0" w:color="auto"/>
        <w:bottom w:val="none" w:sz="0" w:space="0" w:color="auto"/>
        <w:right w:val="none" w:sz="0" w:space="0" w:color="auto"/>
      </w:divBdr>
    </w:div>
    <w:div w:id="556478004">
      <w:bodyDiv w:val="1"/>
      <w:marLeft w:val="0"/>
      <w:marRight w:val="0"/>
      <w:marTop w:val="0"/>
      <w:marBottom w:val="0"/>
      <w:divBdr>
        <w:top w:val="none" w:sz="0" w:space="0" w:color="auto"/>
        <w:left w:val="none" w:sz="0" w:space="0" w:color="auto"/>
        <w:bottom w:val="none" w:sz="0" w:space="0" w:color="auto"/>
        <w:right w:val="none" w:sz="0" w:space="0" w:color="auto"/>
      </w:divBdr>
    </w:div>
    <w:div w:id="1660575832">
      <w:bodyDiv w:val="1"/>
      <w:marLeft w:val="0"/>
      <w:marRight w:val="0"/>
      <w:marTop w:val="0"/>
      <w:marBottom w:val="0"/>
      <w:divBdr>
        <w:top w:val="none" w:sz="0" w:space="0" w:color="auto"/>
        <w:left w:val="none" w:sz="0" w:space="0" w:color="auto"/>
        <w:bottom w:val="none" w:sz="0" w:space="0" w:color="auto"/>
        <w:right w:val="none" w:sz="0" w:space="0" w:color="auto"/>
      </w:divBdr>
    </w:div>
    <w:div w:id="1661422161">
      <w:bodyDiv w:val="1"/>
      <w:marLeft w:val="0"/>
      <w:marRight w:val="0"/>
      <w:marTop w:val="0"/>
      <w:marBottom w:val="0"/>
      <w:divBdr>
        <w:top w:val="none" w:sz="0" w:space="0" w:color="auto"/>
        <w:left w:val="none" w:sz="0" w:space="0" w:color="auto"/>
        <w:bottom w:val="none" w:sz="0" w:space="0" w:color="auto"/>
        <w:right w:val="none" w:sz="0" w:space="0" w:color="auto"/>
      </w:divBdr>
    </w:div>
    <w:div w:id="1960254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chart" Target="charts/chart2.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elinwilliams/Downloads/gender%20and%20anxiety%20data%20for%20report-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elinwilliams/Downloads/gender%20and%20anxiety%20data%20for%20report-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Anxiety Score of Participants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Sheet1!$E$26</c:f>
              <c:strCache>
                <c:ptCount val="1"/>
                <c:pt idx="0">
                  <c:v>Mean Anxiety Score</c:v>
                </c:pt>
              </c:strCache>
            </c:strRef>
          </c:tx>
          <c:spPr>
            <a:solidFill>
              <a:schemeClr val="accent1"/>
            </a:solidFill>
            <a:ln>
              <a:noFill/>
            </a:ln>
            <a:effectLst/>
          </c:spPr>
          <c:invertIfNegative val="0"/>
          <c:dPt>
            <c:idx val="0"/>
            <c:invertIfNegative val="0"/>
            <c:bubble3D val="0"/>
            <c:spPr>
              <a:solidFill>
                <a:srgbClr val="FFEC9D"/>
              </a:solidFill>
              <a:ln>
                <a:noFill/>
              </a:ln>
              <a:effectLst/>
            </c:spPr>
            <c:extLst>
              <c:ext xmlns:c16="http://schemas.microsoft.com/office/drawing/2014/chart" uri="{C3380CC4-5D6E-409C-BE32-E72D297353CC}">
                <c16:uniqueId val="{00000001-352D-B848-97B8-7BE6974710C0}"/>
              </c:ext>
            </c:extLst>
          </c:dPt>
          <c:dPt>
            <c:idx val="1"/>
            <c:invertIfNegative val="0"/>
            <c:bubble3D val="0"/>
            <c:spPr>
              <a:solidFill>
                <a:srgbClr val="FFEC9D"/>
              </a:solidFill>
              <a:ln>
                <a:noFill/>
              </a:ln>
              <a:effectLst/>
            </c:spPr>
            <c:extLst>
              <c:ext xmlns:c16="http://schemas.microsoft.com/office/drawing/2014/chart" uri="{C3380CC4-5D6E-409C-BE32-E72D297353CC}">
                <c16:uniqueId val="{00000003-352D-B848-97B8-7BE6974710C0}"/>
              </c:ext>
            </c:extLst>
          </c:dPt>
          <c:cat>
            <c:strRef>
              <c:f>Sheet1!$D$27:$D$28</c:f>
              <c:strCache>
                <c:ptCount val="2"/>
                <c:pt idx="0">
                  <c:v>Male</c:v>
                </c:pt>
                <c:pt idx="1">
                  <c:v>Female</c:v>
                </c:pt>
              </c:strCache>
            </c:strRef>
          </c:cat>
          <c:val>
            <c:numRef>
              <c:f>Sheet1!$E$27:$E$28</c:f>
              <c:numCache>
                <c:formatCode>General</c:formatCode>
                <c:ptCount val="2"/>
                <c:pt idx="0">
                  <c:v>22.25</c:v>
                </c:pt>
                <c:pt idx="1">
                  <c:v>28.25</c:v>
                </c:pt>
              </c:numCache>
            </c:numRef>
          </c:val>
          <c:extLst>
            <c:ext xmlns:c16="http://schemas.microsoft.com/office/drawing/2014/chart" uri="{C3380CC4-5D6E-409C-BE32-E72D297353CC}">
              <c16:uniqueId val="{00000004-352D-B848-97B8-7BE6974710C0}"/>
            </c:ext>
          </c:extLst>
        </c:ser>
        <c:dLbls>
          <c:showLegendKey val="0"/>
          <c:showVal val="0"/>
          <c:showCatName val="0"/>
          <c:showSerName val="0"/>
          <c:showPercent val="0"/>
          <c:showBubbleSize val="0"/>
        </c:dLbls>
        <c:gapWidth val="219"/>
        <c:overlap val="-27"/>
        <c:axId val="1528689119"/>
        <c:axId val="1530425599"/>
      </c:barChart>
      <c:catAx>
        <c:axId val="15286891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0425599"/>
        <c:crosses val="autoZero"/>
        <c:auto val="1"/>
        <c:lblAlgn val="ctr"/>
        <c:lblOffset val="100"/>
        <c:noMultiLvlLbl val="0"/>
      </c:catAx>
      <c:valAx>
        <c:axId val="1530425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Mean Anxiety Score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86891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Age of Participants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Sheet1!$B$26</c:f>
              <c:strCache>
                <c:ptCount val="1"/>
                <c:pt idx="0">
                  <c:v>Mean Age</c:v>
                </c:pt>
              </c:strCache>
            </c:strRef>
          </c:tx>
          <c:spPr>
            <a:solidFill>
              <a:schemeClr val="accent1"/>
            </a:solidFill>
            <a:ln>
              <a:noFill/>
            </a:ln>
            <a:effectLst/>
          </c:spPr>
          <c:invertIfNegative val="0"/>
          <c:cat>
            <c:strRef>
              <c:f>Sheet1!$A$27:$A$28</c:f>
              <c:strCache>
                <c:ptCount val="2"/>
                <c:pt idx="0">
                  <c:v>Male</c:v>
                </c:pt>
                <c:pt idx="1">
                  <c:v>Female</c:v>
                </c:pt>
              </c:strCache>
            </c:strRef>
          </c:cat>
          <c:val>
            <c:numRef>
              <c:f>Sheet1!$B$27:$B$28</c:f>
              <c:numCache>
                <c:formatCode>General</c:formatCode>
                <c:ptCount val="2"/>
                <c:pt idx="0">
                  <c:v>25.3</c:v>
                </c:pt>
                <c:pt idx="1">
                  <c:v>25.1</c:v>
                </c:pt>
              </c:numCache>
            </c:numRef>
          </c:val>
          <c:extLst>
            <c:ext xmlns:c16="http://schemas.microsoft.com/office/drawing/2014/chart" uri="{C3380CC4-5D6E-409C-BE32-E72D297353CC}">
              <c16:uniqueId val="{00000000-ECCE-4E45-B6E7-064C716B4F7F}"/>
            </c:ext>
          </c:extLst>
        </c:ser>
        <c:dLbls>
          <c:showLegendKey val="0"/>
          <c:showVal val="0"/>
          <c:showCatName val="0"/>
          <c:showSerName val="0"/>
          <c:showPercent val="0"/>
          <c:showBubbleSize val="0"/>
        </c:dLbls>
        <c:gapWidth val="219"/>
        <c:overlap val="-27"/>
        <c:axId val="1568917007"/>
        <c:axId val="1501758543"/>
      </c:barChart>
      <c:catAx>
        <c:axId val="15689170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1758543"/>
        <c:crosses val="autoZero"/>
        <c:auto val="1"/>
        <c:lblAlgn val="ctr"/>
        <c:lblOffset val="100"/>
        <c:noMultiLvlLbl val="0"/>
      </c:catAx>
      <c:valAx>
        <c:axId val="1501758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91700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6</Pages>
  <Words>1183</Words>
  <Characters>6744</Characters>
  <Application>Microsoft Office Word</Application>
  <DocSecurity>0</DocSecurity>
  <Lines>56</Lines>
  <Paragraphs>15</Paragraphs>
  <ScaleCrop>false</ScaleCrop>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Y Ddwylan)</dc:creator>
  <cp:keywords/>
  <dc:description/>
  <cp:lastModifiedBy>C Lloyd (Ysgol Y Ddwylan)</cp:lastModifiedBy>
  <cp:revision>22</cp:revision>
  <dcterms:created xsi:type="dcterms:W3CDTF">2020-01-15T21:04:00Z</dcterms:created>
  <dcterms:modified xsi:type="dcterms:W3CDTF">2020-01-17T23:42:00Z</dcterms:modified>
</cp:coreProperties>
</file>