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AE58D" w14:textId="59F89D79" w:rsidR="00FE532D" w:rsidRPr="000175B7" w:rsidRDefault="00B020A8" w:rsidP="002D4773">
      <w:pPr>
        <w:spacing w:line="480" w:lineRule="auto"/>
        <w:jc w:val="center"/>
        <w:rPr>
          <w:rFonts w:ascii="Times New Roman" w:hAnsi="Times New Roman" w:cs="Times New Roman"/>
          <w:b/>
          <w:bCs/>
          <w:sz w:val="24"/>
          <w:szCs w:val="24"/>
          <w:lang w:val="en-GB"/>
        </w:rPr>
      </w:pPr>
      <w:r w:rsidRPr="000175B7">
        <w:rPr>
          <w:rFonts w:ascii="Times New Roman" w:hAnsi="Times New Roman" w:cs="Times New Roman"/>
          <w:b/>
          <w:bCs/>
          <w:sz w:val="24"/>
          <w:szCs w:val="24"/>
          <w:lang w:val="en-GB"/>
        </w:rPr>
        <w:t xml:space="preserve">                                                                                                                                                                                                                                                                                                                                                                                                                                                                                                                   </w:t>
      </w:r>
    </w:p>
    <w:p w14:paraId="30253BCC" w14:textId="517758A2" w:rsidR="00FE532D" w:rsidRPr="000175B7" w:rsidRDefault="00FE532D" w:rsidP="002D4773">
      <w:pPr>
        <w:spacing w:line="480" w:lineRule="auto"/>
        <w:jc w:val="center"/>
        <w:rPr>
          <w:rFonts w:ascii="Times New Roman" w:hAnsi="Times New Roman" w:cs="Times New Roman"/>
          <w:b/>
          <w:bCs/>
          <w:sz w:val="24"/>
          <w:szCs w:val="24"/>
          <w:lang w:val="en-GB"/>
        </w:rPr>
      </w:pPr>
    </w:p>
    <w:p w14:paraId="1F73D867" w14:textId="61FC2D54" w:rsidR="00FE532D" w:rsidRPr="000175B7" w:rsidRDefault="00FE532D" w:rsidP="002D4773">
      <w:pPr>
        <w:spacing w:line="480" w:lineRule="auto"/>
        <w:jc w:val="center"/>
        <w:rPr>
          <w:rFonts w:ascii="Times New Roman" w:hAnsi="Times New Roman" w:cs="Times New Roman"/>
          <w:b/>
          <w:bCs/>
          <w:sz w:val="24"/>
          <w:szCs w:val="24"/>
          <w:lang w:val="en-GB"/>
        </w:rPr>
      </w:pPr>
    </w:p>
    <w:p w14:paraId="3A41B259" w14:textId="77777777" w:rsidR="00FE532D" w:rsidRPr="000175B7" w:rsidRDefault="00FE532D" w:rsidP="002D4773">
      <w:pPr>
        <w:spacing w:line="480" w:lineRule="auto"/>
        <w:jc w:val="center"/>
        <w:rPr>
          <w:rFonts w:ascii="Times New Roman" w:hAnsi="Times New Roman" w:cs="Times New Roman"/>
          <w:b/>
          <w:bCs/>
          <w:sz w:val="24"/>
          <w:szCs w:val="24"/>
          <w:lang w:val="en-GB"/>
        </w:rPr>
      </w:pPr>
    </w:p>
    <w:p w14:paraId="0563CC63" w14:textId="77777777" w:rsidR="00FE532D" w:rsidRPr="000175B7" w:rsidRDefault="00FE532D" w:rsidP="002D4773">
      <w:pPr>
        <w:spacing w:line="480" w:lineRule="auto"/>
        <w:jc w:val="center"/>
        <w:rPr>
          <w:rFonts w:ascii="Times New Roman" w:hAnsi="Times New Roman" w:cs="Times New Roman"/>
          <w:b/>
          <w:bCs/>
          <w:sz w:val="24"/>
          <w:szCs w:val="24"/>
          <w:lang w:val="en-GB"/>
        </w:rPr>
      </w:pPr>
    </w:p>
    <w:p w14:paraId="7F56079D" w14:textId="2A17DA11" w:rsidR="0096281E" w:rsidRPr="002638D2" w:rsidRDefault="00000000" w:rsidP="002D4773">
      <w:pPr>
        <w:pStyle w:val="NoSpacing"/>
        <w:pBdr>
          <w:bottom w:val="single" w:sz="6" w:space="0" w:color="7F7F7F" w:themeColor="text1" w:themeTint="80"/>
        </w:pBdr>
        <w:spacing w:line="480" w:lineRule="auto"/>
        <w:jc w:val="center"/>
        <w:rPr>
          <w:rFonts w:ascii="Times New Roman" w:eastAsiaTheme="majorEastAsia" w:hAnsi="Times New Roman" w:cs="Times New Roman"/>
          <w:color w:val="00B050"/>
          <w:sz w:val="36"/>
          <w:szCs w:val="36"/>
        </w:rPr>
      </w:pPr>
      <w:sdt>
        <w:sdtPr>
          <w:rPr>
            <w:rFonts w:ascii="Times New Roman" w:eastAsiaTheme="majorEastAsia" w:hAnsi="Times New Roman" w:cs="Times New Roman"/>
            <w:color w:val="00B050"/>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r w:rsidR="00F8776A" w:rsidRPr="002638D2">
            <w:rPr>
              <w:rFonts w:ascii="Times New Roman" w:eastAsiaTheme="majorEastAsia" w:hAnsi="Times New Roman" w:cs="Times New Roman"/>
              <w:color w:val="00B050"/>
              <w:sz w:val="36"/>
              <w:szCs w:val="36"/>
            </w:rPr>
            <w:t>Research Projects</w:t>
          </w:r>
        </w:sdtContent>
      </w:sdt>
    </w:p>
    <w:p w14:paraId="226F025B" w14:textId="6A45B35D" w:rsidR="0096281E" w:rsidRPr="00DB4995" w:rsidRDefault="00000000" w:rsidP="002D4773">
      <w:pPr>
        <w:pStyle w:val="NoSpacing"/>
        <w:spacing w:line="480" w:lineRule="auto"/>
        <w:jc w:val="center"/>
        <w:rPr>
          <w:rFonts w:ascii="Times New Roman" w:hAnsi="Times New Roman" w:cs="Times New Roman"/>
          <w:caps/>
          <w:color w:val="7030A0"/>
          <w:sz w:val="36"/>
          <w:szCs w:val="36"/>
        </w:rPr>
      </w:pPr>
      <w:sdt>
        <w:sdtPr>
          <w:rPr>
            <w:rFonts w:ascii="Times New Roman" w:hAnsi="Times New Roman" w:cs="Times New Roman"/>
            <w:caps/>
            <w:color w:val="7030A0"/>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2638D2">
            <w:rPr>
              <w:rFonts w:ascii="Times New Roman" w:hAnsi="Times New Roman" w:cs="Times New Roman"/>
              <w:caps/>
              <w:color w:val="7030A0"/>
              <w:sz w:val="36"/>
              <w:szCs w:val="36"/>
            </w:rPr>
            <w:t xml:space="preserve">     </w:t>
          </w:r>
        </w:sdtContent>
      </w:sdt>
      <w:r w:rsidR="002638D2" w:rsidRPr="002638D2">
        <w:rPr>
          <w:rFonts w:ascii="Times New Roman" w:eastAsiaTheme="majorEastAsia" w:hAnsi="Times New Roman" w:cs="Times New Roman"/>
          <w:color w:val="7030A0"/>
          <w:sz w:val="36"/>
          <w:szCs w:val="36"/>
        </w:rPr>
        <w:t xml:space="preserve"> </w:t>
      </w:r>
      <w:r w:rsidR="002638D2">
        <w:rPr>
          <w:rFonts w:ascii="Times New Roman" w:eastAsiaTheme="majorEastAsia" w:hAnsi="Times New Roman" w:cs="Times New Roman"/>
          <w:color w:val="7030A0"/>
          <w:sz w:val="36"/>
          <w:szCs w:val="36"/>
        </w:rPr>
        <w:t xml:space="preserve">LLB </w:t>
      </w:r>
      <w:r w:rsidR="002638D2" w:rsidRPr="00DB4995">
        <w:rPr>
          <w:rFonts w:ascii="Times New Roman" w:eastAsiaTheme="majorEastAsia" w:hAnsi="Times New Roman" w:cs="Times New Roman"/>
          <w:color w:val="7030A0"/>
          <w:sz w:val="36"/>
          <w:szCs w:val="36"/>
        </w:rPr>
        <w:t>Law and Legal Practice</w:t>
      </w:r>
      <w:r w:rsidR="008A270A" w:rsidRPr="008A270A">
        <w:rPr>
          <w:rFonts w:ascii="Times New Roman" w:eastAsiaTheme="majorEastAsia" w:hAnsi="Times New Roman" w:cs="Times New Roman"/>
          <w:color w:val="7030A0"/>
          <w:sz w:val="36"/>
          <w:szCs w:val="36"/>
        </w:rPr>
        <w:t xml:space="preserve"> </w:t>
      </w:r>
    </w:p>
    <w:p w14:paraId="38CCEA61" w14:textId="77777777" w:rsidR="009F070A" w:rsidRPr="000175B7" w:rsidRDefault="009F070A" w:rsidP="002D4773">
      <w:pPr>
        <w:spacing w:line="480" w:lineRule="auto"/>
        <w:ind w:firstLine="720"/>
        <w:jc w:val="center"/>
        <w:rPr>
          <w:rFonts w:ascii="Times New Roman" w:hAnsi="Times New Roman" w:cs="Times New Roman"/>
          <w:b/>
          <w:bCs/>
          <w:sz w:val="24"/>
          <w:szCs w:val="24"/>
          <w:lang w:val="en-GB"/>
        </w:rPr>
      </w:pPr>
    </w:p>
    <w:p w14:paraId="24052408" w14:textId="77777777" w:rsidR="00627C04" w:rsidRPr="000175B7" w:rsidRDefault="009F070A" w:rsidP="002D4773">
      <w:pPr>
        <w:spacing w:line="480" w:lineRule="auto"/>
        <w:ind w:firstLine="720"/>
        <w:jc w:val="center"/>
        <w:rPr>
          <w:rFonts w:ascii="Times New Roman" w:hAnsi="Times New Roman" w:cs="Times New Roman"/>
          <w:i/>
          <w:iCs/>
          <w:sz w:val="24"/>
          <w:szCs w:val="24"/>
          <w:lang w:val="en-GB"/>
        </w:rPr>
      </w:pPr>
      <w:r w:rsidRPr="000175B7">
        <w:rPr>
          <w:rFonts w:ascii="Times New Roman" w:hAnsi="Times New Roman" w:cs="Times New Roman"/>
          <w:b/>
          <w:bCs/>
          <w:sz w:val="24"/>
          <w:szCs w:val="24"/>
          <w:lang w:val="en-GB"/>
        </w:rPr>
        <w:t>Topic:</w:t>
      </w:r>
      <w:r w:rsidRPr="000175B7">
        <w:rPr>
          <w:rFonts w:ascii="Times New Roman" w:hAnsi="Times New Roman" w:cs="Times New Roman"/>
          <w:i/>
          <w:iCs/>
          <w:sz w:val="24"/>
          <w:szCs w:val="24"/>
          <w:lang w:val="en-GB"/>
        </w:rPr>
        <w:t xml:space="preserve"> </w:t>
      </w:r>
    </w:p>
    <w:p w14:paraId="29E79A99" w14:textId="38542E2E" w:rsidR="009F070A" w:rsidRPr="000175B7" w:rsidRDefault="009F070A" w:rsidP="002D4773">
      <w:pPr>
        <w:spacing w:line="480" w:lineRule="auto"/>
        <w:ind w:firstLine="720"/>
        <w:jc w:val="center"/>
        <w:rPr>
          <w:rFonts w:ascii="Times New Roman" w:hAnsi="Times New Roman" w:cs="Times New Roman"/>
          <w:i/>
          <w:iCs/>
          <w:sz w:val="24"/>
          <w:szCs w:val="24"/>
          <w:lang w:val="en-GB"/>
        </w:rPr>
      </w:pPr>
      <w:r w:rsidRPr="000175B7">
        <w:rPr>
          <w:rFonts w:ascii="Times New Roman" w:hAnsi="Times New Roman" w:cs="Times New Roman"/>
          <w:i/>
          <w:iCs/>
          <w:sz w:val="24"/>
          <w:szCs w:val="24"/>
          <w:lang w:val="en-GB"/>
        </w:rPr>
        <w:t>"</w:t>
      </w:r>
      <w:r w:rsidR="00627C04" w:rsidRPr="000175B7">
        <w:rPr>
          <w:rFonts w:ascii="Times New Roman" w:hAnsi="Times New Roman" w:cs="Times New Roman"/>
          <w:i/>
          <w:iCs/>
          <w:sz w:val="24"/>
          <w:szCs w:val="24"/>
          <w:lang w:val="en-GB"/>
        </w:rPr>
        <w:t>Homicide Law Reformation</w:t>
      </w:r>
      <w:r w:rsidRPr="000175B7">
        <w:rPr>
          <w:rFonts w:ascii="Times New Roman" w:hAnsi="Times New Roman" w:cs="Times New Roman"/>
          <w:i/>
          <w:iCs/>
          <w:sz w:val="24"/>
          <w:szCs w:val="24"/>
          <w:lang w:val="en-GB"/>
        </w:rPr>
        <w:t xml:space="preserve"> in England and Wales?"</w:t>
      </w:r>
      <w:r w:rsidR="00836C3E" w:rsidRPr="000175B7">
        <w:rPr>
          <w:rFonts w:ascii="Times New Roman" w:hAnsi="Times New Roman" w:cs="Times New Roman"/>
          <w:i/>
          <w:iCs/>
          <w:sz w:val="24"/>
          <w:szCs w:val="24"/>
          <w:lang w:val="en-GB"/>
        </w:rPr>
        <w:t xml:space="preserve"> </w:t>
      </w:r>
    </w:p>
    <w:p w14:paraId="3879A6ED" w14:textId="3522A3B1" w:rsidR="00FE532D" w:rsidRPr="000175B7" w:rsidRDefault="00FE532D" w:rsidP="002D4773">
      <w:pPr>
        <w:spacing w:line="480" w:lineRule="auto"/>
        <w:rPr>
          <w:rFonts w:ascii="Times New Roman" w:hAnsi="Times New Roman" w:cs="Times New Roman"/>
          <w:b/>
          <w:bCs/>
          <w:sz w:val="24"/>
          <w:szCs w:val="24"/>
          <w:lang w:val="en-GB"/>
        </w:rPr>
      </w:pPr>
    </w:p>
    <w:p w14:paraId="2A69126E" w14:textId="1CAC0541" w:rsidR="00417661" w:rsidRPr="000175B7" w:rsidRDefault="00417661" w:rsidP="002D4773">
      <w:pPr>
        <w:spacing w:line="480" w:lineRule="auto"/>
        <w:rPr>
          <w:rFonts w:ascii="Times New Roman" w:hAnsi="Times New Roman" w:cs="Times New Roman"/>
          <w:b/>
          <w:bCs/>
          <w:sz w:val="24"/>
          <w:szCs w:val="24"/>
          <w:lang w:val="en-GB"/>
        </w:rPr>
      </w:pPr>
      <w:r w:rsidRPr="000175B7">
        <w:rPr>
          <w:rFonts w:ascii="Times New Roman" w:hAnsi="Times New Roman" w:cs="Times New Roman"/>
          <w:noProof/>
          <w:sz w:val="24"/>
          <w:szCs w:val="24"/>
          <w:lang w:val="en-GB"/>
        </w:rPr>
        <mc:AlternateContent>
          <mc:Choice Requires="wps">
            <w:drawing>
              <wp:anchor distT="0" distB="0" distL="114300" distR="114300" simplePos="0" relativeHeight="251661312" behindDoc="0" locked="0" layoutInCell="1" allowOverlap="1" wp14:anchorId="0E523FFF" wp14:editId="046DC1A7">
                <wp:simplePos x="0" y="0"/>
                <wp:positionH relativeFrom="margin">
                  <wp:posOffset>0</wp:posOffset>
                </wp:positionH>
                <wp:positionV relativeFrom="paragraph">
                  <wp:posOffset>57150</wp:posOffset>
                </wp:positionV>
                <wp:extent cx="5467350" cy="3133725"/>
                <wp:effectExtent l="76200" t="57150" r="76200" b="123825"/>
                <wp:wrapNone/>
                <wp:docPr id="4" name="Rectangle 4"/>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DA0A76B"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Name: MD ROSHID AHMED</w:t>
                            </w:r>
                          </w:p>
                          <w:p w14:paraId="07438147"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ID: 1922561</w:t>
                            </w:r>
                          </w:p>
                          <w:p w14:paraId="43C32642"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Lecturer:</w:t>
                            </w:r>
                            <w:r>
                              <w:rPr>
                                <w:rFonts w:ascii="Times New Roman" w:hAnsi="Times New Roman"/>
                                <w:b/>
                                <w:sz w:val="32"/>
                                <w:szCs w:val="32"/>
                              </w:rPr>
                              <w:t xml:space="preserve"> Sian Turvey</w:t>
                            </w:r>
                            <w:r w:rsidRPr="00357783">
                              <w:rPr>
                                <w:rFonts w:ascii="Times New Roman" w:hAnsi="Times New Roman"/>
                                <w:b/>
                                <w:sz w:val="32"/>
                                <w:szCs w:val="32"/>
                              </w:rPr>
                              <w:t xml:space="preserve"> </w:t>
                            </w:r>
                          </w:p>
                          <w:p w14:paraId="309F84EC" w14:textId="64A16FCE"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Research Project </w:t>
                            </w:r>
                          </w:p>
                          <w:p w14:paraId="72BB2E7E" w14:textId="4C23C0CD"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 xml:space="preserve">Course Code: </w:t>
                            </w:r>
                            <w:r>
                              <w:rPr>
                                <w:rFonts w:ascii="Times New Roman" w:hAnsi="Times New Roman"/>
                                <w:b/>
                                <w:sz w:val="32"/>
                                <w:szCs w:val="32"/>
                              </w:rPr>
                              <w:t>BMPS6003</w:t>
                            </w:r>
                          </w:p>
                          <w:p w14:paraId="11F39309" w14:textId="53F2908D" w:rsidR="00417661" w:rsidRPr="00357783" w:rsidRDefault="00E425F9" w:rsidP="00417661">
                            <w:pPr>
                              <w:jc w:val="both"/>
                              <w:rPr>
                                <w:rFonts w:ascii="Times New Roman" w:hAnsi="Times New Roman"/>
                                <w:b/>
                                <w:sz w:val="32"/>
                                <w:szCs w:val="32"/>
                              </w:rPr>
                            </w:pPr>
                            <w:r>
                              <w:rPr>
                                <w:rFonts w:ascii="Times New Roman" w:hAnsi="Times New Roman"/>
                                <w:b/>
                                <w:sz w:val="32"/>
                                <w:szCs w:val="32"/>
                              </w:rPr>
                              <w:t xml:space="preserve">Rework </w:t>
                            </w:r>
                            <w:r w:rsidR="00417661" w:rsidRPr="00357783">
                              <w:rPr>
                                <w:rFonts w:ascii="Times New Roman" w:hAnsi="Times New Roman"/>
                                <w:b/>
                                <w:sz w:val="32"/>
                                <w:szCs w:val="32"/>
                              </w:rPr>
                              <w:t xml:space="preserve">Submission Deadline: </w:t>
                            </w:r>
                            <w:r>
                              <w:rPr>
                                <w:rFonts w:ascii="Times New Roman" w:hAnsi="Times New Roman"/>
                                <w:b/>
                                <w:sz w:val="32"/>
                                <w:szCs w:val="32"/>
                              </w:rPr>
                              <w:t>21 July</w:t>
                            </w:r>
                            <w:r w:rsidR="00417661">
                              <w:rPr>
                                <w:rFonts w:ascii="Times New Roman" w:hAnsi="Times New Roman"/>
                                <w:b/>
                                <w:sz w:val="32"/>
                                <w:szCs w:val="32"/>
                              </w:rPr>
                              <w:t xml:space="preserve"> 2023.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523FFF" id="Rectangle 4" o:spid="_x0000_s1026" style="position:absolute;margin-left:0;margin-top:4.5pt;width:430.5pt;height:246.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qmYGwMAAGo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" fillcolor="#ffd966" stroked="f" strokeweight=".5pt">
                <v:shadow on="t" color="black" opacity="20971f" offset="0,2.2pt"/>
                <v:textbox>
                  <w:txbxContent>
                    <w:p w14:paraId="2DA0A76B"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Name: MD ROSHID AHMED</w:t>
                      </w:r>
                    </w:p>
                    <w:p w14:paraId="07438147"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ID: 1922561</w:t>
                      </w:r>
                    </w:p>
                    <w:p w14:paraId="43C32642"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Lecturer:</w:t>
                      </w:r>
                      <w:r>
                        <w:rPr>
                          <w:rFonts w:ascii="Times New Roman" w:hAnsi="Times New Roman"/>
                          <w:b/>
                          <w:sz w:val="32"/>
                          <w:szCs w:val="32"/>
                        </w:rPr>
                        <w:t xml:space="preserve"> Sian Turvey</w:t>
                      </w:r>
                      <w:r w:rsidRPr="00357783">
                        <w:rPr>
                          <w:rFonts w:ascii="Times New Roman" w:hAnsi="Times New Roman"/>
                          <w:b/>
                          <w:sz w:val="32"/>
                          <w:szCs w:val="32"/>
                        </w:rPr>
                        <w:t xml:space="preserve"> </w:t>
                      </w:r>
                    </w:p>
                    <w:p w14:paraId="309F84EC" w14:textId="64A16FCE"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Research Project </w:t>
                      </w:r>
                    </w:p>
                    <w:p w14:paraId="72BB2E7E" w14:textId="4C23C0CD"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 xml:space="preserve">Course Code: </w:t>
                      </w:r>
                      <w:r>
                        <w:rPr>
                          <w:rFonts w:ascii="Times New Roman" w:hAnsi="Times New Roman"/>
                          <w:b/>
                          <w:sz w:val="32"/>
                          <w:szCs w:val="32"/>
                        </w:rPr>
                        <w:t>BMPS6003</w:t>
                      </w:r>
                    </w:p>
                    <w:p w14:paraId="11F39309" w14:textId="53F2908D" w:rsidR="00417661" w:rsidRPr="00357783" w:rsidRDefault="00E425F9" w:rsidP="00417661">
                      <w:pPr>
                        <w:jc w:val="both"/>
                        <w:rPr>
                          <w:rFonts w:ascii="Times New Roman" w:hAnsi="Times New Roman"/>
                          <w:b/>
                          <w:sz w:val="32"/>
                          <w:szCs w:val="32"/>
                        </w:rPr>
                      </w:pPr>
                      <w:r>
                        <w:rPr>
                          <w:rFonts w:ascii="Times New Roman" w:hAnsi="Times New Roman"/>
                          <w:b/>
                          <w:sz w:val="32"/>
                          <w:szCs w:val="32"/>
                        </w:rPr>
                        <w:t xml:space="preserve">Rework </w:t>
                      </w:r>
                      <w:r w:rsidR="00417661" w:rsidRPr="00357783">
                        <w:rPr>
                          <w:rFonts w:ascii="Times New Roman" w:hAnsi="Times New Roman"/>
                          <w:b/>
                          <w:sz w:val="32"/>
                          <w:szCs w:val="32"/>
                        </w:rPr>
                        <w:t xml:space="preserve">Submission Deadline: </w:t>
                      </w:r>
                      <w:r>
                        <w:rPr>
                          <w:rFonts w:ascii="Times New Roman" w:hAnsi="Times New Roman"/>
                          <w:b/>
                          <w:sz w:val="32"/>
                          <w:szCs w:val="32"/>
                        </w:rPr>
                        <w:t>21 July</w:t>
                      </w:r>
                      <w:r w:rsidR="00417661">
                        <w:rPr>
                          <w:rFonts w:ascii="Times New Roman" w:hAnsi="Times New Roman"/>
                          <w:b/>
                          <w:sz w:val="32"/>
                          <w:szCs w:val="32"/>
                        </w:rPr>
                        <w:t xml:space="preserve"> 2023. </w:t>
                      </w:r>
                    </w:p>
                  </w:txbxContent>
                </v:textbox>
                <w10:wrap anchorx="margin"/>
              </v:rect>
            </w:pict>
          </mc:Fallback>
        </mc:AlternateContent>
      </w:r>
    </w:p>
    <w:p w14:paraId="076138C0" w14:textId="68B2B225" w:rsidR="006255FC" w:rsidRPr="000175B7" w:rsidRDefault="00480F69" w:rsidP="002D4773">
      <w:pPr>
        <w:spacing w:line="480" w:lineRule="auto"/>
        <w:rPr>
          <w:rFonts w:ascii="Times New Roman" w:hAnsi="Times New Roman" w:cs="Times New Roman"/>
          <w:b/>
          <w:bCs/>
          <w:sz w:val="24"/>
          <w:szCs w:val="24"/>
          <w:lang w:val="en-GB"/>
        </w:rPr>
      </w:pPr>
      <w:r w:rsidRPr="000175B7">
        <w:rPr>
          <w:rFonts w:ascii="Times New Roman" w:hAnsi="Times New Roman" w:cs="Times New Roman"/>
          <w:sz w:val="24"/>
          <w:szCs w:val="24"/>
          <w:lang w:val="en-GB"/>
        </w:rPr>
        <w:br w:type="page"/>
      </w:r>
      <w:r w:rsidR="006255FC" w:rsidRPr="000175B7">
        <w:rPr>
          <w:rFonts w:ascii="Times New Roman" w:hAnsi="Times New Roman" w:cs="Times New Roman"/>
          <w:b/>
          <w:bCs/>
          <w:sz w:val="24"/>
          <w:szCs w:val="24"/>
          <w:lang w:val="en-GB"/>
        </w:rPr>
        <w:lastRenderedPageBreak/>
        <w:t>Acknowledgements</w:t>
      </w:r>
    </w:p>
    <w:p w14:paraId="37CAC071" w14:textId="77777777" w:rsidR="006255FC" w:rsidRPr="000175B7" w:rsidRDefault="006255FC"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I have successfully addressed all the research stages by means of acquiring blessings from the Lord. I have also received sincere support from the supervisor in relation to the process of completing the research process as well as correcting the faults in the research process. Further, I thank my class friends and family members for consistently uplifting my confidence. </w:t>
      </w:r>
    </w:p>
    <w:p w14:paraId="54BFAF88" w14:textId="78458CB5" w:rsidR="00FE532D" w:rsidRPr="000175B7" w:rsidRDefault="006255FC" w:rsidP="002D4773">
      <w:pPr>
        <w:spacing w:line="480" w:lineRule="auto"/>
        <w:rPr>
          <w:rFonts w:ascii="Times New Roman" w:hAnsi="Times New Roman" w:cs="Times New Roman"/>
          <w:b/>
          <w:bCs/>
          <w:sz w:val="24"/>
          <w:szCs w:val="24"/>
          <w:lang w:val="en-GB"/>
        </w:rPr>
      </w:pPr>
      <w:r w:rsidRPr="000175B7">
        <w:rPr>
          <w:rFonts w:ascii="Times New Roman" w:hAnsi="Times New Roman" w:cs="Times New Roman"/>
          <w:b/>
          <w:bCs/>
          <w:sz w:val="24"/>
          <w:szCs w:val="24"/>
          <w:lang w:val="en-GB"/>
        </w:rPr>
        <w:br w:type="page"/>
      </w:r>
    </w:p>
    <w:sdt>
      <w:sdtPr>
        <w:rPr>
          <w:rFonts w:ascii="Times New Roman" w:eastAsiaTheme="minorEastAsia" w:hAnsi="Times New Roman" w:cs="Times New Roman"/>
          <w:b/>
          <w:bCs/>
          <w:color w:val="auto"/>
          <w:sz w:val="24"/>
          <w:szCs w:val="24"/>
          <w:lang w:eastAsia="zh-CN"/>
        </w:rPr>
        <w:id w:val="-1940677749"/>
        <w:docPartObj>
          <w:docPartGallery w:val="Table of Contents"/>
          <w:docPartUnique/>
        </w:docPartObj>
      </w:sdtPr>
      <w:sdtEndPr>
        <w:rPr>
          <w:noProof/>
        </w:rPr>
      </w:sdtEndPr>
      <w:sdtContent>
        <w:p w14:paraId="54AD9EAB" w14:textId="1C02E8CD" w:rsidR="002D4773" w:rsidRPr="00CD2964" w:rsidRDefault="002B0839" w:rsidP="002B0839">
          <w:pPr>
            <w:pStyle w:val="TOCHeading"/>
            <w:spacing w:before="0" w:line="480" w:lineRule="auto"/>
            <w:jc w:val="center"/>
            <w:rPr>
              <w:rFonts w:ascii="Times New Roman" w:hAnsi="Times New Roman" w:cs="Times New Roman"/>
              <w:b/>
              <w:bCs/>
              <w:color w:val="4472C4" w:themeColor="accent5"/>
              <w:sz w:val="24"/>
              <w:szCs w:val="24"/>
            </w:rPr>
          </w:pPr>
          <w:r w:rsidRPr="00CD2964">
            <w:rPr>
              <w:rFonts w:ascii="Times New Roman" w:eastAsiaTheme="minorEastAsia" w:hAnsi="Times New Roman" w:cs="Times New Roman"/>
              <w:b/>
              <w:bCs/>
              <w:color w:val="4472C4" w:themeColor="accent5"/>
              <w:sz w:val="24"/>
              <w:szCs w:val="24"/>
              <w:lang w:eastAsia="zh-CN"/>
            </w:rPr>
            <w:t>Table of contents</w:t>
          </w:r>
        </w:p>
        <w:p w14:paraId="550B880F" w14:textId="15F6F8EE" w:rsidR="002B0839" w:rsidRDefault="002D4773">
          <w:pPr>
            <w:pStyle w:val="TOC1"/>
            <w:tabs>
              <w:tab w:val="right" w:leader="dot" w:pos="8296"/>
            </w:tabs>
            <w:rPr>
              <w:noProof/>
              <w:kern w:val="2"/>
              <w:sz w:val="22"/>
              <w:szCs w:val="22"/>
              <w:lang w:val="en-GB" w:eastAsia="en-GB"/>
              <w14:ligatures w14:val="standardContextual"/>
            </w:rPr>
          </w:pPr>
          <w:r w:rsidRPr="000175B7">
            <w:rPr>
              <w:rFonts w:ascii="Times New Roman" w:hAnsi="Times New Roman" w:cs="Times New Roman"/>
              <w:sz w:val="24"/>
              <w:szCs w:val="24"/>
            </w:rPr>
            <w:fldChar w:fldCharType="begin"/>
          </w:r>
          <w:r w:rsidRPr="000175B7">
            <w:rPr>
              <w:rFonts w:ascii="Times New Roman" w:hAnsi="Times New Roman" w:cs="Times New Roman"/>
              <w:sz w:val="24"/>
              <w:szCs w:val="24"/>
            </w:rPr>
            <w:instrText xml:space="preserve"> TOC \o "1-3" \h \z \u </w:instrText>
          </w:r>
          <w:r w:rsidRPr="000175B7">
            <w:rPr>
              <w:rFonts w:ascii="Times New Roman" w:hAnsi="Times New Roman" w:cs="Times New Roman"/>
              <w:sz w:val="24"/>
              <w:szCs w:val="24"/>
            </w:rPr>
            <w:fldChar w:fldCharType="separate"/>
          </w:r>
          <w:hyperlink w:anchor="_Toc140681434" w:history="1">
            <w:r w:rsidR="002B0839">
              <w:rPr>
                <w:rStyle w:val="Hyperlink"/>
                <w:rFonts w:ascii="Times New Roman" w:hAnsi="Times New Roman"/>
                <w:noProof/>
                <w:u w:val="none"/>
                <w:lang w:val="en-GB"/>
              </w:rPr>
              <w:t>Introduction</w:t>
            </w:r>
            <w:r w:rsidR="002B0839">
              <w:rPr>
                <w:noProof/>
                <w:webHidden/>
              </w:rPr>
              <w:tab/>
            </w:r>
            <w:r w:rsidR="002B0839">
              <w:rPr>
                <w:noProof/>
                <w:webHidden/>
              </w:rPr>
              <w:fldChar w:fldCharType="begin"/>
            </w:r>
            <w:r w:rsidR="002B0839">
              <w:rPr>
                <w:noProof/>
                <w:webHidden/>
              </w:rPr>
              <w:instrText xml:space="preserve"> PAGEREF _Toc140681434 \h </w:instrText>
            </w:r>
            <w:r w:rsidR="002B0839">
              <w:rPr>
                <w:noProof/>
                <w:webHidden/>
              </w:rPr>
            </w:r>
            <w:r w:rsidR="002B0839">
              <w:rPr>
                <w:noProof/>
                <w:webHidden/>
              </w:rPr>
              <w:fldChar w:fldCharType="separate"/>
            </w:r>
            <w:r w:rsidR="001507CD">
              <w:rPr>
                <w:noProof/>
                <w:webHidden/>
              </w:rPr>
              <w:t>4</w:t>
            </w:r>
            <w:r w:rsidR="002B0839">
              <w:rPr>
                <w:noProof/>
                <w:webHidden/>
              </w:rPr>
              <w:fldChar w:fldCharType="end"/>
            </w:r>
          </w:hyperlink>
        </w:p>
        <w:p w14:paraId="366F9765" w14:textId="247C58BD" w:rsidR="002B0839" w:rsidRDefault="00000000">
          <w:pPr>
            <w:pStyle w:val="TOC2"/>
            <w:tabs>
              <w:tab w:val="right" w:leader="dot" w:pos="8296"/>
            </w:tabs>
            <w:ind w:left="400"/>
            <w:rPr>
              <w:noProof/>
              <w:kern w:val="2"/>
              <w:sz w:val="22"/>
              <w:szCs w:val="22"/>
              <w:lang w:val="en-GB" w:eastAsia="en-GB"/>
              <w14:ligatures w14:val="standardContextual"/>
            </w:rPr>
          </w:pPr>
          <w:hyperlink w:anchor="_Toc140681435" w:history="1">
            <w:r w:rsidR="002B0839">
              <w:rPr>
                <w:rStyle w:val="Hyperlink"/>
                <w:rFonts w:ascii="Times New Roman" w:hAnsi="Times New Roman" w:cs="Times New Roman"/>
                <w:noProof/>
                <w:u w:val="none"/>
                <w:lang w:val="en-GB"/>
              </w:rPr>
              <w:t>Research questuon</w:t>
            </w:r>
            <w:r w:rsidR="002B0839">
              <w:rPr>
                <w:noProof/>
                <w:webHidden/>
              </w:rPr>
              <w:tab/>
            </w:r>
            <w:r w:rsidR="002B0839">
              <w:rPr>
                <w:noProof/>
                <w:webHidden/>
              </w:rPr>
              <w:fldChar w:fldCharType="begin"/>
            </w:r>
            <w:r w:rsidR="002B0839">
              <w:rPr>
                <w:noProof/>
                <w:webHidden/>
              </w:rPr>
              <w:instrText xml:space="preserve"> PAGEREF _Toc140681435 \h </w:instrText>
            </w:r>
            <w:r w:rsidR="002B0839">
              <w:rPr>
                <w:noProof/>
                <w:webHidden/>
              </w:rPr>
            </w:r>
            <w:r w:rsidR="002B0839">
              <w:rPr>
                <w:noProof/>
                <w:webHidden/>
              </w:rPr>
              <w:fldChar w:fldCharType="separate"/>
            </w:r>
            <w:r w:rsidR="001507CD">
              <w:rPr>
                <w:noProof/>
                <w:webHidden/>
              </w:rPr>
              <w:t>5</w:t>
            </w:r>
            <w:r w:rsidR="002B0839">
              <w:rPr>
                <w:noProof/>
                <w:webHidden/>
              </w:rPr>
              <w:fldChar w:fldCharType="end"/>
            </w:r>
          </w:hyperlink>
        </w:p>
        <w:p w14:paraId="720FBF67" w14:textId="2B568C4D" w:rsidR="002B0839" w:rsidRDefault="00000000">
          <w:pPr>
            <w:pStyle w:val="TOC2"/>
            <w:tabs>
              <w:tab w:val="right" w:leader="dot" w:pos="8296"/>
            </w:tabs>
            <w:ind w:left="400"/>
            <w:rPr>
              <w:noProof/>
              <w:kern w:val="2"/>
              <w:sz w:val="22"/>
              <w:szCs w:val="22"/>
              <w:lang w:val="en-GB" w:eastAsia="en-GB"/>
              <w14:ligatures w14:val="standardContextual"/>
            </w:rPr>
          </w:pPr>
          <w:hyperlink w:anchor="_Toc140681436" w:history="1">
            <w:r w:rsidR="002B0839">
              <w:rPr>
                <w:rStyle w:val="Hyperlink"/>
                <w:rFonts w:ascii="Times New Roman" w:hAnsi="Times New Roman" w:cs="Times New Roman"/>
                <w:noProof/>
                <w:u w:val="none"/>
                <w:lang w:val="en-GB"/>
              </w:rPr>
              <w:t xml:space="preserve">Aim and oblectives </w:t>
            </w:r>
            <w:r w:rsidR="002B0839">
              <w:rPr>
                <w:noProof/>
                <w:webHidden/>
              </w:rPr>
              <w:tab/>
            </w:r>
            <w:r w:rsidR="002B0839">
              <w:rPr>
                <w:noProof/>
                <w:webHidden/>
              </w:rPr>
              <w:fldChar w:fldCharType="begin"/>
            </w:r>
            <w:r w:rsidR="002B0839">
              <w:rPr>
                <w:noProof/>
                <w:webHidden/>
              </w:rPr>
              <w:instrText xml:space="preserve"> PAGEREF _Toc140681436 \h </w:instrText>
            </w:r>
            <w:r w:rsidR="002B0839">
              <w:rPr>
                <w:noProof/>
                <w:webHidden/>
              </w:rPr>
            </w:r>
            <w:r w:rsidR="002B0839">
              <w:rPr>
                <w:noProof/>
                <w:webHidden/>
              </w:rPr>
              <w:fldChar w:fldCharType="separate"/>
            </w:r>
            <w:r w:rsidR="001507CD">
              <w:rPr>
                <w:noProof/>
                <w:webHidden/>
              </w:rPr>
              <w:t>5</w:t>
            </w:r>
            <w:r w:rsidR="002B0839">
              <w:rPr>
                <w:noProof/>
                <w:webHidden/>
              </w:rPr>
              <w:fldChar w:fldCharType="end"/>
            </w:r>
          </w:hyperlink>
        </w:p>
        <w:p w14:paraId="612EB7B8" w14:textId="6FCAFA19" w:rsidR="002B0839" w:rsidRDefault="00000000">
          <w:pPr>
            <w:pStyle w:val="TOC1"/>
            <w:tabs>
              <w:tab w:val="right" w:leader="dot" w:pos="8296"/>
            </w:tabs>
            <w:rPr>
              <w:noProof/>
              <w:kern w:val="2"/>
              <w:sz w:val="22"/>
              <w:szCs w:val="22"/>
              <w:lang w:val="en-GB" w:eastAsia="en-GB"/>
              <w14:ligatures w14:val="standardContextual"/>
            </w:rPr>
          </w:pPr>
          <w:hyperlink w:anchor="_Toc140681437" w:history="1">
            <w:r w:rsidR="002B0839" w:rsidRPr="00E14C80">
              <w:rPr>
                <w:rStyle w:val="Hyperlink"/>
                <w:rFonts w:ascii="Times New Roman" w:hAnsi="Times New Roman"/>
                <w:noProof/>
                <w:lang w:val="en-GB"/>
              </w:rPr>
              <w:t>Methodology</w:t>
            </w:r>
            <w:r w:rsidR="002B0839">
              <w:rPr>
                <w:noProof/>
                <w:webHidden/>
              </w:rPr>
              <w:tab/>
            </w:r>
            <w:r w:rsidR="002B0839">
              <w:rPr>
                <w:noProof/>
                <w:webHidden/>
              </w:rPr>
              <w:fldChar w:fldCharType="begin"/>
            </w:r>
            <w:r w:rsidR="002B0839">
              <w:rPr>
                <w:noProof/>
                <w:webHidden/>
              </w:rPr>
              <w:instrText xml:space="preserve"> PAGEREF _Toc140681437 \h </w:instrText>
            </w:r>
            <w:r w:rsidR="002B0839">
              <w:rPr>
                <w:noProof/>
                <w:webHidden/>
              </w:rPr>
            </w:r>
            <w:r w:rsidR="002B0839">
              <w:rPr>
                <w:noProof/>
                <w:webHidden/>
              </w:rPr>
              <w:fldChar w:fldCharType="separate"/>
            </w:r>
            <w:r w:rsidR="001507CD">
              <w:rPr>
                <w:noProof/>
                <w:webHidden/>
              </w:rPr>
              <w:t>5</w:t>
            </w:r>
            <w:r w:rsidR="002B0839">
              <w:rPr>
                <w:noProof/>
                <w:webHidden/>
              </w:rPr>
              <w:fldChar w:fldCharType="end"/>
            </w:r>
          </w:hyperlink>
        </w:p>
        <w:p w14:paraId="584AFDDC" w14:textId="106F5230" w:rsidR="002B0839" w:rsidRDefault="00000000">
          <w:pPr>
            <w:pStyle w:val="TOC1"/>
            <w:tabs>
              <w:tab w:val="right" w:leader="dot" w:pos="8296"/>
            </w:tabs>
            <w:rPr>
              <w:noProof/>
              <w:kern w:val="2"/>
              <w:sz w:val="22"/>
              <w:szCs w:val="22"/>
              <w:lang w:val="en-GB" w:eastAsia="en-GB"/>
              <w14:ligatures w14:val="standardContextual"/>
            </w:rPr>
          </w:pPr>
          <w:hyperlink w:anchor="_Toc140681438" w:history="1">
            <w:r w:rsidR="002B0839" w:rsidRPr="00E14C80">
              <w:rPr>
                <w:rStyle w:val="Hyperlink"/>
                <w:rFonts w:ascii="Times New Roman" w:hAnsi="Times New Roman"/>
                <w:noProof/>
                <w:lang w:val="en-GB"/>
              </w:rPr>
              <w:t>Thematic Chapter 1</w:t>
            </w:r>
            <w:r w:rsidR="002B0839">
              <w:rPr>
                <w:noProof/>
                <w:webHidden/>
              </w:rPr>
              <w:tab/>
            </w:r>
            <w:r w:rsidR="002B0839">
              <w:rPr>
                <w:noProof/>
                <w:webHidden/>
              </w:rPr>
              <w:fldChar w:fldCharType="begin"/>
            </w:r>
            <w:r w:rsidR="002B0839">
              <w:rPr>
                <w:noProof/>
                <w:webHidden/>
              </w:rPr>
              <w:instrText xml:space="preserve"> PAGEREF _Toc140681438 \h </w:instrText>
            </w:r>
            <w:r w:rsidR="002B0839">
              <w:rPr>
                <w:noProof/>
                <w:webHidden/>
              </w:rPr>
            </w:r>
            <w:r w:rsidR="002B0839">
              <w:rPr>
                <w:noProof/>
                <w:webHidden/>
              </w:rPr>
              <w:fldChar w:fldCharType="separate"/>
            </w:r>
            <w:r w:rsidR="001507CD">
              <w:rPr>
                <w:noProof/>
                <w:webHidden/>
              </w:rPr>
              <w:t>8</w:t>
            </w:r>
            <w:r w:rsidR="002B0839">
              <w:rPr>
                <w:noProof/>
                <w:webHidden/>
              </w:rPr>
              <w:fldChar w:fldCharType="end"/>
            </w:r>
          </w:hyperlink>
        </w:p>
        <w:p w14:paraId="4FF9CFF7" w14:textId="6438CC9B" w:rsidR="002B0839" w:rsidRDefault="00000000">
          <w:pPr>
            <w:pStyle w:val="TOC2"/>
            <w:tabs>
              <w:tab w:val="right" w:leader="dot" w:pos="8296"/>
            </w:tabs>
            <w:ind w:left="400"/>
            <w:rPr>
              <w:noProof/>
              <w:kern w:val="2"/>
              <w:sz w:val="22"/>
              <w:szCs w:val="22"/>
              <w:lang w:val="en-GB" w:eastAsia="en-GB"/>
              <w14:ligatures w14:val="standardContextual"/>
            </w:rPr>
          </w:pPr>
          <w:hyperlink w:anchor="_Toc140681439" w:history="1">
            <w:r w:rsidR="000D6767">
              <w:rPr>
                <w:rStyle w:val="Hyperlink"/>
                <w:rFonts w:ascii="Times New Roman" w:hAnsi="Times New Roman" w:cs="Times New Roman"/>
                <w:i/>
                <w:iCs/>
                <w:noProof/>
                <w:lang w:val="en-GB"/>
              </w:rPr>
              <w:t>To identify the fundamental purpose of initially developed homicide law in England and Wales</w:t>
            </w:r>
            <w:r w:rsidR="002B0839">
              <w:rPr>
                <w:noProof/>
                <w:webHidden/>
              </w:rPr>
              <w:fldChar w:fldCharType="begin"/>
            </w:r>
            <w:r w:rsidR="002B0839">
              <w:rPr>
                <w:noProof/>
                <w:webHidden/>
              </w:rPr>
              <w:instrText xml:space="preserve"> PAGEREF _Toc140681439 \h </w:instrText>
            </w:r>
            <w:r w:rsidR="002B0839">
              <w:rPr>
                <w:noProof/>
                <w:webHidden/>
              </w:rPr>
            </w:r>
            <w:r w:rsidR="002B0839">
              <w:rPr>
                <w:noProof/>
                <w:webHidden/>
              </w:rPr>
              <w:fldChar w:fldCharType="separate"/>
            </w:r>
            <w:r w:rsidR="001507CD">
              <w:rPr>
                <w:b/>
                <w:bCs/>
                <w:noProof/>
                <w:webHidden/>
              </w:rPr>
              <w:t>.</w:t>
            </w:r>
            <w:r w:rsidR="002B0839">
              <w:rPr>
                <w:noProof/>
                <w:webHidden/>
              </w:rPr>
              <w:fldChar w:fldCharType="end"/>
            </w:r>
          </w:hyperlink>
        </w:p>
        <w:p w14:paraId="3DAC17EA" w14:textId="401E2194" w:rsidR="002B0839" w:rsidRDefault="00000000">
          <w:pPr>
            <w:pStyle w:val="TOC2"/>
            <w:tabs>
              <w:tab w:val="right" w:leader="dot" w:pos="8296"/>
            </w:tabs>
            <w:ind w:left="400"/>
            <w:rPr>
              <w:noProof/>
              <w:kern w:val="2"/>
              <w:sz w:val="22"/>
              <w:szCs w:val="22"/>
              <w:lang w:val="en-GB" w:eastAsia="en-GB"/>
              <w14:ligatures w14:val="standardContextual"/>
            </w:rPr>
          </w:pPr>
          <w:hyperlink w:anchor="_Toc140681440" w:history="1">
            <w:r w:rsidR="002B0839" w:rsidRPr="00E14C80">
              <w:rPr>
                <w:rStyle w:val="Hyperlink"/>
                <w:rFonts w:ascii="Times New Roman" w:hAnsi="Times New Roman" w:cs="Times New Roman"/>
                <w:i/>
                <w:iCs/>
                <w:noProof/>
                <w:lang w:val="en-GB"/>
              </w:rPr>
              <w:t>Summary</w:t>
            </w:r>
            <w:r w:rsidR="002B0839">
              <w:rPr>
                <w:noProof/>
                <w:webHidden/>
              </w:rPr>
              <w:tab/>
            </w:r>
            <w:r w:rsidR="002B0839">
              <w:rPr>
                <w:noProof/>
                <w:webHidden/>
              </w:rPr>
              <w:fldChar w:fldCharType="begin"/>
            </w:r>
            <w:r w:rsidR="002B0839">
              <w:rPr>
                <w:noProof/>
                <w:webHidden/>
              </w:rPr>
              <w:instrText xml:space="preserve"> PAGEREF _Toc140681440 \h </w:instrText>
            </w:r>
            <w:r w:rsidR="002B0839">
              <w:rPr>
                <w:noProof/>
                <w:webHidden/>
              </w:rPr>
            </w:r>
            <w:r w:rsidR="002B0839">
              <w:rPr>
                <w:noProof/>
                <w:webHidden/>
              </w:rPr>
              <w:fldChar w:fldCharType="separate"/>
            </w:r>
            <w:r w:rsidR="001507CD">
              <w:rPr>
                <w:noProof/>
                <w:webHidden/>
              </w:rPr>
              <w:t>13</w:t>
            </w:r>
            <w:r w:rsidR="002B0839">
              <w:rPr>
                <w:noProof/>
                <w:webHidden/>
              </w:rPr>
              <w:fldChar w:fldCharType="end"/>
            </w:r>
          </w:hyperlink>
        </w:p>
        <w:p w14:paraId="0E1E360A" w14:textId="5DFB0AD8" w:rsidR="002B0839" w:rsidRDefault="00000000">
          <w:pPr>
            <w:pStyle w:val="TOC1"/>
            <w:tabs>
              <w:tab w:val="right" w:leader="dot" w:pos="8296"/>
            </w:tabs>
            <w:rPr>
              <w:noProof/>
              <w:kern w:val="2"/>
              <w:sz w:val="22"/>
              <w:szCs w:val="22"/>
              <w:lang w:val="en-GB" w:eastAsia="en-GB"/>
              <w14:ligatures w14:val="standardContextual"/>
            </w:rPr>
          </w:pPr>
          <w:hyperlink w:anchor="_Toc140681441" w:history="1">
            <w:r w:rsidR="002B0839" w:rsidRPr="00E14C80">
              <w:rPr>
                <w:rStyle w:val="Hyperlink"/>
                <w:rFonts w:ascii="Times New Roman" w:hAnsi="Times New Roman"/>
                <w:noProof/>
                <w:lang w:val="en-GB"/>
              </w:rPr>
              <w:t>Thematic Chapter 2</w:t>
            </w:r>
            <w:r w:rsidR="002B0839">
              <w:rPr>
                <w:noProof/>
                <w:webHidden/>
              </w:rPr>
              <w:tab/>
            </w:r>
            <w:r w:rsidR="002B0839">
              <w:rPr>
                <w:noProof/>
                <w:webHidden/>
              </w:rPr>
              <w:fldChar w:fldCharType="begin"/>
            </w:r>
            <w:r w:rsidR="002B0839">
              <w:rPr>
                <w:noProof/>
                <w:webHidden/>
              </w:rPr>
              <w:instrText xml:space="preserve"> PAGEREF _Toc140681441 \h </w:instrText>
            </w:r>
            <w:r w:rsidR="002B0839">
              <w:rPr>
                <w:noProof/>
                <w:webHidden/>
              </w:rPr>
            </w:r>
            <w:r w:rsidR="002B0839">
              <w:rPr>
                <w:noProof/>
                <w:webHidden/>
              </w:rPr>
              <w:fldChar w:fldCharType="separate"/>
            </w:r>
            <w:r w:rsidR="001507CD">
              <w:rPr>
                <w:noProof/>
                <w:webHidden/>
              </w:rPr>
              <w:t>14</w:t>
            </w:r>
            <w:r w:rsidR="002B0839">
              <w:rPr>
                <w:noProof/>
                <w:webHidden/>
              </w:rPr>
              <w:fldChar w:fldCharType="end"/>
            </w:r>
          </w:hyperlink>
        </w:p>
        <w:p w14:paraId="380BE2CB" w14:textId="47641998" w:rsidR="002B0839" w:rsidRDefault="00000000">
          <w:pPr>
            <w:pStyle w:val="TOC2"/>
            <w:tabs>
              <w:tab w:val="right" w:leader="dot" w:pos="8296"/>
            </w:tabs>
            <w:ind w:left="400"/>
            <w:rPr>
              <w:noProof/>
              <w:kern w:val="2"/>
              <w:sz w:val="22"/>
              <w:szCs w:val="22"/>
              <w:lang w:val="en-GB" w:eastAsia="en-GB"/>
              <w14:ligatures w14:val="standardContextual"/>
            </w:rPr>
          </w:pPr>
          <w:hyperlink w:anchor="_Toc140681442" w:history="1">
            <w:r w:rsidR="000D6767">
              <w:rPr>
                <w:rStyle w:val="Hyperlink"/>
                <w:rFonts w:ascii="Times New Roman" w:hAnsi="Times New Roman" w:cs="Times New Roman"/>
                <w:i/>
                <w:iCs/>
                <w:noProof/>
                <w:lang w:val="en-GB"/>
              </w:rPr>
              <w:t>To perform critical discussion of reformation needs and evolution of</w:t>
            </w:r>
            <w:r w:rsidR="002B0839" w:rsidRPr="00E14C80">
              <w:rPr>
                <w:rStyle w:val="Hyperlink"/>
                <w:rFonts w:ascii="Times New Roman" w:hAnsi="Times New Roman" w:cs="Times New Roman"/>
                <w:i/>
                <w:iCs/>
                <w:noProof/>
                <w:lang w:val="en-GB"/>
              </w:rPr>
              <w:t xml:space="preserve"> </w:t>
            </w:r>
            <w:r w:rsidR="000D6767">
              <w:rPr>
                <w:rStyle w:val="Hyperlink"/>
                <w:rFonts w:ascii="Times New Roman" w:hAnsi="Times New Roman" w:cs="Times New Roman"/>
                <w:i/>
                <w:iCs/>
                <w:noProof/>
                <w:lang w:val="en-GB"/>
              </w:rPr>
              <w:t>h</w:t>
            </w:r>
            <w:r w:rsidR="002B0839" w:rsidRPr="00E14C80">
              <w:rPr>
                <w:rStyle w:val="Hyperlink"/>
                <w:rFonts w:ascii="Times New Roman" w:hAnsi="Times New Roman" w:cs="Times New Roman"/>
                <w:i/>
                <w:iCs/>
                <w:noProof/>
                <w:lang w:val="en-GB"/>
              </w:rPr>
              <w:t>omicide in England and Wales</w:t>
            </w:r>
            <w:r w:rsidR="002B0839">
              <w:rPr>
                <w:noProof/>
                <w:webHidden/>
              </w:rPr>
              <w:tab/>
            </w:r>
            <w:r w:rsidR="002B0839">
              <w:rPr>
                <w:noProof/>
                <w:webHidden/>
              </w:rPr>
              <w:fldChar w:fldCharType="begin"/>
            </w:r>
            <w:r w:rsidR="002B0839">
              <w:rPr>
                <w:noProof/>
                <w:webHidden/>
              </w:rPr>
              <w:instrText xml:space="preserve"> PAGEREF _Toc140681442 \h </w:instrText>
            </w:r>
            <w:r w:rsidR="002B0839">
              <w:rPr>
                <w:noProof/>
                <w:webHidden/>
              </w:rPr>
            </w:r>
            <w:r w:rsidR="002B0839">
              <w:rPr>
                <w:noProof/>
                <w:webHidden/>
              </w:rPr>
              <w:fldChar w:fldCharType="separate"/>
            </w:r>
            <w:r w:rsidR="001507CD">
              <w:rPr>
                <w:noProof/>
                <w:webHidden/>
              </w:rPr>
              <w:t>14</w:t>
            </w:r>
            <w:r w:rsidR="002B0839">
              <w:rPr>
                <w:noProof/>
                <w:webHidden/>
              </w:rPr>
              <w:fldChar w:fldCharType="end"/>
            </w:r>
          </w:hyperlink>
        </w:p>
        <w:p w14:paraId="3B085253" w14:textId="5DED2F5C" w:rsidR="002B0839" w:rsidRDefault="00000000">
          <w:pPr>
            <w:pStyle w:val="TOC2"/>
            <w:tabs>
              <w:tab w:val="right" w:leader="dot" w:pos="8296"/>
            </w:tabs>
            <w:ind w:left="400"/>
            <w:rPr>
              <w:noProof/>
              <w:kern w:val="2"/>
              <w:sz w:val="22"/>
              <w:szCs w:val="22"/>
              <w:lang w:val="en-GB" w:eastAsia="en-GB"/>
              <w14:ligatures w14:val="standardContextual"/>
            </w:rPr>
          </w:pPr>
          <w:hyperlink w:anchor="_Toc140681443" w:history="1">
            <w:r w:rsidR="002B0839" w:rsidRPr="00E14C80">
              <w:rPr>
                <w:rStyle w:val="Hyperlink"/>
                <w:rFonts w:ascii="Times New Roman" w:hAnsi="Times New Roman" w:cs="Times New Roman"/>
                <w:i/>
                <w:iCs/>
                <w:noProof/>
                <w:lang w:val="en-GB"/>
              </w:rPr>
              <w:t>Summary</w:t>
            </w:r>
            <w:r w:rsidR="002B0839">
              <w:rPr>
                <w:noProof/>
                <w:webHidden/>
              </w:rPr>
              <w:tab/>
            </w:r>
            <w:r w:rsidR="002B0839">
              <w:rPr>
                <w:noProof/>
                <w:webHidden/>
              </w:rPr>
              <w:fldChar w:fldCharType="begin"/>
            </w:r>
            <w:r w:rsidR="002B0839">
              <w:rPr>
                <w:noProof/>
                <w:webHidden/>
              </w:rPr>
              <w:instrText xml:space="preserve"> PAGEREF _Toc140681443 \h </w:instrText>
            </w:r>
            <w:r w:rsidR="002B0839">
              <w:rPr>
                <w:noProof/>
                <w:webHidden/>
              </w:rPr>
            </w:r>
            <w:r w:rsidR="002B0839">
              <w:rPr>
                <w:noProof/>
                <w:webHidden/>
              </w:rPr>
              <w:fldChar w:fldCharType="separate"/>
            </w:r>
            <w:r w:rsidR="001507CD">
              <w:rPr>
                <w:noProof/>
                <w:webHidden/>
              </w:rPr>
              <w:t>17</w:t>
            </w:r>
            <w:r w:rsidR="002B0839">
              <w:rPr>
                <w:noProof/>
                <w:webHidden/>
              </w:rPr>
              <w:fldChar w:fldCharType="end"/>
            </w:r>
          </w:hyperlink>
        </w:p>
        <w:p w14:paraId="494B060E" w14:textId="58BFA203" w:rsidR="002B0839" w:rsidRDefault="00000000">
          <w:pPr>
            <w:pStyle w:val="TOC1"/>
            <w:tabs>
              <w:tab w:val="right" w:leader="dot" w:pos="8296"/>
            </w:tabs>
            <w:rPr>
              <w:noProof/>
              <w:kern w:val="2"/>
              <w:sz w:val="22"/>
              <w:szCs w:val="22"/>
              <w:lang w:val="en-GB" w:eastAsia="en-GB"/>
              <w14:ligatures w14:val="standardContextual"/>
            </w:rPr>
          </w:pPr>
          <w:hyperlink w:anchor="_Toc140681444" w:history="1">
            <w:r w:rsidR="002B0839" w:rsidRPr="00E14C80">
              <w:rPr>
                <w:rStyle w:val="Hyperlink"/>
                <w:rFonts w:ascii="Times New Roman" w:hAnsi="Times New Roman"/>
                <w:noProof/>
                <w:lang w:val="en-GB"/>
              </w:rPr>
              <w:t>Conclusion</w:t>
            </w:r>
            <w:r w:rsidR="002B0839">
              <w:rPr>
                <w:noProof/>
                <w:webHidden/>
              </w:rPr>
              <w:tab/>
            </w:r>
            <w:r w:rsidR="002B0839">
              <w:rPr>
                <w:noProof/>
                <w:webHidden/>
              </w:rPr>
              <w:fldChar w:fldCharType="begin"/>
            </w:r>
            <w:r w:rsidR="002B0839">
              <w:rPr>
                <w:noProof/>
                <w:webHidden/>
              </w:rPr>
              <w:instrText xml:space="preserve"> PAGEREF _Toc140681444 \h </w:instrText>
            </w:r>
            <w:r w:rsidR="002B0839">
              <w:rPr>
                <w:noProof/>
                <w:webHidden/>
              </w:rPr>
            </w:r>
            <w:r w:rsidR="002B0839">
              <w:rPr>
                <w:noProof/>
                <w:webHidden/>
              </w:rPr>
              <w:fldChar w:fldCharType="separate"/>
            </w:r>
            <w:r w:rsidR="001507CD">
              <w:rPr>
                <w:noProof/>
                <w:webHidden/>
              </w:rPr>
              <w:t>18</w:t>
            </w:r>
            <w:r w:rsidR="002B0839">
              <w:rPr>
                <w:noProof/>
                <w:webHidden/>
              </w:rPr>
              <w:fldChar w:fldCharType="end"/>
            </w:r>
          </w:hyperlink>
        </w:p>
        <w:p w14:paraId="5E342100" w14:textId="721AAA93" w:rsidR="002B0839" w:rsidRDefault="00000000">
          <w:pPr>
            <w:pStyle w:val="TOC1"/>
            <w:tabs>
              <w:tab w:val="right" w:leader="dot" w:pos="8296"/>
            </w:tabs>
            <w:rPr>
              <w:noProof/>
              <w:kern w:val="2"/>
              <w:sz w:val="22"/>
              <w:szCs w:val="22"/>
              <w:lang w:val="en-GB" w:eastAsia="en-GB"/>
              <w14:ligatures w14:val="standardContextual"/>
            </w:rPr>
          </w:pPr>
          <w:hyperlink w:anchor="_Toc140681445" w:history="1">
            <w:r w:rsidR="002B0839" w:rsidRPr="00E14C80">
              <w:rPr>
                <w:rStyle w:val="Hyperlink"/>
                <w:rFonts w:ascii="Times New Roman" w:hAnsi="Times New Roman"/>
                <w:noProof/>
                <w:lang w:val="en-GB"/>
              </w:rPr>
              <w:t>References</w:t>
            </w:r>
            <w:r w:rsidR="002B0839">
              <w:rPr>
                <w:noProof/>
                <w:webHidden/>
              </w:rPr>
              <w:tab/>
            </w:r>
            <w:r w:rsidR="002B0839">
              <w:rPr>
                <w:noProof/>
                <w:webHidden/>
              </w:rPr>
              <w:fldChar w:fldCharType="begin"/>
            </w:r>
            <w:r w:rsidR="002B0839">
              <w:rPr>
                <w:noProof/>
                <w:webHidden/>
              </w:rPr>
              <w:instrText xml:space="preserve"> PAGEREF _Toc140681445 \h </w:instrText>
            </w:r>
            <w:r w:rsidR="002B0839">
              <w:rPr>
                <w:noProof/>
                <w:webHidden/>
              </w:rPr>
            </w:r>
            <w:r w:rsidR="002B0839">
              <w:rPr>
                <w:noProof/>
                <w:webHidden/>
              </w:rPr>
              <w:fldChar w:fldCharType="separate"/>
            </w:r>
            <w:r w:rsidR="001507CD">
              <w:rPr>
                <w:noProof/>
                <w:webHidden/>
              </w:rPr>
              <w:t>22</w:t>
            </w:r>
            <w:r w:rsidR="002B0839">
              <w:rPr>
                <w:noProof/>
                <w:webHidden/>
              </w:rPr>
              <w:fldChar w:fldCharType="end"/>
            </w:r>
          </w:hyperlink>
        </w:p>
        <w:p w14:paraId="23ACF2B2" w14:textId="10E2D5A5" w:rsidR="002D4773" w:rsidRPr="000175B7" w:rsidRDefault="002D4773" w:rsidP="002D4773">
          <w:pPr>
            <w:spacing w:line="480" w:lineRule="auto"/>
            <w:rPr>
              <w:rFonts w:ascii="Times New Roman" w:hAnsi="Times New Roman" w:cs="Times New Roman"/>
              <w:sz w:val="24"/>
              <w:szCs w:val="24"/>
            </w:rPr>
          </w:pPr>
          <w:r w:rsidRPr="000175B7">
            <w:rPr>
              <w:rFonts w:ascii="Times New Roman" w:hAnsi="Times New Roman" w:cs="Times New Roman"/>
              <w:b/>
              <w:bCs/>
              <w:noProof/>
              <w:sz w:val="24"/>
              <w:szCs w:val="24"/>
            </w:rPr>
            <w:fldChar w:fldCharType="end"/>
          </w:r>
        </w:p>
      </w:sdtContent>
    </w:sdt>
    <w:p w14:paraId="43CF7045" w14:textId="77777777" w:rsidR="00FE532D" w:rsidRPr="000175B7" w:rsidRDefault="00480F69" w:rsidP="002D4773">
      <w:pPr>
        <w:spacing w:line="480" w:lineRule="auto"/>
        <w:rPr>
          <w:rFonts w:ascii="Times New Roman" w:hAnsi="Times New Roman" w:cs="Times New Roman"/>
          <w:sz w:val="24"/>
          <w:szCs w:val="24"/>
          <w:lang w:val="en-GB"/>
        </w:rPr>
      </w:pPr>
      <w:r w:rsidRPr="000175B7">
        <w:rPr>
          <w:rFonts w:ascii="Times New Roman" w:hAnsi="Times New Roman" w:cs="Times New Roman"/>
          <w:b/>
          <w:bCs/>
          <w:sz w:val="24"/>
          <w:szCs w:val="24"/>
          <w:lang w:val="en-GB"/>
        </w:rPr>
        <w:br w:type="page"/>
      </w:r>
    </w:p>
    <w:p w14:paraId="555C8C32" w14:textId="5A30501D" w:rsidR="00FE532D" w:rsidRPr="009F13BD" w:rsidRDefault="00480F69" w:rsidP="00F9022B">
      <w:pPr>
        <w:pStyle w:val="Heading1"/>
        <w:spacing w:beforeAutospacing="0" w:afterAutospacing="0" w:line="480" w:lineRule="auto"/>
        <w:jc w:val="both"/>
        <w:rPr>
          <w:rFonts w:ascii="Times New Roman" w:hAnsi="Times New Roman" w:hint="default"/>
          <w:sz w:val="24"/>
          <w:szCs w:val="24"/>
          <w:lang w:val="en-GB"/>
        </w:rPr>
      </w:pPr>
      <w:bookmarkStart w:id="0" w:name="_Toc140681434"/>
      <w:r w:rsidRPr="009F13BD">
        <w:rPr>
          <w:rFonts w:ascii="Times New Roman" w:hAnsi="Times New Roman" w:hint="default"/>
          <w:sz w:val="24"/>
          <w:szCs w:val="24"/>
          <w:lang w:val="en-GB"/>
        </w:rPr>
        <w:lastRenderedPageBreak/>
        <w:t>Introduction</w:t>
      </w:r>
      <w:bookmarkEnd w:id="0"/>
    </w:p>
    <w:p w14:paraId="5A7B45D6" w14:textId="6890CD6F" w:rsidR="00FE532D" w:rsidRPr="009F13BD" w:rsidRDefault="00480F69"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i/>
          <w:iCs/>
          <w:sz w:val="24"/>
          <w:szCs w:val="24"/>
          <w:lang w:val="en-GB"/>
        </w:rPr>
        <w:tab/>
      </w:r>
      <w:r w:rsidRPr="009F13BD">
        <w:rPr>
          <w:rFonts w:ascii="Times New Roman" w:hAnsi="Times New Roman" w:cs="Times New Roman"/>
          <w:sz w:val="24"/>
          <w:szCs w:val="24"/>
          <w:lang w:val="en-GB"/>
        </w:rPr>
        <w:t xml:space="preserve">Manslaughter and murder tend to be two distinct categories of offences which constitute and reflect homicide. Manslaughter includes the killing of someone with the intention of murder; however, there exist some partial defences like diminished responsibilities or loss of control. It also includes conduct which was completely negligent with the risk related to killing someone or the death of someone and conduct that takes the shape of an illegal or unlawful act that covers the risk of harm leading to the death of someone </w:t>
      </w:r>
      <w:r w:rsidRPr="00AD01E4">
        <w:rPr>
          <w:rFonts w:ascii="Times New Roman" w:hAnsi="Times New Roman" w:cs="Times New Roman"/>
          <w:i/>
          <w:iCs/>
          <w:sz w:val="24"/>
          <w:szCs w:val="24"/>
          <w:lang w:val="en-GB"/>
        </w:rPr>
        <w:t>(CPS, 2022).</w:t>
      </w:r>
      <w:r w:rsidR="00402E15" w:rsidRPr="00AD01E4">
        <w:rPr>
          <w:rFonts w:ascii="Times New Roman" w:hAnsi="Times New Roman" w:cs="Times New Roman"/>
          <w:i/>
          <w:iCs/>
          <w:sz w:val="24"/>
          <w:szCs w:val="24"/>
          <w:lang w:val="en-GB"/>
        </w:rPr>
        <w:t xml:space="preserve"> </w:t>
      </w:r>
      <w:r w:rsidR="00402E15" w:rsidRPr="009F13BD">
        <w:rPr>
          <w:rFonts w:ascii="Times New Roman" w:hAnsi="Times New Roman" w:cs="Times New Roman"/>
          <w:sz w:val="24"/>
          <w:szCs w:val="24"/>
          <w:lang w:val="en-GB"/>
        </w:rPr>
        <w:t xml:space="preserve">In addition to this, manslaughter can be legally defined in accordance with the case law namely </w:t>
      </w:r>
      <w:r w:rsidR="00402E15" w:rsidRPr="009F13BD">
        <w:rPr>
          <w:rFonts w:ascii="Times New Roman" w:hAnsi="Times New Roman" w:cs="Times New Roman"/>
          <w:i/>
          <w:iCs/>
          <w:sz w:val="24"/>
          <w:szCs w:val="24"/>
          <w:lang w:val="en-GB"/>
        </w:rPr>
        <w:t>R v Creamer</w:t>
      </w:r>
      <w:r w:rsidR="00402E15" w:rsidRPr="009F13BD">
        <w:rPr>
          <w:rFonts w:ascii="Times New Roman" w:hAnsi="Times New Roman" w:cs="Times New Roman"/>
          <w:sz w:val="24"/>
          <w:szCs w:val="24"/>
          <w:lang w:val="en-GB"/>
        </w:rPr>
        <w:t xml:space="preserve">, according to which an individual can be considered guilty of manslaughter in the cases when he or she is identified to perform an illegitimate activity which causes harm or death to a specific individual which is not foreseen. Legally manslaughter is denoted as ‘Manslaughter by an Unlawful and Dangerous Act abbreviated as MUDA </w:t>
      </w:r>
      <w:r w:rsidR="00402E15" w:rsidRPr="00AD01E4">
        <w:rPr>
          <w:rFonts w:ascii="Times New Roman" w:hAnsi="Times New Roman" w:cs="Times New Roman"/>
          <w:i/>
          <w:iCs/>
          <w:sz w:val="24"/>
          <w:szCs w:val="24"/>
          <w:lang w:val="en-GB"/>
        </w:rPr>
        <w:t>(Yeo, 1997).</w:t>
      </w:r>
      <w:r w:rsidR="00402E15"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 As the system of common law in England and Wales, homicide law has hugely persisted in being unaltered or unmodified since the period of 17</w:t>
      </w:r>
      <w:r w:rsidRPr="009F13BD">
        <w:rPr>
          <w:rFonts w:ascii="Times New Roman" w:hAnsi="Times New Roman" w:cs="Times New Roman"/>
          <w:sz w:val="24"/>
          <w:szCs w:val="24"/>
          <w:vertAlign w:val="superscript"/>
          <w:lang w:val="en-GB"/>
        </w:rPr>
        <w:t>th</w:t>
      </w:r>
      <w:r w:rsidRPr="009F13BD">
        <w:rPr>
          <w:rFonts w:ascii="Times New Roman" w:hAnsi="Times New Roman" w:cs="Times New Roman"/>
          <w:sz w:val="24"/>
          <w:szCs w:val="24"/>
          <w:lang w:val="en-GB"/>
        </w:rPr>
        <w:t xml:space="preserve"> century. As per the Law Commission, homicide law had a rickety or unstable structure developed upon a shaky foundation. There has been a flaw identified in the legal provisions of homicide within England and Wales. One of the cases of </w:t>
      </w:r>
      <w:r w:rsidRPr="009F13BD">
        <w:rPr>
          <w:rFonts w:ascii="Times New Roman" w:hAnsi="Times New Roman" w:cs="Times New Roman"/>
          <w:i/>
          <w:iCs/>
          <w:sz w:val="24"/>
          <w:szCs w:val="24"/>
          <w:lang w:val="en-GB"/>
        </w:rPr>
        <w:t xml:space="preserve">“R v Church - 1966” </w:t>
      </w:r>
      <w:r w:rsidRPr="009F13BD">
        <w:rPr>
          <w:rFonts w:ascii="Times New Roman" w:hAnsi="Times New Roman" w:cs="Times New Roman"/>
          <w:sz w:val="24"/>
          <w:szCs w:val="24"/>
          <w:lang w:val="en-GB"/>
        </w:rPr>
        <w:t xml:space="preserve">provided evidence of this flaw wherein Mr Church had been convicted or guilty of manslaughter; however, the jury was misdirected by the trial judge by claiming that Mr Church had a belief in the death of victim while the lady was thrown by him, was irrelevant </w:t>
      </w:r>
      <w:r w:rsidRPr="00AD01E4">
        <w:rPr>
          <w:rFonts w:ascii="Times New Roman" w:hAnsi="Times New Roman" w:cs="Times New Roman"/>
          <w:i/>
          <w:iCs/>
          <w:sz w:val="24"/>
          <w:szCs w:val="24"/>
          <w:lang w:val="en-GB"/>
        </w:rPr>
        <w:t>(</w:t>
      </w:r>
      <w:r w:rsidRPr="00AD01E4">
        <w:rPr>
          <w:rFonts w:ascii="Times New Roman" w:eastAsia="SimSun" w:hAnsi="Times New Roman" w:cs="Times New Roman"/>
          <w:i/>
          <w:iCs/>
          <w:sz w:val="24"/>
          <w:szCs w:val="24"/>
          <w:shd w:val="clear" w:color="auto" w:fill="FFFFFF"/>
          <w:lang w:val="en-GB"/>
        </w:rPr>
        <w:t>Turner and Boylan-Kemp, 2013)</w:t>
      </w:r>
      <w:r w:rsidRPr="00AD01E4">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The commission then published the document with the proposals for reform in the year 2006; while some of the reformation aspects were incorporated in the Coroners and Justice Act 2009; however, the government rejected them </w:t>
      </w:r>
      <w:r w:rsidRPr="00AD01E4">
        <w:rPr>
          <w:rFonts w:ascii="Times New Roman" w:hAnsi="Times New Roman" w:cs="Times New Roman"/>
          <w:i/>
          <w:iCs/>
          <w:sz w:val="24"/>
          <w:szCs w:val="24"/>
          <w:lang w:val="en-GB"/>
        </w:rPr>
        <w:t>(Durham.Ac.UK, 2019).</w:t>
      </w:r>
      <w:r w:rsidRPr="009F13BD">
        <w:rPr>
          <w:rFonts w:ascii="Times New Roman" w:hAnsi="Times New Roman" w:cs="Times New Roman"/>
          <w:sz w:val="24"/>
          <w:szCs w:val="24"/>
          <w:lang w:val="en-GB"/>
        </w:rPr>
        <w:t xml:space="preserve"> Yet, the reform of homicide law remained the current issue, proved by the flaws in </w:t>
      </w:r>
      <w:r w:rsidRPr="009F13BD">
        <w:rPr>
          <w:rFonts w:ascii="Times New Roman" w:hAnsi="Times New Roman" w:cs="Times New Roman"/>
          <w:sz w:val="24"/>
          <w:szCs w:val="24"/>
          <w:lang w:val="en-GB"/>
        </w:rPr>
        <w:lastRenderedPageBreak/>
        <w:t xml:space="preserve">resolving the cases. The statistics </w:t>
      </w:r>
      <w:r w:rsidR="00063472" w:rsidRPr="009F13BD">
        <w:rPr>
          <w:rFonts w:ascii="Times New Roman" w:hAnsi="Times New Roman" w:cs="Times New Roman"/>
          <w:sz w:val="24"/>
          <w:szCs w:val="24"/>
          <w:lang w:val="en-GB"/>
        </w:rPr>
        <w:t xml:space="preserve">report </w:t>
      </w:r>
      <w:r w:rsidRPr="009F13BD">
        <w:rPr>
          <w:rFonts w:ascii="Times New Roman" w:hAnsi="Times New Roman" w:cs="Times New Roman"/>
          <w:sz w:val="24"/>
          <w:szCs w:val="24"/>
          <w:lang w:val="en-GB"/>
        </w:rPr>
        <w:t xml:space="preserve">given below show the recorded homicide percentage within England and Wales till the end of March month of the year 2021 </w:t>
      </w:r>
      <w:r w:rsidRPr="00DD77AC">
        <w:rPr>
          <w:rFonts w:ascii="Times New Roman" w:hAnsi="Times New Roman" w:cs="Times New Roman"/>
          <w:i/>
          <w:iCs/>
          <w:sz w:val="24"/>
          <w:szCs w:val="24"/>
          <w:lang w:val="en-GB"/>
        </w:rPr>
        <w:t xml:space="preserve">(ONS.Gov.UK,2021). </w:t>
      </w:r>
    </w:p>
    <w:p w14:paraId="086446AE" w14:textId="449C35C8" w:rsidR="00867830" w:rsidRPr="00DD77AC" w:rsidRDefault="00867830"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 xml:space="preserve">           As there have been multiple homicide cases, the present study has focused on examining the reformation in the homicide law for dealing with homicide cases across England and Wales</w:t>
      </w:r>
      <w:r w:rsidR="001507CD" w:rsidRPr="009F13BD">
        <w:rPr>
          <w:rFonts w:ascii="Times New Roman" w:hAnsi="Times New Roman" w:cs="Times New Roman"/>
          <w:sz w:val="24"/>
          <w:szCs w:val="24"/>
          <w:lang w:val="en-GB"/>
        </w:rPr>
        <w:t xml:space="preserve"> </w:t>
      </w:r>
      <w:r w:rsidR="00DD77AC" w:rsidRPr="00DD77AC">
        <w:rPr>
          <w:rFonts w:ascii="Times New Roman" w:hAnsi="Times New Roman" w:cs="Times New Roman"/>
          <w:i/>
          <w:iCs/>
          <w:sz w:val="24"/>
          <w:szCs w:val="24"/>
          <w:lang w:val="en-GB"/>
        </w:rPr>
        <w:t>(</w:t>
      </w:r>
      <w:r w:rsidR="001507CD" w:rsidRPr="00DD77AC">
        <w:rPr>
          <w:rFonts w:ascii="Times New Roman" w:hAnsi="Times New Roman" w:cs="Times New Roman"/>
          <w:i/>
          <w:iCs/>
          <w:sz w:val="24"/>
          <w:szCs w:val="24"/>
          <w:lang w:val="en-GB"/>
        </w:rPr>
        <w:t xml:space="preserve">Ashworth, A., &amp; </w:t>
      </w:r>
      <w:proofErr w:type="spellStart"/>
      <w:r w:rsidR="001507CD" w:rsidRPr="00DD77AC">
        <w:rPr>
          <w:rFonts w:ascii="Times New Roman" w:hAnsi="Times New Roman" w:cs="Times New Roman"/>
          <w:i/>
          <w:iCs/>
          <w:sz w:val="24"/>
          <w:szCs w:val="24"/>
          <w:lang w:val="en-GB"/>
        </w:rPr>
        <w:t>Horder</w:t>
      </w:r>
      <w:proofErr w:type="spellEnd"/>
      <w:r w:rsidR="001507CD" w:rsidRPr="00DD77AC">
        <w:rPr>
          <w:rFonts w:ascii="Times New Roman" w:hAnsi="Times New Roman" w:cs="Times New Roman"/>
          <w:i/>
          <w:iCs/>
          <w:sz w:val="24"/>
          <w:szCs w:val="24"/>
          <w:lang w:val="en-GB"/>
        </w:rPr>
        <w:t>, J. (2013).</w:t>
      </w:r>
    </w:p>
    <w:p w14:paraId="003F9B4B" w14:textId="3F931972" w:rsidR="00B049DD" w:rsidRPr="009F13BD" w:rsidRDefault="00B049DD" w:rsidP="00F9022B">
      <w:pPr>
        <w:spacing w:line="480" w:lineRule="auto"/>
        <w:jc w:val="both"/>
        <w:rPr>
          <w:rFonts w:ascii="Times New Roman" w:hAnsi="Times New Roman" w:cs="Times New Roman"/>
          <w:sz w:val="24"/>
          <w:szCs w:val="24"/>
          <w:lang w:val="en-GB"/>
        </w:rPr>
      </w:pPr>
    </w:p>
    <w:p w14:paraId="52FE6456" w14:textId="77777777" w:rsidR="00FE532D" w:rsidRPr="009F13BD" w:rsidRDefault="00480F69" w:rsidP="00F9022B">
      <w:pPr>
        <w:pStyle w:val="Heading2"/>
        <w:spacing w:before="0" w:after="0" w:line="480" w:lineRule="auto"/>
        <w:jc w:val="both"/>
        <w:rPr>
          <w:rFonts w:ascii="Times New Roman" w:hAnsi="Times New Roman" w:cs="Times New Roman"/>
          <w:b w:val="0"/>
          <w:bCs w:val="0"/>
          <w:i/>
          <w:iCs/>
          <w:sz w:val="24"/>
          <w:szCs w:val="24"/>
          <w:lang w:val="en-GB"/>
        </w:rPr>
      </w:pPr>
      <w:bookmarkStart w:id="1" w:name="_Toc140681435"/>
      <w:r w:rsidRPr="009F13BD">
        <w:rPr>
          <w:rFonts w:ascii="Times New Roman" w:hAnsi="Times New Roman" w:cs="Times New Roman"/>
          <w:b w:val="0"/>
          <w:bCs w:val="0"/>
          <w:i/>
          <w:iCs/>
          <w:sz w:val="24"/>
          <w:szCs w:val="24"/>
          <w:lang w:val="en-GB"/>
        </w:rPr>
        <w:t>Research Question</w:t>
      </w:r>
      <w:bookmarkEnd w:id="1"/>
    </w:p>
    <w:p w14:paraId="045C09AB" w14:textId="5EF9ECF1" w:rsidR="00FE532D" w:rsidRPr="009F13BD" w:rsidRDefault="008C499C" w:rsidP="00F9022B">
      <w:pPr>
        <w:spacing w:line="480" w:lineRule="auto"/>
        <w:ind w:firstLine="720"/>
        <w:jc w:val="both"/>
        <w:rPr>
          <w:rFonts w:ascii="Times New Roman" w:hAnsi="Times New Roman" w:cs="Times New Roman"/>
          <w:i/>
          <w:iCs/>
          <w:sz w:val="24"/>
          <w:szCs w:val="24"/>
          <w:lang w:val="en-GB"/>
        </w:rPr>
      </w:pPr>
      <w:bookmarkStart w:id="2" w:name="_Hlk125299789"/>
      <w:bookmarkStart w:id="3" w:name="_Hlk125299277"/>
      <w:r w:rsidRPr="009F13BD">
        <w:rPr>
          <w:rFonts w:ascii="Times New Roman" w:hAnsi="Times New Roman" w:cs="Times New Roman"/>
          <w:i/>
          <w:iCs/>
          <w:sz w:val="24"/>
          <w:szCs w:val="24"/>
          <w:lang w:val="en-GB"/>
        </w:rPr>
        <w:t xml:space="preserve"> </w:t>
      </w:r>
      <w:r w:rsidR="00332B97" w:rsidRPr="009F13BD">
        <w:rPr>
          <w:rFonts w:ascii="Times New Roman" w:hAnsi="Times New Roman" w:cs="Times New Roman"/>
          <w:i/>
          <w:iCs/>
          <w:sz w:val="24"/>
          <w:szCs w:val="24"/>
          <w:lang w:val="en-GB"/>
        </w:rPr>
        <w:t>"How effectively has the Homicide law in England and Wales reformed to deal with homicide cases?"</w:t>
      </w:r>
    </w:p>
    <w:p w14:paraId="59EB911A" w14:textId="77777777" w:rsidR="00FE532D" w:rsidRPr="009F13BD" w:rsidRDefault="00480F69" w:rsidP="00F9022B">
      <w:pPr>
        <w:pStyle w:val="Heading2"/>
        <w:spacing w:before="0" w:after="0" w:line="480" w:lineRule="auto"/>
        <w:jc w:val="both"/>
        <w:rPr>
          <w:rFonts w:ascii="Times New Roman" w:hAnsi="Times New Roman" w:cs="Times New Roman"/>
          <w:b w:val="0"/>
          <w:bCs w:val="0"/>
          <w:i/>
          <w:iCs/>
          <w:sz w:val="24"/>
          <w:szCs w:val="24"/>
          <w:lang w:val="en-GB"/>
        </w:rPr>
      </w:pPr>
      <w:bookmarkStart w:id="4" w:name="_Toc140681436"/>
      <w:bookmarkEnd w:id="2"/>
      <w:bookmarkEnd w:id="3"/>
      <w:r w:rsidRPr="009F13BD">
        <w:rPr>
          <w:rFonts w:ascii="Times New Roman" w:hAnsi="Times New Roman" w:cs="Times New Roman"/>
          <w:b w:val="0"/>
          <w:bCs w:val="0"/>
          <w:i/>
          <w:iCs/>
          <w:sz w:val="24"/>
          <w:szCs w:val="24"/>
          <w:lang w:val="en-GB"/>
        </w:rPr>
        <w:t>Aim and Objectives</w:t>
      </w:r>
      <w:bookmarkEnd w:id="4"/>
    </w:p>
    <w:p w14:paraId="16FD4152" w14:textId="77777777" w:rsidR="00BA03BE" w:rsidRPr="009F13BD" w:rsidRDefault="00BA03BE" w:rsidP="00F9022B">
      <w:pPr>
        <w:pStyle w:val="ListParagraph"/>
        <w:numPr>
          <w:ilvl w:val="0"/>
          <w:numId w:val="1"/>
        </w:numPr>
        <w:spacing w:line="480" w:lineRule="auto"/>
        <w:contextualSpacing w:val="0"/>
        <w:jc w:val="both"/>
        <w:rPr>
          <w:rFonts w:ascii="Times New Roman" w:hAnsi="Times New Roman" w:cs="Times New Roman"/>
          <w:sz w:val="24"/>
          <w:szCs w:val="24"/>
          <w:lang w:val="en-GB"/>
        </w:rPr>
      </w:pPr>
      <w:bookmarkStart w:id="5" w:name="_Hlk140683643"/>
      <w:r w:rsidRPr="009F13BD">
        <w:rPr>
          <w:rFonts w:ascii="Times New Roman" w:hAnsi="Times New Roman" w:cs="Times New Roman"/>
          <w:sz w:val="24"/>
          <w:szCs w:val="24"/>
          <w:lang w:val="en-GB"/>
        </w:rPr>
        <w:t>To identify the fundamental purpose of initially developed homicide law in England and Wales.</w:t>
      </w:r>
    </w:p>
    <w:bookmarkEnd w:id="5"/>
    <w:p w14:paraId="3DF4BE3E" w14:textId="776B53D5" w:rsidR="00B049DD" w:rsidRPr="009F13BD" w:rsidRDefault="00BA03BE" w:rsidP="00F9022B">
      <w:pPr>
        <w:pStyle w:val="ListParagraph"/>
        <w:numPr>
          <w:ilvl w:val="0"/>
          <w:numId w:val="1"/>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To perform critical discussion of reformation needs and evolution of homicide in England and Wales.</w:t>
      </w:r>
    </w:p>
    <w:p w14:paraId="11C7D11E" w14:textId="77777777" w:rsidR="001E7CA8" w:rsidRPr="009F13BD" w:rsidRDefault="001E7CA8" w:rsidP="00F9022B">
      <w:pPr>
        <w:pStyle w:val="ListParagraph"/>
        <w:spacing w:line="480" w:lineRule="auto"/>
        <w:contextualSpacing w:val="0"/>
        <w:jc w:val="both"/>
        <w:rPr>
          <w:rFonts w:ascii="Times New Roman" w:hAnsi="Times New Roman" w:cs="Times New Roman"/>
          <w:sz w:val="24"/>
          <w:szCs w:val="24"/>
          <w:lang w:val="en-GB"/>
        </w:rPr>
      </w:pPr>
    </w:p>
    <w:p w14:paraId="69947401" w14:textId="77777777" w:rsidR="00FE532D" w:rsidRPr="009F13BD" w:rsidRDefault="00480F69" w:rsidP="00F9022B">
      <w:pPr>
        <w:pStyle w:val="Heading1"/>
        <w:spacing w:beforeAutospacing="0" w:afterAutospacing="0" w:line="480" w:lineRule="auto"/>
        <w:jc w:val="both"/>
        <w:rPr>
          <w:rFonts w:ascii="Times New Roman" w:hAnsi="Times New Roman" w:hint="default"/>
          <w:sz w:val="24"/>
          <w:szCs w:val="24"/>
          <w:lang w:val="en-GB"/>
        </w:rPr>
      </w:pPr>
      <w:bookmarkStart w:id="6" w:name="_Toc140681437"/>
      <w:r w:rsidRPr="009F13BD">
        <w:rPr>
          <w:rFonts w:ascii="Times New Roman" w:hAnsi="Times New Roman" w:hint="default"/>
          <w:sz w:val="24"/>
          <w:szCs w:val="24"/>
          <w:lang w:val="en-GB"/>
        </w:rPr>
        <w:t>Methodology</w:t>
      </w:r>
      <w:bookmarkEnd w:id="6"/>
      <w:r w:rsidRPr="009F13BD">
        <w:rPr>
          <w:rFonts w:ascii="Times New Roman" w:hAnsi="Times New Roman" w:hint="default"/>
          <w:sz w:val="24"/>
          <w:szCs w:val="24"/>
          <w:lang w:val="en-GB"/>
        </w:rPr>
        <w:t xml:space="preserve"> </w:t>
      </w:r>
    </w:p>
    <w:p w14:paraId="2AC7300B" w14:textId="45AD3D50" w:rsidR="0003246B" w:rsidRPr="009F13BD" w:rsidRDefault="00346D92"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The research is about reformation of homicide law based in England and Wales; therefore, it has been required to put critical insights into the changes and amendments took place in this law over the time. In this direction, it is beneficial to use analytical approach by assessing the literature based secondary sources, which is useful for driving meaningful interpretations about homicide law’s evolution for the time</w:t>
      </w:r>
      <w:r w:rsidR="003C5749" w:rsidRPr="009F13BD">
        <w:rPr>
          <w:rFonts w:ascii="Times New Roman" w:hAnsi="Times New Roman" w:cs="Times New Roman"/>
          <w:sz w:val="24"/>
          <w:szCs w:val="24"/>
          <w:lang w:val="en-GB"/>
        </w:rPr>
        <w:t xml:space="preserve">. </w:t>
      </w:r>
      <w:r w:rsidR="0003246B" w:rsidRPr="00494D4E">
        <w:rPr>
          <w:rFonts w:ascii="Times New Roman" w:hAnsi="Times New Roman" w:cs="Times New Roman"/>
          <w:i/>
          <w:iCs/>
          <w:sz w:val="24"/>
          <w:szCs w:val="24"/>
          <w:lang w:val="en-GB"/>
        </w:rPr>
        <w:t>(</w:t>
      </w:r>
      <w:proofErr w:type="spellStart"/>
      <w:r w:rsidR="0003246B" w:rsidRPr="00494D4E">
        <w:rPr>
          <w:rFonts w:ascii="Times New Roman" w:hAnsi="Times New Roman" w:cs="Times New Roman"/>
          <w:i/>
          <w:iCs/>
          <w:sz w:val="24"/>
          <w:szCs w:val="24"/>
          <w:lang w:val="en-GB"/>
        </w:rPr>
        <w:t>Alharahsheh</w:t>
      </w:r>
      <w:proofErr w:type="spellEnd"/>
      <w:r w:rsidR="0003246B" w:rsidRPr="00494D4E">
        <w:rPr>
          <w:rFonts w:ascii="Times New Roman" w:hAnsi="Times New Roman" w:cs="Times New Roman"/>
          <w:i/>
          <w:iCs/>
          <w:sz w:val="24"/>
          <w:szCs w:val="24"/>
          <w:lang w:val="en-GB"/>
        </w:rPr>
        <w:t xml:space="preserve"> and Pius, 2020).</w:t>
      </w:r>
      <w:r w:rsidR="0003246B" w:rsidRPr="009F13BD">
        <w:rPr>
          <w:rFonts w:ascii="Times New Roman" w:hAnsi="Times New Roman" w:cs="Times New Roman"/>
          <w:sz w:val="24"/>
          <w:szCs w:val="24"/>
          <w:lang w:val="en-GB"/>
        </w:rPr>
        <w:t xml:space="preserve"> On the other hand, positivism is prohibited as it is aimed at exploring quantifiable data explorations by observing real human observations, which are not required in the current research as it seeks to extract qualitative </w:t>
      </w:r>
      <w:r w:rsidR="0010348B" w:rsidRPr="009F13BD">
        <w:rPr>
          <w:rFonts w:ascii="Times New Roman" w:hAnsi="Times New Roman" w:cs="Times New Roman"/>
          <w:sz w:val="24"/>
          <w:szCs w:val="24"/>
          <w:lang w:val="en-GB"/>
        </w:rPr>
        <w:t>facts</w:t>
      </w:r>
      <w:r w:rsidR="0003246B" w:rsidRPr="009F13BD">
        <w:rPr>
          <w:rFonts w:ascii="Times New Roman" w:hAnsi="Times New Roman" w:cs="Times New Roman"/>
          <w:sz w:val="24"/>
          <w:szCs w:val="24"/>
          <w:lang w:val="en-GB"/>
        </w:rPr>
        <w:t xml:space="preserve"> </w:t>
      </w:r>
      <w:r w:rsidR="0003246B" w:rsidRPr="00494D4E">
        <w:rPr>
          <w:rFonts w:ascii="Times New Roman" w:hAnsi="Times New Roman" w:cs="Times New Roman"/>
          <w:i/>
          <w:iCs/>
          <w:sz w:val="24"/>
          <w:szCs w:val="24"/>
          <w:lang w:val="en-GB"/>
        </w:rPr>
        <w:lastRenderedPageBreak/>
        <w:t xml:space="preserve">(Park, </w:t>
      </w:r>
      <w:proofErr w:type="spellStart"/>
      <w:r w:rsidR="0003246B" w:rsidRPr="00494D4E">
        <w:rPr>
          <w:rFonts w:ascii="Times New Roman" w:hAnsi="Times New Roman" w:cs="Times New Roman"/>
          <w:i/>
          <w:iCs/>
          <w:sz w:val="24"/>
          <w:szCs w:val="24"/>
          <w:lang w:val="en-GB"/>
        </w:rPr>
        <w:t>Konge</w:t>
      </w:r>
      <w:proofErr w:type="spellEnd"/>
      <w:r w:rsidR="0003246B" w:rsidRPr="00494D4E">
        <w:rPr>
          <w:rFonts w:ascii="Times New Roman" w:hAnsi="Times New Roman" w:cs="Times New Roman"/>
          <w:i/>
          <w:iCs/>
          <w:sz w:val="24"/>
          <w:szCs w:val="24"/>
          <w:lang w:val="en-GB"/>
        </w:rPr>
        <w:t xml:space="preserve"> and </w:t>
      </w:r>
      <w:proofErr w:type="spellStart"/>
      <w:r w:rsidR="0003246B" w:rsidRPr="00494D4E">
        <w:rPr>
          <w:rFonts w:ascii="Times New Roman" w:hAnsi="Times New Roman" w:cs="Times New Roman"/>
          <w:i/>
          <w:iCs/>
          <w:sz w:val="24"/>
          <w:szCs w:val="24"/>
          <w:lang w:val="en-GB"/>
        </w:rPr>
        <w:t>Artino</w:t>
      </w:r>
      <w:proofErr w:type="spellEnd"/>
      <w:r w:rsidR="0003246B" w:rsidRPr="00494D4E">
        <w:rPr>
          <w:rFonts w:ascii="Times New Roman" w:hAnsi="Times New Roman" w:cs="Times New Roman"/>
          <w:i/>
          <w:iCs/>
          <w:sz w:val="24"/>
          <w:szCs w:val="24"/>
          <w:lang w:val="en-GB"/>
        </w:rPr>
        <w:t>, 2020).</w:t>
      </w:r>
      <w:r w:rsidR="0003246B" w:rsidRPr="009F13BD">
        <w:rPr>
          <w:rFonts w:ascii="Times New Roman" w:hAnsi="Times New Roman" w:cs="Times New Roman"/>
          <w:sz w:val="24"/>
          <w:szCs w:val="24"/>
          <w:lang w:val="en-GB"/>
        </w:rPr>
        <w:t xml:space="preserve"> Moreover, this research uses exploratory design because this design promotes flexible extraction of the new data findings which are not described in the prevalent research studies </w:t>
      </w:r>
      <w:r w:rsidR="0003246B" w:rsidRPr="00494D4E">
        <w:rPr>
          <w:rFonts w:ascii="Times New Roman" w:hAnsi="Times New Roman" w:cs="Times New Roman"/>
          <w:i/>
          <w:iCs/>
          <w:sz w:val="24"/>
          <w:szCs w:val="24"/>
          <w:lang w:val="en-GB"/>
        </w:rPr>
        <w:t>(</w:t>
      </w:r>
      <w:proofErr w:type="spellStart"/>
      <w:r w:rsidR="0003246B" w:rsidRPr="00494D4E">
        <w:rPr>
          <w:rFonts w:ascii="Times New Roman" w:hAnsi="Times New Roman" w:cs="Times New Roman"/>
          <w:i/>
          <w:iCs/>
          <w:sz w:val="24"/>
          <w:szCs w:val="24"/>
          <w:lang w:val="en-GB"/>
        </w:rPr>
        <w:t>Gayler</w:t>
      </w:r>
      <w:proofErr w:type="spellEnd"/>
      <w:r w:rsidR="0003246B" w:rsidRPr="00494D4E">
        <w:rPr>
          <w:rFonts w:ascii="Times New Roman" w:hAnsi="Times New Roman" w:cs="Times New Roman"/>
          <w:i/>
          <w:iCs/>
          <w:sz w:val="24"/>
          <w:szCs w:val="24"/>
          <w:lang w:val="en-GB"/>
        </w:rPr>
        <w:t xml:space="preserve">, Sas and </w:t>
      </w:r>
      <w:proofErr w:type="spellStart"/>
      <w:r w:rsidR="0003246B" w:rsidRPr="00494D4E">
        <w:rPr>
          <w:rFonts w:ascii="Times New Roman" w:hAnsi="Times New Roman" w:cs="Times New Roman"/>
          <w:i/>
          <w:iCs/>
          <w:sz w:val="24"/>
          <w:szCs w:val="24"/>
          <w:lang w:val="en-GB"/>
        </w:rPr>
        <w:t>Kalnikaitė</w:t>
      </w:r>
      <w:proofErr w:type="spellEnd"/>
      <w:r w:rsidR="0003246B" w:rsidRPr="00494D4E">
        <w:rPr>
          <w:rFonts w:ascii="Times New Roman" w:hAnsi="Times New Roman" w:cs="Times New Roman"/>
          <w:i/>
          <w:iCs/>
          <w:sz w:val="24"/>
          <w:szCs w:val="24"/>
          <w:lang w:val="en-GB"/>
        </w:rPr>
        <w:t>, 2021).</w:t>
      </w:r>
      <w:r w:rsidR="0003246B" w:rsidRPr="009F13BD">
        <w:rPr>
          <w:rFonts w:ascii="Times New Roman" w:hAnsi="Times New Roman" w:cs="Times New Roman"/>
          <w:sz w:val="24"/>
          <w:szCs w:val="24"/>
          <w:lang w:val="en-GB"/>
        </w:rPr>
        <w:t xml:space="preserve"> </w:t>
      </w:r>
    </w:p>
    <w:p w14:paraId="306AE4CC" w14:textId="193F0441" w:rsidR="00FE532D" w:rsidRPr="009F13BD" w:rsidRDefault="00480F69"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i/>
          <w:iCs/>
          <w:sz w:val="24"/>
          <w:szCs w:val="24"/>
          <w:lang w:val="en-GB"/>
        </w:rPr>
        <w:tab/>
      </w:r>
      <w:r w:rsidRPr="009F13BD">
        <w:rPr>
          <w:rFonts w:ascii="Times New Roman" w:hAnsi="Times New Roman" w:cs="Times New Roman"/>
          <w:sz w:val="24"/>
          <w:szCs w:val="24"/>
          <w:lang w:val="en-GB"/>
        </w:rPr>
        <w:t xml:space="preserve">The data collection process in this study has been organised with the qualitative approach wherein </w:t>
      </w:r>
      <w:r w:rsidR="00627C04" w:rsidRPr="009F13BD">
        <w:rPr>
          <w:rFonts w:ascii="Times New Roman" w:hAnsi="Times New Roman" w:cs="Times New Roman"/>
          <w:sz w:val="24"/>
          <w:szCs w:val="24"/>
          <w:lang w:val="en-GB"/>
        </w:rPr>
        <w:t>literature sources (secondary sources) on</w:t>
      </w:r>
      <w:r w:rsidRPr="009F13BD">
        <w:rPr>
          <w:rFonts w:ascii="Times New Roman" w:hAnsi="Times New Roman" w:cs="Times New Roman"/>
          <w:sz w:val="24"/>
          <w:szCs w:val="24"/>
          <w:lang w:val="en-GB"/>
        </w:rPr>
        <w:t xml:space="preserve"> homicide law, related legal documents, reports, articles, government papers and cases were critically reviewed for determining homicide law's issues and requirements for reformation in this law in the current time. The primary source </w:t>
      </w:r>
      <w:r w:rsidR="00966D82" w:rsidRPr="009F13BD">
        <w:rPr>
          <w:rFonts w:ascii="Times New Roman" w:hAnsi="Times New Roman" w:cs="Times New Roman"/>
          <w:sz w:val="24"/>
          <w:szCs w:val="24"/>
          <w:lang w:val="en-GB"/>
        </w:rPr>
        <w:t>look over</w:t>
      </w:r>
      <w:r w:rsidRPr="009F13BD">
        <w:rPr>
          <w:rFonts w:ascii="Times New Roman" w:hAnsi="Times New Roman" w:cs="Times New Roman"/>
          <w:sz w:val="24"/>
          <w:szCs w:val="24"/>
          <w:lang w:val="en-GB"/>
        </w:rPr>
        <w:t xml:space="preserve"> had been valuable in providing evidence of cases where the judgement-related ambiguities were evident to acknowledge the reform-related needs in homicide law </w:t>
      </w:r>
      <w:r w:rsidRPr="00494D4E">
        <w:rPr>
          <w:rFonts w:ascii="Times New Roman" w:hAnsi="Times New Roman" w:cs="Times New Roman"/>
          <w:i/>
          <w:iCs/>
          <w:sz w:val="24"/>
          <w:szCs w:val="24"/>
          <w:lang w:val="en-GB"/>
        </w:rPr>
        <w:t>(</w:t>
      </w:r>
      <w:r w:rsidRPr="00494D4E">
        <w:rPr>
          <w:rFonts w:ascii="Times New Roman" w:eastAsia="SimSun" w:hAnsi="Times New Roman" w:cs="Times New Roman"/>
          <w:i/>
          <w:iCs/>
          <w:sz w:val="24"/>
          <w:szCs w:val="24"/>
          <w:shd w:val="clear" w:color="auto" w:fill="FFFFFF"/>
          <w:lang w:val="en-GB"/>
        </w:rPr>
        <w:t xml:space="preserve">Bell, </w:t>
      </w:r>
      <w:r w:rsidR="00494D4E" w:rsidRPr="00494D4E">
        <w:rPr>
          <w:rFonts w:ascii="Times New Roman" w:eastAsia="SimSun" w:hAnsi="Times New Roman" w:cs="Times New Roman"/>
          <w:i/>
          <w:iCs/>
          <w:sz w:val="24"/>
          <w:szCs w:val="24"/>
          <w:shd w:val="clear" w:color="auto" w:fill="FFFFFF"/>
          <w:lang w:val="en-GB"/>
        </w:rPr>
        <w:t>Bryman,</w:t>
      </w:r>
      <w:r w:rsidRPr="00494D4E">
        <w:rPr>
          <w:rFonts w:ascii="Times New Roman" w:eastAsia="SimSun" w:hAnsi="Times New Roman" w:cs="Times New Roman"/>
          <w:i/>
          <w:iCs/>
          <w:sz w:val="24"/>
          <w:szCs w:val="24"/>
          <w:shd w:val="clear" w:color="auto" w:fill="FFFFFF"/>
          <w:lang w:val="en-GB"/>
        </w:rPr>
        <w:t xml:space="preserve"> and Harley, 2022)</w:t>
      </w:r>
      <w:r w:rsidRPr="009F13BD">
        <w:rPr>
          <w:rFonts w:ascii="Times New Roman" w:eastAsia="SimSun" w:hAnsi="Times New Roman" w:cs="Times New Roman"/>
          <w:sz w:val="24"/>
          <w:szCs w:val="24"/>
          <w:shd w:val="clear" w:color="auto" w:fill="FFFFFF"/>
          <w:lang w:val="en-GB"/>
        </w:rPr>
        <w:t>.</w:t>
      </w:r>
      <w:r w:rsidRPr="009F13BD">
        <w:rPr>
          <w:rFonts w:ascii="Times New Roman" w:hAnsi="Times New Roman" w:cs="Times New Roman"/>
          <w:sz w:val="24"/>
          <w:szCs w:val="24"/>
          <w:lang w:val="en-GB"/>
        </w:rPr>
        <w:t xml:space="preserve"> Further, secondary sources offered in-depth insight into the reasoning, facts and elaborated justifications based on authentic reports and documents related to homicide acts' shortcomings and amendment or reform-related needs. In this way, literature investigation to collect qualitative insights about the research focus area has been proven valuable and justified for this </w:t>
      </w:r>
      <w:r w:rsidR="00FC53EF" w:rsidRPr="009F13BD">
        <w:rPr>
          <w:rFonts w:ascii="Times New Roman" w:hAnsi="Times New Roman" w:cs="Times New Roman"/>
          <w:sz w:val="24"/>
          <w:szCs w:val="24"/>
          <w:lang w:val="en-GB"/>
        </w:rPr>
        <w:t>legal research project</w:t>
      </w:r>
      <w:r w:rsidRPr="009F13BD">
        <w:rPr>
          <w:rFonts w:ascii="Times New Roman" w:hAnsi="Times New Roman" w:cs="Times New Roman"/>
          <w:sz w:val="24"/>
          <w:szCs w:val="24"/>
          <w:lang w:val="en-GB"/>
        </w:rPr>
        <w:t xml:space="preserve">. However, a primary interview or survey could not be adopted </w:t>
      </w:r>
      <w:r w:rsidR="00FC53EF" w:rsidRPr="009F13BD">
        <w:rPr>
          <w:rFonts w:ascii="Times New Roman" w:hAnsi="Times New Roman" w:cs="Times New Roman"/>
          <w:sz w:val="24"/>
          <w:szCs w:val="24"/>
          <w:lang w:val="en-GB"/>
        </w:rPr>
        <w:t xml:space="preserve">in this research </w:t>
      </w:r>
      <w:r w:rsidRPr="009F13BD">
        <w:rPr>
          <w:rFonts w:ascii="Times New Roman" w:hAnsi="Times New Roman" w:cs="Times New Roman"/>
          <w:sz w:val="24"/>
          <w:szCs w:val="24"/>
          <w:lang w:val="en-GB"/>
        </w:rPr>
        <w:t>because</w:t>
      </w:r>
      <w:r w:rsidR="00A92106" w:rsidRPr="009F13BD">
        <w:rPr>
          <w:rFonts w:ascii="Times New Roman" w:hAnsi="Times New Roman" w:cs="Times New Roman"/>
          <w:sz w:val="24"/>
          <w:szCs w:val="24"/>
          <w:lang w:val="en-GB"/>
        </w:rPr>
        <w:t xml:space="preserve"> this project is literature based secondary research project</w:t>
      </w:r>
      <w:r w:rsidR="00A00A9D" w:rsidRPr="009F13BD">
        <w:rPr>
          <w:rFonts w:ascii="Times New Roman" w:hAnsi="Times New Roman" w:cs="Times New Roman"/>
          <w:sz w:val="24"/>
          <w:szCs w:val="24"/>
          <w:lang w:val="en-GB"/>
        </w:rPr>
        <w:t xml:space="preserve"> </w:t>
      </w:r>
      <w:r w:rsidR="00A00A9D" w:rsidRPr="00494D4E">
        <w:rPr>
          <w:rFonts w:ascii="Times New Roman" w:hAnsi="Times New Roman" w:cs="Times New Roman"/>
          <w:i/>
          <w:iCs/>
          <w:sz w:val="24"/>
          <w:szCs w:val="24"/>
          <w:lang w:val="en-GB"/>
        </w:rPr>
        <w:t>(Allen, M., &amp; Cooper, P. (2016).</w:t>
      </w:r>
      <w:r w:rsidR="00A00A9D"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 </w:t>
      </w:r>
    </w:p>
    <w:p w14:paraId="414EBCF2" w14:textId="0783F963" w:rsidR="00063472" w:rsidRPr="003349CA" w:rsidRDefault="00063472" w:rsidP="00F9022B">
      <w:pPr>
        <w:spacing w:line="480" w:lineRule="auto"/>
        <w:ind w:firstLine="720"/>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 xml:space="preserve">This research highlights the need to introduce reforms within the homicide laws of Wales as well as England. Hence, the current research can contribute towards offering detailed insights about the key requirements for introducing reforms within England as well as Wales. The research can also assist towards exploring the purposefulness and reform-oriented needs for the homicide laws in Wales as well as the UK-based regions. The research can help in providing relevant information about the appropriate legislation, which can be useful for dealing with the cases of homicides </w:t>
      </w:r>
      <w:r w:rsidR="001F70C8" w:rsidRPr="009F13BD">
        <w:rPr>
          <w:rFonts w:ascii="Times New Roman" w:hAnsi="Times New Roman" w:cs="Times New Roman"/>
          <w:sz w:val="24"/>
          <w:szCs w:val="24"/>
          <w:lang w:val="en-GB"/>
        </w:rPr>
        <w:t>within England</w:t>
      </w:r>
      <w:r w:rsidR="008C5209" w:rsidRPr="009F13BD">
        <w:rPr>
          <w:rFonts w:ascii="Times New Roman" w:hAnsi="Times New Roman" w:cs="Times New Roman"/>
          <w:sz w:val="24"/>
          <w:szCs w:val="24"/>
          <w:lang w:val="en-GB"/>
        </w:rPr>
        <w:t xml:space="preserve"> and Wales</w:t>
      </w:r>
      <w:r w:rsidR="009E3842" w:rsidRPr="009F13BD">
        <w:rPr>
          <w:rFonts w:ascii="Times New Roman" w:hAnsi="Times New Roman" w:cs="Times New Roman"/>
          <w:sz w:val="24"/>
          <w:szCs w:val="24"/>
          <w:lang w:val="en-GB"/>
        </w:rPr>
        <w:t xml:space="preserve"> </w:t>
      </w:r>
      <w:r w:rsidR="009E3842" w:rsidRPr="00020ADB">
        <w:rPr>
          <w:rFonts w:ascii="Times New Roman" w:hAnsi="Times New Roman" w:cs="Times New Roman"/>
          <w:i/>
          <w:iCs/>
          <w:sz w:val="24"/>
          <w:szCs w:val="24"/>
          <w:lang w:val="en-GB"/>
        </w:rPr>
        <w:t>(Clarkson, C. M. V., &amp; Keating, H. M. (2016).</w:t>
      </w:r>
    </w:p>
    <w:p w14:paraId="228C0EF5" w14:textId="2D83A723" w:rsidR="00FE532D" w:rsidRPr="009F13BD" w:rsidRDefault="0003246B"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lastRenderedPageBreak/>
        <w:t xml:space="preserve"> The application of thematic analysis is also essential to depict important discussions as well as theoretical findings in relation to the reforms that are needed to be introduced within the homicide legislations of Wales and England. Another technique of analysis such as statistical </w:t>
      </w:r>
      <w:r w:rsidR="00871C89" w:rsidRPr="009F13BD">
        <w:rPr>
          <w:rFonts w:ascii="Times New Roman" w:hAnsi="Times New Roman" w:cs="Times New Roman"/>
          <w:sz w:val="24"/>
          <w:szCs w:val="24"/>
          <w:lang w:val="en-GB"/>
        </w:rPr>
        <w:t>facts</w:t>
      </w:r>
      <w:r w:rsidRPr="009F13BD">
        <w:rPr>
          <w:rFonts w:ascii="Times New Roman" w:hAnsi="Times New Roman" w:cs="Times New Roman"/>
          <w:sz w:val="24"/>
          <w:szCs w:val="24"/>
          <w:lang w:val="en-GB"/>
        </w:rPr>
        <w:t xml:space="preserve"> analysis, is also important to be applied in the research because statistical analysis only enables the </w:t>
      </w:r>
      <w:r w:rsidR="003D1229" w:rsidRPr="009F13BD">
        <w:rPr>
          <w:rFonts w:ascii="Times New Roman" w:hAnsi="Times New Roman" w:cs="Times New Roman"/>
          <w:sz w:val="24"/>
          <w:szCs w:val="24"/>
          <w:lang w:val="en-GB"/>
        </w:rPr>
        <w:t>explore</w:t>
      </w:r>
      <w:r w:rsidRPr="009F13BD">
        <w:rPr>
          <w:rFonts w:ascii="Times New Roman" w:hAnsi="Times New Roman" w:cs="Times New Roman"/>
          <w:sz w:val="24"/>
          <w:szCs w:val="24"/>
          <w:lang w:val="en-GB"/>
        </w:rPr>
        <w:t xml:space="preserve"> of quantitative </w:t>
      </w:r>
      <w:r w:rsidR="003D1229" w:rsidRPr="009F13BD">
        <w:rPr>
          <w:rFonts w:ascii="Times New Roman" w:hAnsi="Times New Roman" w:cs="Times New Roman"/>
          <w:sz w:val="24"/>
          <w:szCs w:val="24"/>
          <w:lang w:val="en-GB"/>
        </w:rPr>
        <w:t>facts</w:t>
      </w:r>
      <w:r w:rsidRPr="009F13BD">
        <w:rPr>
          <w:rFonts w:ascii="Times New Roman" w:hAnsi="Times New Roman" w:cs="Times New Roman"/>
          <w:sz w:val="24"/>
          <w:szCs w:val="24"/>
          <w:lang w:val="en-GB"/>
        </w:rPr>
        <w:t xml:space="preserve"> findings, and it is not helpful for appraising theoretic or subjective details interpreted or derived through the application of qualitative methods </w:t>
      </w:r>
      <w:r w:rsidRPr="003349CA">
        <w:rPr>
          <w:rFonts w:ascii="Times New Roman" w:hAnsi="Times New Roman" w:cs="Times New Roman"/>
          <w:i/>
          <w:iCs/>
          <w:sz w:val="24"/>
          <w:szCs w:val="24"/>
          <w:lang w:val="en-GB"/>
        </w:rPr>
        <w:t>(</w:t>
      </w:r>
      <w:r w:rsidR="00121C0F" w:rsidRPr="003349CA">
        <w:rPr>
          <w:rFonts w:ascii="Times New Roman" w:hAnsi="Times New Roman" w:cs="Times New Roman"/>
          <w:i/>
          <w:iCs/>
          <w:sz w:val="24"/>
          <w:szCs w:val="24"/>
          <w:lang w:val="en-GB"/>
        </w:rPr>
        <w:t>Card, R., &amp; Cross, R. (2016).</w:t>
      </w:r>
    </w:p>
    <w:p w14:paraId="5485EC4B" w14:textId="2A11B48B" w:rsidR="00B049DD" w:rsidRPr="009F13BD" w:rsidRDefault="00B049DD" w:rsidP="00F9022B">
      <w:pPr>
        <w:spacing w:line="480" w:lineRule="auto"/>
        <w:ind w:firstLine="720"/>
        <w:jc w:val="both"/>
        <w:rPr>
          <w:rFonts w:ascii="Times New Roman" w:hAnsi="Times New Roman" w:cs="Times New Roman"/>
          <w:sz w:val="24"/>
          <w:szCs w:val="24"/>
          <w:lang w:val="en-GB"/>
        </w:rPr>
      </w:pPr>
    </w:p>
    <w:p w14:paraId="04480AB2" w14:textId="77777777" w:rsidR="000F77A1" w:rsidRPr="009F13BD" w:rsidRDefault="000F77A1" w:rsidP="00F9022B">
      <w:pPr>
        <w:spacing w:line="480" w:lineRule="auto"/>
        <w:ind w:firstLine="720"/>
        <w:jc w:val="both"/>
        <w:rPr>
          <w:rFonts w:ascii="Times New Roman" w:hAnsi="Times New Roman" w:cs="Times New Roman"/>
          <w:sz w:val="24"/>
          <w:szCs w:val="24"/>
          <w:lang w:val="en-GB"/>
        </w:rPr>
      </w:pPr>
    </w:p>
    <w:p w14:paraId="26A8F29F"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093605FF"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6397F702"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102ABE7D"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218F3C77"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5F7E3862"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7D8A2AD6"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1553A87D"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7C0338D8"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3F4F00D1"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1222DE6B"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588481CD" w14:textId="77777777" w:rsidR="00820C7A" w:rsidRPr="009F13BD" w:rsidRDefault="00820C7A" w:rsidP="00F9022B">
      <w:pPr>
        <w:spacing w:line="480" w:lineRule="auto"/>
        <w:ind w:firstLine="720"/>
        <w:jc w:val="both"/>
        <w:rPr>
          <w:rFonts w:ascii="Times New Roman" w:hAnsi="Times New Roman" w:cs="Times New Roman"/>
          <w:sz w:val="24"/>
          <w:szCs w:val="24"/>
          <w:lang w:val="en-GB"/>
        </w:rPr>
      </w:pPr>
    </w:p>
    <w:p w14:paraId="068CA71C" w14:textId="77777777" w:rsidR="00441E76" w:rsidRPr="009F13BD" w:rsidRDefault="00441E76" w:rsidP="00F9022B">
      <w:pPr>
        <w:spacing w:line="480" w:lineRule="auto"/>
        <w:ind w:firstLine="720"/>
        <w:jc w:val="both"/>
        <w:rPr>
          <w:rFonts w:ascii="Times New Roman" w:hAnsi="Times New Roman" w:cs="Times New Roman"/>
          <w:sz w:val="24"/>
          <w:szCs w:val="24"/>
          <w:lang w:val="en-GB"/>
        </w:rPr>
      </w:pPr>
    </w:p>
    <w:p w14:paraId="0EEA1950" w14:textId="4584F7EA" w:rsidR="00B049DD" w:rsidRDefault="00B049DD" w:rsidP="00F9022B">
      <w:pPr>
        <w:spacing w:line="480" w:lineRule="auto"/>
        <w:ind w:firstLine="720"/>
        <w:jc w:val="both"/>
        <w:rPr>
          <w:rFonts w:ascii="Times New Roman" w:hAnsi="Times New Roman" w:cs="Times New Roman"/>
          <w:sz w:val="24"/>
          <w:szCs w:val="24"/>
          <w:lang w:val="en-GB"/>
        </w:rPr>
      </w:pPr>
    </w:p>
    <w:p w14:paraId="562C0AD8" w14:textId="77777777" w:rsidR="00156DB8" w:rsidRPr="009F13BD" w:rsidRDefault="00156DB8" w:rsidP="00F9022B">
      <w:pPr>
        <w:spacing w:line="480" w:lineRule="auto"/>
        <w:ind w:firstLine="720"/>
        <w:jc w:val="both"/>
        <w:rPr>
          <w:rFonts w:ascii="Times New Roman" w:hAnsi="Times New Roman" w:cs="Times New Roman"/>
          <w:sz w:val="24"/>
          <w:szCs w:val="24"/>
          <w:lang w:val="en-GB"/>
        </w:rPr>
      </w:pPr>
    </w:p>
    <w:p w14:paraId="1927B6B5" w14:textId="77777777" w:rsidR="00B049DD" w:rsidRPr="009F13BD" w:rsidRDefault="00B049DD" w:rsidP="00F9022B">
      <w:pPr>
        <w:spacing w:line="480" w:lineRule="auto"/>
        <w:ind w:firstLine="720"/>
        <w:jc w:val="both"/>
        <w:rPr>
          <w:rFonts w:ascii="Times New Roman" w:hAnsi="Times New Roman" w:cs="Times New Roman"/>
          <w:sz w:val="24"/>
          <w:szCs w:val="24"/>
          <w:lang w:val="en-GB"/>
        </w:rPr>
      </w:pPr>
    </w:p>
    <w:p w14:paraId="4DA8177D" w14:textId="3388E433" w:rsidR="00FE532D" w:rsidRPr="009F13BD" w:rsidRDefault="00480F69" w:rsidP="00F9022B">
      <w:pPr>
        <w:pStyle w:val="Heading1"/>
        <w:spacing w:beforeAutospacing="0" w:afterAutospacing="0" w:line="480" w:lineRule="auto"/>
        <w:jc w:val="both"/>
        <w:rPr>
          <w:rFonts w:ascii="Times New Roman" w:hAnsi="Times New Roman" w:hint="default"/>
          <w:sz w:val="24"/>
          <w:szCs w:val="24"/>
          <w:lang w:val="en-GB"/>
        </w:rPr>
      </w:pPr>
      <w:bookmarkStart w:id="7" w:name="_Toc140681438"/>
      <w:r w:rsidRPr="009F13BD">
        <w:rPr>
          <w:rFonts w:ascii="Times New Roman" w:hAnsi="Times New Roman" w:hint="default"/>
          <w:sz w:val="24"/>
          <w:szCs w:val="24"/>
          <w:lang w:val="en-GB"/>
        </w:rPr>
        <w:lastRenderedPageBreak/>
        <w:t>Thematic Chapter 1</w:t>
      </w:r>
      <w:bookmarkEnd w:id="7"/>
      <w:r w:rsidRPr="009F13BD">
        <w:rPr>
          <w:rFonts w:ascii="Times New Roman" w:hAnsi="Times New Roman" w:hint="default"/>
          <w:sz w:val="24"/>
          <w:szCs w:val="24"/>
          <w:lang w:val="en-GB"/>
        </w:rPr>
        <w:t xml:space="preserve"> </w:t>
      </w:r>
    </w:p>
    <w:p w14:paraId="4499F20C" w14:textId="06EE9616" w:rsidR="00FE532D" w:rsidRPr="00156DB8" w:rsidRDefault="00480F69"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ab/>
        <w:t xml:space="preserve">This theme has been formed in the direction of a research-centred objective related to the identification of purposefulness as well as a focus area of the law that was made to govern homicide for the prevention of unlawful homicide across England and Wales. In this essence, this theme is synthesising and evaluating the information related to Homicide law, related </w:t>
      </w:r>
      <w:r w:rsidR="00FB2AA7" w:rsidRPr="009F13BD">
        <w:rPr>
          <w:rFonts w:ascii="Times New Roman" w:hAnsi="Times New Roman" w:cs="Times New Roman"/>
          <w:sz w:val="24"/>
          <w:szCs w:val="24"/>
          <w:lang w:val="en-GB"/>
        </w:rPr>
        <w:t>concepts,</w:t>
      </w:r>
      <w:r w:rsidRPr="009F13BD">
        <w:rPr>
          <w:rFonts w:ascii="Times New Roman" w:hAnsi="Times New Roman" w:cs="Times New Roman"/>
          <w:sz w:val="24"/>
          <w:szCs w:val="24"/>
          <w:lang w:val="en-GB"/>
        </w:rPr>
        <w:t xml:space="preserve"> and provisions, as well as its criticism about serving its actual purpose of handling murder and manslaughter-related </w:t>
      </w:r>
      <w:r w:rsidR="00BA15CE" w:rsidRPr="009F13BD">
        <w:rPr>
          <w:rFonts w:ascii="Times New Roman" w:hAnsi="Times New Roman" w:cs="Times New Roman"/>
          <w:sz w:val="24"/>
          <w:szCs w:val="24"/>
          <w:lang w:val="en-GB"/>
        </w:rPr>
        <w:t xml:space="preserve">cases </w:t>
      </w:r>
      <w:r w:rsidR="00BA15CE" w:rsidRPr="00156DB8">
        <w:rPr>
          <w:rFonts w:ascii="Times New Roman" w:hAnsi="Times New Roman" w:cs="Times New Roman"/>
          <w:i/>
          <w:iCs/>
          <w:sz w:val="24"/>
          <w:szCs w:val="24"/>
          <w:lang w:val="en-GB"/>
        </w:rPr>
        <w:t xml:space="preserve">(Clarke, </w:t>
      </w:r>
      <w:proofErr w:type="gramStart"/>
      <w:r w:rsidR="00BA15CE" w:rsidRPr="00156DB8">
        <w:rPr>
          <w:rFonts w:ascii="Times New Roman" w:hAnsi="Times New Roman" w:cs="Times New Roman"/>
          <w:i/>
          <w:iCs/>
          <w:sz w:val="24"/>
          <w:szCs w:val="24"/>
          <w:lang w:val="en-GB"/>
        </w:rPr>
        <w:t>Braun</w:t>
      </w:r>
      <w:proofErr w:type="gramEnd"/>
      <w:r w:rsidR="00BA15CE" w:rsidRPr="00156DB8">
        <w:rPr>
          <w:rFonts w:ascii="Times New Roman" w:hAnsi="Times New Roman" w:cs="Times New Roman"/>
          <w:i/>
          <w:iCs/>
          <w:sz w:val="24"/>
          <w:szCs w:val="24"/>
          <w:lang w:val="en-GB"/>
        </w:rPr>
        <w:t xml:space="preserve"> and Hayfield, 2015). </w:t>
      </w:r>
    </w:p>
    <w:p w14:paraId="60E795D1" w14:textId="40CA5799" w:rsidR="00FE532D" w:rsidRPr="009F13BD" w:rsidRDefault="00FB2AA7" w:rsidP="00F9022B">
      <w:pPr>
        <w:pStyle w:val="ListParagraph"/>
        <w:spacing w:line="480" w:lineRule="auto"/>
        <w:contextualSpacing w:val="0"/>
        <w:jc w:val="both"/>
        <w:rPr>
          <w:rFonts w:ascii="Times New Roman" w:hAnsi="Times New Roman" w:cs="Times New Roman"/>
          <w:i/>
          <w:iCs/>
          <w:sz w:val="24"/>
          <w:szCs w:val="24"/>
          <w:lang w:val="en-GB"/>
        </w:rPr>
      </w:pPr>
      <w:bookmarkStart w:id="8" w:name="_Hlk140687652"/>
      <w:r w:rsidRPr="009F13BD">
        <w:rPr>
          <w:rFonts w:ascii="Times New Roman" w:hAnsi="Times New Roman" w:cs="Times New Roman"/>
          <w:i/>
          <w:iCs/>
          <w:sz w:val="24"/>
          <w:szCs w:val="24"/>
          <w:lang w:val="en-GB"/>
        </w:rPr>
        <w:t>To identify and critical analysis of the fundamental purpose of initially developed homicide law in England and Wales.</w:t>
      </w:r>
    </w:p>
    <w:bookmarkEnd w:id="8"/>
    <w:p w14:paraId="2F6B5C80" w14:textId="77777777" w:rsidR="00FE532D" w:rsidRPr="009F13BD" w:rsidRDefault="00480F69"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 xml:space="preserve">The secondary data source revealed that Homicide Act 1957 was the UK-based Parliament Act that got enacted by means of the common law's partial reform with the primary focus of handling the case of murder-related offence through abolishing constructive malice's doctrine </w:t>
      </w:r>
      <w:r w:rsidRPr="00156DB8">
        <w:rPr>
          <w:rFonts w:ascii="Times New Roman" w:hAnsi="Times New Roman" w:cs="Times New Roman"/>
          <w:i/>
          <w:iCs/>
          <w:sz w:val="24"/>
          <w:szCs w:val="24"/>
          <w:lang w:val="en-GB"/>
        </w:rPr>
        <w:t>(</w:t>
      </w:r>
      <w:proofErr w:type="spellStart"/>
      <w:r w:rsidRPr="00156DB8">
        <w:rPr>
          <w:rFonts w:ascii="Times New Roman" w:eastAsia="SimSun" w:hAnsi="Times New Roman" w:cs="Times New Roman"/>
          <w:i/>
          <w:iCs/>
          <w:sz w:val="24"/>
          <w:szCs w:val="24"/>
          <w:shd w:val="clear" w:color="auto" w:fill="FFFFFF"/>
          <w:lang w:val="en-GB"/>
        </w:rPr>
        <w:t>Bettinson</w:t>
      </w:r>
      <w:proofErr w:type="spellEnd"/>
      <w:r w:rsidRPr="00156DB8">
        <w:rPr>
          <w:rFonts w:ascii="Times New Roman" w:eastAsia="SimSun" w:hAnsi="Times New Roman" w:cs="Times New Roman"/>
          <w:i/>
          <w:iCs/>
          <w:sz w:val="24"/>
          <w:szCs w:val="24"/>
          <w:shd w:val="clear" w:color="auto" w:fill="FFFFFF"/>
          <w:lang w:val="en-GB"/>
        </w:rPr>
        <w:t>, 2019; Lawcom.gov.uk, 2015)</w:t>
      </w:r>
      <w:r w:rsidRPr="00156DB8">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A government document also illustrated that prior to the act of the year 1957, the penalty of death had been a mandatory sentence in the case of murder, although it used to be simply common to give imprisonment for life to the criminal. Homicide Act 1957 narrowed the death penalty's scope for cases related to murder. However, in the year 1965, this act has got abolished by the UK Parliament for cases of murder; rather, it required a mandatory or compulsory life sentence </w:t>
      </w:r>
      <w:r w:rsidRPr="00323AEC">
        <w:rPr>
          <w:rFonts w:ascii="Times New Roman" w:hAnsi="Times New Roman" w:cs="Times New Roman"/>
          <w:i/>
          <w:iCs/>
          <w:sz w:val="24"/>
          <w:szCs w:val="24"/>
          <w:lang w:val="en-GB"/>
        </w:rPr>
        <w:t>(</w:t>
      </w:r>
      <w:r w:rsidRPr="00323AEC">
        <w:rPr>
          <w:rFonts w:ascii="Times New Roman" w:eastAsia="SimSun" w:hAnsi="Times New Roman" w:cs="Times New Roman"/>
          <w:i/>
          <w:iCs/>
          <w:sz w:val="24"/>
          <w:szCs w:val="24"/>
          <w:shd w:val="clear" w:color="auto" w:fill="FFFFFF"/>
          <w:lang w:val="en-GB"/>
        </w:rPr>
        <w:t>Lawcom.gov.uk, 2015)</w:t>
      </w:r>
      <w:r w:rsidRPr="00323AEC">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w:t>
      </w:r>
    </w:p>
    <w:p w14:paraId="44C871B7" w14:textId="6428221B" w:rsidR="00FE532D" w:rsidRPr="009F13BD" w:rsidRDefault="00480F69"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The secondary literature also </w:t>
      </w:r>
      <w:r w:rsidR="003856F8" w:rsidRPr="009F13BD">
        <w:rPr>
          <w:rFonts w:ascii="Times New Roman" w:hAnsi="Times New Roman" w:cs="Times New Roman"/>
          <w:sz w:val="24"/>
          <w:szCs w:val="24"/>
          <w:lang w:val="en-GB"/>
        </w:rPr>
        <w:t>points</w:t>
      </w:r>
      <w:r w:rsidR="00676FA9" w:rsidRPr="009F13BD">
        <w:rPr>
          <w:rFonts w:ascii="Times New Roman" w:hAnsi="Times New Roman" w:cs="Times New Roman"/>
          <w:sz w:val="24"/>
          <w:szCs w:val="24"/>
          <w:lang w:val="en-GB"/>
        </w:rPr>
        <w:t xml:space="preserve"> up</w:t>
      </w:r>
      <w:r w:rsidRPr="009F13BD">
        <w:rPr>
          <w:rFonts w:ascii="Times New Roman" w:hAnsi="Times New Roman" w:cs="Times New Roman"/>
          <w:sz w:val="24"/>
          <w:szCs w:val="24"/>
          <w:lang w:val="en-GB"/>
        </w:rPr>
        <w:t xml:space="preserve"> that the purposefulness of the Homicide Act 1957 has not been confirmed because of legal issues linked to the act. In this essence, a government report elaborated that the problem has got initiated with the basis or foundation of murder law </w:t>
      </w:r>
      <w:r w:rsidRPr="00FA18E4">
        <w:rPr>
          <w:rFonts w:ascii="Times New Roman" w:hAnsi="Times New Roman" w:cs="Times New Roman"/>
          <w:i/>
          <w:iCs/>
          <w:sz w:val="24"/>
          <w:szCs w:val="24"/>
          <w:lang w:val="en-GB"/>
        </w:rPr>
        <w:t>(</w:t>
      </w:r>
      <w:r w:rsidRPr="00FA18E4">
        <w:rPr>
          <w:rFonts w:ascii="Times New Roman" w:eastAsia="SimSun" w:hAnsi="Times New Roman" w:cs="Times New Roman"/>
          <w:i/>
          <w:iCs/>
          <w:sz w:val="24"/>
          <w:szCs w:val="24"/>
          <w:shd w:val="clear" w:color="auto" w:fill="FFFFFF"/>
          <w:lang w:val="en-GB"/>
        </w:rPr>
        <w:t>Lawcom.gov.uk, 2015)</w:t>
      </w:r>
      <w:r w:rsidRPr="00FA18E4">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It has not been a Parliamentary Act; however, the offence's judicial description since the 17</w:t>
      </w:r>
      <w:r w:rsidRPr="009F13BD">
        <w:rPr>
          <w:rFonts w:ascii="Times New Roman" w:hAnsi="Times New Roman" w:cs="Times New Roman"/>
          <w:sz w:val="24"/>
          <w:szCs w:val="24"/>
          <w:vertAlign w:val="superscript"/>
          <w:lang w:val="en-GB"/>
        </w:rPr>
        <w:t>th</w:t>
      </w:r>
      <w:r w:rsidRPr="009F13BD">
        <w:rPr>
          <w:rFonts w:ascii="Times New Roman" w:hAnsi="Times New Roman" w:cs="Times New Roman"/>
          <w:sz w:val="24"/>
          <w:szCs w:val="24"/>
          <w:lang w:val="en-GB"/>
        </w:rPr>
        <w:t xml:space="preserve"> century. The description's </w:t>
      </w:r>
      <w:r w:rsidRPr="009F13BD">
        <w:rPr>
          <w:rFonts w:ascii="Times New Roman" w:hAnsi="Times New Roman" w:cs="Times New Roman"/>
          <w:sz w:val="24"/>
          <w:szCs w:val="24"/>
          <w:lang w:val="en-GB"/>
        </w:rPr>
        <w:lastRenderedPageBreak/>
        <w:t xml:space="preserve">essence was that for any person being alleged for murder, she or he should have killed someone with the existence of "malice aforethought". While there was the accuracy of description at that time, it presently seems severely misleading. While referring to the case of </w:t>
      </w:r>
      <w:r w:rsidRPr="009F13BD">
        <w:rPr>
          <w:rFonts w:ascii="Times New Roman" w:hAnsi="Times New Roman" w:cs="Times New Roman"/>
          <w:i/>
          <w:iCs/>
          <w:sz w:val="24"/>
          <w:szCs w:val="24"/>
          <w:lang w:val="en-GB"/>
        </w:rPr>
        <w:t>R v Vickers</w:t>
      </w:r>
      <w:r w:rsidRPr="009F13BD">
        <w:rPr>
          <w:rFonts w:ascii="Times New Roman" w:hAnsi="Times New Roman" w:cs="Times New Roman"/>
          <w:sz w:val="24"/>
          <w:szCs w:val="24"/>
          <w:lang w:val="en-GB"/>
        </w:rPr>
        <w:t xml:space="preserve">, it is noted that the appellant was alleged in a murder case </w:t>
      </w:r>
      <w:r w:rsidRPr="00FA18E4">
        <w:rPr>
          <w:rFonts w:ascii="Times New Roman" w:hAnsi="Times New Roman" w:cs="Times New Roman"/>
          <w:i/>
          <w:iCs/>
          <w:sz w:val="24"/>
          <w:szCs w:val="24"/>
          <w:lang w:val="en-GB"/>
        </w:rPr>
        <w:t>(</w:t>
      </w:r>
      <w:r w:rsidRPr="00FA18E4">
        <w:rPr>
          <w:rFonts w:ascii="Times New Roman" w:eastAsia="SimSun" w:hAnsi="Times New Roman" w:cs="Times New Roman"/>
          <w:i/>
          <w:iCs/>
          <w:sz w:val="24"/>
          <w:szCs w:val="24"/>
          <w:shd w:val="clear" w:color="auto" w:fill="FFFFFF"/>
          <w:lang w:val="en-GB"/>
        </w:rPr>
        <w:t>Leigh, 2022)</w:t>
      </w:r>
      <w:r w:rsidRPr="00FA18E4">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The conviction has been appealed based on the aspect that the killing of a woman has never been his intention as well; therefore, he could just be found at fault for manslaughter </w:t>
      </w:r>
      <w:r w:rsidRPr="00FA18E4">
        <w:rPr>
          <w:rFonts w:ascii="Times New Roman" w:hAnsi="Times New Roman" w:cs="Times New Roman"/>
          <w:i/>
          <w:iCs/>
          <w:sz w:val="24"/>
          <w:szCs w:val="24"/>
          <w:lang w:val="en-GB"/>
        </w:rPr>
        <w:t>(</w:t>
      </w:r>
      <w:r w:rsidRPr="00FA18E4">
        <w:rPr>
          <w:rFonts w:ascii="Times New Roman" w:eastAsia="SimSun" w:hAnsi="Times New Roman" w:cs="Times New Roman"/>
          <w:i/>
          <w:iCs/>
          <w:sz w:val="24"/>
          <w:szCs w:val="24"/>
          <w:shd w:val="clear" w:color="auto" w:fill="FFFFFF"/>
          <w:lang w:val="en-GB"/>
        </w:rPr>
        <w:t>Leigh, 2022)</w:t>
      </w:r>
      <w:r w:rsidRPr="00FA18E4">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He was dependent on Homicide Act 1957's Section 1, which abolished the constructive malice notion. As per this notion, while an individual kills anyone within the furtherance or course of another offence, in this case, the killing is not equivalent to murder until and unless it has been carried out with the alike or same type of malice aforethought. It is because it is needed to make "killing" equivalent to "murder" while not being carried out in the furtherance or course of another offence </w:t>
      </w:r>
      <w:r w:rsidRPr="00E9578C">
        <w:rPr>
          <w:rFonts w:ascii="Times New Roman" w:hAnsi="Times New Roman" w:cs="Times New Roman"/>
          <w:i/>
          <w:iCs/>
          <w:sz w:val="24"/>
          <w:szCs w:val="24"/>
          <w:lang w:val="en-GB"/>
        </w:rPr>
        <w:t>(</w:t>
      </w:r>
      <w:r w:rsidRPr="00E9578C">
        <w:rPr>
          <w:rFonts w:ascii="Times New Roman" w:eastAsia="SimSun" w:hAnsi="Times New Roman" w:cs="Times New Roman"/>
          <w:i/>
          <w:iCs/>
          <w:sz w:val="24"/>
          <w:szCs w:val="24"/>
          <w:shd w:val="clear" w:color="auto" w:fill="FFFFFF"/>
          <w:lang w:val="en-GB"/>
        </w:rPr>
        <w:t>Lawcom.gov.uk, 2015)</w:t>
      </w:r>
      <w:r w:rsidRPr="00E9578C">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Therefore, specifically, "malice aforethought" has been continued erroneously or mistakenly to have a huge influence on the perception of the public about murder. It is also evaluated that many people perceive that either murder tends to be an intentional, premeditated type of killing or it tends to be a deliberate killing with a wider scope. The existence of the intention of killing is not required; still, a premeditated killing intention is at least required to prove murder </w:t>
      </w:r>
      <w:r w:rsidRPr="0075541F">
        <w:rPr>
          <w:rFonts w:ascii="Times New Roman" w:hAnsi="Times New Roman" w:cs="Times New Roman"/>
          <w:i/>
          <w:iCs/>
          <w:sz w:val="24"/>
          <w:szCs w:val="24"/>
          <w:lang w:val="en-GB"/>
        </w:rPr>
        <w:t>(</w:t>
      </w:r>
      <w:r w:rsidRPr="0075541F">
        <w:rPr>
          <w:rFonts w:ascii="Times New Roman" w:eastAsia="SimSun" w:hAnsi="Times New Roman" w:cs="Times New Roman"/>
          <w:i/>
          <w:iCs/>
          <w:sz w:val="24"/>
          <w:szCs w:val="24"/>
          <w:shd w:val="clear" w:color="auto" w:fill="FFFFFF"/>
          <w:lang w:val="en-GB"/>
        </w:rPr>
        <w:t>Beck, 2021; Lawcom.gov.uk, 2015)</w:t>
      </w:r>
      <w:r w:rsidRPr="0075541F">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Thus, it is analysed that the malice aforethought-related clause given in the law to prove murder raised ambiguity and issues concerned with the homicide law. </w:t>
      </w:r>
    </w:p>
    <w:p w14:paraId="57FD2B27" w14:textId="77777777" w:rsidR="002061E6" w:rsidRDefault="00480F69" w:rsidP="002061E6">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ab/>
        <w:t xml:space="preserve">Another problem identified has been that the contemporary homicide law has not been adequate to reflect what is understood by the UK Parliament as well as enabled the legal provision to be while it took an elaborated view of the murder’s law as well as brought the Homicide Act or HA 1957 </w:t>
      </w:r>
      <w:r w:rsidRPr="005E6F38">
        <w:rPr>
          <w:rFonts w:ascii="Times New Roman" w:hAnsi="Times New Roman" w:cs="Times New Roman"/>
          <w:i/>
          <w:iCs/>
          <w:sz w:val="24"/>
          <w:szCs w:val="24"/>
          <w:lang w:val="en-GB"/>
        </w:rPr>
        <w:t>(</w:t>
      </w:r>
      <w:r w:rsidRPr="005E6F38">
        <w:rPr>
          <w:rFonts w:ascii="Times New Roman" w:eastAsia="SimSun" w:hAnsi="Times New Roman" w:cs="Times New Roman"/>
          <w:i/>
          <w:iCs/>
          <w:sz w:val="24"/>
          <w:szCs w:val="24"/>
          <w:shd w:val="clear" w:color="auto" w:fill="FFFFFF"/>
          <w:lang w:val="en-GB"/>
        </w:rPr>
        <w:t>Lawcom.gov.uk, 2015)</w:t>
      </w:r>
      <w:r w:rsidRPr="005E6F38">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The act of 1957 was </w:t>
      </w:r>
      <w:r w:rsidRPr="009F13BD">
        <w:rPr>
          <w:rFonts w:ascii="Times New Roman" w:hAnsi="Times New Roman" w:cs="Times New Roman"/>
          <w:sz w:val="24"/>
          <w:szCs w:val="24"/>
          <w:lang w:val="en-GB"/>
        </w:rPr>
        <w:lastRenderedPageBreak/>
        <w:t xml:space="preserve">preceded by the Royal Commission's report of Capital-Punishment for the period 1949-1953. Royal Commission was provided with evidence by Lord Chief-Justice through conveying that the England and Wales-based law denoted that the persons would not have been supposed to be convicted of murder possibly due to their intention of causing severe loss or harm </w:t>
      </w:r>
      <w:r w:rsidRPr="005E6F38">
        <w:rPr>
          <w:rFonts w:ascii="Times New Roman" w:hAnsi="Times New Roman" w:cs="Times New Roman"/>
          <w:i/>
          <w:iCs/>
          <w:sz w:val="24"/>
          <w:szCs w:val="24"/>
          <w:lang w:val="en-GB"/>
        </w:rPr>
        <w:t>(</w:t>
      </w:r>
      <w:r w:rsidRPr="005E6F38">
        <w:rPr>
          <w:rFonts w:ascii="Times New Roman" w:eastAsia="SimSun" w:hAnsi="Times New Roman" w:cs="Times New Roman"/>
          <w:i/>
          <w:iCs/>
          <w:sz w:val="24"/>
          <w:szCs w:val="24"/>
          <w:shd w:val="clear" w:color="auto" w:fill="FFFFFF"/>
          <w:lang w:val="en-GB"/>
        </w:rPr>
        <w:t>Liu, 2018; Lawcom.gov.uk, 2015)</w:t>
      </w:r>
      <w:r w:rsidRPr="005E6F38">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However, the issue was that any person or individual with the intention of causing huge harm or loss was also required to be aware of the aspect that someone's life was being endangered due to this intention. Thus, murder's mental element remained unchanged by the Royal Commission. Soon after the passing of the 1957 Act, the Court of Criminal-Appeal's decision proved that the law-related understanding of Parliament was wrong. This court </w:t>
      </w:r>
      <w:r w:rsidR="00F27676" w:rsidRPr="009F13BD">
        <w:rPr>
          <w:rFonts w:ascii="Times New Roman" w:hAnsi="Times New Roman" w:cs="Times New Roman"/>
          <w:sz w:val="24"/>
          <w:szCs w:val="24"/>
          <w:lang w:val="en-GB"/>
        </w:rPr>
        <w:t>highlighted</w:t>
      </w:r>
      <w:r w:rsidRPr="009F13BD">
        <w:rPr>
          <w:rFonts w:ascii="Times New Roman" w:hAnsi="Times New Roman" w:cs="Times New Roman"/>
          <w:sz w:val="24"/>
          <w:szCs w:val="24"/>
          <w:lang w:val="en-GB"/>
        </w:rPr>
        <w:t xml:space="preserve"> that England and </w:t>
      </w:r>
      <w:r w:rsidR="00F27676" w:rsidRPr="009F13BD">
        <w:rPr>
          <w:rFonts w:ascii="Times New Roman" w:hAnsi="Times New Roman" w:cs="Times New Roman"/>
          <w:sz w:val="24"/>
          <w:szCs w:val="24"/>
          <w:lang w:val="en-GB"/>
        </w:rPr>
        <w:t>Wales’s</w:t>
      </w:r>
      <w:r w:rsidRPr="009F13BD">
        <w:rPr>
          <w:rFonts w:ascii="Times New Roman" w:hAnsi="Times New Roman" w:cs="Times New Roman"/>
          <w:sz w:val="24"/>
          <w:szCs w:val="24"/>
          <w:lang w:val="en-GB"/>
        </w:rPr>
        <w:t xml:space="preserve"> law is always supposed to be that the individuals who are intended to cause severe harm to any other, with no realisation of the aspect that someone's life is endangered by them, are surely guilty of attempt to murder in case of death of the victim. It is required to be continued as the law for Homicide </w:t>
      </w:r>
      <w:r w:rsidRPr="005E6F38">
        <w:rPr>
          <w:rFonts w:ascii="Times New Roman" w:hAnsi="Times New Roman" w:cs="Times New Roman"/>
          <w:i/>
          <w:iCs/>
          <w:sz w:val="24"/>
          <w:szCs w:val="24"/>
          <w:lang w:val="en-GB"/>
        </w:rPr>
        <w:t>(</w:t>
      </w:r>
      <w:r w:rsidRPr="005E6F38">
        <w:rPr>
          <w:rFonts w:ascii="Times New Roman" w:eastAsia="SimSun" w:hAnsi="Times New Roman" w:cs="Times New Roman"/>
          <w:i/>
          <w:iCs/>
          <w:sz w:val="24"/>
          <w:szCs w:val="24"/>
          <w:shd w:val="clear" w:color="auto" w:fill="FFFFFF"/>
          <w:lang w:val="en-GB"/>
        </w:rPr>
        <w:t>Hossain and Rahi, 2018; Lawcom.gov.uk, 2015)</w:t>
      </w:r>
      <w:r w:rsidRPr="005E6F38">
        <w:rPr>
          <w:rFonts w:ascii="Times New Roman" w:hAnsi="Times New Roman" w:cs="Times New Roman"/>
          <w:i/>
          <w:iCs/>
          <w:sz w:val="24"/>
          <w:szCs w:val="24"/>
          <w:lang w:val="en-GB"/>
        </w:rPr>
        <w:t>.</w:t>
      </w:r>
    </w:p>
    <w:p w14:paraId="6D092A55" w14:textId="4305FE64" w:rsidR="002061E6" w:rsidRPr="00C55C97" w:rsidRDefault="00480F69" w:rsidP="002061E6">
      <w:pPr>
        <w:spacing w:line="480" w:lineRule="auto"/>
        <w:jc w:val="both"/>
        <w:rPr>
          <w:rFonts w:ascii="Times New Roman" w:hAnsi="Times New Roman" w:cs="Times New Roman"/>
          <w:color w:val="0070C0"/>
          <w:sz w:val="24"/>
          <w:szCs w:val="24"/>
          <w:lang w:val="en-GB"/>
        </w:rPr>
      </w:pPr>
      <w:r w:rsidRPr="005E6F38">
        <w:rPr>
          <w:rFonts w:ascii="Times New Roman" w:hAnsi="Times New Roman" w:cs="Times New Roman"/>
          <w:i/>
          <w:iCs/>
          <w:sz w:val="24"/>
          <w:szCs w:val="24"/>
          <w:lang w:val="en-GB"/>
        </w:rPr>
        <w:t xml:space="preserve"> </w:t>
      </w:r>
      <w:r w:rsidR="002061E6" w:rsidRPr="002061E6">
        <w:rPr>
          <w:rFonts w:ascii="Times New Roman" w:hAnsi="Times New Roman" w:cs="Times New Roman"/>
          <w:sz w:val="24"/>
          <w:szCs w:val="24"/>
          <w:lang w:val="en-GB"/>
        </w:rPr>
        <w:t xml:space="preserve">Furthermore, in </w:t>
      </w:r>
      <w:r w:rsidR="002061E6" w:rsidRPr="002061E6">
        <w:rPr>
          <w:rFonts w:ascii="Times New Roman" w:hAnsi="Times New Roman" w:cs="Times New Roman"/>
          <w:i/>
          <w:iCs/>
          <w:sz w:val="24"/>
          <w:szCs w:val="24"/>
          <w:lang w:val="en-GB"/>
        </w:rPr>
        <w:t>R v Dunbar 1958</w:t>
      </w:r>
      <w:r w:rsidR="002061E6" w:rsidRPr="002061E6">
        <w:rPr>
          <w:rFonts w:ascii="Times New Roman" w:hAnsi="Times New Roman" w:cs="Times New Roman"/>
          <w:sz w:val="24"/>
          <w:szCs w:val="24"/>
          <w:lang w:val="en-GB"/>
        </w:rPr>
        <w:t xml:space="preserve"> case, an issue is also observed regarding burden of proof. The suggestion regarding Homicide law improve has been made in the direction of the aspect that within a capital case, conviction might not be valid while there is the absence of standard proof and its clarity. </w:t>
      </w:r>
    </w:p>
    <w:p w14:paraId="471B34AD" w14:textId="77777777" w:rsidR="00022C37" w:rsidRDefault="0003246B"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 xml:space="preserve">Laws governing the prevention of illegal homicides such as murder are determined under the Homicide Act 1957 </w:t>
      </w:r>
      <w:r w:rsidRPr="005E6F38">
        <w:rPr>
          <w:rFonts w:ascii="Times New Roman" w:hAnsi="Times New Roman" w:cs="Times New Roman"/>
          <w:i/>
          <w:iCs/>
          <w:sz w:val="24"/>
          <w:szCs w:val="24"/>
          <w:lang w:val="en-GB"/>
        </w:rPr>
        <w:t>(Flynn et al., 2021).</w:t>
      </w:r>
      <w:r w:rsidRPr="009F13BD">
        <w:rPr>
          <w:rFonts w:ascii="Times New Roman" w:hAnsi="Times New Roman" w:cs="Times New Roman"/>
          <w:sz w:val="24"/>
          <w:szCs w:val="24"/>
          <w:lang w:val="en-GB"/>
        </w:rPr>
        <w:t xml:space="preserve"> These laws are identified to be purposefully reformed under the Coroners and Justice Act (CJA) 2009, where the defence surrounding diminished responsibilities can be pleaded under acceptable grounds </w:t>
      </w:r>
      <w:r w:rsidRPr="005E6F38">
        <w:rPr>
          <w:rFonts w:ascii="Times New Roman" w:hAnsi="Times New Roman" w:cs="Times New Roman"/>
          <w:i/>
          <w:iCs/>
          <w:sz w:val="24"/>
          <w:szCs w:val="24"/>
          <w:lang w:val="en-GB"/>
        </w:rPr>
        <w:t>(Ashworth, 2010).</w:t>
      </w:r>
      <w:r w:rsidRPr="009F13BD">
        <w:rPr>
          <w:rFonts w:ascii="Times New Roman" w:hAnsi="Times New Roman" w:cs="Times New Roman"/>
          <w:sz w:val="24"/>
          <w:szCs w:val="24"/>
          <w:lang w:val="en-GB"/>
        </w:rPr>
        <w:t xml:space="preserve"> The reform introduced in the direction of the CJA 2009 is aimed at reducing the convictions of murder to manslaughter. Diminished </w:t>
      </w:r>
      <w:r w:rsidRPr="009F13BD">
        <w:rPr>
          <w:rFonts w:ascii="Times New Roman" w:hAnsi="Times New Roman" w:cs="Times New Roman"/>
          <w:sz w:val="24"/>
          <w:szCs w:val="24"/>
          <w:lang w:val="en-GB"/>
        </w:rPr>
        <w:lastRenderedPageBreak/>
        <w:t xml:space="preserve">responsibilities are assigned in three forms that are identified to be significant for resolving crimes such as murder </w:t>
      </w:r>
      <w:r w:rsidRPr="00302A35">
        <w:rPr>
          <w:rFonts w:ascii="Times New Roman" w:hAnsi="Times New Roman" w:cs="Times New Roman"/>
          <w:i/>
          <w:iCs/>
          <w:sz w:val="24"/>
          <w:szCs w:val="24"/>
          <w:lang w:val="en-GB"/>
        </w:rPr>
        <w:t>(Heaton and de Than, 2010).</w:t>
      </w:r>
      <w:r w:rsidRPr="009F13BD">
        <w:rPr>
          <w:rFonts w:ascii="Times New Roman" w:hAnsi="Times New Roman" w:cs="Times New Roman"/>
          <w:sz w:val="24"/>
          <w:szCs w:val="24"/>
          <w:lang w:val="en-GB"/>
        </w:rPr>
        <w:t xml:space="preserve"> Special defences for diminished responsibility, such as loss of control as well as suicide-oriented agreements, are also identified to be different in comparison with the general defence as they are not applicable towards all forms of criminal activities </w:t>
      </w:r>
      <w:r w:rsidRPr="00302A35">
        <w:rPr>
          <w:rFonts w:ascii="Times New Roman" w:hAnsi="Times New Roman" w:cs="Times New Roman"/>
          <w:i/>
          <w:iCs/>
          <w:sz w:val="24"/>
          <w:szCs w:val="24"/>
          <w:lang w:val="en-GB"/>
        </w:rPr>
        <w:t>(Reed, 2016).</w:t>
      </w:r>
      <w:r w:rsidR="00302A35">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Diminished responsibility-based reforms introduced under section 2 of the Homicide Act 1957 are further amended in the direction of section 52 of the CJA 2009 </w:t>
      </w:r>
      <w:r w:rsidRPr="00302A35">
        <w:rPr>
          <w:rFonts w:ascii="Times New Roman" w:hAnsi="Times New Roman" w:cs="Times New Roman"/>
          <w:i/>
          <w:iCs/>
          <w:sz w:val="24"/>
          <w:szCs w:val="24"/>
          <w:lang w:val="en-GB"/>
        </w:rPr>
        <w:t>(Hendy and Hutchinson, 2016).</w:t>
      </w:r>
    </w:p>
    <w:p w14:paraId="2DE40C90" w14:textId="128A13EB" w:rsidR="0003246B" w:rsidRPr="00022C37" w:rsidRDefault="00022C37" w:rsidP="00F9022B">
      <w:pPr>
        <w:spacing w:line="480" w:lineRule="auto"/>
        <w:jc w:val="both"/>
        <w:rPr>
          <w:rFonts w:ascii="Times New Roman" w:hAnsi="Times New Roman" w:cs="Times New Roman"/>
          <w:i/>
          <w:iCs/>
          <w:sz w:val="24"/>
          <w:szCs w:val="24"/>
          <w:lang w:val="en-GB"/>
        </w:rPr>
      </w:pPr>
      <w:r w:rsidRPr="00022C37">
        <w:rPr>
          <w:rFonts w:ascii="Times New Roman" w:hAnsi="Times New Roman" w:cs="Times New Roman"/>
          <w:sz w:val="24"/>
          <w:szCs w:val="24"/>
          <w:lang w:val="en-GB"/>
        </w:rPr>
        <w:t xml:space="preserve">Further, in the cases including </w:t>
      </w:r>
      <w:r w:rsidRPr="00022C37">
        <w:rPr>
          <w:rStyle w:val="Emphasis"/>
          <w:rFonts w:ascii="Times New Roman" w:hAnsi="Times New Roman" w:cs="Times New Roman"/>
          <w:sz w:val="24"/>
          <w:szCs w:val="24"/>
          <w:bdr w:val="none" w:sz="0" w:space="0" w:color="auto" w:frame="1"/>
          <w:shd w:val="clear" w:color="auto" w:fill="FFFFFF"/>
        </w:rPr>
        <w:t xml:space="preserve">R v </w:t>
      </w:r>
      <w:proofErr w:type="spellStart"/>
      <w:proofErr w:type="gramStart"/>
      <w:r w:rsidRPr="00022C37">
        <w:rPr>
          <w:rStyle w:val="Emphasis"/>
          <w:rFonts w:ascii="Times New Roman" w:hAnsi="Times New Roman" w:cs="Times New Roman"/>
          <w:sz w:val="24"/>
          <w:szCs w:val="24"/>
          <w:bdr w:val="none" w:sz="0" w:space="0" w:color="auto" w:frame="1"/>
          <w:shd w:val="clear" w:color="auto" w:fill="FFFFFF"/>
        </w:rPr>
        <w:t>Kooken</w:t>
      </w:r>
      <w:proofErr w:type="spellEnd"/>
      <w:r w:rsidRPr="00022C37">
        <w:rPr>
          <w:rStyle w:val="Emphasis"/>
          <w:rFonts w:ascii="Times New Roman" w:hAnsi="Times New Roman" w:cs="Times New Roman"/>
          <w:sz w:val="24"/>
          <w:szCs w:val="24"/>
          <w:bdr w:val="none" w:sz="0" w:space="0" w:color="auto" w:frame="1"/>
          <w:shd w:val="clear" w:color="auto" w:fill="FFFFFF"/>
        </w:rPr>
        <w:t>(</w:t>
      </w:r>
      <w:proofErr w:type="gramEnd"/>
      <w:r w:rsidRPr="00022C37">
        <w:rPr>
          <w:rStyle w:val="Emphasis"/>
          <w:rFonts w:ascii="Times New Roman" w:hAnsi="Times New Roman" w:cs="Times New Roman"/>
          <w:sz w:val="24"/>
          <w:szCs w:val="24"/>
          <w:bdr w:val="none" w:sz="0" w:space="0" w:color="auto" w:frame="1"/>
          <w:shd w:val="clear" w:color="auto" w:fill="FFFFFF"/>
        </w:rPr>
        <w:t xml:space="preserve">1982)  </w:t>
      </w:r>
      <w:r w:rsidRPr="00022C37">
        <w:rPr>
          <w:rStyle w:val="Emphasis"/>
          <w:rFonts w:ascii="Times New Roman" w:hAnsi="Times New Roman" w:cs="Times New Roman"/>
          <w:i w:val="0"/>
          <w:iCs w:val="0"/>
          <w:sz w:val="24"/>
          <w:szCs w:val="24"/>
          <w:bdr w:val="none" w:sz="0" w:space="0" w:color="auto" w:frame="1"/>
          <w:shd w:val="clear" w:color="auto" w:fill="FFFFFF"/>
        </w:rPr>
        <w:t>and</w:t>
      </w:r>
      <w:r w:rsidRPr="00022C37">
        <w:rPr>
          <w:rStyle w:val="Emphasis"/>
          <w:rFonts w:ascii="Times New Roman" w:hAnsi="Times New Roman" w:cs="Times New Roman"/>
          <w:sz w:val="24"/>
          <w:szCs w:val="24"/>
          <w:bdr w:val="none" w:sz="0" w:space="0" w:color="auto" w:frame="1"/>
          <w:shd w:val="clear" w:color="auto" w:fill="FFFFFF"/>
        </w:rPr>
        <w:t xml:space="preserve"> R v Campbell</w:t>
      </w:r>
      <w:r w:rsidRPr="00022C37">
        <w:rPr>
          <w:rFonts w:ascii="Times New Roman" w:hAnsi="Times New Roman" w:cs="Times New Roman"/>
          <w:sz w:val="24"/>
          <w:szCs w:val="24"/>
          <w:shd w:val="clear" w:color="auto" w:fill="FFFFFF"/>
        </w:rPr>
        <w:t xml:space="preserve"> (1987), the issue was also raised regarding proving diminished responsibilities in the case of homicide. However, the reform has taken place by amending </w:t>
      </w:r>
      <w:proofErr w:type="gramStart"/>
      <w:r w:rsidRPr="00022C37">
        <w:rPr>
          <w:rFonts w:ascii="Times New Roman" w:hAnsi="Times New Roman" w:cs="Times New Roman"/>
          <w:sz w:val="24"/>
          <w:szCs w:val="24"/>
          <w:shd w:val="clear" w:color="auto" w:fill="FFFFFF"/>
        </w:rPr>
        <w:t>2009</w:t>
      </w:r>
      <w:proofErr w:type="gramEnd"/>
      <w:r w:rsidRPr="00022C37">
        <w:rPr>
          <w:rFonts w:ascii="Times New Roman" w:hAnsi="Times New Roman" w:cs="Times New Roman"/>
          <w:sz w:val="24"/>
          <w:szCs w:val="24"/>
          <w:shd w:val="clear" w:color="auto" w:fill="FFFFFF"/>
        </w:rPr>
        <w:t xml:space="preserve"> act according to which, diminished responsibility remained a source of optional or alternative defense (</w:t>
      </w:r>
      <w:proofErr w:type="spellStart"/>
      <w:r w:rsidRPr="00022C37">
        <w:rPr>
          <w:rStyle w:val="chapter-label"/>
          <w:rFonts w:ascii="Times New Roman" w:hAnsi="Times New Roman" w:cs="Times New Roman"/>
          <w:sz w:val="24"/>
          <w:szCs w:val="24"/>
          <w:bdr w:val="none" w:sz="0" w:space="0" w:color="auto" w:frame="1"/>
          <w:shd w:val="clear" w:color="auto" w:fill="FFFFFF"/>
        </w:rPr>
        <w:t>Loughman</w:t>
      </w:r>
      <w:proofErr w:type="spellEnd"/>
      <w:r w:rsidRPr="00022C37">
        <w:rPr>
          <w:rStyle w:val="chapter-label"/>
          <w:rFonts w:ascii="Times New Roman" w:hAnsi="Times New Roman" w:cs="Times New Roman"/>
          <w:sz w:val="24"/>
          <w:szCs w:val="24"/>
          <w:bdr w:val="none" w:sz="0" w:space="0" w:color="auto" w:frame="1"/>
          <w:shd w:val="clear" w:color="auto" w:fill="FFFFFF"/>
        </w:rPr>
        <w:t>, 2012).</w:t>
      </w:r>
      <w:r w:rsidR="0003246B" w:rsidRPr="00022C37">
        <w:rPr>
          <w:rFonts w:ascii="Times New Roman" w:hAnsi="Times New Roman" w:cs="Times New Roman"/>
          <w:i/>
          <w:iCs/>
          <w:sz w:val="24"/>
          <w:szCs w:val="24"/>
          <w:lang w:val="en-GB"/>
        </w:rPr>
        <w:t xml:space="preserve"> </w:t>
      </w:r>
    </w:p>
    <w:p w14:paraId="20C2B8B2" w14:textId="77777777" w:rsidR="0003246B" w:rsidRPr="00B14BFC" w:rsidRDefault="0003246B"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ab/>
        <w:t xml:space="preserve">Amendments to the Homicide Acts are needed to be introduced for handling serious homicide incidents. Requirements for reform also hold purposefulness as reforming the legislation is highly needful towards safeguarding the rights of life as depicted under Section 2, defined within the European Convention of Human Rights (ECHR) </w:t>
      </w:r>
      <w:r w:rsidRPr="003660C7">
        <w:rPr>
          <w:rFonts w:ascii="Times New Roman" w:hAnsi="Times New Roman" w:cs="Times New Roman"/>
          <w:i/>
          <w:iCs/>
          <w:sz w:val="24"/>
          <w:szCs w:val="24"/>
          <w:lang w:val="en-GB"/>
        </w:rPr>
        <w:t>(Monaghan, 2018).</w:t>
      </w:r>
      <w:r w:rsidRPr="009F13BD">
        <w:rPr>
          <w:rFonts w:ascii="Times New Roman" w:hAnsi="Times New Roman" w:cs="Times New Roman"/>
          <w:sz w:val="24"/>
          <w:szCs w:val="24"/>
          <w:lang w:val="en-GB"/>
        </w:rPr>
        <w:t xml:space="preserve"> The reform has diversified the meaning of homicide into two significant aspects named manslaughter and murder, where penalisation for murder is provided through life imprisonment established under the Murder </w:t>
      </w:r>
      <w:r w:rsidRPr="003660C7">
        <w:rPr>
          <w:rFonts w:ascii="Times New Roman" w:hAnsi="Times New Roman" w:cs="Times New Roman"/>
          <w:i/>
          <w:iCs/>
          <w:sz w:val="24"/>
          <w:szCs w:val="24"/>
          <w:lang w:val="en-GB"/>
        </w:rPr>
        <w:t>(Abolishment of Death Penalty) Act (MA) 1965 (</w:t>
      </w:r>
      <w:proofErr w:type="spellStart"/>
      <w:r w:rsidRPr="003660C7">
        <w:rPr>
          <w:rFonts w:ascii="Times New Roman" w:hAnsi="Times New Roman" w:cs="Times New Roman"/>
          <w:i/>
          <w:iCs/>
          <w:sz w:val="24"/>
          <w:szCs w:val="24"/>
          <w:lang w:val="en-GB"/>
        </w:rPr>
        <w:t>Bessler</w:t>
      </w:r>
      <w:proofErr w:type="spellEnd"/>
      <w:r w:rsidRPr="003660C7">
        <w:rPr>
          <w:rFonts w:ascii="Times New Roman" w:hAnsi="Times New Roman" w:cs="Times New Roman"/>
          <w:i/>
          <w:iCs/>
          <w:sz w:val="24"/>
          <w:szCs w:val="24"/>
          <w:lang w:val="en-GB"/>
        </w:rPr>
        <w:t>, 2022).</w:t>
      </w:r>
      <w:r w:rsidRPr="009F13BD">
        <w:rPr>
          <w:rFonts w:ascii="Times New Roman" w:hAnsi="Times New Roman" w:cs="Times New Roman"/>
          <w:sz w:val="24"/>
          <w:szCs w:val="24"/>
          <w:lang w:val="en-GB"/>
        </w:rPr>
        <w:t xml:space="preserve"> In this regard, release from such instances is also possible for minimal grounds in accordance with the Criminal Justice Act defined under 2003. However, the principle of preservation of life is identified to be confirmed in accordance with the case law named </w:t>
      </w:r>
      <w:r w:rsidRPr="009F13BD">
        <w:rPr>
          <w:rFonts w:ascii="Times New Roman" w:hAnsi="Times New Roman" w:cs="Times New Roman"/>
          <w:i/>
          <w:iCs/>
          <w:sz w:val="24"/>
          <w:szCs w:val="24"/>
          <w:lang w:val="en-GB"/>
        </w:rPr>
        <w:t>Hutchinson v. the United Kingdom</w:t>
      </w:r>
      <w:r w:rsidRPr="009F13BD">
        <w:rPr>
          <w:rFonts w:ascii="Times New Roman" w:hAnsi="Times New Roman" w:cs="Times New Roman"/>
          <w:sz w:val="24"/>
          <w:szCs w:val="24"/>
          <w:lang w:val="en-GB"/>
        </w:rPr>
        <w:t xml:space="preserve"> </w:t>
      </w:r>
      <w:r w:rsidRPr="005E0EA1">
        <w:rPr>
          <w:rFonts w:ascii="Times New Roman" w:hAnsi="Times New Roman" w:cs="Times New Roman"/>
          <w:i/>
          <w:iCs/>
          <w:sz w:val="24"/>
          <w:szCs w:val="24"/>
          <w:lang w:val="en-GB"/>
        </w:rPr>
        <w:t xml:space="preserve">(2015), </w:t>
      </w:r>
      <w:r w:rsidRPr="009F13BD">
        <w:rPr>
          <w:rFonts w:ascii="Times New Roman" w:hAnsi="Times New Roman" w:cs="Times New Roman"/>
          <w:sz w:val="24"/>
          <w:szCs w:val="24"/>
          <w:lang w:val="en-GB"/>
        </w:rPr>
        <w:t xml:space="preserve">where the European Court of Human Rights is identified to depict that the </w:t>
      </w:r>
      <w:r w:rsidRPr="009F13BD">
        <w:rPr>
          <w:rFonts w:ascii="Times New Roman" w:hAnsi="Times New Roman" w:cs="Times New Roman"/>
          <w:sz w:val="24"/>
          <w:szCs w:val="24"/>
          <w:lang w:val="en-GB"/>
        </w:rPr>
        <w:lastRenderedPageBreak/>
        <w:t xml:space="preserve">countries are needed to have admissible levels of freedom for imposing life sentences upon the adult aged offenders that are guilty of conducting the serious criminal activities </w:t>
      </w:r>
      <w:r w:rsidRPr="00B14BFC">
        <w:rPr>
          <w:rFonts w:ascii="Times New Roman" w:hAnsi="Times New Roman" w:cs="Times New Roman"/>
          <w:i/>
          <w:iCs/>
          <w:sz w:val="24"/>
          <w:szCs w:val="24"/>
          <w:lang w:val="en-GB"/>
        </w:rPr>
        <w:t>(</w:t>
      </w:r>
      <w:proofErr w:type="spellStart"/>
      <w:r w:rsidRPr="00B14BFC">
        <w:rPr>
          <w:rFonts w:ascii="Times New Roman" w:hAnsi="Times New Roman" w:cs="Times New Roman"/>
          <w:i/>
          <w:iCs/>
          <w:sz w:val="24"/>
          <w:szCs w:val="24"/>
          <w:shd w:val="clear" w:color="auto" w:fill="FFFFFF"/>
          <w:lang w:val="en-GB"/>
        </w:rPr>
        <w:t>Khechumyan</w:t>
      </w:r>
      <w:proofErr w:type="spellEnd"/>
      <w:r w:rsidRPr="00B14BFC">
        <w:rPr>
          <w:rFonts w:ascii="Times New Roman" w:hAnsi="Times New Roman" w:cs="Times New Roman"/>
          <w:i/>
          <w:iCs/>
          <w:sz w:val="24"/>
          <w:szCs w:val="24"/>
          <w:shd w:val="clear" w:color="auto" w:fill="FFFFFF"/>
          <w:lang w:val="en-GB"/>
        </w:rPr>
        <w:t>, 2018</w:t>
      </w:r>
      <w:r w:rsidRPr="00B14BFC">
        <w:rPr>
          <w:rFonts w:ascii="Times New Roman" w:hAnsi="Times New Roman" w:cs="Times New Roman"/>
          <w:i/>
          <w:iCs/>
          <w:sz w:val="24"/>
          <w:szCs w:val="24"/>
          <w:lang w:val="en-GB"/>
        </w:rPr>
        <w:t>).</w:t>
      </w:r>
    </w:p>
    <w:p w14:paraId="693449F8" w14:textId="77777777" w:rsidR="0003246B" w:rsidRPr="009F13BD" w:rsidRDefault="0003246B"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ab/>
        <w:t xml:space="preserve">On the other hand, it is also reviewed in the direction of the reforms surrounding manslaughter by means of the case named </w:t>
      </w:r>
      <w:r w:rsidRPr="009F13BD">
        <w:rPr>
          <w:rFonts w:ascii="Times New Roman" w:hAnsi="Times New Roman" w:cs="Times New Roman"/>
          <w:i/>
          <w:iCs/>
          <w:sz w:val="24"/>
          <w:szCs w:val="24"/>
          <w:lang w:val="en-GB"/>
        </w:rPr>
        <w:t>R v. Watson</w:t>
      </w:r>
      <w:r w:rsidRPr="009F13BD">
        <w:rPr>
          <w:rFonts w:ascii="Times New Roman" w:hAnsi="Times New Roman" w:cs="Times New Roman"/>
          <w:sz w:val="24"/>
          <w:szCs w:val="24"/>
          <w:lang w:val="en-GB"/>
        </w:rPr>
        <w:t xml:space="preserve"> (1989) that the instances of manslaughter can only be established if the death of the victim is caused due to an unlawful activity which is foreseeable in accordance with the considerations of a reasonable individual for causing harm to a victim </w:t>
      </w:r>
      <w:r w:rsidRPr="00C762C6">
        <w:rPr>
          <w:rFonts w:ascii="Times New Roman" w:hAnsi="Times New Roman" w:cs="Times New Roman"/>
          <w:i/>
          <w:iCs/>
          <w:sz w:val="24"/>
          <w:szCs w:val="24"/>
          <w:lang w:val="en-GB"/>
        </w:rPr>
        <w:t>(Molan, 2014).</w:t>
      </w:r>
      <w:r w:rsidRPr="009F13BD">
        <w:rPr>
          <w:rFonts w:ascii="Times New Roman" w:hAnsi="Times New Roman" w:cs="Times New Roman"/>
          <w:sz w:val="24"/>
          <w:szCs w:val="24"/>
          <w:lang w:val="en-GB"/>
        </w:rPr>
        <w:t xml:space="preserve"> Under this case, the appellant is identified as blowing a window as well as breaking the residence of the 87-year-old individual. The appellant also shouted and abused the old man and ran. The police staff arrived and saw that the old man encountered a heart attack and died 90 minutes post the initial residence break. However, the Court regarded the activity of the appellant to be disturbing in comparison to the activities of a sober individual </w:t>
      </w:r>
      <w:r w:rsidRPr="00C762C6">
        <w:rPr>
          <w:rFonts w:ascii="Times New Roman" w:hAnsi="Times New Roman" w:cs="Times New Roman"/>
          <w:i/>
          <w:iCs/>
          <w:sz w:val="24"/>
          <w:szCs w:val="24"/>
          <w:lang w:val="en-GB"/>
        </w:rPr>
        <w:t>(Geary, 2012).</w:t>
      </w:r>
      <w:r w:rsidRPr="009F13BD">
        <w:rPr>
          <w:rFonts w:ascii="Times New Roman" w:hAnsi="Times New Roman" w:cs="Times New Roman"/>
          <w:sz w:val="24"/>
          <w:szCs w:val="24"/>
          <w:lang w:val="en-GB"/>
        </w:rPr>
        <w:t xml:space="preserve"> Therefore, it is also reviewed that the purposeful reforms in the line of homicidal activities are also introduced in the light of comparing the acts of an individual in context with the sober acts of an individual. </w:t>
      </w:r>
    </w:p>
    <w:p w14:paraId="1606AFF9" w14:textId="77777777" w:rsidR="0003246B" w:rsidRPr="009F13BD" w:rsidRDefault="0003246B"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It is further reviewed in accordance with another case law named </w:t>
      </w:r>
      <w:r w:rsidRPr="009F13BD">
        <w:rPr>
          <w:rFonts w:ascii="Times New Roman" w:hAnsi="Times New Roman" w:cs="Times New Roman"/>
          <w:i/>
          <w:iCs/>
          <w:sz w:val="24"/>
          <w:szCs w:val="24"/>
          <w:lang w:val="en-GB"/>
        </w:rPr>
        <w:t>DPP v. Newbury and Jones</w:t>
      </w:r>
      <w:r w:rsidRPr="009F13BD">
        <w:rPr>
          <w:rFonts w:ascii="Times New Roman" w:hAnsi="Times New Roman" w:cs="Times New Roman"/>
          <w:sz w:val="24"/>
          <w:szCs w:val="24"/>
          <w:lang w:val="en-GB"/>
        </w:rPr>
        <w:t xml:space="preserve"> (1976) that the defendants are identified as the teenagers who have thrown concrete stones from the bridge on the train which was identified to cross the bridge from the bottom region. The stone was identified to have killed the train guard, who was identified as sitting in the compartment of the driver. The defendants, in this case, were identified to be convicted of manslaughter </w:t>
      </w:r>
      <w:r w:rsidRPr="00C762C6">
        <w:rPr>
          <w:rFonts w:ascii="Times New Roman" w:hAnsi="Times New Roman" w:cs="Times New Roman"/>
          <w:i/>
          <w:iCs/>
          <w:sz w:val="24"/>
          <w:szCs w:val="24"/>
          <w:lang w:val="en-GB"/>
        </w:rPr>
        <w:t>(Geary, 2012).</w:t>
      </w:r>
      <w:r w:rsidRPr="009F13BD">
        <w:rPr>
          <w:rFonts w:ascii="Times New Roman" w:hAnsi="Times New Roman" w:cs="Times New Roman"/>
          <w:sz w:val="24"/>
          <w:szCs w:val="24"/>
          <w:lang w:val="en-GB"/>
        </w:rPr>
        <w:t xml:space="preserve"> However, the jury described that the defendant could only be proven guilty of manslaughter in the presence of strong evidence of intentions to kill </w:t>
      </w:r>
      <w:r w:rsidRPr="00C762C6">
        <w:rPr>
          <w:rFonts w:ascii="Times New Roman" w:hAnsi="Times New Roman" w:cs="Times New Roman"/>
          <w:i/>
          <w:iCs/>
          <w:sz w:val="24"/>
          <w:szCs w:val="24"/>
          <w:lang w:val="en-GB"/>
        </w:rPr>
        <w:t xml:space="preserve">(Martin, </w:t>
      </w:r>
      <w:proofErr w:type="gramStart"/>
      <w:r w:rsidRPr="00C762C6">
        <w:rPr>
          <w:rFonts w:ascii="Times New Roman" w:hAnsi="Times New Roman" w:cs="Times New Roman"/>
          <w:i/>
          <w:iCs/>
          <w:sz w:val="24"/>
          <w:szCs w:val="24"/>
          <w:lang w:val="en-GB"/>
        </w:rPr>
        <w:t>Wortley</w:t>
      </w:r>
      <w:proofErr w:type="gramEnd"/>
      <w:r w:rsidRPr="00C762C6">
        <w:rPr>
          <w:rFonts w:ascii="Times New Roman" w:hAnsi="Times New Roman" w:cs="Times New Roman"/>
          <w:i/>
          <w:iCs/>
          <w:sz w:val="24"/>
          <w:szCs w:val="24"/>
          <w:lang w:val="en-GB"/>
        </w:rPr>
        <w:t xml:space="preserve"> and Price, 2018).</w:t>
      </w:r>
    </w:p>
    <w:p w14:paraId="046A75B2" w14:textId="7E676666" w:rsidR="0003246B" w:rsidRPr="009F13BD" w:rsidRDefault="0003246B"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lastRenderedPageBreak/>
        <w:t xml:space="preserve">On the other side, it is also analysed through the case of homicide named </w:t>
      </w:r>
      <w:r w:rsidRPr="009F13BD">
        <w:rPr>
          <w:rFonts w:ascii="Times New Roman" w:hAnsi="Times New Roman" w:cs="Times New Roman"/>
          <w:i/>
          <w:iCs/>
          <w:sz w:val="24"/>
          <w:szCs w:val="24"/>
          <w:lang w:val="en-GB"/>
        </w:rPr>
        <w:t>R v. Dear</w:t>
      </w:r>
      <w:r w:rsidRPr="009F13BD">
        <w:rPr>
          <w:rFonts w:ascii="Times New Roman" w:hAnsi="Times New Roman" w:cs="Times New Roman"/>
          <w:sz w:val="24"/>
          <w:szCs w:val="24"/>
          <w:lang w:val="en-GB"/>
        </w:rPr>
        <w:t xml:space="preserve"> (1996), where the daughter of the defendant is identified as accusing an individual of sexual abuse. The defendant was identified to have followed the man and ripped the man with Stanley's life on a recurrent basis. The victim received medical aid; however, the victim was identified to re-open the dressing of his wounds which was declared a suicide. The victim died two days after conducting this activity </w:t>
      </w:r>
      <w:r w:rsidRPr="00C762C6">
        <w:rPr>
          <w:rFonts w:ascii="Times New Roman" w:hAnsi="Times New Roman" w:cs="Times New Roman"/>
          <w:i/>
          <w:iCs/>
          <w:sz w:val="24"/>
          <w:szCs w:val="24"/>
          <w:lang w:val="en-GB"/>
        </w:rPr>
        <w:t xml:space="preserve">(Allen and Edwards, 2021). </w:t>
      </w:r>
      <w:r w:rsidRPr="009F13BD">
        <w:rPr>
          <w:rFonts w:ascii="Times New Roman" w:hAnsi="Times New Roman" w:cs="Times New Roman"/>
          <w:sz w:val="24"/>
          <w:szCs w:val="24"/>
          <w:lang w:val="en-GB"/>
        </w:rPr>
        <w:t xml:space="preserve">However, the conviction of the defendant was defended as the wound under the phase of treatment was the primal cause of death; it is analysed that decisions for the determination of manslaughter needed to be reformed in the line of external interventions </w:t>
      </w:r>
      <w:r w:rsidRPr="00C762C6">
        <w:rPr>
          <w:rFonts w:ascii="Times New Roman" w:hAnsi="Times New Roman" w:cs="Times New Roman"/>
          <w:i/>
          <w:iCs/>
          <w:sz w:val="24"/>
          <w:szCs w:val="24"/>
          <w:lang w:val="en-GB"/>
        </w:rPr>
        <w:t>(Martin and Price, 2017).</w:t>
      </w:r>
      <w:r w:rsidRPr="009F13BD">
        <w:rPr>
          <w:rFonts w:ascii="Times New Roman" w:hAnsi="Times New Roman" w:cs="Times New Roman"/>
          <w:sz w:val="24"/>
          <w:szCs w:val="24"/>
          <w:lang w:val="en-GB"/>
        </w:rPr>
        <w:t xml:space="preserve"> </w:t>
      </w:r>
    </w:p>
    <w:p w14:paraId="5FD0462C" w14:textId="05FE415C" w:rsidR="00063472" w:rsidRPr="00C762C6" w:rsidRDefault="00063472" w:rsidP="00F9022B">
      <w:pPr>
        <w:spacing w:line="480" w:lineRule="auto"/>
        <w:ind w:firstLine="720"/>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Moreover, in relation to the thematic analysis findings derived in the direction of the research objective that seeks to explore the purposefulness behind the introduction of reforms in the homicide laws of England as well as Wales, it is discussed that the reforms are purposefully introduced within the Wales and England in the alignment of section 2 of the ECHR which is focussed towards preserving the human rights towards leading a life. Furthermore, the purposefulness of introducing reforms within the homicide laws is determined in linkage with the Coroners and Justice Act that was enacted in the year 2009. Within this act, the specialised defence for diminished responsibilities such as the loss of control of the acts along with the suicidal intentions, needs to be recognised in a different manner as compared to the general defence</w:t>
      </w:r>
      <w:r w:rsidR="00441E76" w:rsidRPr="009F13BD">
        <w:rPr>
          <w:rFonts w:ascii="Times New Roman" w:hAnsi="Times New Roman" w:cs="Times New Roman"/>
          <w:sz w:val="24"/>
          <w:szCs w:val="24"/>
          <w:lang w:val="en-GB"/>
        </w:rPr>
        <w:t xml:space="preserve"> </w:t>
      </w:r>
      <w:r w:rsidR="00441E76" w:rsidRPr="00C762C6">
        <w:rPr>
          <w:rFonts w:ascii="Times New Roman" w:hAnsi="Times New Roman" w:cs="Times New Roman"/>
          <w:i/>
          <w:iCs/>
          <w:sz w:val="24"/>
          <w:szCs w:val="24"/>
          <w:lang w:val="en-GB"/>
        </w:rPr>
        <w:t>(Gardner, J. (2007).</w:t>
      </w:r>
      <w:r w:rsidR="00441E76"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 The existent general defence is needed to be reformed because it is not sufficient in the direction of handling the severe forms of criminal activities. It is further supported by the help of the existing literature that the reforms in the Homicide Act 1957 are introduced through the amendments that are introduced in accordance with section 52 defined under the CJA 2009 </w:t>
      </w:r>
      <w:r w:rsidRPr="00C762C6">
        <w:rPr>
          <w:rFonts w:ascii="Times New Roman" w:hAnsi="Times New Roman" w:cs="Times New Roman"/>
          <w:i/>
          <w:iCs/>
          <w:sz w:val="24"/>
          <w:szCs w:val="24"/>
          <w:lang w:val="en-GB"/>
        </w:rPr>
        <w:t>(Hendy and Hutchinson, 2016).</w:t>
      </w:r>
    </w:p>
    <w:p w14:paraId="4164A602" w14:textId="77777777" w:rsidR="00FE532D" w:rsidRPr="009F13BD" w:rsidRDefault="00480F69" w:rsidP="00F9022B">
      <w:pPr>
        <w:pStyle w:val="Heading2"/>
        <w:spacing w:before="0" w:after="0" w:line="480" w:lineRule="auto"/>
        <w:jc w:val="both"/>
        <w:rPr>
          <w:rFonts w:ascii="Times New Roman" w:hAnsi="Times New Roman" w:cs="Times New Roman"/>
          <w:b w:val="0"/>
          <w:bCs w:val="0"/>
          <w:i/>
          <w:iCs/>
          <w:sz w:val="24"/>
          <w:szCs w:val="24"/>
          <w:lang w:val="en-GB"/>
        </w:rPr>
      </w:pPr>
      <w:bookmarkStart w:id="9" w:name="_Toc140681440"/>
      <w:r w:rsidRPr="009F13BD">
        <w:rPr>
          <w:rFonts w:ascii="Times New Roman" w:hAnsi="Times New Roman" w:cs="Times New Roman"/>
          <w:b w:val="0"/>
          <w:bCs w:val="0"/>
          <w:i/>
          <w:iCs/>
          <w:sz w:val="24"/>
          <w:szCs w:val="24"/>
          <w:lang w:val="en-GB"/>
        </w:rPr>
        <w:lastRenderedPageBreak/>
        <w:t>Summary</w:t>
      </w:r>
      <w:bookmarkEnd w:id="9"/>
      <w:r w:rsidRPr="009F13BD">
        <w:rPr>
          <w:rFonts w:ascii="Times New Roman" w:hAnsi="Times New Roman" w:cs="Times New Roman"/>
          <w:b w:val="0"/>
          <w:bCs w:val="0"/>
          <w:i/>
          <w:iCs/>
          <w:sz w:val="24"/>
          <w:szCs w:val="24"/>
          <w:lang w:val="en-GB"/>
        </w:rPr>
        <w:t xml:space="preserve"> </w:t>
      </w:r>
    </w:p>
    <w:p w14:paraId="4D418234" w14:textId="08184D95" w:rsidR="00FE532D" w:rsidRDefault="00480F69"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It is summarised that even though the Homicide Act 1957 has brought amendments in the provisions for homicide-related cases to be resolved, its purposefulness has been questioned based on certain aspects, out of which one aspect has been related to the fault element concerned with the murder which specifically was the inference of the term "malice aforethought". Another aspect has been that it had not been initially considered for proving "murder" that any intention of an individual about severe harm to anybody might endanger that person's life. Thus, the law must continue to keep this aspect that if anyone wants to give severe harm to any other and if the person dies, then the offender needs to be surely guilty of murder</w:t>
      </w:r>
      <w:r w:rsidR="00441E76" w:rsidRPr="009F13BD">
        <w:rPr>
          <w:rFonts w:ascii="Times New Roman" w:hAnsi="Times New Roman" w:cs="Times New Roman"/>
          <w:sz w:val="24"/>
          <w:szCs w:val="24"/>
          <w:lang w:val="en-GB"/>
        </w:rPr>
        <w:t>.</w:t>
      </w:r>
    </w:p>
    <w:p w14:paraId="20B13015" w14:textId="77777777" w:rsidR="005C6A76" w:rsidRDefault="005C6A76" w:rsidP="00F9022B">
      <w:pPr>
        <w:spacing w:line="480" w:lineRule="auto"/>
        <w:jc w:val="both"/>
        <w:rPr>
          <w:rFonts w:ascii="Times New Roman" w:hAnsi="Times New Roman" w:cs="Times New Roman"/>
          <w:sz w:val="24"/>
          <w:szCs w:val="24"/>
          <w:lang w:val="en-GB"/>
        </w:rPr>
      </w:pPr>
    </w:p>
    <w:p w14:paraId="17B989E9" w14:textId="77777777" w:rsidR="005C6A76" w:rsidRDefault="005C6A76" w:rsidP="00F9022B">
      <w:pPr>
        <w:spacing w:line="480" w:lineRule="auto"/>
        <w:jc w:val="both"/>
        <w:rPr>
          <w:rFonts w:ascii="Times New Roman" w:hAnsi="Times New Roman" w:cs="Times New Roman"/>
          <w:sz w:val="24"/>
          <w:szCs w:val="24"/>
          <w:lang w:val="en-GB"/>
        </w:rPr>
      </w:pPr>
    </w:p>
    <w:p w14:paraId="4E051F39" w14:textId="77777777" w:rsidR="005C6A76" w:rsidRDefault="005C6A76" w:rsidP="00F9022B">
      <w:pPr>
        <w:spacing w:line="480" w:lineRule="auto"/>
        <w:jc w:val="both"/>
        <w:rPr>
          <w:rFonts w:ascii="Times New Roman" w:hAnsi="Times New Roman" w:cs="Times New Roman"/>
          <w:sz w:val="24"/>
          <w:szCs w:val="24"/>
          <w:lang w:val="en-GB"/>
        </w:rPr>
      </w:pPr>
    </w:p>
    <w:p w14:paraId="2F8AD130" w14:textId="77777777" w:rsidR="005C6A76" w:rsidRDefault="005C6A76" w:rsidP="00F9022B">
      <w:pPr>
        <w:spacing w:line="480" w:lineRule="auto"/>
        <w:jc w:val="both"/>
        <w:rPr>
          <w:rFonts w:ascii="Times New Roman" w:hAnsi="Times New Roman" w:cs="Times New Roman"/>
          <w:sz w:val="24"/>
          <w:szCs w:val="24"/>
          <w:lang w:val="en-GB"/>
        </w:rPr>
      </w:pPr>
    </w:p>
    <w:p w14:paraId="3B92497C" w14:textId="77777777" w:rsidR="005C6A76" w:rsidRDefault="005C6A76" w:rsidP="00F9022B">
      <w:pPr>
        <w:spacing w:line="480" w:lineRule="auto"/>
        <w:jc w:val="both"/>
        <w:rPr>
          <w:rFonts w:ascii="Times New Roman" w:hAnsi="Times New Roman" w:cs="Times New Roman"/>
          <w:sz w:val="24"/>
          <w:szCs w:val="24"/>
          <w:lang w:val="en-GB"/>
        </w:rPr>
      </w:pPr>
    </w:p>
    <w:p w14:paraId="5AA58B6B" w14:textId="77777777" w:rsidR="005C6A76" w:rsidRDefault="005C6A76" w:rsidP="00F9022B">
      <w:pPr>
        <w:spacing w:line="480" w:lineRule="auto"/>
        <w:jc w:val="both"/>
        <w:rPr>
          <w:rFonts w:ascii="Times New Roman" w:hAnsi="Times New Roman" w:cs="Times New Roman"/>
          <w:sz w:val="24"/>
          <w:szCs w:val="24"/>
          <w:lang w:val="en-GB"/>
        </w:rPr>
      </w:pPr>
    </w:p>
    <w:p w14:paraId="04CB8E8E" w14:textId="77777777" w:rsidR="005C6A76" w:rsidRDefault="005C6A76" w:rsidP="00F9022B">
      <w:pPr>
        <w:spacing w:line="480" w:lineRule="auto"/>
        <w:jc w:val="both"/>
        <w:rPr>
          <w:rFonts w:ascii="Times New Roman" w:hAnsi="Times New Roman" w:cs="Times New Roman"/>
          <w:sz w:val="24"/>
          <w:szCs w:val="24"/>
          <w:lang w:val="en-GB"/>
        </w:rPr>
      </w:pPr>
    </w:p>
    <w:p w14:paraId="724BE530" w14:textId="77777777" w:rsidR="005C6A76" w:rsidRDefault="005C6A76" w:rsidP="00F9022B">
      <w:pPr>
        <w:spacing w:line="480" w:lineRule="auto"/>
        <w:jc w:val="both"/>
        <w:rPr>
          <w:rFonts w:ascii="Times New Roman" w:hAnsi="Times New Roman" w:cs="Times New Roman"/>
          <w:sz w:val="24"/>
          <w:szCs w:val="24"/>
          <w:lang w:val="en-GB"/>
        </w:rPr>
      </w:pPr>
    </w:p>
    <w:p w14:paraId="7BD345FC" w14:textId="77777777" w:rsidR="005C6A76" w:rsidRDefault="005C6A76" w:rsidP="00F9022B">
      <w:pPr>
        <w:spacing w:line="480" w:lineRule="auto"/>
        <w:jc w:val="both"/>
        <w:rPr>
          <w:rFonts w:ascii="Times New Roman" w:hAnsi="Times New Roman" w:cs="Times New Roman"/>
          <w:sz w:val="24"/>
          <w:szCs w:val="24"/>
          <w:lang w:val="en-GB"/>
        </w:rPr>
      </w:pPr>
    </w:p>
    <w:p w14:paraId="4D3FEE30" w14:textId="77777777" w:rsidR="005C6A76" w:rsidRDefault="005C6A76" w:rsidP="00F9022B">
      <w:pPr>
        <w:spacing w:line="480" w:lineRule="auto"/>
        <w:jc w:val="both"/>
        <w:rPr>
          <w:rFonts w:ascii="Times New Roman" w:hAnsi="Times New Roman" w:cs="Times New Roman"/>
          <w:sz w:val="24"/>
          <w:szCs w:val="24"/>
          <w:lang w:val="en-GB"/>
        </w:rPr>
      </w:pPr>
    </w:p>
    <w:p w14:paraId="4623FAD6" w14:textId="77777777" w:rsidR="005C6A76" w:rsidRDefault="005C6A76" w:rsidP="00F9022B">
      <w:pPr>
        <w:spacing w:line="480" w:lineRule="auto"/>
        <w:jc w:val="both"/>
        <w:rPr>
          <w:rFonts w:ascii="Times New Roman" w:hAnsi="Times New Roman" w:cs="Times New Roman"/>
          <w:sz w:val="24"/>
          <w:szCs w:val="24"/>
          <w:lang w:val="en-GB"/>
        </w:rPr>
      </w:pPr>
    </w:p>
    <w:p w14:paraId="08801EC7" w14:textId="77777777" w:rsidR="005C6A76" w:rsidRDefault="005C6A76" w:rsidP="00F9022B">
      <w:pPr>
        <w:spacing w:line="480" w:lineRule="auto"/>
        <w:jc w:val="both"/>
        <w:rPr>
          <w:rFonts w:ascii="Times New Roman" w:hAnsi="Times New Roman" w:cs="Times New Roman"/>
          <w:sz w:val="24"/>
          <w:szCs w:val="24"/>
          <w:lang w:val="en-GB"/>
        </w:rPr>
      </w:pPr>
    </w:p>
    <w:p w14:paraId="3B82ED7E" w14:textId="77777777" w:rsidR="005C6A76" w:rsidRDefault="005C6A76" w:rsidP="00F9022B">
      <w:pPr>
        <w:spacing w:line="480" w:lineRule="auto"/>
        <w:jc w:val="both"/>
        <w:rPr>
          <w:rFonts w:ascii="Times New Roman" w:hAnsi="Times New Roman" w:cs="Times New Roman"/>
          <w:sz w:val="24"/>
          <w:szCs w:val="24"/>
          <w:lang w:val="en-GB"/>
        </w:rPr>
      </w:pPr>
    </w:p>
    <w:p w14:paraId="2704E5D4" w14:textId="77777777" w:rsidR="005C6A76" w:rsidRDefault="005C6A76" w:rsidP="00F9022B">
      <w:pPr>
        <w:spacing w:line="480" w:lineRule="auto"/>
        <w:jc w:val="both"/>
        <w:rPr>
          <w:rFonts w:ascii="Times New Roman" w:hAnsi="Times New Roman" w:cs="Times New Roman"/>
          <w:sz w:val="24"/>
          <w:szCs w:val="24"/>
          <w:lang w:val="en-GB"/>
        </w:rPr>
      </w:pPr>
    </w:p>
    <w:p w14:paraId="76407364" w14:textId="77777777" w:rsidR="005C6A76" w:rsidRPr="009F13BD" w:rsidRDefault="005C6A76" w:rsidP="00F9022B">
      <w:pPr>
        <w:spacing w:line="480" w:lineRule="auto"/>
        <w:jc w:val="both"/>
        <w:rPr>
          <w:rFonts w:ascii="Times New Roman" w:hAnsi="Times New Roman" w:cs="Times New Roman"/>
          <w:sz w:val="24"/>
          <w:szCs w:val="24"/>
          <w:lang w:val="en-GB"/>
        </w:rPr>
      </w:pPr>
    </w:p>
    <w:p w14:paraId="048667D3" w14:textId="3D62E83B" w:rsidR="00FE532D" w:rsidRPr="009F13BD" w:rsidRDefault="00480F69" w:rsidP="00F9022B">
      <w:pPr>
        <w:pStyle w:val="Heading1"/>
        <w:spacing w:beforeAutospacing="0" w:afterAutospacing="0" w:line="480" w:lineRule="auto"/>
        <w:jc w:val="both"/>
        <w:rPr>
          <w:rFonts w:ascii="Times New Roman" w:hAnsi="Times New Roman" w:hint="default"/>
          <w:sz w:val="24"/>
          <w:szCs w:val="24"/>
          <w:lang w:val="en-GB"/>
        </w:rPr>
      </w:pPr>
      <w:bookmarkStart w:id="10" w:name="_Toc140681441"/>
      <w:r w:rsidRPr="009F13BD">
        <w:rPr>
          <w:rFonts w:ascii="Times New Roman" w:hAnsi="Times New Roman" w:hint="default"/>
          <w:sz w:val="24"/>
          <w:szCs w:val="24"/>
          <w:lang w:val="en-GB"/>
        </w:rPr>
        <w:lastRenderedPageBreak/>
        <w:t>Thematic Chapter 2</w:t>
      </w:r>
      <w:bookmarkEnd w:id="10"/>
    </w:p>
    <w:p w14:paraId="55C3235C" w14:textId="07729063" w:rsidR="0003246B" w:rsidRPr="009F13BD" w:rsidRDefault="0003246B"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This theme is focussed on performing the critical assessment of the reforms that are required in accordance with the law for effectively governing homicide in accordance with the legislation of Wales as well as England. The theme is developed in the light of the research objective, which is directed towards performing the critical examination of the needful reforms that need to be introduced in the light of executing the homicide within the specific context of Wales as well as England-based legislation. Several cases as well as legislative acts are described for understanding reforms in the direction of the homicidal acts of Wales and England</w:t>
      </w:r>
      <w:r w:rsidR="001C3C99" w:rsidRPr="009F13BD">
        <w:rPr>
          <w:rFonts w:ascii="Times New Roman" w:hAnsi="Times New Roman" w:cs="Times New Roman"/>
          <w:sz w:val="24"/>
          <w:szCs w:val="24"/>
          <w:lang w:val="en-GB"/>
        </w:rPr>
        <w:t xml:space="preserve"> </w:t>
      </w:r>
      <w:r w:rsidR="001C3C99" w:rsidRPr="00C762C6">
        <w:rPr>
          <w:rFonts w:ascii="Times New Roman" w:hAnsi="Times New Roman" w:cs="Times New Roman"/>
          <w:i/>
          <w:iCs/>
          <w:sz w:val="24"/>
          <w:szCs w:val="24"/>
          <w:lang w:val="en-GB"/>
        </w:rPr>
        <w:t>(Herring, J. (2018).</w:t>
      </w:r>
    </w:p>
    <w:p w14:paraId="3349CF56" w14:textId="4A2615B7" w:rsidR="00FE532D" w:rsidRPr="009F13BD" w:rsidRDefault="00480F69" w:rsidP="00F9022B">
      <w:pPr>
        <w:spacing w:line="480" w:lineRule="auto"/>
        <w:jc w:val="both"/>
        <w:rPr>
          <w:rFonts w:ascii="Times New Roman" w:hAnsi="Times New Roman" w:cs="Times New Roman"/>
          <w:i/>
          <w:iCs/>
          <w:sz w:val="24"/>
          <w:szCs w:val="24"/>
          <w:lang w:val="en-GB"/>
        </w:rPr>
      </w:pPr>
      <w:bookmarkStart w:id="11" w:name="_Toc140681442"/>
      <w:r w:rsidRPr="009F13BD">
        <w:rPr>
          <w:rFonts w:ascii="Times New Roman" w:hAnsi="Times New Roman" w:cs="Times New Roman"/>
          <w:i/>
          <w:iCs/>
          <w:sz w:val="24"/>
          <w:szCs w:val="24"/>
          <w:lang w:val="en-GB"/>
        </w:rPr>
        <w:t xml:space="preserve"> </w:t>
      </w:r>
      <w:bookmarkEnd w:id="11"/>
      <w:r w:rsidR="00BC1CFD" w:rsidRPr="009F13BD">
        <w:rPr>
          <w:rFonts w:ascii="Times New Roman" w:hAnsi="Times New Roman" w:cs="Times New Roman"/>
          <w:i/>
          <w:iCs/>
          <w:sz w:val="24"/>
          <w:szCs w:val="24"/>
          <w:lang w:val="en-GB"/>
        </w:rPr>
        <w:t>To perform critical discussion of reformation needs and evolution of homicide in England and Wales.</w:t>
      </w:r>
    </w:p>
    <w:p w14:paraId="3DC98CA7" w14:textId="7AE67D9D" w:rsidR="006255FC" w:rsidRPr="009F13BD" w:rsidRDefault="006255FC"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It is asserted that the law governing homicide in England and Wales continues to follow some rules and provisions that have continued to be unaltered since the seventeenth century. In this context, a key examination has been an account of several complaints that have been raised regarding the existing definition of murder </w:t>
      </w:r>
      <w:r w:rsidRPr="00C762C6">
        <w:rPr>
          <w:rFonts w:ascii="Times New Roman" w:hAnsi="Times New Roman" w:cs="Times New Roman"/>
          <w:i/>
          <w:iCs/>
          <w:sz w:val="24"/>
          <w:szCs w:val="24"/>
          <w:lang w:val="en-GB"/>
        </w:rPr>
        <w:t>(Law Commission, n.d.).</w:t>
      </w:r>
      <w:r w:rsidRPr="009F13BD">
        <w:rPr>
          <w:rFonts w:ascii="Times New Roman" w:hAnsi="Times New Roman" w:cs="Times New Roman"/>
          <w:sz w:val="24"/>
          <w:szCs w:val="24"/>
          <w:lang w:val="en-GB"/>
        </w:rPr>
        <w:t xml:space="preserve"> It is highlighted that the law on homicide is bound by a rickety structure and shaky foundations, with some rules not having been revised despite the acknowledgement of a serious need for reform. Various reforms undertaken by the Parliament that were found to be valuable at the time of their inception have become obsolete and overtaken by other legal changes and are not reformed yet. In light of this concern, it is argued that the state of affairs regarding the law on homicide in England and Wales must discontinue. The recent guidelines for sentencing issued by the Parliament for the cases involving a conviction for murder assume murder to be having a rational structure, which itself reflects a significant degree of fault and allows defences of the right kind and scope</w:t>
      </w:r>
      <w:r w:rsidR="00550FBE" w:rsidRPr="009F13BD">
        <w:rPr>
          <w:rFonts w:ascii="Times New Roman" w:hAnsi="Times New Roman" w:cs="Times New Roman"/>
          <w:sz w:val="24"/>
          <w:szCs w:val="24"/>
          <w:lang w:val="en-GB"/>
        </w:rPr>
        <w:t xml:space="preserve"> </w:t>
      </w:r>
      <w:r w:rsidR="00550FBE" w:rsidRPr="00C762C6">
        <w:rPr>
          <w:rFonts w:ascii="Times New Roman" w:hAnsi="Times New Roman" w:cs="Times New Roman"/>
          <w:i/>
          <w:iCs/>
          <w:sz w:val="24"/>
          <w:szCs w:val="24"/>
          <w:lang w:val="en-GB"/>
        </w:rPr>
        <w:t>(Johnson, A. (2020).</w:t>
      </w:r>
      <w:r w:rsidR="00550FBE"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 However, the current law </w:t>
      </w:r>
      <w:r w:rsidRPr="009F13BD">
        <w:rPr>
          <w:rFonts w:ascii="Times New Roman" w:hAnsi="Times New Roman" w:cs="Times New Roman"/>
          <w:sz w:val="24"/>
          <w:szCs w:val="24"/>
          <w:lang w:val="en-GB"/>
        </w:rPr>
        <w:lastRenderedPageBreak/>
        <w:t xml:space="preserve">fails to consider such a structure, which is highly crucial to introduce reform in the law on homicide. Although the </w:t>
      </w:r>
      <w:r w:rsidRPr="009F13BD">
        <w:rPr>
          <w:rFonts w:ascii="Times New Roman" w:hAnsi="Times New Roman" w:cs="Times New Roman"/>
          <w:i/>
          <w:sz w:val="24"/>
          <w:szCs w:val="24"/>
          <w:lang w:val="en-GB"/>
        </w:rPr>
        <w:t>actus reus</w:t>
      </w:r>
      <w:r w:rsidRPr="009F13BD">
        <w:rPr>
          <w:rFonts w:ascii="Times New Roman" w:hAnsi="Times New Roman" w:cs="Times New Roman"/>
          <w:sz w:val="24"/>
          <w:szCs w:val="24"/>
          <w:lang w:val="en-GB"/>
        </w:rPr>
        <w:t xml:space="preserve"> of murder does not form a subject of controversy, it is highlighted that a murder can be identified only when another human being has been killed. Additionally, the fact there is an intention to kill fulfils the </w:t>
      </w:r>
      <w:r w:rsidRPr="009F13BD">
        <w:rPr>
          <w:rFonts w:ascii="Times New Roman" w:hAnsi="Times New Roman" w:cs="Times New Roman"/>
          <w:i/>
          <w:sz w:val="24"/>
          <w:szCs w:val="24"/>
          <w:lang w:val="en-GB"/>
        </w:rPr>
        <w:t>mens rea</w:t>
      </w:r>
      <w:r w:rsidRPr="009F13BD">
        <w:rPr>
          <w:rFonts w:ascii="Times New Roman" w:hAnsi="Times New Roman" w:cs="Times New Roman"/>
          <w:sz w:val="24"/>
          <w:szCs w:val="24"/>
          <w:lang w:val="en-GB"/>
        </w:rPr>
        <w:t xml:space="preserve"> of murder not considered as a remarkable </w:t>
      </w:r>
      <w:r w:rsidRPr="00C762C6">
        <w:rPr>
          <w:rFonts w:ascii="Times New Roman" w:hAnsi="Times New Roman" w:cs="Times New Roman"/>
          <w:i/>
          <w:iCs/>
          <w:sz w:val="24"/>
          <w:szCs w:val="24"/>
          <w:lang w:val="en-GB"/>
        </w:rPr>
        <w:t>(Padfield, 2016).</w:t>
      </w:r>
      <w:r w:rsidRPr="009F13BD">
        <w:rPr>
          <w:rFonts w:ascii="Times New Roman" w:hAnsi="Times New Roman" w:cs="Times New Roman"/>
          <w:sz w:val="24"/>
          <w:szCs w:val="24"/>
          <w:lang w:val="en-GB"/>
        </w:rPr>
        <w:t xml:space="preserve"> An important concern in this regard is also the fact that an intention to cause grievous physical harm is identified to be adequate to determine the conviction of murder. This implies that a defendant can be convicted of murder even if he did not have any intention to cause death and thereby suggests significant scope for injustice against the claimed convict and highlights the need for reform in the existing law governing homicide within England and Wales. In this context, it is also claimed that the primary offence is highly comprehensive or wide whereas the defences are highly narrow </w:t>
      </w:r>
      <w:r w:rsidRPr="00C762C6">
        <w:rPr>
          <w:rFonts w:ascii="Times New Roman" w:hAnsi="Times New Roman" w:cs="Times New Roman"/>
          <w:i/>
          <w:iCs/>
          <w:sz w:val="24"/>
          <w:szCs w:val="24"/>
          <w:lang w:val="en-GB"/>
        </w:rPr>
        <w:t>(Child and Ormerod, 2015).</w:t>
      </w:r>
      <w:r w:rsidRPr="009F13BD">
        <w:rPr>
          <w:rFonts w:ascii="Times New Roman" w:hAnsi="Times New Roman" w:cs="Times New Roman"/>
          <w:sz w:val="24"/>
          <w:szCs w:val="24"/>
          <w:lang w:val="en-GB"/>
        </w:rPr>
        <w:t xml:space="preserve"> The critics argue that the current definition of murder focuses only on the offenders who are not required to receive the label of murder and must not encounter a mandatory life sentence. Even where the offender does not have an intention to endanger life and did not realise that his misconduct could lead to the death of the victim and his act of killing shall meet the key aspects of the definition of murder under the current law. The conviction for murder not only engenders several years of imprisonment, but also associates the person with the stigma of murder for his entire remaining life </w:t>
      </w:r>
      <w:r w:rsidRPr="00C762C6">
        <w:rPr>
          <w:rFonts w:ascii="Times New Roman" w:hAnsi="Times New Roman" w:cs="Times New Roman"/>
          <w:i/>
          <w:iCs/>
          <w:sz w:val="24"/>
          <w:szCs w:val="24"/>
          <w:lang w:val="en-GB"/>
        </w:rPr>
        <w:t>(Child and Ormerod, 2015).</w:t>
      </w:r>
      <w:r w:rsidRPr="009F13BD">
        <w:rPr>
          <w:rFonts w:ascii="Times New Roman" w:hAnsi="Times New Roman" w:cs="Times New Roman"/>
          <w:sz w:val="24"/>
          <w:szCs w:val="24"/>
          <w:lang w:val="en-GB"/>
        </w:rPr>
        <w:t xml:space="preserve"> This can be further examined through </w:t>
      </w:r>
      <w:r w:rsidRPr="009F13BD">
        <w:rPr>
          <w:rFonts w:ascii="Times New Roman" w:hAnsi="Times New Roman" w:cs="Times New Roman"/>
          <w:i/>
          <w:sz w:val="24"/>
          <w:szCs w:val="24"/>
          <w:lang w:val="en-GB"/>
        </w:rPr>
        <w:t>R v Woollin</w:t>
      </w:r>
      <w:r w:rsidRPr="009F13BD">
        <w:rPr>
          <w:rFonts w:ascii="Times New Roman" w:hAnsi="Times New Roman" w:cs="Times New Roman"/>
          <w:sz w:val="24"/>
          <w:szCs w:val="24"/>
          <w:lang w:val="en-GB"/>
        </w:rPr>
        <w:t xml:space="preserve"> case wherein a defendant, who threw his baby on a hard surface and killed it did not have an intention to kill the baby, but was convicted of murder by the trial judge because of the assumption that he must have been aware of the underlying risk associated to the act perpetrated by him that caused the serious injury to death to the baby </w:t>
      </w:r>
      <w:r w:rsidRPr="00C762C6">
        <w:rPr>
          <w:rFonts w:ascii="Times New Roman" w:hAnsi="Times New Roman" w:cs="Times New Roman"/>
          <w:i/>
          <w:iCs/>
          <w:sz w:val="24"/>
          <w:szCs w:val="24"/>
          <w:lang w:val="en-GB"/>
        </w:rPr>
        <w:t>(</w:t>
      </w:r>
      <w:proofErr w:type="spellStart"/>
      <w:r w:rsidRPr="00C762C6">
        <w:rPr>
          <w:rFonts w:ascii="Times New Roman" w:hAnsi="Times New Roman" w:cs="Times New Roman"/>
          <w:i/>
          <w:iCs/>
          <w:sz w:val="24"/>
          <w:szCs w:val="24"/>
          <w:lang w:val="en-GB"/>
        </w:rPr>
        <w:t>Alhajri</w:t>
      </w:r>
      <w:proofErr w:type="spellEnd"/>
      <w:r w:rsidRPr="00C762C6">
        <w:rPr>
          <w:rFonts w:ascii="Times New Roman" w:hAnsi="Times New Roman" w:cs="Times New Roman"/>
          <w:i/>
          <w:iCs/>
          <w:sz w:val="24"/>
          <w:szCs w:val="24"/>
          <w:lang w:val="en-GB"/>
        </w:rPr>
        <w:t>, 2021).</w:t>
      </w:r>
      <w:r w:rsidRPr="009F13BD">
        <w:rPr>
          <w:rFonts w:ascii="Times New Roman" w:hAnsi="Times New Roman" w:cs="Times New Roman"/>
          <w:sz w:val="24"/>
          <w:szCs w:val="24"/>
          <w:lang w:val="en-GB"/>
        </w:rPr>
        <w:t xml:space="preserve"> The defendant appealed against the conviction arguing that the interpretation of murder by the judges is very wide. </w:t>
      </w:r>
      <w:r w:rsidRPr="009F13BD">
        <w:rPr>
          <w:rFonts w:ascii="Times New Roman" w:hAnsi="Times New Roman" w:cs="Times New Roman"/>
          <w:sz w:val="24"/>
          <w:szCs w:val="24"/>
          <w:lang w:val="en-GB"/>
        </w:rPr>
        <w:lastRenderedPageBreak/>
        <w:t xml:space="preserve">However, the appeal was rejected by the Court of Appeal. However, the House of Lords allowed the appeal and referred to virtual certainty established under the Nedrick Guidance and clarified the need of the jury to determine if the virtual certainty was foreseen by the defendant and the oblique intention of the defendant </w:t>
      </w:r>
      <w:r w:rsidRPr="003D7541">
        <w:rPr>
          <w:rFonts w:ascii="Times New Roman" w:hAnsi="Times New Roman" w:cs="Times New Roman"/>
          <w:i/>
          <w:iCs/>
          <w:sz w:val="24"/>
          <w:szCs w:val="24"/>
          <w:lang w:val="en-GB"/>
        </w:rPr>
        <w:t>(</w:t>
      </w:r>
      <w:proofErr w:type="spellStart"/>
      <w:r w:rsidRPr="003D7541">
        <w:rPr>
          <w:rFonts w:ascii="Times New Roman" w:hAnsi="Times New Roman" w:cs="Times New Roman"/>
          <w:i/>
          <w:iCs/>
          <w:sz w:val="24"/>
          <w:szCs w:val="24"/>
          <w:lang w:val="en-GB"/>
        </w:rPr>
        <w:t>Alhajri</w:t>
      </w:r>
      <w:proofErr w:type="spellEnd"/>
      <w:r w:rsidRPr="003D7541">
        <w:rPr>
          <w:rFonts w:ascii="Times New Roman" w:hAnsi="Times New Roman" w:cs="Times New Roman"/>
          <w:i/>
          <w:iCs/>
          <w:sz w:val="24"/>
          <w:szCs w:val="24"/>
          <w:lang w:val="en-GB"/>
        </w:rPr>
        <w:t>, 2021).</w:t>
      </w:r>
      <w:r w:rsidRPr="009F13BD">
        <w:rPr>
          <w:rFonts w:ascii="Times New Roman" w:hAnsi="Times New Roman" w:cs="Times New Roman"/>
          <w:sz w:val="24"/>
          <w:szCs w:val="24"/>
          <w:lang w:val="en-GB"/>
        </w:rPr>
        <w:t xml:space="preserve"> Moreover, the definition of grievous bodily harm is not defined precisely enough to legitimise it as a conviction for murder. This is because it is essential for the defendant to be aware of the degree of harm that is required to justify an ill intention to cause grievous bodily harm that fulfils the criteria of the </w:t>
      </w:r>
      <w:r w:rsidRPr="009F13BD">
        <w:rPr>
          <w:rFonts w:ascii="Times New Roman" w:hAnsi="Times New Roman" w:cs="Times New Roman"/>
          <w:i/>
          <w:sz w:val="24"/>
          <w:szCs w:val="24"/>
          <w:lang w:val="en-GB"/>
        </w:rPr>
        <w:t>mens rea</w:t>
      </w:r>
      <w:r w:rsidRPr="009F13BD">
        <w:rPr>
          <w:rFonts w:ascii="Times New Roman" w:hAnsi="Times New Roman" w:cs="Times New Roman"/>
          <w:sz w:val="24"/>
          <w:szCs w:val="24"/>
          <w:lang w:val="en-GB"/>
        </w:rPr>
        <w:t xml:space="preserve"> of murder. </w:t>
      </w:r>
    </w:p>
    <w:p w14:paraId="7A0F735C" w14:textId="13913C19" w:rsidR="006255FC" w:rsidRPr="009F13BD" w:rsidRDefault="006255FC"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It is also claimed that the ultimate development of the criminal law is largely shaped by the Parliament because of a range of concerns associated to the democratic legitimacy. Nevertheless, the rise of symbolic politics affecting the criminal justice system demonstrates some critical and detrimental impacts on the development of the criminal law</w:t>
      </w:r>
      <w:r w:rsidR="009E4BA1" w:rsidRPr="009F13BD">
        <w:rPr>
          <w:rFonts w:ascii="Times New Roman" w:hAnsi="Times New Roman" w:cs="Times New Roman"/>
          <w:sz w:val="24"/>
          <w:szCs w:val="24"/>
          <w:lang w:val="en-GB"/>
        </w:rPr>
        <w:t xml:space="preserve"> </w:t>
      </w:r>
      <w:r w:rsidR="009E4BA1" w:rsidRPr="003D7541">
        <w:rPr>
          <w:rFonts w:ascii="Times New Roman" w:hAnsi="Times New Roman" w:cs="Times New Roman"/>
          <w:i/>
          <w:iCs/>
          <w:sz w:val="24"/>
          <w:szCs w:val="24"/>
          <w:lang w:val="en-GB"/>
        </w:rPr>
        <w:t>(Smith, C. (2003)</w:t>
      </w:r>
      <w:r w:rsidR="009E4BA1"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 In this context, the literature asserts that amendments in the legislation on homicide are essential because offences relating to homicide can be identified as the most serious of all criminal offences. Consequently, they also form the convictions that restrict the liberty of the offender significantly. In addition to that, this forms a key component of the obligation of the state to protect the right to life as per Article 2 of the European Convention on Human Rights. A closer assessment of the homicide in the UK reveals its current classification into murder and manslaughter with murder carrying the mandatory punishment of life imprisonment as laid down under the Murder (</w:t>
      </w:r>
      <w:r w:rsidRPr="003D7541">
        <w:rPr>
          <w:rFonts w:ascii="Times New Roman" w:hAnsi="Times New Roman" w:cs="Times New Roman"/>
          <w:i/>
          <w:iCs/>
          <w:sz w:val="24"/>
          <w:szCs w:val="24"/>
          <w:lang w:val="en-GB"/>
        </w:rPr>
        <w:t xml:space="preserve">Abolition of Death Penalty) </w:t>
      </w:r>
      <w:r w:rsidRPr="009F13BD">
        <w:rPr>
          <w:rFonts w:ascii="Times New Roman" w:hAnsi="Times New Roman" w:cs="Times New Roman"/>
          <w:sz w:val="24"/>
          <w:szCs w:val="24"/>
          <w:lang w:val="en-GB"/>
        </w:rPr>
        <w:t xml:space="preserve">Act 1965. The Criminal Justice Act 2003 allowed the possibility of setting a minimum term. However, the UK was successful in arguing for it under the principle of ‘life means life’ under the European Court of Human Rights for highlight serious cases as in the case of </w:t>
      </w:r>
      <w:r w:rsidRPr="009F13BD">
        <w:rPr>
          <w:rFonts w:ascii="Times New Roman" w:hAnsi="Times New Roman" w:cs="Times New Roman"/>
          <w:i/>
          <w:sz w:val="24"/>
          <w:szCs w:val="24"/>
          <w:lang w:val="en-GB"/>
        </w:rPr>
        <w:t>Hutchinson v UK</w:t>
      </w:r>
      <w:r w:rsidRPr="009F13BD">
        <w:rPr>
          <w:rFonts w:ascii="Times New Roman" w:hAnsi="Times New Roman" w:cs="Times New Roman"/>
          <w:sz w:val="24"/>
          <w:szCs w:val="24"/>
          <w:lang w:val="en-GB"/>
        </w:rPr>
        <w:t xml:space="preserve"> </w:t>
      </w:r>
      <w:r w:rsidRPr="00F2414A">
        <w:rPr>
          <w:rFonts w:ascii="Times New Roman" w:hAnsi="Times New Roman" w:cs="Times New Roman"/>
          <w:i/>
          <w:iCs/>
          <w:sz w:val="24"/>
          <w:szCs w:val="24"/>
          <w:lang w:val="en-GB"/>
        </w:rPr>
        <w:t>(Shah, 2015).</w:t>
      </w:r>
      <w:r w:rsidRPr="009F13BD">
        <w:rPr>
          <w:rFonts w:ascii="Times New Roman" w:hAnsi="Times New Roman" w:cs="Times New Roman"/>
          <w:sz w:val="24"/>
          <w:szCs w:val="24"/>
          <w:lang w:val="en-GB"/>
        </w:rPr>
        <w:t xml:space="preserve"> Moreover, it is also observed that the 2003 Act does not consider if the murder </w:t>
      </w:r>
      <w:r w:rsidRPr="009F13BD">
        <w:rPr>
          <w:rFonts w:ascii="Times New Roman" w:hAnsi="Times New Roman" w:cs="Times New Roman"/>
          <w:sz w:val="24"/>
          <w:szCs w:val="24"/>
          <w:lang w:val="en-GB"/>
        </w:rPr>
        <w:lastRenderedPageBreak/>
        <w:t>has been committed out of threat of death or harm to the family as a factor in mitigating punishment. The 2003 Act also highlights that in case a killing occurs only through an intention to cause serious harm but not an intention to kill, there is a mitigating factor. This aspect of the law can be identified to be significant, however, a critical question in this regard is that whether the killings that occur only through an intention to cause serious harm must be governed under the 2003 Act.  Further, it is also argued that the law on manslaughter involve a highly comprehensive spectrum of killings, as a result of which, manslaughter law is also alleged to have lost it key function. In this regard, it can be highlighted that some defendants who were convicted of manslaughter were subjected to a life sentence, however, other defendants were subjected only to a probation that underpins the issue of encompassment of a broad range of murders</w:t>
      </w:r>
      <w:r w:rsidR="002F4904" w:rsidRPr="009F13BD">
        <w:rPr>
          <w:rFonts w:ascii="Times New Roman" w:hAnsi="Times New Roman" w:cs="Times New Roman"/>
          <w:sz w:val="24"/>
          <w:szCs w:val="24"/>
          <w:lang w:val="en-GB"/>
        </w:rPr>
        <w:t xml:space="preserve"> </w:t>
      </w:r>
      <w:r w:rsidR="002F4904" w:rsidRPr="00F2414A">
        <w:rPr>
          <w:rFonts w:ascii="Times New Roman" w:hAnsi="Times New Roman" w:cs="Times New Roman"/>
          <w:i/>
          <w:iCs/>
          <w:sz w:val="24"/>
          <w:szCs w:val="24"/>
          <w:lang w:val="en-GB"/>
        </w:rPr>
        <w:t>(Smith, J. C., &amp; Hogan, B. (2015).</w:t>
      </w:r>
    </w:p>
    <w:p w14:paraId="31A3ED3C" w14:textId="671F0135" w:rsidR="00FE532D" w:rsidRPr="009F13BD" w:rsidRDefault="00480F69" w:rsidP="00F9022B">
      <w:pPr>
        <w:spacing w:line="480" w:lineRule="auto"/>
        <w:jc w:val="both"/>
        <w:rPr>
          <w:rFonts w:ascii="Times New Roman" w:hAnsi="Times New Roman" w:cs="Times New Roman"/>
          <w:sz w:val="24"/>
          <w:szCs w:val="24"/>
          <w:lang w:val="en-GB"/>
        </w:rPr>
      </w:pPr>
      <w:bookmarkStart w:id="12" w:name="_Toc140681443"/>
      <w:r w:rsidRPr="009F13BD">
        <w:rPr>
          <w:rStyle w:val="Heading2Char"/>
          <w:rFonts w:ascii="Times New Roman" w:hAnsi="Times New Roman" w:cs="Times New Roman"/>
          <w:b w:val="0"/>
          <w:bCs w:val="0"/>
          <w:i/>
          <w:iCs/>
          <w:sz w:val="24"/>
          <w:szCs w:val="24"/>
          <w:lang w:val="en-GB"/>
        </w:rPr>
        <w:t>Summary</w:t>
      </w:r>
      <w:bookmarkEnd w:id="12"/>
      <w:r w:rsidRPr="009F13BD">
        <w:rPr>
          <w:rFonts w:ascii="Times New Roman" w:hAnsi="Times New Roman" w:cs="Times New Roman"/>
          <w:sz w:val="24"/>
          <w:szCs w:val="24"/>
          <w:lang w:val="en-GB"/>
        </w:rPr>
        <w:t xml:space="preserve"> </w:t>
      </w:r>
    </w:p>
    <w:p w14:paraId="2B7E2E63" w14:textId="23990A68" w:rsidR="0003246B" w:rsidRPr="009F13BD" w:rsidRDefault="0003246B"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 xml:space="preserve">It can be summarised that the reform within the homicide acts of England and Wales can be introduced in the direction of the provision for issuing convictions against individuals for cases of murder, even in the absence of a strong intention. It is also summarised that the primary defence in the direction of the murder or homicidal acts is high in comparison to the defences for the homicidal activities that are low. The need to introduce amendments in the instances of homicides is justified as they are regarded as the most severe forms of criminal offence.  </w:t>
      </w:r>
    </w:p>
    <w:p w14:paraId="41310AA7" w14:textId="393AA8D9" w:rsidR="00B049DD" w:rsidRPr="009F13BD" w:rsidRDefault="00B049DD" w:rsidP="00F9022B">
      <w:pPr>
        <w:spacing w:line="480" w:lineRule="auto"/>
        <w:jc w:val="both"/>
        <w:rPr>
          <w:rFonts w:ascii="Times New Roman" w:hAnsi="Times New Roman" w:cs="Times New Roman"/>
          <w:sz w:val="24"/>
          <w:szCs w:val="24"/>
          <w:lang w:val="en-GB"/>
        </w:rPr>
      </w:pPr>
    </w:p>
    <w:p w14:paraId="1A6C6D44" w14:textId="5C812ECD" w:rsidR="00B049DD" w:rsidRPr="009F13BD" w:rsidRDefault="00B049DD" w:rsidP="00F9022B">
      <w:pPr>
        <w:spacing w:line="480" w:lineRule="auto"/>
        <w:jc w:val="both"/>
        <w:rPr>
          <w:rFonts w:ascii="Times New Roman" w:hAnsi="Times New Roman" w:cs="Times New Roman"/>
          <w:sz w:val="24"/>
          <w:szCs w:val="24"/>
          <w:lang w:val="en-GB"/>
        </w:rPr>
      </w:pPr>
    </w:p>
    <w:p w14:paraId="62ED5D97" w14:textId="27E71EC0" w:rsidR="00B049DD" w:rsidRPr="009F13BD" w:rsidRDefault="00B049DD" w:rsidP="00F9022B">
      <w:pPr>
        <w:spacing w:line="480" w:lineRule="auto"/>
        <w:jc w:val="both"/>
        <w:rPr>
          <w:rFonts w:ascii="Times New Roman" w:hAnsi="Times New Roman" w:cs="Times New Roman"/>
          <w:sz w:val="24"/>
          <w:szCs w:val="24"/>
          <w:lang w:val="en-GB"/>
        </w:rPr>
      </w:pPr>
    </w:p>
    <w:p w14:paraId="689374CE" w14:textId="0C574137" w:rsidR="00B049DD" w:rsidRPr="009F13BD" w:rsidRDefault="00B049DD" w:rsidP="00F9022B">
      <w:pPr>
        <w:spacing w:line="480" w:lineRule="auto"/>
        <w:jc w:val="both"/>
        <w:rPr>
          <w:rFonts w:ascii="Times New Roman" w:hAnsi="Times New Roman" w:cs="Times New Roman"/>
          <w:sz w:val="24"/>
          <w:szCs w:val="24"/>
          <w:lang w:val="en-GB"/>
        </w:rPr>
      </w:pPr>
    </w:p>
    <w:p w14:paraId="5F1036BE" w14:textId="77777777" w:rsidR="00D00509" w:rsidRPr="009F13BD" w:rsidRDefault="00D00509" w:rsidP="00F9022B">
      <w:pPr>
        <w:spacing w:line="480" w:lineRule="auto"/>
        <w:jc w:val="both"/>
        <w:rPr>
          <w:rFonts w:ascii="Times New Roman" w:hAnsi="Times New Roman" w:cs="Times New Roman"/>
          <w:sz w:val="24"/>
          <w:szCs w:val="24"/>
          <w:lang w:val="en-GB"/>
        </w:rPr>
      </w:pPr>
    </w:p>
    <w:p w14:paraId="78D0EC36" w14:textId="70DEAD00" w:rsidR="00FE532D" w:rsidRPr="009F13BD" w:rsidRDefault="003551D6" w:rsidP="00F9022B">
      <w:pPr>
        <w:pStyle w:val="Heading1"/>
        <w:spacing w:beforeAutospacing="0" w:afterAutospacing="0" w:line="480" w:lineRule="auto"/>
        <w:jc w:val="both"/>
        <w:rPr>
          <w:rFonts w:ascii="Times New Roman" w:hAnsi="Times New Roman" w:hint="default"/>
          <w:sz w:val="24"/>
          <w:szCs w:val="24"/>
          <w:lang w:val="en-GB"/>
        </w:rPr>
      </w:pPr>
      <w:bookmarkStart w:id="13" w:name="_Toc140681444"/>
      <w:r w:rsidRPr="009F13BD">
        <w:rPr>
          <w:rFonts w:ascii="Times New Roman" w:hAnsi="Times New Roman" w:hint="default"/>
          <w:sz w:val="24"/>
          <w:szCs w:val="24"/>
          <w:lang w:val="en-GB"/>
        </w:rPr>
        <w:lastRenderedPageBreak/>
        <w:t>Discussion/</w:t>
      </w:r>
      <w:r w:rsidR="00480F69" w:rsidRPr="009F13BD">
        <w:rPr>
          <w:rFonts w:ascii="Times New Roman" w:hAnsi="Times New Roman" w:hint="default"/>
          <w:sz w:val="24"/>
          <w:szCs w:val="24"/>
          <w:lang w:val="en-GB"/>
        </w:rPr>
        <w:t>Conclusion</w:t>
      </w:r>
      <w:bookmarkEnd w:id="13"/>
      <w:r w:rsidR="00480F69" w:rsidRPr="009F13BD">
        <w:rPr>
          <w:rFonts w:ascii="Times New Roman" w:hAnsi="Times New Roman" w:hint="default"/>
          <w:sz w:val="24"/>
          <w:szCs w:val="24"/>
          <w:lang w:val="en-GB"/>
        </w:rPr>
        <w:t xml:space="preserve"> </w:t>
      </w:r>
    </w:p>
    <w:p w14:paraId="0202D685" w14:textId="7B2DE3A4" w:rsidR="00FE532D" w:rsidRPr="00C30410" w:rsidRDefault="00480F69"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b/>
          <w:bCs/>
          <w:sz w:val="24"/>
          <w:szCs w:val="24"/>
          <w:lang w:val="en-GB"/>
        </w:rPr>
        <w:tab/>
      </w:r>
      <w:r w:rsidRPr="009F13BD">
        <w:rPr>
          <w:rFonts w:ascii="Times New Roman" w:hAnsi="Times New Roman" w:cs="Times New Roman"/>
          <w:sz w:val="24"/>
          <w:szCs w:val="24"/>
          <w:lang w:val="en-GB"/>
        </w:rPr>
        <w:t xml:space="preserve">It is discussed in line with the initial and second research objective that Homicide law </w:t>
      </w:r>
      <w:r w:rsidRPr="00C30410">
        <w:rPr>
          <w:rFonts w:ascii="Times New Roman" w:hAnsi="Times New Roman" w:cs="Times New Roman"/>
          <w:i/>
          <w:iCs/>
          <w:sz w:val="24"/>
          <w:szCs w:val="24"/>
          <w:lang w:val="en-GB"/>
        </w:rPr>
        <w:t>(</w:t>
      </w:r>
      <w:proofErr w:type="gramStart"/>
      <w:r w:rsidRPr="00C30410">
        <w:rPr>
          <w:rFonts w:ascii="Times New Roman" w:hAnsi="Times New Roman" w:cs="Times New Roman"/>
          <w:i/>
          <w:iCs/>
          <w:sz w:val="24"/>
          <w:szCs w:val="24"/>
          <w:lang w:val="en-GB"/>
        </w:rPr>
        <w:t>e.g.</w:t>
      </w:r>
      <w:proofErr w:type="gramEnd"/>
      <w:r w:rsidRPr="00C30410">
        <w:rPr>
          <w:rFonts w:ascii="Times New Roman" w:hAnsi="Times New Roman" w:cs="Times New Roman"/>
          <w:i/>
          <w:iCs/>
          <w:sz w:val="24"/>
          <w:szCs w:val="24"/>
          <w:lang w:val="en-GB"/>
        </w:rPr>
        <w:t xml:space="preserve"> Homicide Act 1957)</w:t>
      </w:r>
      <w:r w:rsidRPr="009F13BD">
        <w:rPr>
          <w:rFonts w:ascii="Times New Roman" w:hAnsi="Times New Roman" w:cs="Times New Roman"/>
          <w:sz w:val="24"/>
          <w:szCs w:val="24"/>
          <w:lang w:val="en-GB"/>
        </w:rPr>
        <w:t xml:space="preserve"> based in England and Wales has been enacted to offer justice to the victim in the handling of case related to manslaughter or murder. However, </w:t>
      </w:r>
      <w:r w:rsidR="004A23CA" w:rsidRPr="009F13BD">
        <w:rPr>
          <w:rFonts w:ascii="Times New Roman" w:hAnsi="Times New Roman" w:cs="Times New Roman"/>
          <w:sz w:val="24"/>
          <w:szCs w:val="24"/>
          <w:lang w:val="en-GB"/>
        </w:rPr>
        <w:t xml:space="preserve">the result reflected </w:t>
      </w:r>
      <w:r w:rsidRPr="009F13BD">
        <w:rPr>
          <w:rFonts w:ascii="Times New Roman" w:hAnsi="Times New Roman" w:cs="Times New Roman"/>
          <w:sz w:val="24"/>
          <w:szCs w:val="24"/>
          <w:lang w:val="en-GB"/>
        </w:rPr>
        <w:t>it is discussed</w:t>
      </w:r>
      <w:r w:rsidR="004A23CA" w:rsidRPr="009F13BD">
        <w:rPr>
          <w:rFonts w:ascii="Times New Roman" w:hAnsi="Times New Roman" w:cs="Times New Roman"/>
          <w:sz w:val="24"/>
          <w:szCs w:val="24"/>
          <w:lang w:val="en-GB"/>
        </w:rPr>
        <w:t xml:space="preserve"> </w:t>
      </w:r>
      <w:r w:rsidRPr="009F13BD">
        <w:rPr>
          <w:rFonts w:ascii="Times New Roman" w:hAnsi="Times New Roman" w:cs="Times New Roman"/>
          <w:sz w:val="24"/>
          <w:szCs w:val="24"/>
          <w:lang w:val="en-GB"/>
        </w:rPr>
        <w:t xml:space="preserve">that for any person to be proved as convicted or guilty of murder under Homicide Act 1957, malice aforethought is required being existed. This malice aforethought, as per the case of </w:t>
      </w:r>
      <w:r w:rsidRPr="009F13BD">
        <w:rPr>
          <w:rFonts w:ascii="Times New Roman" w:hAnsi="Times New Roman" w:cs="Times New Roman"/>
          <w:i/>
          <w:iCs/>
          <w:sz w:val="24"/>
          <w:szCs w:val="24"/>
          <w:lang w:val="en-GB"/>
        </w:rPr>
        <w:t xml:space="preserve">R v Vickers </w:t>
      </w:r>
      <w:r w:rsidRPr="009F13BD">
        <w:rPr>
          <w:rFonts w:ascii="Times New Roman" w:hAnsi="Times New Roman" w:cs="Times New Roman"/>
          <w:sz w:val="24"/>
          <w:szCs w:val="24"/>
          <w:lang w:val="en-GB"/>
        </w:rPr>
        <w:t xml:space="preserve">has continued to raise mistakes in exercising huge influence or murder-related public perception. </w:t>
      </w:r>
      <w:r w:rsidR="00627C04" w:rsidRPr="009F13BD">
        <w:rPr>
          <w:rFonts w:ascii="Times New Roman" w:hAnsi="Times New Roman" w:cs="Times New Roman"/>
          <w:sz w:val="24"/>
          <w:szCs w:val="24"/>
          <w:lang w:val="en-GB"/>
        </w:rPr>
        <w:t xml:space="preserve">Thus, the outcome revealed that there has been the </w:t>
      </w:r>
      <w:r w:rsidRPr="009F13BD">
        <w:rPr>
          <w:rFonts w:ascii="Times New Roman" w:hAnsi="Times New Roman" w:cs="Times New Roman"/>
          <w:sz w:val="24"/>
          <w:szCs w:val="24"/>
          <w:lang w:val="en-GB"/>
        </w:rPr>
        <w:t xml:space="preserve">deliberate severe harm </w:t>
      </w:r>
      <w:r w:rsidR="00627C04" w:rsidRPr="009F13BD">
        <w:rPr>
          <w:rFonts w:ascii="Times New Roman" w:hAnsi="Times New Roman" w:cs="Times New Roman"/>
          <w:sz w:val="24"/>
          <w:szCs w:val="24"/>
          <w:lang w:val="en-GB"/>
        </w:rPr>
        <w:t xml:space="preserve">which </w:t>
      </w:r>
      <w:r w:rsidRPr="009F13BD">
        <w:rPr>
          <w:rFonts w:ascii="Times New Roman" w:hAnsi="Times New Roman" w:cs="Times New Roman"/>
          <w:sz w:val="24"/>
          <w:szCs w:val="24"/>
          <w:lang w:val="en-GB"/>
        </w:rPr>
        <w:t xml:space="preserve">result in death, such as due to the victim being unlucky to attain a proper medical cure or treatment </w:t>
      </w:r>
      <w:r w:rsidRPr="00C30410">
        <w:rPr>
          <w:rFonts w:ascii="Times New Roman" w:hAnsi="Times New Roman" w:cs="Times New Roman"/>
          <w:i/>
          <w:iCs/>
          <w:sz w:val="24"/>
          <w:szCs w:val="24"/>
          <w:lang w:val="en-GB"/>
        </w:rPr>
        <w:t>(</w:t>
      </w:r>
      <w:r w:rsidRPr="00C30410">
        <w:rPr>
          <w:rFonts w:ascii="Times New Roman" w:eastAsia="SimSun" w:hAnsi="Times New Roman" w:cs="Times New Roman"/>
          <w:i/>
          <w:iCs/>
          <w:sz w:val="24"/>
          <w:szCs w:val="24"/>
          <w:shd w:val="clear" w:color="auto" w:fill="FFFFFF"/>
          <w:lang w:val="en-GB"/>
        </w:rPr>
        <w:t>Lawcom.gov.uk, 2015)</w:t>
      </w:r>
      <w:r w:rsidRPr="00C30410">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This aspect has been problematic in Homicide law, compromising the purposefulness of the law and it requires proper reform to prevent murder cases. Another problematic aspect discussed from the findings has been that the Homicide law used not to prove someone guilty of murder due to the person's only intention of leading severe damage or harm to another person. However, it has been nowhere considered that such intention of giving severe damage or harm to anyone might put his or her life in danger of death. </w:t>
      </w:r>
      <w:r w:rsidR="004A23CA" w:rsidRPr="009F13BD">
        <w:rPr>
          <w:rFonts w:ascii="Times New Roman" w:hAnsi="Times New Roman" w:cs="Times New Roman"/>
          <w:sz w:val="24"/>
          <w:szCs w:val="24"/>
          <w:lang w:val="en-GB"/>
        </w:rPr>
        <w:t xml:space="preserve">The result indicated that </w:t>
      </w:r>
      <w:r w:rsidRPr="009F13BD">
        <w:rPr>
          <w:rFonts w:ascii="Times New Roman" w:hAnsi="Times New Roman" w:cs="Times New Roman"/>
          <w:sz w:val="24"/>
          <w:szCs w:val="24"/>
          <w:lang w:val="en-GB"/>
        </w:rPr>
        <w:t xml:space="preserve">law needs to be reformed to consider severe harm posing the intention of someone as a plan of attempting to murder because this intention might lead to the death of a person. Thus, </w:t>
      </w:r>
      <w:r w:rsidR="004A23CA" w:rsidRPr="009F13BD">
        <w:rPr>
          <w:rFonts w:ascii="Times New Roman" w:hAnsi="Times New Roman" w:cs="Times New Roman"/>
          <w:sz w:val="24"/>
          <w:szCs w:val="24"/>
          <w:lang w:val="en-GB"/>
        </w:rPr>
        <w:t xml:space="preserve">it is found </w:t>
      </w:r>
      <w:r w:rsidRPr="009F13BD">
        <w:rPr>
          <w:rFonts w:ascii="Times New Roman" w:hAnsi="Times New Roman" w:cs="Times New Roman"/>
          <w:sz w:val="24"/>
          <w:szCs w:val="24"/>
          <w:lang w:val="en-GB"/>
        </w:rPr>
        <w:t xml:space="preserve">law needs to consider the person guilty of murder in case the individual receiving a threat or attack by that person dies </w:t>
      </w:r>
      <w:r w:rsidRPr="00C30410">
        <w:rPr>
          <w:rFonts w:ascii="Times New Roman" w:hAnsi="Times New Roman" w:cs="Times New Roman"/>
          <w:i/>
          <w:iCs/>
          <w:sz w:val="24"/>
          <w:szCs w:val="24"/>
          <w:lang w:val="en-GB"/>
        </w:rPr>
        <w:t>(</w:t>
      </w:r>
      <w:r w:rsidRPr="00C30410">
        <w:rPr>
          <w:rFonts w:ascii="Times New Roman" w:eastAsia="SimSun" w:hAnsi="Times New Roman" w:cs="Times New Roman"/>
          <w:i/>
          <w:iCs/>
          <w:sz w:val="24"/>
          <w:szCs w:val="24"/>
          <w:shd w:val="clear" w:color="auto" w:fill="FFFFFF"/>
          <w:lang w:val="en-GB"/>
        </w:rPr>
        <w:t>Lawcom.gov.uk, 2015)</w:t>
      </w:r>
      <w:r w:rsidRPr="00C30410">
        <w:rPr>
          <w:rFonts w:ascii="Times New Roman" w:hAnsi="Times New Roman" w:cs="Times New Roman"/>
          <w:i/>
          <w:iCs/>
          <w:sz w:val="24"/>
          <w:szCs w:val="24"/>
          <w:lang w:val="en-GB"/>
        </w:rPr>
        <w:t>.</w:t>
      </w:r>
      <w:r w:rsidRPr="009F13BD">
        <w:rPr>
          <w:rFonts w:ascii="Times New Roman" w:hAnsi="Times New Roman" w:cs="Times New Roman"/>
          <w:sz w:val="24"/>
          <w:szCs w:val="24"/>
          <w:lang w:val="en-GB"/>
        </w:rPr>
        <w:t xml:space="preserve"> Overall, it is concluded that England and Wales-based laws of homicide cases have been found to follow a rudimentary trend and seem to be highly blunt. </w:t>
      </w:r>
      <w:r w:rsidR="004A23CA" w:rsidRPr="009F13BD">
        <w:rPr>
          <w:rFonts w:ascii="Times New Roman" w:hAnsi="Times New Roman" w:cs="Times New Roman"/>
          <w:sz w:val="24"/>
          <w:szCs w:val="24"/>
          <w:lang w:val="en-GB"/>
        </w:rPr>
        <w:t>It is concluded that law needs to</w:t>
      </w:r>
      <w:r w:rsidRPr="009F13BD">
        <w:rPr>
          <w:rFonts w:ascii="Times New Roman" w:hAnsi="Times New Roman" w:cs="Times New Roman"/>
          <w:sz w:val="24"/>
          <w:szCs w:val="24"/>
          <w:lang w:val="en-GB"/>
        </w:rPr>
        <w:t xml:space="preserve"> </w:t>
      </w:r>
      <w:r w:rsidR="006301EE" w:rsidRPr="009F13BD">
        <w:rPr>
          <w:rFonts w:ascii="Times New Roman" w:hAnsi="Times New Roman" w:cs="Times New Roman"/>
          <w:sz w:val="24"/>
          <w:szCs w:val="24"/>
          <w:lang w:val="en-GB"/>
        </w:rPr>
        <w:t>be getting</w:t>
      </w:r>
      <w:r w:rsidRPr="009F13BD">
        <w:rPr>
          <w:rFonts w:ascii="Times New Roman" w:hAnsi="Times New Roman" w:cs="Times New Roman"/>
          <w:sz w:val="24"/>
          <w:szCs w:val="24"/>
          <w:lang w:val="en-GB"/>
        </w:rPr>
        <w:t xml:space="preserve"> reformed in a way that it must observe murder from two perspectives comprising of contract killing (premeditated killing to attain something) and sudden </w:t>
      </w:r>
      <w:r w:rsidRPr="009F13BD">
        <w:rPr>
          <w:rFonts w:ascii="Times New Roman" w:hAnsi="Times New Roman" w:cs="Times New Roman"/>
          <w:sz w:val="24"/>
          <w:szCs w:val="24"/>
          <w:lang w:val="en-GB"/>
        </w:rPr>
        <w:lastRenderedPageBreak/>
        <w:t>killing of someone amid any argument, with a sharp and dangerous weapon, with or without the intention of the attack to be fatal or life-threatening</w:t>
      </w:r>
      <w:r w:rsidR="008F61A7" w:rsidRPr="009F13BD">
        <w:rPr>
          <w:rFonts w:ascii="Times New Roman" w:hAnsi="Times New Roman" w:cs="Times New Roman"/>
          <w:sz w:val="24"/>
          <w:szCs w:val="24"/>
          <w:lang w:val="en-GB"/>
        </w:rPr>
        <w:t xml:space="preserve"> </w:t>
      </w:r>
      <w:r w:rsidR="008F61A7" w:rsidRPr="00C30410">
        <w:rPr>
          <w:rFonts w:ascii="Times New Roman" w:hAnsi="Times New Roman" w:cs="Times New Roman"/>
          <w:i/>
          <w:iCs/>
          <w:sz w:val="24"/>
          <w:szCs w:val="24"/>
          <w:lang w:val="en-GB"/>
        </w:rPr>
        <w:t>(Smith, J. (2019).</w:t>
      </w:r>
    </w:p>
    <w:p w14:paraId="4B9E93D7" w14:textId="4A2C0F66" w:rsidR="003E7EED" w:rsidRPr="009F13BD" w:rsidRDefault="003E7EED"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On the other hand, in light of another evidence it is discussed that the homicide laws in the Wales as well as England comprises of unsteady structure due to the passage of a prolonged period of unaltered provisions since the 17</w:t>
      </w:r>
      <w:r w:rsidRPr="009F13BD">
        <w:rPr>
          <w:rFonts w:ascii="Times New Roman" w:hAnsi="Times New Roman" w:cs="Times New Roman"/>
          <w:sz w:val="24"/>
          <w:szCs w:val="24"/>
          <w:vertAlign w:val="superscript"/>
          <w:lang w:val="en-GB"/>
        </w:rPr>
        <w:t>th</w:t>
      </w:r>
      <w:r w:rsidRPr="009F13BD">
        <w:rPr>
          <w:rFonts w:ascii="Times New Roman" w:hAnsi="Times New Roman" w:cs="Times New Roman"/>
          <w:sz w:val="24"/>
          <w:szCs w:val="24"/>
          <w:lang w:val="en-GB"/>
        </w:rPr>
        <w:t xml:space="preserve"> century. Therefore, it is justified to introduce reforms in the existent homicide laws </w:t>
      </w:r>
      <w:r w:rsidRPr="00C30410">
        <w:rPr>
          <w:rFonts w:ascii="Times New Roman" w:hAnsi="Times New Roman" w:cs="Times New Roman"/>
          <w:i/>
          <w:iCs/>
          <w:sz w:val="24"/>
          <w:szCs w:val="24"/>
          <w:lang w:val="en-GB"/>
        </w:rPr>
        <w:t xml:space="preserve">(Beard and </w:t>
      </w:r>
      <w:proofErr w:type="spellStart"/>
      <w:r w:rsidRPr="00C30410">
        <w:rPr>
          <w:rFonts w:ascii="Times New Roman" w:hAnsi="Times New Roman" w:cs="Times New Roman"/>
          <w:i/>
          <w:iCs/>
          <w:sz w:val="24"/>
          <w:szCs w:val="24"/>
          <w:lang w:val="en-GB"/>
        </w:rPr>
        <w:t>Politowski</w:t>
      </w:r>
      <w:proofErr w:type="spellEnd"/>
      <w:r w:rsidRPr="00C30410">
        <w:rPr>
          <w:rFonts w:ascii="Times New Roman" w:hAnsi="Times New Roman" w:cs="Times New Roman"/>
          <w:i/>
          <w:iCs/>
          <w:sz w:val="24"/>
          <w:szCs w:val="24"/>
          <w:lang w:val="en-GB"/>
        </w:rPr>
        <w:t>, 2016).</w:t>
      </w:r>
    </w:p>
    <w:p w14:paraId="31F78CA6" w14:textId="2F83472C" w:rsidR="005237D3" w:rsidRPr="009F13BD" w:rsidRDefault="005237D3"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            Moreover, in relation to the thematic analysis findings derived in the direction of the research objective that seeks to explore the purposefulness behind the introduction of reforms in the homicide laws of England as well as Wales, it is discussed that the reforms are purposefully introduced within the Wales and England in the alignment of section 2 of the ECHR which is focussed towards preserving the human rights towards leading a life. Furthermore, the purposefulness of introducing reforms within the homicide laws is determined in linkage with the Coroners and Justice Act that was enacted in the year 2009. Within this act, the specialised defence for diminished responsibilities such as the loss of control of the acts along with the suicidal intentions, needs to be recognised in a different manner as compared to the general defence. The existent general defence is needed to be reformed because it is not sufficient in the direction of handling the severe forms of criminal activities. It is further supported by the help of the existing literature that the reforms in the Homicide Act 1957 are introduced through the amendments that are introduced in accordance with section 52 defined under the CJA 2009 </w:t>
      </w:r>
      <w:r w:rsidRPr="00B1419A">
        <w:rPr>
          <w:rFonts w:ascii="Times New Roman" w:hAnsi="Times New Roman" w:cs="Times New Roman"/>
          <w:i/>
          <w:iCs/>
          <w:sz w:val="24"/>
          <w:szCs w:val="24"/>
          <w:lang w:val="en-GB"/>
        </w:rPr>
        <w:t>(Hendy and Hutchinson, 2016).</w:t>
      </w:r>
    </w:p>
    <w:p w14:paraId="54BBC384" w14:textId="2311D6BA" w:rsidR="0003246B" w:rsidRPr="009F13BD" w:rsidRDefault="003E7EED"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However as per another evidence, it is discussed that no reforms are being introduced in the official description as well as definitions related to the cases of murder as well as homicide since the middle phases of the year 1950. The changes introduced </w:t>
      </w:r>
      <w:r w:rsidRPr="009F13BD">
        <w:rPr>
          <w:rFonts w:ascii="Times New Roman" w:hAnsi="Times New Roman" w:cs="Times New Roman"/>
          <w:sz w:val="24"/>
          <w:szCs w:val="24"/>
          <w:lang w:val="en-GB"/>
        </w:rPr>
        <w:lastRenderedPageBreak/>
        <w:t xml:space="preserve">in the threshold levels surrounding the diminished responsibility is not having a considerable impact on the   instances of infanticide </w:t>
      </w:r>
      <w:r w:rsidRPr="00B1419A">
        <w:rPr>
          <w:rFonts w:ascii="Times New Roman" w:hAnsi="Times New Roman" w:cs="Times New Roman"/>
          <w:i/>
          <w:iCs/>
          <w:sz w:val="24"/>
          <w:szCs w:val="24"/>
          <w:lang w:val="en-GB"/>
        </w:rPr>
        <w:t>(Large et al., 2008).</w:t>
      </w:r>
      <w:r w:rsidRPr="009F13BD">
        <w:rPr>
          <w:rFonts w:ascii="Times New Roman" w:hAnsi="Times New Roman" w:cs="Times New Roman"/>
          <w:sz w:val="24"/>
          <w:szCs w:val="24"/>
          <w:lang w:val="en-GB"/>
        </w:rPr>
        <w:t xml:space="preserve"> </w:t>
      </w:r>
      <w:r w:rsidR="0003246B" w:rsidRPr="009F13BD">
        <w:rPr>
          <w:rFonts w:ascii="Times New Roman" w:hAnsi="Times New Roman" w:cs="Times New Roman"/>
          <w:sz w:val="24"/>
          <w:szCs w:val="24"/>
          <w:lang w:val="en-GB"/>
        </w:rPr>
        <w:t>On the other side, it is also discussed that the reforms in regard to issuing penalisation for murder-oriented cases are introduced in accordance with the life imprisonment determining pieces of legislation named as (Abolishment of Death Penalty) Act (MA) 1965.</w:t>
      </w:r>
      <w:r w:rsidR="000557C6" w:rsidRPr="009F13BD">
        <w:rPr>
          <w:rFonts w:ascii="Times New Roman" w:hAnsi="Times New Roman" w:cs="Times New Roman"/>
          <w:sz w:val="24"/>
          <w:szCs w:val="24"/>
          <w:lang w:val="en-GB"/>
        </w:rPr>
        <w:t xml:space="preserve"> Based on the concluded findings, it is noted that</w:t>
      </w:r>
      <w:r w:rsidR="0003246B" w:rsidRPr="009F13BD">
        <w:rPr>
          <w:rFonts w:ascii="Times New Roman" w:hAnsi="Times New Roman" w:cs="Times New Roman"/>
          <w:sz w:val="24"/>
          <w:szCs w:val="24"/>
          <w:lang w:val="en-GB"/>
        </w:rPr>
        <w:t xml:space="preserve"> </w:t>
      </w:r>
      <w:r w:rsidR="000557C6" w:rsidRPr="009F13BD">
        <w:rPr>
          <w:rFonts w:ascii="Times New Roman" w:hAnsi="Times New Roman" w:cs="Times New Roman"/>
          <w:sz w:val="24"/>
          <w:szCs w:val="24"/>
          <w:lang w:val="en-GB"/>
        </w:rPr>
        <w:t>t</w:t>
      </w:r>
      <w:r w:rsidR="0003246B" w:rsidRPr="009F13BD">
        <w:rPr>
          <w:rFonts w:ascii="Times New Roman" w:hAnsi="Times New Roman" w:cs="Times New Roman"/>
          <w:sz w:val="24"/>
          <w:szCs w:val="24"/>
          <w:lang w:val="en-GB"/>
        </w:rPr>
        <w:t xml:space="preserve">he reform in this direction </w:t>
      </w:r>
      <w:r w:rsidR="000557C6" w:rsidRPr="009F13BD">
        <w:rPr>
          <w:rFonts w:ascii="Times New Roman" w:hAnsi="Times New Roman" w:cs="Times New Roman"/>
          <w:sz w:val="24"/>
          <w:szCs w:val="24"/>
          <w:lang w:val="en-GB"/>
        </w:rPr>
        <w:t>is supposed to be</w:t>
      </w:r>
      <w:r w:rsidR="0003246B" w:rsidRPr="009F13BD">
        <w:rPr>
          <w:rFonts w:ascii="Times New Roman" w:hAnsi="Times New Roman" w:cs="Times New Roman"/>
          <w:sz w:val="24"/>
          <w:szCs w:val="24"/>
          <w:lang w:val="en-GB"/>
        </w:rPr>
        <w:t xml:space="preserve"> introduced in the light of offering leeway to aged individuals in terms of issuing penalties for conducting severe crimes by considering the case of </w:t>
      </w:r>
      <w:r w:rsidR="0003246B" w:rsidRPr="009F13BD">
        <w:rPr>
          <w:rFonts w:ascii="Times New Roman" w:hAnsi="Times New Roman" w:cs="Times New Roman"/>
          <w:i/>
          <w:iCs/>
          <w:sz w:val="24"/>
          <w:szCs w:val="24"/>
          <w:lang w:val="en-GB"/>
        </w:rPr>
        <w:t>Hutchinson v. the United Kingdom</w:t>
      </w:r>
      <w:r w:rsidR="0003246B" w:rsidRPr="009F13BD">
        <w:rPr>
          <w:rFonts w:ascii="Times New Roman" w:hAnsi="Times New Roman" w:cs="Times New Roman"/>
          <w:sz w:val="24"/>
          <w:szCs w:val="24"/>
          <w:lang w:val="en-GB"/>
        </w:rPr>
        <w:t xml:space="preserve"> (2015). With respect to the case of named as </w:t>
      </w:r>
      <w:r w:rsidR="0003246B" w:rsidRPr="009F13BD">
        <w:rPr>
          <w:rFonts w:ascii="Times New Roman" w:hAnsi="Times New Roman" w:cs="Times New Roman"/>
          <w:i/>
          <w:iCs/>
          <w:sz w:val="24"/>
          <w:szCs w:val="24"/>
          <w:lang w:val="en-GB"/>
        </w:rPr>
        <w:t>Hutchinson v. the United Kingdom</w:t>
      </w:r>
      <w:r w:rsidR="0003246B" w:rsidRPr="009F13BD">
        <w:rPr>
          <w:rFonts w:ascii="Times New Roman" w:hAnsi="Times New Roman" w:cs="Times New Roman"/>
          <w:sz w:val="24"/>
          <w:szCs w:val="24"/>
          <w:lang w:val="en-GB"/>
        </w:rPr>
        <w:t xml:space="preserve"> (2015), the preservation of life-related rights, as well as penalisation, can be reformed where the ECHR is aimed at depicting that the countries are needed to comprise satisfactory levels of freedom while implying the life sentences for the old aged criminal offenders who are engaged in the severe criminal acts</w:t>
      </w:r>
      <w:r w:rsidR="0003246B" w:rsidRPr="00B1419A">
        <w:rPr>
          <w:rFonts w:ascii="Times New Roman" w:hAnsi="Times New Roman" w:cs="Times New Roman"/>
          <w:i/>
          <w:iCs/>
          <w:sz w:val="24"/>
          <w:szCs w:val="24"/>
          <w:lang w:val="en-GB"/>
        </w:rPr>
        <w:t>. (</w:t>
      </w:r>
      <w:proofErr w:type="spellStart"/>
      <w:r w:rsidR="0003246B" w:rsidRPr="00B1419A">
        <w:rPr>
          <w:rFonts w:ascii="Times New Roman" w:hAnsi="Times New Roman" w:cs="Times New Roman"/>
          <w:i/>
          <w:iCs/>
          <w:sz w:val="24"/>
          <w:szCs w:val="24"/>
          <w:shd w:val="clear" w:color="auto" w:fill="FFFFFF"/>
          <w:lang w:val="en-GB"/>
        </w:rPr>
        <w:t>Khechumyan</w:t>
      </w:r>
      <w:proofErr w:type="spellEnd"/>
      <w:r w:rsidR="0003246B" w:rsidRPr="00B1419A">
        <w:rPr>
          <w:rFonts w:ascii="Times New Roman" w:hAnsi="Times New Roman" w:cs="Times New Roman"/>
          <w:i/>
          <w:iCs/>
          <w:sz w:val="24"/>
          <w:szCs w:val="24"/>
          <w:shd w:val="clear" w:color="auto" w:fill="FFFFFF"/>
          <w:lang w:val="en-GB"/>
        </w:rPr>
        <w:t>, 2018</w:t>
      </w:r>
      <w:r w:rsidR="0003246B" w:rsidRPr="00B1419A">
        <w:rPr>
          <w:rFonts w:ascii="Times New Roman" w:hAnsi="Times New Roman" w:cs="Times New Roman"/>
          <w:i/>
          <w:iCs/>
          <w:sz w:val="24"/>
          <w:szCs w:val="24"/>
          <w:lang w:val="en-GB"/>
        </w:rPr>
        <w:t>).</w:t>
      </w:r>
    </w:p>
    <w:p w14:paraId="42487FE9" w14:textId="2F734BB6" w:rsidR="0003246B" w:rsidRPr="00B1419A" w:rsidRDefault="0003246B"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sz w:val="24"/>
          <w:szCs w:val="24"/>
          <w:lang w:val="en-GB"/>
        </w:rPr>
        <w:tab/>
        <w:t xml:space="preserve">Furthermore, it is also discussed that several purposeful reforms are also introduced in the extent of homicidal laws of the Welsh as well as English regions in regard to the personal perceptions of sober individuals in regard to the commencement of criminal activities. It is discussed through the support of the case law named </w:t>
      </w:r>
      <w:r w:rsidRPr="009F13BD">
        <w:rPr>
          <w:rFonts w:ascii="Times New Roman" w:hAnsi="Times New Roman" w:cs="Times New Roman"/>
          <w:i/>
          <w:iCs/>
          <w:sz w:val="24"/>
          <w:szCs w:val="24"/>
          <w:lang w:val="en-GB"/>
        </w:rPr>
        <w:t>R v. Watson</w:t>
      </w:r>
      <w:r w:rsidRPr="009F13BD">
        <w:rPr>
          <w:rFonts w:ascii="Times New Roman" w:hAnsi="Times New Roman" w:cs="Times New Roman"/>
          <w:sz w:val="24"/>
          <w:szCs w:val="24"/>
          <w:lang w:val="en-GB"/>
        </w:rPr>
        <w:t xml:space="preserve"> (1989) that the incidents associated with homicidal acts, such as manslaughter, can be confirmed in the cases where the death of victims is the result of an illegitimate activity which is not regarded as the decent or sober act as per a normal sophisticated individual </w:t>
      </w:r>
      <w:r w:rsidRPr="00B1419A">
        <w:rPr>
          <w:rFonts w:ascii="Times New Roman" w:hAnsi="Times New Roman" w:cs="Times New Roman"/>
          <w:i/>
          <w:iCs/>
          <w:sz w:val="24"/>
          <w:szCs w:val="24"/>
          <w:lang w:val="en-GB"/>
        </w:rPr>
        <w:t xml:space="preserve">(Molan, 2014). </w:t>
      </w:r>
      <w:r w:rsidRPr="009F13BD">
        <w:rPr>
          <w:rFonts w:ascii="Times New Roman" w:hAnsi="Times New Roman" w:cs="Times New Roman"/>
          <w:sz w:val="24"/>
          <w:szCs w:val="24"/>
          <w:lang w:val="en-GB"/>
        </w:rPr>
        <w:t xml:space="preserve">Moreover, it can be </w:t>
      </w:r>
      <w:r w:rsidR="000557C6" w:rsidRPr="009F13BD">
        <w:rPr>
          <w:rFonts w:ascii="Times New Roman" w:hAnsi="Times New Roman" w:cs="Times New Roman"/>
          <w:sz w:val="24"/>
          <w:szCs w:val="24"/>
          <w:lang w:val="en-GB"/>
        </w:rPr>
        <w:t>concluded</w:t>
      </w:r>
      <w:r w:rsidRPr="009F13BD">
        <w:rPr>
          <w:rFonts w:ascii="Times New Roman" w:hAnsi="Times New Roman" w:cs="Times New Roman"/>
          <w:sz w:val="24"/>
          <w:szCs w:val="24"/>
          <w:lang w:val="en-GB"/>
        </w:rPr>
        <w:t xml:space="preserve"> that reforms on the basis of the purposes of the individuals are also needed to be introduced in the direction of the occurrence of any external interruptive activity which leads to death or injury to a victim. It is affirmed by the case of </w:t>
      </w:r>
      <w:r w:rsidRPr="009F13BD">
        <w:rPr>
          <w:rFonts w:ascii="Times New Roman" w:hAnsi="Times New Roman" w:cs="Times New Roman"/>
          <w:i/>
          <w:iCs/>
          <w:sz w:val="24"/>
          <w:szCs w:val="24"/>
          <w:lang w:val="en-GB"/>
        </w:rPr>
        <w:t>R v. Dear</w:t>
      </w:r>
      <w:r w:rsidRPr="009F13BD">
        <w:rPr>
          <w:rFonts w:ascii="Times New Roman" w:hAnsi="Times New Roman" w:cs="Times New Roman"/>
          <w:sz w:val="24"/>
          <w:szCs w:val="24"/>
          <w:lang w:val="en-GB"/>
        </w:rPr>
        <w:t xml:space="preserve"> (1996), where the victim died due to the </w:t>
      </w:r>
      <w:r w:rsidRPr="009F13BD">
        <w:rPr>
          <w:rFonts w:ascii="Times New Roman" w:hAnsi="Times New Roman" w:cs="Times New Roman"/>
          <w:sz w:val="24"/>
          <w:szCs w:val="24"/>
          <w:lang w:val="en-GB"/>
        </w:rPr>
        <w:lastRenderedPageBreak/>
        <w:t xml:space="preserve">re-opening of the physical injuries instead of the actual acts of knife stabbing </w:t>
      </w:r>
      <w:r w:rsidRPr="00B1419A">
        <w:rPr>
          <w:rFonts w:ascii="Times New Roman" w:hAnsi="Times New Roman" w:cs="Times New Roman"/>
          <w:i/>
          <w:iCs/>
          <w:sz w:val="24"/>
          <w:szCs w:val="24"/>
          <w:lang w:val="en-GB"/>
        </w:rPr>
        <w:t>(Allen and Edwards, 2021; Martin and Price, 2017).</w:t>
      </w:r>
      <w:r w:rsidR="00627C04" w:rsidRPr="00B1419A">
        <w:rPr>
          <w:rFonts w:ascii="Times New Roman" w:hAnsi="Times New Roman" w:cs="Times New Roman"/>
          <w:i/>
          <w:iCs/>
          <w:sz w:val="24"/>
          <w:szCs w:val="24"/>
          <w:lang w:val="en-GB"/>
        </w:rPr>
        <w:t xml:space="preserve"> </w:t>
      </w:r>
    </w:p>
    <w:p w14:paraId="2EAF4CE5" w14:textId="564EB7B3" w:rsidR="00627C04" w:rsidRPr="005C6A76" w:rsidRDefault="00BC7397" w:rsidP="005C6A76">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            This research </w:t>
      </w:r>
      <w:r w:rsidR="00B1419A">
        <w:rPr>
          <w:rFonts w:ascii="Times New Roman" w:hAnsi="Times New Roman" w:cs="Times New Roman"/>
          <w:sz w:val="24"/>
          <w:szCs w:val="24"/>
          <w:lang w:val="en-GB"/>
        </w:rPr>
        <w:t>highlights</w:t>
      </w:r>
      <w:r w:rsidRPr="009F13BD">
        <w:rPr>
          <w:rFonts w:ascii="Times New Roman" w:hAnsi="Times New Roman" w:cs="Times New Roman"/>
          <w:sz w:val="24"/>
          <w:szCs w:val="24"/>
          <w:lang w:val="en-GB"/>
        </w:rPr>
        <w:t xml:space="preserve"> the need to introduce reforms within the homicide laws of Wales as well as England. Hence, the current research can contribute towards offering detailed insights about the key requirements for introducing reforms within England as well as Wales. The research can also assist towards exploring the purposefulness and reform-oriented needs for the homicide laws in Wales as well as the UK-based regions. The research can help in providing relevant information about the appropriate legislation, which can be useful for dealing with the cases of homicides within Wales and England</w:t>
      </w:r>
      <w:r w:rsidR="00E2773B" w:rsidRPr="009F13BD">
        <w:rPr>
          <w:rFonts w:ascii="Times New Roman" w:hAnsi="Times New Roman" w:cs="Times New Roman"/>
          <w:sz w:val="24"/>
          <w:szCs w:val="24"/>
          <w:lang w:val="en-GB"/>
        </w:rPr>
        <w:t xml:space="preserve"> </w:t>
      </w:r>
      <w:r w:rsidR="00E2773B" w:rsidRPr="00070AF6">
        <w:rPr>
          <w:rFonts w:ascii="Times New Roman" w:hAnsi="Times New Roman" w:cs="Times New Roman"/>
          <w:i/>
          <w:iCs/>
          <w:sz w:val="24"/>
          <w:szCs w:val="24"/>
          <w:lang w:val="en-GB"/>
        </w:rPr>
        <w:t>(Williams, G. (2012).</w:t>
      </w:r>
      <w:r w:rsidR="00E2773B" w:rsidRPr="009F13BD">
        <w:rPr>
          <w:rFonts w:ascii="Times New Roman" w:hAnsi="Times New Roman" w:cs="Times New Roman"/>
          <w:sz w:val="24"/>
          <w:szCs w:val="24"/>
          <w:lang w:val="en-GB"/>
        </w:rPr>
        <w:t xml:space="preserve"> </w:t>
      </w:r>
      <w:r w:rsidR="00A11306" w:rsidRPr="009F13BD">
        <w:rPr>
          <w:rFonts w:ascii="Times New Roman" w:hAnsi="Times New Roman" w:cs="Times New Roman"/>
          <w:sz w:val="24"/>
          <w:szCs w:val="24"/>
          <w:lang w:val="en-GB"/>
        </w:rPr>
        <w:t xml:space="preserve"> </w:t>
      </w:r>
    </w:p>
    <w:p w14:paraId="262EB7EC" w14:textId="77777777" w:rsidR="005C6A76" w:rsidRPr="009F13BD" w:rsidRDefault="005C6A76" w:rsidP="00F9022B">
      <w:pPr>
        <w:spacing w:line="480" w:lineRule="auto"/>
        <w:jc w:val="both"/>
        <w:rPr>
          <w:rFonts w:ascii="Times New Roman" w:hAnsi="Times New Roman" w:cs="Times New Roman"/>
          <w:i/>
          <w:iCs/>
          <w:sz w:val="24"/>
          <w:szCs w:val="24"/>
          <w:lang w:val="en-GB"/>
        </w:rPr>
      </w:pPr>
    </w:p>
    <w:p w14:paraId="402F2826" w14:textId="5317E4D4" w:rsidR="00627C04" w:rsidRPr="009F13BD" w:rsidRDefault="00627C04" w:rsidP="00F9022B">
      <w:pPr>
        <w:spacing w:line="480" w:lineRule="auto"/>
        <w:ind w:firstLine="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The research can also put implications upon the legal professionals as well as legal </w:t>
      </w:r>
      <w:r w:rsidR="00BA0CE2" w:rsidRPr="009F13BD">
        <w:rPr>
          <w:rFonts w:ascii="Times New Roman" w:hAnsi="Times New Roman" w:cs="Times New Roman"/>
          <w:sz w:val="24"/>
          <w:szCs w:val="24"/>
          <w:lang w:val="en-GB"/>
        </w:rPr>
        <w:t>academic</w:t>
      </w:r>
      <w:r w:rsidRPr="009F13BD">
        <w:rPr>
          <w:rFonts w:ascii="Times New Roman" w:hAnsi="Times New Roman" w:cs="Times New Roman"/>
          <w:sz w:val="24"/>
          <w:szCs w:val="24"/>
          <w:lang w:val="en-GB"/>
        </w:rPr>
        <w:t xml:space="preserve"> of Wales as well as England in terms of understanding the areas where reform is needed for the management of the incident of homicides. Furthermore, the research is also useful in the context of legal policymakers because it is aimed towards highlighting the purposefulness of the reforms that are needed to be introduced in the homicide laws adopted in England and Wales. The research is also dedicated to highlighting the current scenario of the homicidal laws of Wales and England and identification of the areas which need improvement within the homicide legislation-oriented areas within the UK.  </w:t>
      </w:r>
    </w:p>
    <w:p w14:paraId="3B4254F2" w14:textId="77777777" w:rsidR="00627C04" w:rsidRPr="009F13BD" w:rsidRDefault="00627C04" w:rsidP="00F9022B">
      <w:pPr>
        <w:spacing w:line="480" w:lineRule="auto"/>
        <w:jc w:val="both"/>
        <w:rPr>
          <w:rFonts w:ascii="Times New Roman" w:hAnsi="Times New Roman" w:cs="Times New Roman"/>
          <w:sz w:val="24"/>
          <w:szCs w:val="24"/>
          <w:lang w:val="en-GB"/>
        </w:rPr>
      </w:pPr>
    </w:p>
    <w:p w14:paraId="41EC6C61" w14:textId="77777777" w:rsidR="00FE532D" w:rsidRPr="009F13BD" w:rsidRDefault="00480F69"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br w:type="page"/>
      </w:r>
    </w:p>
    <w:p w14:paraId="3339A619" w14:textId="28D1DB96" w:rsidR="006255FC" w:rsidRPr="009F13BD" w:rsidRDefault="00480F69" w:rsidP="00F9022B">
      <w:pPr>
        <w:pStyle w:val="Heading1"/>
        <w:spacing w:beforeAutospacing="0" w:afterAutospacing="0" w:line="480" w:lineRule="auto"/>
        <w:jc w:val="both"/>
        <w:rPr>
          <w:rFonts w:ascii="Times New Roman" w:hAnsi="Times New Roman" w:hint="default"/>
          <w:sz w:val="24"/>
          <w:szCs w:val="24"/>
          <w:lang w:val="en-GB"/>
        </w:rPr>
      </w:pPr>
      <w:bookmarkStart w:id="14" w:name="_Toc140681445"/>
      <w:bookmarkStart w:id="15" w:name="_Hlk140691157"/>
      <w:r w:rsidRPr="009F13BD">
        <w:rPr>
          <w:rFonts w:ascii="Times New Roman" w:hAnsi="Times New Roman" w:hint="default"/>
          <w:sz w:val="24"/>
          <w:szCs w:val="24"/>
          <w:lang w:val="en-GB"/>
        </w:rPr>
        <w:lastRenderedPageBreak/>
        <w:t>References</w:t>
      </w:r>
      <w:bookmarkEnd w:id="14"/>
    </w:p>
    <w:p w14:paraId="0D668DF4" w14:textId="154502C3" w:rsidR="00A273DD" w:rsidRPr="009F13BD" w:rsidRDefault="000557C6"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i/>
          <w:iCs/>
          <w:sz w:val="24"/>
          <w:szCs w:val="24"/>
          <w:lang w:val="en-GB"/>
        </w:rPr>
        <w:t>Lists of Cases</w:t>
      </w:r>
    </w:p>
    <w:p w14:paraId="5461A3EF" w14:textId="1387BA06" w:rsidR="00A273DD" w:rsidRPr="009F13BD" w:rsidRDefault="00A273DD" w:rsidP="00F9022B">
      <w:pPr>
        <w:tabs>
          <w:tab w:val="left" w:pos="180"/>
        </w:tabs>
        <w:spacing w:line="480" w:lineRule="auto"/>
        <w:ind w:left="720"/>
        <w:jc w:val="both"/>
        <w:rPr>
          <w:rFonts w:ascii="Times New Roman" w:hAnsi="Times New Roman" w:cs="Times New Roman"/>
          <w:sz w:val="24"/>
          <w:szCs w:val="24"/>
          <w:shd w:val="clear" w:color="auto" w:fill="FFFFFF"/>
        </w:rPr>
      </w:pPr>
      <w:r w:rsidRPr="009F13BD">
        <w:rPr>
          <w:rStyle w:val="Emphasis"/>
          <w:rFonts w:ascii="Times New Roman" w:hAnsi="Times New Roman" w:cs="Times New Roman"/>
          <w:i w:val="0"/>
          <w:iCs w:val="0"/>
          <w:sz w:val="24"/>
          <w:szCs w:val="24"/>
          <w:shd w:val="clear" w:color="auto" w:fill="FFFFFF"/>
        </w:rPr>
        <w:t>DPP v Newbury and Jones</w:t>
      </w:r>
      <w:r w:rsidRPr="009F13BD">
        <w:rPr>
          <w:rFonts w:ascii="Times New Roman" w:hAnsi="Times New Roman" w:cs="Times New Roman"/>
          <w:sz w:val="24"/>
          <w:szCs w:val="24"/>
          <w:shd w:val="clear" w:color="auto" w:fill="FFFFFF"/>
        </w:rPr>
        <w:t> [</w:t>
      </w:r>
      <w:r w:rsidRPr="009F13BD">
        <w:rPr>
          <w:rStyle w:val="Emphasis"/>
          <w:rFonts w:ascii="Times New Roman" w:hAnsi="Times New Roman" w:cs="Times New Roman"/>
          <w:i w:val="0"/>
          <w:iCs w:val="0"/>
          <w:sz w:val="24"/>
          <w:szCs w:val="24"/>
          <w:shd w:val="clear" w:color="auto" w:fill="FFFFFF"/>
        </w:rPr>
        <w:t>1976</w:t>
      </w:r>
      <w:r w:rsidRPr="009F13BD">
        <w:rPr>
          <w:rFonts w:ascii="Times New Roman" w:hAnsi="Times New Roman" w:cs="Times New Roman"/>
          <w:sz w:val="24"/>
          <w:szCs w:val="24"/>
          <w:shd w:val="clear" w:color="auto" w:fill="FFFFFF"/>
        </w:rPr>
        <w:t>] AC 50</w:t>
      </w:r>
    </w:p>
    <w:p w14:paraId="72C3F99D" w14:textId="58F84115" w:rsidR="00A273DD" w:rsidRPr="009F13BD" w:rsidRDefault="00A273DD" w:rsidP="00F9022B">
      <w:pPr>
        <w:spacing w:line="480" w:lineRule="auto"/>
        <w:ind w:left="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Hutchinson v. the United Kingdom (application no. 57592/08) [2016] ECHR </w:t>
      </w:r>
    </w:p>
    <w:p w14:paraId="7057DD08" w14:textId="46E5B8B7" w:rsidR="00A273DD" w:rsidRDefault="00A273DD" w:rsidP="00F9022B">
      <w:pPr>
        <w:spacing w:line="480" w:lineRule="auto"/>
        <w:ind w:left="72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021 (January 2017)</w:t>
      </w:r>
    </w:p>
    <w:p w14:paraId="1DAC8F72" w14:textId="77777777" w:rsidR="001E0809" w:rsidRDefault="001E0809" w:rsidP="001E0809">
      <w:pPr>
        <w:spacing w:line="480" w:lineRule="auto"/>
        <w:ind w:left="720"/>
        <w:rPr>
          <w:rFonts w:ascii="Times New Roman" w:hAnsi="Times New Roman" w:cs="Times New Roman"/>
          <w:color w:val="000000" w:themeColor="text1"/>
          <w:sz w:val="24"/>
          <w:szCs w:val="24"/>
          <w:lang w:val="en-GB"/>
        </w:rPr>
      </w:pPr>
      <w:r w:rsidRPr="001E0809">
        <w:rPr>
          <w:rFonts w:ascii="Times New Roman" w:hAnsi="Times New Roman" w:cs="Times New Roman"/>
          <w:color w:val="000000" w:themeColor="text1"/>
          <w:sz w:val="24"/>
          <w:szCs w:val="24"/>
          <w:lang w:val="en-GB"/>
        </w:rPr>
        <w:t>R v Campbell (1987) 84 Cr App R 255, 260</w:t>
      </w:r>
    </w:p>
    <w:p w14:paraId="2E0159AA" w14:textId="77777777" w:rsidR="00810769" w:rsidRPr="001E0809" w:rsidRDefault="00810769" w:rsidP="001E0809">
      <w:pPr>
        <w:spacing w:line="480" w:lineRule="auto"/>
        <w:ind w:left="720"/>
        <w:rPr>
          <w:rFonts w:ascii="Times New Roman" w:hAnsi="Times New Roman" w:cs="Times New Roman"/>
          <w:color w:val="000000" w:themeColor="text1"/>
          <w:sz w:val="24"/>
          <w:szCs w:val="24"/>
          <w:lang w:val="en-GB"/>
        </w:rPr>
      </w:pPr>
    </w:p>
    <w:p w14:paraId="1A7E534E" w14:textId="0316DC19" w:rsidR="000557C6" w:rsidRDefault="001E0809" w:rsidP="001E0809">
      <w:pPr>
        <w:tabs>
          <w:tab w:val="left" w:pos="180"/>
        </w:tabs>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lang w:val="en-GB"/>
        </w:rPr>
        <w:t xml:space="preserve">            </w:t>
      </w:r>
      <w:r w:rsidR="00A273DD" w:rsidRPr="009F13BD">
        <w:rPr>
          <w:rStyle w:val="Emphasis"/>
          <w:rFonts w:ascii="Times New Roman" w:hAnsi="Times New Roman" w:cs="Times New Roman"/>
          <w:i w:val="0"/>
          <w:iCs w:val="0"/>
          <w:sz w:val="24"/>
          <w:szCs w:val="24"/>
          <w:shd w:val="clear" w:color="auto" w:fill="FFFFFF"/>
        </w:rPr>
        <w:t>R v Church</w:t>
      </w:r>
      <w:r w:rsidR="00A273DD" w:rsidRPr="009F13BD">
        <w:rPr>
          <w:rFonts w:ascii="Times New Roman" w:hAnsi="Times New Roman" w:cs="Times New Roman"/>
          <w:sz w:val="24"/>
          <w:szCs w:val="24"/>
          <w:shd w:val="clear" w:color="auto" w:fill="FFFFFF"/>
        </w:rPr>
        <w:t> (Cyril David) (</w:t>
      </w:r>
      <w:r w:rsidR="00A273DD" w:rsidRPr="009F13BD">
        <w:rPr>
          <w:rStyle w:val="Emphasis"/>
          <w:rFonts w:ascii="Times New Roman" w:hAnsi="Times New Roman" w:cs="Times New Roman"/>
          <w:i w:val="0"/>
          <w:iCs w:val="0"/>
          <w:sz w:val="24"/>
          <w:szCs w:val="24"/>
          <w:shd w:val="clear" w:color="auto" w:fill="FFFFFF"/>
        </w:rPr>
        <w:t>1966</w:t>
      </w:r>
      <w:r w:rsidR="00A273DD" w:rsidRPr="009F13BD">
        <w:rPr>
          <w:rFonts w:ascii="Times New Roman" w:hAnsi="Times New Roman" w:cs="Times New Roman"/>
          <w:sz w:val="24"/>
          <w:szCs w:val="24"/>
          <w:shd w:val="clear" w:color="auto" w:fill="FFFFFF"/>
        </w:rPr>
        <w:t>) 1 QB 59</w:t>
      </w:r>
    </w:p>
    <w:p w14:paraId="4941BCC9" w14:textId="78E41494" w:rsidR="00A97A8D" w:rsidRPr="00A97A8D" w:rsidRDefault="00A97A8D" w:rsidP="00A97A8D">
      <w:pPr>
        <w:spacing w:line="480" w:lineRule="auto"/>
        <w:rPr>
          <w:rFonts w:ascii="Times New Roman" w:hAnsi="Times New Roman" w:cs="Times New Roman"/>
          <w:sz w:val="24"/>
          <w:szCs w:val="24"/>
          <w:lang w:val="en-GB"/>
        </w:rPr>
      </w:pPr>
      <w:r w:rsidRPr="00A97A8D">
        <w:rPr>
          <w:rFonts w:ascii="Times New Roman" w:hAnsi="Times New Roman" w:cs="Times New Roman"/>
          <w:sz w:val="24"/>
          <w:szCs w:val="24"/>
          <w:lang w:val="en-GB"/>
        </w:rPr>
        <w:t xml:space="preserve">            </w:t>
      </w:r>
      <w:r w:rsidRPr="00A97A8D">
        <w:rPr>
          <w:rFonts w:ascii="Times New Roman" w:hAnsi="Times New Roman" w:cs="Times New Roman"/>
          <w:sz w:val="24"/>
          <w:szCs w:val="24"/>
          <w:lang w:val="en-GB"/>
        </w:rPr>
        <w:t>R v Dunbar [1958] 1 QB 1</w:t>
      </w:r>
    </w:p>
    <w:p w14:paraId="5759C873" w14:textId="676C8D41" w:rsidR="00A97A8D" w:rsidRPr="00A97A8D" w:rsidRDefault="00A97A8D" w:rsidP="00A97A8D">
      <w:pPr>
        <w:spacing w:line="480" w:lineRule="auto"/>
        <w:ind w:firstLine="720"/>
        <w:rPr>
          <w:rFonts w:ascii="Times New Roman" w:hAnsi="Times New Roman" w:cs="Times New Roman"/>
          <w:sz w:val="24"/>
          <w:szCs w:val="24"/>
          <w:lang w:val="en-GB"/>
        </w:rPr>
      </w:pPr>
      <w:r w:rsidRPr="00A97A8D">
        <w:rPr>
          <w:rFonts w:ascii="Times New Roman" w:hAnsi="Times New Roman" w:cs="Times New Roman"/>
          <w:sz w:val="24"/>
          <w:szCs w:val="24"/>
          <w:lang w:val="en-GB"/>
        </w:rPr>
        <w:t xml:space="preserve">R v </w:t>
      </w:r>
      <w:proofErr w:type="spellStart"/>
      <w:r w:rsidRPr="00A97A8D">
        <w:rPr>
          <w:rFonts w:ascii="Times New Roman" w:hAnsi="Times New Roman" w:cs="Times New Roman"/>
          <w:sz w:val="24"/>
          <w:szCs w:val="24"/>
          <w:lang w:val="en-GB"/>
        </w:rPr>
        <w:t>Kooken</w:t>
      </w:r>
      <w:proofErr w:type="spellEnd"/>
      <w:r w:rsidRPr="00A97A8D">
        <w:rPr>
          <w:rFonts w:ascii="Times New Roman" w:hAnsi="Times New Roman" w:cs="Times New Roman"/>
          <w:sz w:val="24"/>
          <w:szCs w:val="24"/>
          <w:lang w:val="en-GB"/>
        </w:rPr>
        <w:t xml:space="preserve"> (1982) 74 Cr App R 30, 34</w:t>
      </w:r>
    </w:p>
    <w:p w14:paraId="01794DF3" w14:textId="7FDAEFDE" w:rsidR="00A273DD" w:rsidRPr="009F13BD" w:rsidRDefault="000557C6"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R v Dear (1996) CLR 595</w:t>
      </w:r>
    </w:p>
    <w:p w14:paraId="5273C440" w14:textId="7072E459" w:rsidR="000557C6" w:rsidRPr="009F13BD" w:rsidRDefault="00A273DD" w:rsidP="00F9022B">
      <w:pPr>
        <w:tabs>
          <w:tab w:val="left" w:pos="180"/>
        </w:tabs>
        <w:spacing w:line="480" w:lineRule="auto"/>
        <w:ind w:left="720"/>
        <w:jc w:val="both"/>
        <w:rPr>
          <w:rFonts w:ascii="Times New Roman" w:hAnsi="Times New Roman" w:cs="Times New Roman"/>
          <w:sz w:val="24"/>
          <w:szCs w:val="24"/>
          <w:shd w:val="clear" w:color="auto" w:fill="FFFFFF"/>
        </w:rPr>
      </w:pPr>
      <w:r w:rsidRPr="009F13BD">
        <w:rPr>
          <w:rStyle w:val="Emphasis"/>
          <w:rFonts w:ascii="Times New Roman" w:hAnsi="Times New Roman" w:cs="Times New Roman"/>
          <w:i w:val="0"/>
          <w:iCs w:val="0"/>
          <w:sz w:val="24"/>
          <w:szCs w:val="24"/>
          <w:shd w:val="clear" w:color="auto" w:fill="FFFFFF"/>
        </w:rPr>
        <w:t>R v Vickers</w:t>
      </w:r>
      <w:r w:rsidRPr="009F13BD">
        <w:rPr>
          <w:rFonts w:ascii="Times New Roman" w:hAnsi="Times New Roman" w:cs="Times New Roman"/>
          <w:sz w:val="24"/>
          <w:szCs w:val="24"/>
          <w:shd w:val="clear" w:color="auto" w:fill="FFFFFF"/>
        </w:rPr>
        <w:t> [1957] 2 QB 664</w:t>
      </w:r>
    </w:p>
    <w:p w14:paraId="5F6E4744" w14:textId="31A03E98" w:rsidR="000557C6" w:rsidRPr="009F13BD" w:rsidRDefault="000557C6" w:rsidP="00F9022B">
      <w:p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b/>
        <w:t>R v Watson [1989] 2 All ER 865</w:t>
      </w:r>
    </w:p>
    <w:p w14:paraId="76F314BC" w14:textId="6B8E2B7A" w:rsidR="00A273DD" w:rsidRPr="009F13BD" w:rsidRDefault="00A273DD" w:rsidP="00F9022B">
      <w:pPr>
        <w:tabs>
          <w:tab w:val="left" w:pos="180"/>
        </w:tabs>
        <w:spacing w:line="480" w:lineRule="auto"/>
        <w:ind w:left="720"/>
        <w:jc w:val="both"/>
        <w:rPr>
          <w:rFonts w:ascii="Times New Roman" w:hAnsi="Times New Roman" w:cs="Times New Roman"/>
          <w:sz w:val="24"/>
          <w:szCs w:val="24"/>
          <w:shd w:val="clear" w:color="auto" w:fill="FFFFFF"/>
        </w:rPr>
      </w:pPr>
      <w:r w:rsidRPr="009F13BD">
        <w:rPr>
          <w:rStyle w:val="Emphasis"/>
          <w:rFonts w:ascii="Times New Roman" w:hAnsi="Times New Roman" w:cs="Times New Roman"/>
          <w:i w:val="0"/>
          <w:iCs w:val="0"/>
          <w:sz w:val="24"/>
          <w:szCs w:val="24"/>
          <w:shd w:val="clear" w:color="auto" w:fill="FFFFFF"/>
        </w:rPr>
        <w:t>R v Woollin</w:t>
      </w:r>
      <w:r w:rsidRPr="009F13BD">
        <w:rPr>
          <w:rFonts w:ascii="Times New Roman" w:hAnsi="Times New Roman" w:cs="Times New Roman"/>
          <w:sz w:val="24"/>
          <w:szCs w:val="24"/>
          <w:shd w:val="clear" w:color="auto" w:fill="FFFFFF"/>
        </w:rPr>
        <w:t> [1998] 4 All ER 103</w:t>
      </w:r>
    </w:p>
    <w:p w14:paraId="56285AB0" w14:textId="4826D47E" w:rsidR="000557C6" w:rsidRPr="009F13BD" w:rsidRDefault="000557C6" w:rsidP="00F9022B">
      <w:pPr>
        <w:spacing w:line="480" w:lineRule="auto"/>
        <w:jc w:val="both"/>
        <w:rPr>
          <w:rFonts w:ascii="Times New Roman" w:hAnsi="Times New Roman" w:cs="Times New Roman"/>
          <w:i/>
          <w:iCs/>
          <w:sz w:val="24"/>
          <w:szCs w:val="24"/>
          <w:lang w:val="en-GB"/>
        </w:rPr>
      </w:pPr>
      <w:r w:rsidRPr="009F13BD">
        <w:rPr>
          <w:rFonts w:ascii="Times New Roman" w:hAnsi="Times New Roman" w:cs="Times New Roman"/>
          <w:i/>
          <w:iCs/>
          <w:sz w:val="24"/>
          <w:szCs w:val="24"/>
          <w:lang w:val="en-GB"/>
        </w:rPr>
        <w:t>Bibliography</w:t>
      </w:r>
    </w:p>
    <w:p w14:paraId="0B63F26A" w14:textId="16C37F49" w:rsidR="00CC2E1B" w:rsidRPr="009F13BD" w:rsidRDefault="00CC2E1B"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Ashworth, A., &amp; </w:t>
      </w:r>
      <w:proofErr w:type="spellStart"/>
      <w:r w:rsidRPr="009F13BD">
        <w:rPr>
          <w:rFonts w:ascii="Times New Roman" w:hAnsi="Times New Roman" w:cs="Times New Roman"/>
          <w:sz w:val="24"/>
          <w:szCs w:val="24"/>
          <w:lang w:val="en-GB"/>
        </w:rPr>
        <w:t>Horder</w:t>
      </w:r>
      <w:proofErr w:type="spellEnd"/>
      <w:r w:rsidRPr="009F13BD">
        <w:rPr>
          <w:rFonts w:ascii="Times New Roman" w:hAnsi="Times New Roman" w:cs="Times New Roman"/>
          <w:sz w:val="24"/>
          <w:szCs w:val="24"/>
          <w:lang w:val="en-GB"/>
        </w:rPr>
        <w:t>, J. (2013). Principles of Criminal Law. Oxford University Press.</w:t>
      </w:r>
    </w:p>
    <w:p w14:paraId="77B40DA4" w14:textId="496CCA22" w:rsidR="003C5749" w:rsidRPr="009F13BD" w:rsidRDefault="003C5749"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Allen, M., &amp; Cooper, P. (2016). Criminal Law. Oxford University Press.</w:t>
      </w:r>
    </w:p>
    <w:p w14:paraId="45A5D8E9" w14:textId="05C5ABFE"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proofErr w:type="spellStart"/>
      <w:r w:rsidRPr="009F13BD">
        <w:rPr>
          <w:rFonts w:ascii="Times New Roman" w:hAnsi="Times New Roman" w:cs="Times New Roman"/>
          <w:sz w:val="24"/>
          <w:szCs w:val="24"/>
          <w:lang w:val="en-GB"/>
        </w:rPr>
        <w:t>Alhajri</w:t>
      </w:r>
      <w:proofErr w:type="spellEnd"/>
      <w:r w:rsidRPr="009F13BD">
        <w:rPr>
          <w:rFonts w:ascii="Times New Roman" w:hAnsi="Times New Roman" w:cs="Times New Roman"/>
          <w:sz w:val="24"/>
          <w:szCs w:val="24"/>
          <w:lang w:val="en-GB"/>
        </w:rPr>
        <w:t xml:space="preserve">, A. 2021. R v Woollin: An Analysis of the Concept of Oblique Intention in the English Legal System. </w:t>
      </w:r>
      <w:proofErr w:type="spellStart"/>
      <w:r w:rsidRPr="009F13BD">
        <w:rPr>
          <w:rFonts w:ascii="Times New Roman" w:hAnsi="Times New Roman" w:cs="Times New Roman"/>
          <w:i/>
          <w:sz w:val="24"/>
          <w:szCs w:val="24"/>
          <w:lang w:val="en-GB"/>
        </w:rPr>
        <w:t>Kilaw</w:t>
      </w:r>
      <w:proofErr w:type="spellEnd"/>
      <w:r w:rsidRPr="009F13BD">
        <w:rPr>
          <w:rFonts w:ascii="Times New Roman" w:hAnsi="Times New Roman" w:cs="Times New Roman"/>
          <w:i/>
          <w:sz w:val="24"/>
          <w:szCs w:val="24"/>
          <w:lang w:val="en-GB"/>
        </w:rPr>
        <w:t xml:space="preserve"> Journal</w:t>
      </w:r>
      <w:r w:rsidRPr="009F13BD">
        <w:rPr>
          <w:rFonts w:ascii="Times New Roman" w:hAnsi="Times New Roman" w:cs="Times New Roman"/>
          <w:sz w:val="24"/>
          <w:szCs w:val="24"/>
          <w:lang w:val="en-GB"/>
        </w:rPr>
        <w:t xml:space="preserve"> 9(1), pp. 41-62.</w:t>
      </w:r>
    </w:p>
    <w:p w14:paraId="067F3598"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shd w:val="clear" w:color="auto" w:fill="FFFFFF"/>
          <w:lang w:val="en-GB"/>
        </w:rPr>
      </w:pPr>
      <w:proofErr w:type="spellStart"/>
      <w:r w:rsidRPr="009F13BD">
        <w:rPr>
          <w:rFonts w:ascii="Times New Roman" w:hAnsi="Times New Roman" w:cs="Times New Roman"/>
          <w:sz w:val="24"/>
          <w:szCs w:val="24"/>
          <w:shd w:val="clear" w:color="auto" w:fill="FFFFFF"/>
          <w:lang w:val="en-GB"/>
        </w:rPr>
        <w:t>Alharahsheh</w:t>
      </w:r>
      <w:proofErr w:type="spellEnd"/>
      <w:r w:rsidRPr="009F13BD">
        <w:rPr>
          <w:rFonts w:ascii="Times New Roman" w:hAnsi="Times New Roman" w:cs="Times New Roman"/>
          <w:sz w:val="24"/>
          <w:szCs w:val="24"/>
          <w:shd w:val="clear" w:color="auto" w:fill="FFFFFF"/>
          <w:lang w:val="en-GB"/>
        </w:rPr>
        <w:t>, H.H. and Pius, A. 2020. A review of key paradigms: Positivism VS interpretivism. </w:t>
      </w:r>
      <w:r w:rsidRPr="009F13BD">
        <w:rPr>
          <w:rFonts w:ascii="Times New Roman" w:hAnsi="Times New Roman" w:cs="Times New Roman"/>
          <w:i/>
          <w:iCs/>
          <w:sz w:val="24"/>
          <w:szCs w:val="24"/>
          <w:shd w:val="clear" w:color="auto" w:fill="FFFFFF"/>
          <w:lang w:val="en-GB"/>
        </w:rPr>
        <w:t>Global Academic Journal of Humanities and Social Sciences</w:t>
      </w:r>
      <w:r w:rsidRPr="009F13BD">
        <w:rPr>
          <w:rFonts w:ascii="Times New Roman" w:hAnsi="Times New Roman" w:cs="Times New Roman"/>
          <w:sz w:val="24"/>
          <w:szCs w:val="24"/>
          <w:shd w:val="clear" w:color="auto" w:fill="FFFFFF"/>
          <w:lang w:val="en-GB"/>
        </w:rPr>
        <w:t xml:space="preserve"> 2(3), pp.39-43.</w:t>
      </w:r>
    </w:p>
    <w:p w14:paraId="5937BE9E"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Allen, M. and Edwards, I. 2021. </w:t>
      </w:r>
      <w:r w:rsidRPr="009F13BD">
        <w:rPr>
          <w:rFonts w:ascii="Times New Roman" w:hAnsi="Times New Roman" w:cs="Times New Roman"/>
          <w:i/>
          <w:iCs/>
          <w:sz w:val="24"/>
          <w:szCs w:val="24"/>
          <w:lang w:val="en-GB"/>
        </w:rPr>
        <w:t>Criminal Law</w:t>
      </w:r>
      <w:r w:rsidRPr="009F13BD">
        <w:rPr>
          <w:rFonts w:ascii="Times New Roman" w:hAnsi="Times New Roman" w:cs="Times New Roman"/>
          <w:sz w:val="24"/>
          <w:szCs w:val="24"/>
          <w:lang w:val="en-GB"/>
        </w:rPr>
        <w:t>. Oxford University Press.</w:t>
      </w:r>
    </w:p>
    <w:p w14:paraId="4A98884B" w14:textId="411058E4"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lastRenderedPageBreak/>
        <w:t xml:space="preserve">Ashworth, A. 2010. </w:t>
      </w:r>
      <w:r w:rsidRPr="009F13BD">
        <w:rPr>
          <w:rFonts w:ascii="Times New Roman" w:hAnsi="Times New Roman" w:cs="Times New Roman"/>
          <w:i/>
          <w:iCs/>
          <w:sz w:val="24"/>
          <w:szCs w:val="24"/>
          <w:lang w:val="en-GB"/>
        </w:rPr>
        <w:t>Sentencing and Criminal Justice</w:t>
      </w:r>
      <w:r w:rsidRPr="009F13BD">
        <w:rPr>
          <w:rFonts w:ascii="Times New Roman" w:hAnsi="Times New Roman" w:cs="Times New Roman"/>
          <w:sz w:val="24"/>
          <w:szCs w:val="24"/>
          <w:lang w:val="en-GB"/>
        </w:rPr>
        <w:t>. Cambridge University Press.</w:t>
      </w:r>
    </w:p>
    <w:p w14:paraId="2B2F0CC7" w14:textId="52429BB2" w:rsidR="003D1AD0" w:rsidRPr="009F13BD" w:rsidRDefault="003D1AD0"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Beard, J. and </w:t>
      </w:r>
      <w:proofErr w:type="spellStart"/>
      <w:r w:rsidRPr="009F13BD">
        <w:rPr>
          <w:rFonts w:ascii="Times New Roman" w:hAnsi="Times New Roman" w:cs="Times New Roman"/>
          <w:sz w:val="24"/>
          <w:szCs w:val="24"/>
          <w:lang w:val="en-GB"/>
        </w:rPr>
        <w:t>Politowski</w:t>
      </w:r>
      <w:proofErr w:type="spellEnd"/>
      <w:r w:rsidRPr="009F13BD">
        <w:rPr>
          <w:rFonts w:ascii="Times New Roman" w:hAnsi="Times New Roman" w:cs="Times New Roman"/>
          <w:sz w:val="24"/>
          <w:szCs w:val="24"/>
          <w:lang w:val="en-GB"/>
        </w:rPr>
        <w:t xml:space="preserve">, B. 2016. Reforming the Law on Homicide. [Online]. Available at: https://researchbriefings.files.parliament.uk/documents/CDP-2016-0094/CDP-2016-0094.pdf [Accessed on: </w:t>
      </w:r>
      <w:r w:rsidR="002F4628" w:rsidRPr="009F13BD">
        <w:rPr>
          <w:rFonts w:ascii="Times New Roman" w:hAnsi="Times New Roman" w:cs="Times New Roman"/>
          <w:sz w:val="24"/>
          <w:szCs w:val="24"/>
          <w:lang w:val="en-GB"/>
        </w:rPr>
        <w:t>19</w:t>
      </w:r>
      <w:r w:rsidRPr="009F13BD">
        <w:rPr>
          <w:rFonts w:ascii="Times New Roman" w:hAnsi="Times New Roman" w:cs="Times New Roman"/>
          <w:sz w:val="24"/>
          <w:szCs w:val="24"/>
          <w:lang w:val="en-GB"/>
        </w:rPr>
        <w:t xml:space="preserve"> </w:t>
      </w:r>
      <w:r w:rsidR="00187D47" w:rsidRPr="009F13BD">
        <w:rPr>
          <w:rFonts w:ascii="Times New Roman" w:hAnsi="Times New Roman" w:cs="Times New Roman"/>
          <w:sz w:val="24"/>
          <w:szCs w:val="24"/>
          <w:lang w:val="en-GB"/>
        </w:rPr>
        <w:t>July</w:t>
      </w:r>
      <w:r w:rsidRPr="009F13BD">
        <w:rPr>
          <w:rFonts w:ascii="Times New Roman" w:hAnsi="Times New Roman" w:cs="Times New Roman"/>
          <w:sz w:val="24"/>
          <w:szCs w:val="24"/>
          <w:lang w:val="en-GB"/>
        </w:rPr>
        <w:t xml:space="preserve"> 2023].</w:t>
      </w:r>
    </w:p>
    <w:p w14:paraId="58B1775E"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Beck, A. 2021. The Absurdity of the Illinois Felony-Murder Doctrine. J. Legis 48, p. 165.</w:t>
      </w:r>
    </w:p>
    <w:p w14:paraId="289BC3A7" w14:textId="4888BEE6" w:rsidR="003D1AD0"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Bell, E., Bryman, A. and Harley, B. 2022. Business research methods. Oxford university press.</w:t>
      </w:r>
    </w:p>
    <w:p w14:paraId="6519F868"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bookmarkStart w:id="16" w:name="_Hlk121150289"/>
      <w:proofErr w:type="spellStart"/>
      <w:r w:rsidRPr="009F13BD">
        <w:rPr>
          <w:rFonts w:ascii="Times New Roman" w:hAnsi="Times New Roman" w:cs="Times New Roman"/>
          <w:sz w:val="24"/>
          <w:szCs w:val="24"/>
          <w:lang w:val="en-GB"/>
        </w:rPr>
        <w:t>Bessler</w:t>
      </w:r>
      <w:proofErr w:type="spellEnd"/>
      <w:r w:rsidRPr="009F13BD">
        <w:rPr>
          <w:rFonts w:ascii="Times New Roman" w:hAnsi="Times New Roman" w:cs="Times New Roman"/>
          <w:sz w:val="24"/>
          <w:szCs w:val="24"/>
          <w:lang w:val="en-GB"/>
        </w:rPr>
        <w:t>, J. 2022</w:t>
      </w:r>
      <w:bookmarkEnd w:id="16"/>
      <w:r w:rsidRPr="009F13BD">
        <w:rPr>
          <w:rFonts w:ascii="Times New Roman" w:hAnsi="Times New Roman" w:cs="Times New Roman"/>
          <w:sz w:val="24"/>
          <w:szCs w:val="24"/>
          <w:lang w:val="en-GB"/>
        </w:rPr>
        <w:t xml:space="preserve">. </w:t>
      </w:r>
      <w:r w:rsidRPr="009F13BD">
        <w:rPr>
          <w:rFonts w:ascii="Times New Roman" w:hAnsi="Times New Roman" w:cs="Times New Roman"/>
          <w:i/>
          <w:iCs/>
          <w:sz w:val="24"/>
          <w:szCs w:val="24"/>
          <w:lang w:val="en-GB"/>
        </w:rPr>
        <w:t>The Death Penalty's Denial of Fundamental Human Rights</w:t>
      </w:r>
      <w:r w:rsidRPr="009F13BD">
        <w:rPr>
          <w:rFonts w:ascii="Times New Roman" w:hAnsi="Times New Roman" w:cs="Times New Roman"/>
          <w:sz w:val="24"/>
          <w:szCs w:val="24"/>
          <w:lang w:val="en-GB"/>
        </w:rPr>
        <w:t>. Cambridge University Press.</w:t>
      </w:r>
    </w:p>
    <w:p w14:paraId="305BA225"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proofErr w:type="spellStart"/>
      <w:r w:rsidRPr="009F13BD">
        <w:rPr>
          <w:rFonts w:ascii="Times New Roman" w:hAnsi="Times New Roman" w:cs="Times New Roman"/>
          <w:sz w:val="24"/>
          <w:szCs w:val="24"/>
          <w:lang w:val="en-GB"/>
        </w:rPr>
        <w:t>Bettinson</w:t>
      </w:r>
      <w:proofErr w:type="spellEnd"/>
      <w:r w:rsidRPr="009F13BD">
        <w:rPr>
          <w:rFonts w:ascii="Times New Roman" w:hAnsi="Times New Roman" w:cs="Times New Roman"/>
          <w:sz w:val="24"/>
          <w:szCs w:val="24"/>
          <w:lang w:val="en-GB"/>
        </w:rPr>
        <w:t>, V. 2019. Aligning partial defences to murder with the offence of coercive or controlling behaviour. The Journal of Criminal Law 83(1), pp. 71-86.</w:t>
      </w:r>
    </w:p>
    <w:p w14:paraId="1C023E43" w14:textId="2EEB1CEB" w:rsidR="003C5749" w:rsidRPr="009F13BD" w:rsidRDefault="003C5749"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Card, R., &amp; Cross, R. (2016). Card, Cross &amp; Jones: Criminal Law. Oxford University Press.</w:t>
      </w:r>
    </w:p>
    <w:p w14:paraId="466842A7"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Child, J. and Ormerod, D. 2015. </w:t>
      </w:r>
      <w:r w:rsidRPr="009F13BD">
        <w:rPr>
          <w:rFonts w:ascii="Times New Roman" w:hAnsi="Times New Roman" w:cs="Times New Roman"/>
          <w:i/>
          <w:sz w:val="24"/>
          <w:szCs w:val="24"/>
          <w:lang w:val="en-GB"/>
        </w:rPr>
        <w:t>Smith &amp; Hogan's Essentials of Criminal Law.</w:t>
      </w:r>
      <w:r w:rsidRPr="009F13BD">
        <w:rPr>
          <w:rFonts w:ascii="Times New Roman" w:hAnsi="Times New Roman" w:cs="Times New Roman"/>
          <w:sz w:val="24"/>
          <w:szCs w:val="24"/>
          <w:lang w:val="en-GB"/>
        </w:rPr>
        <w:t xml:space="preserve"> London: Oxford University Press. </w:t>
      </w:r>
    </w:p>
    <w:p w14:paraId="1E3E91C7" w14:textId="50AC5FE0" w:rsidR="00A11C35" w:rsidRPr="009F13BD" w:rsidRDefault="00A11C35"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Clarkson, C. M. V., &amp; Keating, H. M. (2016). Criminal Law: Text and Materials. Oxford University Press.</w:t>
      </w:r>
    </w:p>
    <w:p w14:paraId="28D1D903"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shd w:val="clear" w:color="auto" w:fill="FFFFFF"/>
          <w:lang w:val="en-GB"/>
        </w:rPr>
      </w:pPr>
      <w:r w:rsidRPr="009F13BD">
        <w:rPr>
          <w:rFonts w:ascii="Times New Roman" w:hAnsi="Times New Roman" w:cs="Times New Roman"/>
          <w:sz w:val="24"/>
          <w:szCs w:val="24"/>
          <w:shd w:val="clear" w:color="auto" w:fill="FFFFFF"/>
          <w:lang w:val="en-GB"/>
        </w:rPr>
        <w:t>Clarke, V., Braun, V. and Hayfield, N. 2015. Thematic analysis. </w:t>
      </w:r>
      <w:r w:rsidRPr="009F13BD">
        <w:rPr>
          <w:rFonts w:ascii="Times New Roman" w:hAnsi="Times New Roman" w:cs="Times New Roman"/>
          <w:i/>
          <w:iCs/>
          <w:sz w:val="24"/>
          <w:szCs w:val="24"/>
          <w:shd w:val="clear" w:color="auto" w:fill="FFFFFF"/>
          <w:lang w:val="en-GB"/>
        </w:rPr>
        <w:t>Qualitative psychology: A practical guide to research methods</w:t>
      </w:r>
      <w:r w:rsidRPr="009F13BD">
        <w:rPr>
          <w:rFonts w:ascii="Times New Roman" w:hAnsi="Times New Roman" w:cs="Times New Roman"/>
          <w:sz w:val="24"/>
          <w:szCs w:val="24"/>
          <w:shd w:val="clear" w:color="auto" w:fill="FFFFFF"/>
          <w:lang w:val="en-GB"/>
        </w:rPr>
        <w:t xml:space="preserve"> 222(2015), p.248.</w:t>
      </w:r>
    </w:p>
    <w:p w14:paraId="157F017D" w14:textId="31057350"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CPS. 2022. Homicide: Murder and Manslaughter. [Online]. Available at: </w:t>
      </w:r>
      <w:hyperlink r:id="rId8" w:history="1">
        <w:r w:rsidRPr="009F13BD">
          <w:rPr>
            <w:rStyle w:val="Hyperlink"/>
            <w:rFonts w:ascii="Times New Roman" w:hAnsi="Times New Roman" w:cs="Times New Roman"/>
            <w:color w:val="auto"/>
            <w:sz w:val="24"/>
            <w:szCs w:val="24"/>
            <w:lang w:val="en-GB"/>
          </w:rPr>
          <w:t>https://www.cps.gov.uk/legal-guidance/homicide-murder-and-manslaughter</w:t>
        </w:r>
      </w:hyperlink>
      <w:r w:rsidRPr="009F13BD">
        <w:rPr>
          <w:rFonts w:ascii="Times New Roman" w:hAnsi="Times New Roman" w:cs="Times New Roman"/>
          <w:sz w:val="24"/>
          <w:szCs w:val="24"/>
          <w:lang w:val="en-GB"/>
        </w:rPr>
        <w:t xml:space="preserve"> [Accessed on: </w:t>
      </w:r>
      <w:bookmarkStart w:id="17" w:name="_Hlk125298984"/>
      <w:r w:rsidR="006B6CAF" w:rsidRPr="009F13BD">
        <w:rPr>
          <w:rFonts w:ascii="Times New Roman" w:hAnsi="Times New Roman" w:cs="Times New Roman"/>
          <w:sz w:val="24"/>
          <w:szCs w:val="24"/>
          <w:lang w:val="en-GB"/>
        </w:rPr>
        <w:t>19 July</w:t>
      </w:r>
      <w:r w:rsidR="009367BC" w:rsidRPr="009F13BD">
        <w:rPr>
          <w:rFonts w:ascii="Times New Roman" w:hAnsi="Times New Roman" w:cs="Times New Roman"/>
          <w:sz w:val="24"/>
          <w:szCs w:val="24"/>
          <w:lang w:val="en-GB"/>
        </w:rPr>
        <w:t xml:space="preserve"> 2023</w:t>
      </w:r>
      <w:bookmarkEnd w:id="17"/>
      <w:r w:rsidRPr="009F13BD">
        <w:rPr>
          <w:rFonts w:ascii="Times New Roman" w:hAnsi="Times New Roman" w:cs="Times New Roman"/>
          <w:sz w:val="24"/>
          <w:szCs w:val="24"/>
          <w:lang w:val="en-GB"/>
        </w:rPr>
        <w:t>].</w:t>
      </w:r>
    </w:p>
    <w:p w14:paraId="042BCC16" w14:textId="5F3053A8"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lastRenderedPageBreak/>
        <w:t xml:space="preserve">Durham.Ac.UK. 2019. A COMPARATIVE STUDY OF HOMICIDE LAW IN ENGLAND AND AMERICA: THE NEED FOR CRIMINAL AND </w:t>
      </w:r>
      <w:proofErr w:type="gramStart"/>
      <w:r w:rsidRPr="009F13BD">
        <w:rPr>
          <w:rFonts w:ascii="Times New Roman" w:hAnsi="Times New Roman" w:cs="Times New Roman"/>
          <w:sz w:val="24"/>
          <w:szCs w:val="24"/>
          <w:lang w:val="en-GB"/>
        </w:rPr>
        <w:t>WALES?.</w:t>
      </w:r>
      <w:proofErr w:type="gramEnd"/>
      <w:r w:rsidRPr="009F13BD">
        <w:rPr>
          <w:rFonts w:ascii="Times New Roman" w:hAnsi="Times New Roman" w:cs="Times New Roman"/>
          <w:sz w:val="24"/>
          <w:szCs w:val="24"/>
          <w:lang w:val="en-GB"/>
        </w:rPr>
        <w:t xml:space="preserve"> [Online]. Available at: </w:t>
      </w:r>
      <w:hyperlink r:id="rId9" w:history="1">
        <w:r w:rsidRPr="009F13BD">
          <w:rPr>
            <w:rStyle w:val="Hyperlink"/>
            <w:rFonts w:ascii="Times New Roman" w:hAnsi="Times New Roman" w:cs="Times New Roman"/>
            <w:color w:val="auto"/>
            <w:sz w:val="24"/>
            <w:szCs w:val="24"/>
            <w:lang w:val="en-GB"/>
          </w:rPr>
          <w:t>https://www.durham.ac.uk/media/durham-university/departments-/law-school/pdfs/briefings/2019-A-Comparative-Study-of-Homicide-Law.pdf</w:t>
        </w:r>
      </w:hyperlink>
      <w:r w:rsidRPr="009F13BD">
        <w:rPr>
          <w:rFonts w:ascii="Times New Roman" w:hAnsi="Times New Roman" w:cs="Times New Roman"/>
          <w:sz w:val="24"/>
          <w:szCs w:val="24"/>
          <w:lang w:val="en-GB"/>
        </w:rPr>
        <w:t xml:space="preserve"> [Accessed on: </w:t>
      </w:r>
      <w:r w:rsidR="00277195" w:rsidRPr="009F13BD">
        <w:rPr>
          <w:rFonts w:ascii="Times New Roman" w:hAnsi="Times New Roman" w:cs="Times New Roman"/>
          <w:sz w:val="24"/>
          <w:szCs w:val="24"/>
          <w:lang w:val="en-GB"/>
        </w:rPr>
        <w:t xml:space="preserve">20 July </w:t>
      </w:r>
      <w:r w:rsidR="00F8066A" w:rsidRPr="009F13BD">
        <w:rPr>
          <w:rFonts w:ascii="Times New Roman" w:hAnsi="Times New Roman" w:cs="Times New Roman"/>
          <w:sz w:val="24"/>
          <w:szCs w:val="24"/>
          <w:lang w:val="en-GB"/>
        </w:rPr>
        <w:t>2023</w:t>
      </w:r>
      <w:r w:rsidRPr="009F13BD">
        <w:rPr>
          <w:rFonts w:ascii="Times New Roman" w:hAnsi="Times New Roman" w:cs="Times New Roman"/>
          <w:sz w:val="24"/>
          <w:szCs w:val="24"/>
          <w:lang w:val="en-GB"/>
        </w:rPr>
        <w:t>].</w:t>
      </w:r>
    </w:p>
    <w:p w14:paraId="1F412D74"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shd w:val="clear" w:color="auto" w:fill="FFFFFF"/>
          <w:lang w:val="en-GB"/>
        </w:rPr>
      </w:pPr>
      <w:r w:rsidRPr="009F13BD">
        <w:rPr>
          <w:rFonts w:ascii="Times New Roman" w:hAnsi="Times New Roman" w:cs="Times New Roman"/>
          <w:sz w:val="24"/>
          <w:szCs w:val="24"/>
          <w:shd w:val="clear" w:color="auto" w:fill="FFFFFF"/>
          <w:lang w:val="en-GB"/>
        </w:rPr>
        <w:t xml:space="preserve">Flynn, S., Ibrahim, S., </w:t>
      </w:r>
      <w:proofErr w:type="spellStart"/>
      <w:r w:rsidRPr="009F13BD">
        <w:rPr>
          <w:rFonts w:ascii="Times New Roman" w:hAnsi="Times New Roman" w:cs="Times New Roman"/>
          <w:sz w:val="24"/>
          <w:szCs w:val="24"/>
          <w:shd w:val="clear" w:color="auto" w:fill="FFFFFF"/>
          <w:lang w:val="en-GB"/>
        </w:rPr>
        <w:t>Kapur</w:t>
      </w:r>
      <w:proofErr w:type="spellEnd"/>
      <w:r w:rsidRPr="009F13BD">
        <w:rPr>
          <w:rFonts w:ascii="Times New Roman" w:hAnsi="Times New Roman" w:cs="Times New Roman"/>
          <w:sz w:val="24"/>
          <w:szCs w:val="24"/>
          <w:shd w:val="clear" w:color="auto" w:fill="FFFFFF"/>
          <w:lang w:val="en-GB"/>
        </w:rPr>
        <w:t>, N., Appleby, L. and Shaw, J. 2021. Mental disorder in people convicted of homicide: long-term national trends in rates and court outcome. </w:t>
      </w:r>
      <w:r w:rsidRPr="009F13BD">
        <w:rPr>
          <w:rFonts w:ascii="Times New Roman" w:hAnsi="Times New Roman" w:cs="Times New Roman"/>
          <w:i/>
          <w:iCs/>
          <w:sz w:val="24"/>
          <w:szCs w:val="24"/>
          <w:shd w:val="clear" w:color="auto" w:fill="FFFFFF"/>
          <w:lang w:val="en-GB"/>
        </w:rPr>
        <w:t>The British Journal of Psychiatry</w:t>
      </w:r>
      <w:r w:rsidRPr="009F13BD">
        <w:rPr>
          <w:rFonts w:ascii="Times New Roman" w:hAnsi="Times New Roman" w:cs="Times New Roman"/>
          <w:sz w:val="24"/>
          <w:szCs w:val="24"/>
          <w:shd w:val="clear" w:color="auto" w:fill="FFFFFF"/>
          <w:lang w:val="en-GB"/>
        </w:rPr>
        <w:t xml:space="preserve"> 218(4), pp.210-216.</w:t>
      </w:r>
    </w:p>
    <w:p w14:paraId="7AF08471" w14:textId="3F65E19A" w:rsidR="00D938E1" w:rsidRPr="009F13BD" w:rsidRDefault="00D938E1"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Gardner, J. (2007). Offences and Defences: Selected Essays in the Philosophy of Criminal Law. Oxford University Press.</w:t>
      </w:r>
    </w:p>
    <w:p w14:paraId="22797D3B"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shd w:val="clear" w:color="auto" w:fill="FFFFFF"/>
          <w:lang w:val="en-GB"/>
        </w:rPr>
      </w:pPr>
      <w:proofErr w:type="spellStart"/>
      <w:r w:rsidRPr="009F13BD">
        <w:rPr>
          <w:rFonts w:ascii="Times New Roman" w:hAnsi="Times New Roman" w:cs="Times New Roman"/>
          <w:sz w:val="24"/>
          <w:szCs w:val="24"/>
          <w:shd w:val="clear" w:color="auto" w:fill="FFFFFF"/>
          <w:lang w:val="en-GB"/>
        </w:rPr>
        <w:t>Gayler</w:t>
      </w:r>
      <w:proofErr w:type="spellEnd"/>
      <w:r w:rsidRPr="009F13BD">
        <w:rPr>
          <w:rFonts w:ascii="Times New Roman" w:hAnsi="Times New Roman" w:cs="Times New Roman"/>
          <w:sz w:val="24"/>
          <w:szCs w:val="24"/>
          <w:shd w:val="clear" w:color="auto" w:fill="FFFFFF"/>
          <w:lang w:val="en-GB"/>
        </w:rPr>
        <w:t xml:space="preserve">, T., Sas, C. and </w:t>
      </w:r>
      <w:proofErr w:type="spellStart"/>
      <w:r w:rsidRPr="009F13BD">
        <w:rPr>
          <w:rFonts w:ascii="Times New Roman" w:hAnsi="Times New Roman" w:cs="Times New Roman"/>
          <w:sz w:val="24"/>
          <w:szCs w:val="24"/>
          <w:shd w:val="clear" w:color="auto" w:fill="FFFFFF"/>
          <w:lang w:val="en-GB"/>
        </w:rPr>
        <w:t>Kalnikaitė</w:t>
      </w:r>
      <w:proofErr w:type="spellEnd"/>
      <w:r w:rsidRPr="009F13BD">
        <w:rPr>
          <w:rFonts w:ascii="Times New Roman" w:hAnsi="Times New Roman" w:cs="Times New Roman"/>
          <w:sz w:val="24"/>
          <w:szCs w:val="24"/>
          <w:shd w:val="clear" w:color="auto" w:fill="FFFFFF"/>
          <w:lang w:val="en-GB"/>
        </w:rPr>
        <w:t>, V. 2021. Sensory probes: An exploratory design research method for Human-Food Interaction. In </w:t>
      </w:r>
      <w:r w:rsidRPr="009F13BD">
        <w:rPr>
          <w:rFonts w:ascii="Times New Roman" w:hAnsi="Times New Roman" w:cs="Times New Roman"/>
          <w:i/>
          <w:iCs/>
          <w:sz w:val="24"/>
          <w:szCs w:val="24"/>
          <w:shd w:val="clear" w:color="auto" w:fill="FFFFFF"/>
          <w:lang w:val="en-GB"/>
        </w:rPr>
        <w:t>Designing Interactive Systems Conference 2021</w:t>
      </w:r>
      <w:r w:rsidRPr="009F13BD">
        <w:rPr>
          <w:rFonts w:ascii="Times New Roman" w:hAnsi="Times New Roman" w:cs="Times New Roman"/>
          <w:sz w:val="24"/>
          <w:szCs w:val="24"/>
          <w:shd w:val="clear" w:color="auto" w:fill="FFFFFF"/>
          <w:lang w:val="en-GB"/>
        </w:rPr>
        <w:t>, pp. 666-682.</w:t>
      </w:r>
    </w:p>
    <w:p w14:paraId="29C5FBDA"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Geary, R. 2012. </w:t>
      </w:r>
      <w:r w:rsidRPr="009F13BD">
        <w:rPr>
          <w:rFonts w:ascii="Times New Roman" w:hAnsi="Times New Roman" w:cs="Times New Roman"/>
          <w:i/>
          <w:iCs/>
          <w:sz w:val="24"/>
          <w:szCs w:val="24"/>
          <w:lang w:val="en-GB"/>
        </w:rPr>
        <w:t>Understanding Criminal Law</w:t>
      </w:r>
      <w:r w:rsidRPr="009F13BD">
        <w:rPr>
          <w:rFonts w:ascii="Times New Roman" w:hAnsi="Times New Roman" w:cs="Times New Roman"/>
          <w:sz w:val="24"/>
          <w:szCs w:val="24"/>
          <w:lang w:val="en-GB"/>
        </w:rPr>
        <w:t>. Taylor &amp; Francis.</w:t>
      </w:r>
    </w:p>
    <w:p w14:paraId="68B320C6" w14:textId="016690B5" w:rsidR="00A11C35" w:rsidRPr="009F13BD" w:rsidRDefault="00A11C35"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Herring, J. (2018). Criminal Law: Text, Cases, and Materials. Oxford University Press.</w:t>
      </w:r>
    </w:p>
    <w:p w14:paraId="7852EC39"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bookmarkStart w:id="18" w:name="_Hlk121149932"/>
      <w:r w:rsidRPr="009F13BD">
        <w:rPr>
          <w:rFonts w:ascii="Times New Roman" w:hAnsi="Times New Roman" w:cs="Times New Roman"/>
          <w:sz w:val="24"/>
          <w:szCs w:val="24"/>
          <w:lang w:val="en-GB"/>
        </w:rPr>
        <w:t xml:space="preserve">Heaton, R. and de Than, C. 2010. </w:t>
      </w:r>
      <w:bookmarkEnd w:id="18"/>
      <w:r w:rsidRPr="009F13BD">
        <w:rPr>
          <w:rFonts w:ascii="Times New Roman" w:hAnsi="Times New Roman" w:cs="Times New Roman"/>
          <w:i/>
          <w:iCs/>
          <w:sz w:val="24"/>
          <w:szCs w:val="24"/>
          <w:lang w:val="en-GB"/>
        </w:rPr>
        <w:t>Criminal Law</w:t>
      </w:r>
      <w:r w:rsidRPr="009F13BD">
        <w:rPr>
          <w:rFonts w:ascii="Times New Roman" w:hAnsi="Times New Roman" w:cs="Times New Roman"/>
          <w:sz w:val="24"/>
          <w:szCs w:val="24"/>
          <w:lang w:val="en-GB"/>
        </w:rPr>
        <w:t>. OUP Oxford.</w:t>
      </w:r>
    </w:p>
    <w:p w14:paraId="203D3CA5"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Hendy, J. and Hutchinson, O. 2016. </w:t>
      </w:r>
      <w:r w:rsidRPr="009F13BD">
        <w:rPr>
          <w:rFonts w:ascii="Times New Roman" w:hAnsi="Times New Roman" w:cs="Times New Roman"/>
          <w:i/>
          <w:iCs/>
          <w:sz w:val="24"/>
          <w:szCs w:val="24"/>
          <w:lang w:val="en-GB"/>
        </w:rPr>
        <w:t>Optimize Criminal Law</w:t>
      </w:r>
      <w:r w:rsidRPr="009F13BD">
        <w:rPr>
          <w:rFonts w:ascii="Times New Roman" w:hAnsi="Times New Roman" w:cs="Times New Roman"/>
          <w:sz w:val="24"/>
          <w:szCs w:val="24"/>
          <w:lang w:val="en-GB"/>
        </w:rPr>
        <w:t>. Taylor &amp; Francis.</w:t>
      </w:r>
    </w:p>
    <w:p w14:paraId="684C5C2F"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proofErr w:type="spellStart"/>
      <w:r w:rsidRPr="009F13BD">
        <w:rPr>
          <w:rFonts w:ascii="Times New Roman" w:hAnsi="Times New Roman" w:cs="Times New Roman"/>
          <w:sz w:val="24"/>
          <w:szCs w:val="24"/>
          <w:lang w:val="en-GB"/>
        </w:rPr>
        <w:t>Horder</w:t>
      </w:r>
      <w:proofErr w:type="spellEnd"/>
      <w:r w:rsidRPr="009F13BD">
        <w:rPr>
          <w:rFonts w:ascii="Times New Roman" w:hAnsi="Times New Roman" w:cs="Times New Roman"/>
          <w:sz w:val="24"/>
          <w:szCs w:val="24"/>
          <w:lang w:val="en-GB"/>
        </w:rPr>
        <w:t>, J. and Ashworth, A. 2013. </w:t>
      </w:r>
      <w:r w:rsidRPr="009F13BD">
        <w:rPr>
          <w:rFonts w:ascii="Times New Roman" w:hAnsi="Times New Roman" w:cs="Times New Roman"/>
          <w:i/>
          <w:sz w:val="24"/>
          <w:szCs w:val="24"/>
          <w:lang w:val="en-GB"/>
        </w:rPr>
        <w:t>Principles of Criminal Law.</w:t>
      </w:r>
      <w:r w:rsidRPr="009F13BD">
        <w:rPr>
          <w:rFonts w:ascii="Times New Roman" w:hAnsi="Times New Roman" w:cs="Times New Roman"/>
          <w:sz w:val="24"/>
          <w:szCs w:val="24"/>
          <w:lang w:val="en-GB"/>
        </w:rPr>
        <w:t> London: OUP Oxford.</w:t>
      </w:r>
    </w:p>
    <w:p w14:paraId="54795389"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Hossain, M.B. and Rahi, S.T. 2018. Murder: A Critical Analysis of the Common Law Definition. Beijing L. Rev. 9, p. 460.</w:t>
      </w:r>
    </w:p>
    <w:p w14:paraId="1F39069D" w14:textId="1061B354" w:rsidR="00400769" w:rsidRPr="009F13BD" w:rsidRDefault="00400769"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Johnson, A. (2020). Reforms in Homicide Law: A Comparative Study of England and Wales. Criminal Law Review, 45(2), 123-145.</w:t>
      </w:r>
    </w:p>
    <w:p w14:paraId="4D868E27" w14:textId="52A7D65B" w:rsidR="006255FC"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shd w:val="clear" w:color="auto" w:fill="FFFFFF"/>
          <w:lang w:val="en-GB"/>
        </w:rPr>
      </w:pPr>
      <w:proofErr w:type="spellStart"/>
      <w:r w:rsidRPr="009F13BD">
        <w:rPr>
          <w:rFonts w:ascii="Times New Roman" w:hAnsi="Times New Roman" w:cs="Times New Roman"/>
          <w:sz w:val="24"/>
          <w:szCs w:val="24"/>
          <w:shd w:val="clear" w:color="auto" w:fill="FFFFFF"/>
          <w:lang w:val="en-GB"/>
        </w:rPr>
        <w:lastRenderedPageBreak/>
        <w:t>Khechumyan</w:t>
      </w:r>
      <w:proofErr w:type="spellEnd"/>
      <w:r w:rsidRPr="009F13BD">
        <w:rPr>
          <w:rFonts w:ascii="Times New Roman" w:hAnsi="Times New Roman" w:cs="Times New Roman"/>
          <w:sz w:val="24"/>
          <w:szCs w:val="24"/>
          <w:shd w:val="clear" w:color="auto" w:fill="FFFFFF"/>
          <w:lang w:val="en-GB"/>
        </w:rPr>
        <w:t>, A. 2018. </w:t>
      </w:r>
      <w:r w:rsidRPr="009F13BD">
        <w:rPr>
          <w:rFonts w:ascii="Times New Roman" w:hAnsi="Times New Roman" w:cs="Times New Roman"/>
          <w:i/>
          <w:iCs/>
          <w:sz w:val="24"/>
          <w:szCs w:val="24"/>
          <w:shd w:val="clear" w:color="auto" w:fill="FFFFFF"/>
          <w:lang w:val="en-GB"/>
        </w:rPr>
        <w:t>Imprisonment of the elderly and death in custody: the right to review</w:t>
      </w:r>
      <w:r w:rsidRPr="009F13BD">
        <w:rPr>
          <w:rFonts w:ascii="Times New Roman" w:hAnsi="Times New Roman" w:cs="Times New Roman"/>
          <w:sz w:val="24"/>
          <w:szCs w:val="24"/>
          <w:shd w:val="clear" w:color="auto" w:fill="FFFFFF"/>
          <w:lang w:val="en-GB"/>
        </w:rPr>
        <w:t>. Taylor &amp; Francis.</w:t>
      </w:r>
    </w:p>
    <w:p w14:paraId="2C487137" w14:textId="36829160" w:rsidR="00810769" w:rsidRPr="00810769" w:rsidRDefault="00810769" w:rsidP="00810769">
      <w:pPr>
        <w:pStyle w:val="ListParagraph"/>
        <w:numPr>
          <w:ilvl w:val="0"/>
          <w:numId w:val="2"/>
        </w:numPr>
        <w:spacing w:line="480" w:lineRule="auto"/>
        <w:contextualSpacing w:val="0"/>
        <w:rPr>
          <w:rFonts w:ascii="Times New Roman" w:hAnsi="Times New Roman" w:cs="Times New Roman"/>
          <w:sz w:val="24"/>
          <w:szCs w:val="24"/>
          <w:lang w:val="en-GB"/>
        </w:rPr>
      </w:pPr>
      <w:proofErr w:type="spellStart"/>
      <w:r w:rsidRPr="00810769">
        <w:rPr>
          <w:rStyle w:val="chapter-label"/>
          <w:rFonts w:ascii="Times New Roman" w:hAnsi="Times New Roman" w:cs="Times New Roman"/>
          <w:sz w:val="24"/>
          <w:szCs w:val="24"/>
          <w:bdr w:val="none" w:sz="0" w:space="0" w:color="auto" w:frame="1"/>
          <w:shd w:val="clear" w:color="auto" w:fill="FFFFFF"/>
        </w:rPr>
        <w:t>Loughman</w:t>
      </w:r>
      <w:proofErr w:type="spellEnd"/>
      <w:r w:rsidRPr="00810769">
        <w:rPr>
          <w:rStyle w:val="chapter-label"/>
          <w:rFonts w:ascii="Times New Roman" w:hAnsi="Times New Roman" w:cs="Times New Roman"/>
          <w:sz w:val="24"/>
          <w:szCs w:val="24"/>
          <w:bdr w:val="none" w:sz="0" w:space="0" w:color="auto" w:frame="1"/>
          <w:shd w:val="clear" w:color="auto" w:fill="FFFFFF"/>
        </w:rPr>
        <w:t>, A. 2012. 9 </w:t>
      </w:r>
      <w:r w:rsidRPr="00810769">
        <w:rPr>
          <w:rStyle w:val="chapter-title-without-label"/>
          <w:rFonts w:ascii="Times New Roman" w:hAnsi="Times New Roman" w:cs="Times New Roman"/>
          <w:sz w:val="24"/>
          <w:szCs w:val="24"/>
          <w:bdr w:val="none" w:sz="0" w:space="0" w:color="auto" w:frame="1"/>
          <w:shd w:val="clear" w:color="auto" w:fill="FFFFFF"/>
        </w:rPr>
        <w:t xml:space="preserve">Differences of Degree and Differences of Kind: Diminished Responsibility. </w:t>
      </w:r>
      <w:r w:rsidRPr="00810769">
        <w:rPr>
          <w:rStyle w:val="chapter-title-without-label"/>
          <w:rFonts w:ascii="Times New Roman" w:hAnsi="Times New Roman" w:cs="Times New Roman"/>
          <w:i/>
          <w:iCs/>
          <w:sz w:val="24"/>
          <w:szCs w:val="24"/>
          <w:bdr w:val="none" w:sz="0" w:space="0" w:color="auto" w:frame="1"/>
          <w:shd w:val="clear" w:color="auto" w:fill="FFFFFF"/>
        </w:rPr>
        <w:t>Oxford</w:t>
      </w:r>
      <w:r w:rsidRPr="00810769">
        <w:rPr>
          <w:rStyle w:val="chapter-title-without-label"/>
          <w:rFonts w:ascii="Times New Roman" w:hAnsi="Times New Roman" w:cs="Times New Roman"/>
          <w:sz w:val="24"/>
          <w:szCs w:val="24"/>
          <w:bdr w:val="none" w:sz="0" w:space="0" w:color="auto" w:frame="1"/>
          <w:shd w:val="clear" w:color="auto" w:fill="FFFFFF"/>
        </w:rPr>
        <w:t>, pp. 1-10.</w:t>
      </w:r>
    </w:p>
    <w:p w14:paraId="0BD749F6" w14:textId="1C342780" w:rsidR="003D1AD0" w:rsidRPr="009F13BD" w:rsidRDefault="003D1AD0"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Large, M., Smith, G., Swinson, N., Shaw, J. and </w:t>
      </w:r>
      <w:proofErr w:type="spellStart"/>
      <w:r w:rsidRPr="009F13BD">
        <w:rPr>
          <w:rFonts w:ascii="Times New Roman" w:hAnsi="Times New Roman" w:cs="Times New Roman"/>
          <w:sz w:val="24"/>
          <w:szCs w:val="24"/>
          <w:lang w:val="en-GB"/>
        </w:rPr>
        <w:t>Nielssen</w:t>
      </w:r>
      <w:proofErr w:type="spellEnd"/>
      <w:r w:rsidRPr="009F13BD">
        <w:rPr>
          <w:rFonts w:ascii="Times New Roman" w:hAnsi="Times New Roman" w:cs="Times New Roman"/>
          <w:sz w:val="24"/>
          <w:szCs w:val="24"/>
          <w:lang w:val="en-GB"/>
        </w:rPr>
        <w:t xml:space="preserve">, O. 2008. Homicide due to mental disorder in England and Wales over 50 years. </w:t>
      </w:r>
      <w:r w:rsidRPr="009F13BD">
        <w:rPr>
          <w:rFonts w:ascii="Times New Roman" w:hAnsi="Times New Roman" w:cs="Times New Roman"/>
          <w:i/>
          <w:iCs/>
          <w:sz w:val="24"/>
          <w:szCs w:val="24"/>
          <w:lang w:val="en-GB"/>
        </w:rPr>
        <w:t>The British journal of psychiatry</w:t>
      </w:r>
      <w:r w:rsidRPr="009F13BD">
        <w:rPr>
          <w:rFonts w:ascii="Times New Roman" w:hAnsi="Times New Roman" w:cs="Times New Roman"/>
          <w:sz w:val="24"/>
          <w:szCs w:val="24"/>
          <w:lang w:val="en-GB"/>
        </w:rPr>
        <w:t xml:space="preserve"> 193(2), pp.130-133.</w:t>
      </w:r>
    </w:p>
    <w:p w14:paraId="3E0850C6"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Law Commission. n.d. Murder. [Online]. Available at: </w:t>
      </w:r>
      <w:hyperlink r:id="rId10" w:history="1">
        <w:r w:rsidRPr="009F13BD">
          <w:rPr>
            <w:rStyle w:val="Hyperlink"/>
            <w:rFonts w:ascii="Times New Roman" w:hAnsi="Times New Roman" w:cs="Times New Roman"/>
            <w:color w:val="auto"/>
            <w:sz w:val="24"/>
            <w:szCs w:val="24"/>
            <w:lang w:val="en-GB"/>
          </w:rPr>
          <w:t>https://www.lawcom.gov.uk/project/murder/</w:t>
        </w:r>
      </w:hyperlink>
      <w:r w:rsidRPr="009F13BD">
        <w:rPr>
          <w:rFonts w:ascii="Times New Roman" w:hAnsi="Times New Roman" w:cs="Times New Roman"/>
          <w:sz w:val="24"/>
          <w:szCs w:val="24"/>
          <w:lang w:val="en-GB"/>
        </w:rPr>
        <w:t xml:space="preserve">. [Accessed on: 05 December 2022]. </w:t>
      </w:r>
    </w:p>
    <w:p w14:paraId="600F9744" w14:textId="02B9ED71"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Lawcom.gov.uk. 2015. A NEW HOMICIDE ACT FOR ENGLAND LAW REFORM IN ENGLAND AND WALES. [Online]. Available at: </w:t>
      </w:r>
      <w:hyperlink r:id="rId11" w:history="1">
        <w:r w:rsidRPr="009F13BD">
          <w:rPr>
            <w:rStyle w:val="Hyperlink"/>
            <w:rFonts w:ascii="Times New Roman" w:hAnsi="Times New Roman" w:cs="Times New Roman"/>
            <w:color w:val="auto"/>
            <w:sz w:val="24"/>
            <w:szCs w:val="24"/>
            <w:lang w:val="en-GB"/>
          </w:rPr>
          <w:t>https://www.lawcom.gov.uk/app/uploads/2015/03/cp177_Murder_Manslaughter_and_Infanticide_consultation_overview_.pdf</w:t>
        </w:r>
      </w:hyperlink>
      <w:r w:rsidRPr="009F13BD">
        <w:rPr>
          <w:rFonts w:ascii="Times New Roman" w:hAnsi="Times New Roman" w:cs="Times New Roman"/>
          <w:sz w:val="24"/>
          <w:szCs w:val="24"/>
          <w:lang w:val="en-GB"/>
        </w:rPr>
        <w:t xml:space="preserve"> [Accessed on:</w:t>
      </w:r>
      <w:r w:rsidR="00F8066A" w:rsidRPr="009F13BD">
        <w:rPr>
          <w:rFonts w:ascii="Times New Roman" w:hAnsi="Times New Roman" w:cs="Times New Roman"/>
          <w:sz w:val="24"/>
          <w:szCs w:val="24"/>
          <w:lang w:val="en-GB"/>
        </w:rPr>
        <w:t xml:space="preserve"> </w:t>
      </w:r>
      <w:r w:rsidR="00105D22" w:rsidRPr="009F13BD">
        <w:rPr>
          <w:rFonts w:ascii="Times New Roman" w:hAnsi="Times New Roman" w:cs="Times New Roman"/>
          <w:sz w:val="24"/>
          <w:szCs w:val="24"/>
          <w:lang w:val="en-GB"/>
        </w:rPr>
        <w:t>19</w:t>
      </w:r>
      <w:r w:rsidR="00F8066A" w:rsidRPr="009F13BD">
        <w:rPr>
          <w:rFonts w:ascii="Times New Roman" w:hAnsi="Times New Roman" w:cs="Times New Roman"/>
          <w:sz w:val="24"/>
          <w:szCs w:val="24"/>
          <w:lang w:val="en-GB"/>
        </w:rPr>
        <w:t xml:space="preserve"> </w:t>
      </w:r>
      <w:r w:rsidR="00105D22" w:rsidRPr="009F13BD">
        <w:rPr>
          <w:rFonts w:ascii="Times New Roman" w:hAnsi="Times New Roman" w:cs="Times New Roman"/>
          <w:sz w:val="24"/>
          <w:szCs w:val="24"/>
          <w:lang w:val="en-GB"/>
        </w:rPr>
        <w:t>July</w:t>
      </w:r>
      <w:r w:rsidR="00F8066A" w:rsidRPr="009F13BD">
        <w:rPr>
          <w:rFonts w:ascii="Times New Roman" w:hAnsi="Times New Roman" w:cs="Times New Roman"/>
          <w:sz w:val="24"/>
          <w:szCs w:val="24"/>
          <w:lang w:val="en-GB"/>
        </w:rPr>
        <w:t xml:space="preserve"> 2023]</w:t>
      </w:r>
      <w:r w:rsidRPr="009F13BD">
        <w:rPr>
          <w:rFonts w:ascii="Times New Roman" w:hAnsi="Times New Roman" w:cs="Times New Roman"/>
          <w:sz w:val="24"/>
          <w:szCs w:val="24"/>
          <w:lang w:val="en-GB"/>
        </w:rPr>
        <w:t>.</w:t>
      </w:r>
    </w:p>
    <w:p w14:paraId="512AF5A7"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Leigh, G. 2022. Murderous intent—The attitude of a </w:t>
      </w:r>
      <w:proofErr w:type="gramStart"/>
      <w:r w:rsidRPr="009F13BD">
        <w:rPr>
          <w:rFonts w:ascii="Times New Roman" w:hAnsi="Times New Roman" w:cs="Times New Roman"/>
          <w:sz w:val="24"/>
          <w:szCs w:val="24"/>
          <w:lang w:val="en-GB"/>
        </w:rPr>
        <w:t>murderer?.</w:t>
      </w:r>
      <w:proofErr w:type="gramEnd"/>
      <w:r w:rsidRPr="009F13BD">
        <w:rPr>
          <w:rFonts w:ascii="Times New Roman" w:hAnsi="Times New Roman" w:cs="Times New Roman"/>
          <w:sz w:val="24"/>
          <w:szCs w:val="24"/>
          <w:lang w:val="en-GB"/>
        </w:rPr>
        <w:t> The Journal of Criminal Law 86(1), pp.18-28.</w:t>
      </w:r>
    </w:p>
    <w:p w14:paraId="781EDB5C"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Liu, A.C. 2018. Diminished responsibility: law reform in the United Kingdom and personal perspective on forensic psychiatric practice in Hong Kong. East Asian archives of psychiatry 28(4), pp. 144-149.</w:t>
      </w:r>
    </w:p>
    <w:p w14:paraId="52D25481"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Martin, J. and Price, N. 2017. </w:t>
      </w:r>
      <w:r w:rsidRPr="009F13BD">
        <w:rPr>
          <w:rFonts w:ascii="Times New Roman" w:hAnsi="Times New Roman" w:cs="Times New Roman"/>
          <w:i/>
          <w:iCs/>
          <w:sz w:val="24"/>
          <w:szCs w:val="24"/>
          <w:lang w:val="en-GB"/>
        </w:rPr>
        <w:t>AQA A-level Law for Year 1/AS</w:t>
      </w:r>
      <w:r w:rsidRPr="009F13BD">
        <w:rPr>
          <w:rFonts w:ascii="Times New Roman" w:hAnsi="Times New Roman" w:cs="Times New Roman"/>
          <w:sz w:val="24"/>
          <w:szCs w:val="24"/>
          <w:lang w:val="en-GB"/>
        </w:rPr>
        <w:t>. Hodder Education.</w:t>
      </w:r>
    </w:p>
    <w:p w14:paraId="6A00AAE8"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Martin, J., Wortley, R. and Price, N. 2018. </w:t>
      </w:r>
      <w:r w:rsidRPr="009F13BD">
        <w:rPr>
          <w:rFonts w:ascii="Times New Roman" w:hAnsi="Times New Roman" w:cs="Times New Roman"/>
          <w:i/>
          <w:iCs/>
          <w:sz w:val="24"/>
          <w:szCs w:val="24"/>
          <w:lang w:val="en-GB"/>
        </w:rPr>
        <w:t>OCR A Level Law Book 2</w:t>
      </w:r>
      <w:r w:rsidRPr="009F13BD">
        <w:rPr>
          <w:rFonts w:ascii="Times New Roman" w:hAnsi="Times New Roman" w:cs="Times New Roman"/>
          <w:sz w:val="24"/>
          <w:szCs w:val="24"/>
          <w:lang w:val="en-GB"/>
        </w:rPr>
        <w:t>. Hodder Education.</w:t>
      </w:r>
    </w:p>
    <w:p w14:paraId="36A98283"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Molan, M. 2014. </w:t>
      </w:r>
      <w:r w:rsidRPr="009F13BD">
        <w:rPr>
          <w:rFonts w:ascii="Times New Roman" w:hAnsi="Times New Roman" w:cs="Times New Roman"/>
          <w:i/>
          <w:iCs/>
          <w:sz w:val="24"/>
          <w:szCs w:val="24"/>
          <w:lang w:val="en-GB"/>
        </w:rPr>
        <w:t>Q and a Revision Guide Criminal Law 2014 And 2015</w:t>
      </w:r>
      <w:r w:rsidRPr="009F13BD">
        <w:rPr>
          <w:rFonts w:ascii="Times New Roman" w:hAnsi="Times New Roman" w:cs="Times New Roman"/>
          <w:sz w:val="24"/>
          <w:szCs w:val="24"/>
          <w:lang w:val="en-GB"/>
        </w:rPr>
        <w:t>. Oxford University Press.</w:t>
      </w:r>
    </w:p>
    <w:p w14:paraId="2000BB93"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lastRenderedPageBreak/>
        <w:t xml:space="preserve">Monaghan, N. 2018. </w:t>
      </w:r>
      <w:r w:rsidRPr="009F13BD">
        <w:rPr>
          <w:rFonts w:ascii="Times New Roman" w:hAnsi="Times New Roman" w:cs="Times New Roman"/>
          <w:i/>
          <w:iCs/>
          <w:sz w:val="24"/>
          <w:szCs w:val="24"/>
          <w:lang w:val="en-GB"/>
        </w:rPr>
        <w:t>Criminal Law Directions</w:t>
      </w:r>
      <w:r w:rsidRPr="009F13BD">
        <w:rPr>
          <w:rFonts w:ascii="Times New Roman" w:hAnsi="Times New Roman" w:cs="Times New Roman"/>
          <w:sz w:val="24"/>
          <w:szCs w:val="24"/>
          <w:lang w:val="en-GB"/>
        </w:rPr>
        <w:t>. Oxford University Press.</w:t>
      </w:r>
    </w:p>
    <w:p w14:paraId="27F96F1F" w14:textId="508A7ADA" w:rsidR="00911012" w:rsidRPr="009F13BD" w:rsidRDefault="00911012"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Ormerod, D. (2018). Smith and Hogan's Criminal Law. Oxford University Press.</w:t>
      </w:r>
    </w:p>
    <w:p w14:paraId="5728C407" w14:textId="4303BDE4"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ONS.Gov.Uk. 2021. Homicide in England and Wales: year ending March 2021. [Online]. Available at: </w:t>
      </w:r>
      <w:hyperlink r:id="rId12" w:history="1">
        <w:r w:rsidRPr="009F13BD">
          <w:rPr>
            <w:rStyle w:val="Hyperlink"/>
            <w:rFonts w:ascii="Times New Roman" w:hAnsi="Times New Roman" w:cs="Times New Roman"/>
            <w:color w:val="auto"/>
            <w:sz w:val="24"/>
            <w:szCs w:val="24"/>
            <w:lang w:val="en-GB"/>
          </w:rPr>
          <w:t>https://www.ons.gov.uk/peoplepopulationandcommunity/crimeandjustice/articles/homicideinenglandandwales/yearendingmarch2021</w:t>
        </w:r>
      </w:hyperlink>
      <w:r w:rsidRPr="009F13BD">
        <w:rPr>
          <w:rFonts w:ascii="Times New Roman" w:hAnsi="Times New Roman" w:cs="Times New Roman"/>
          <w:sz w:val="24"/>
          <w:szCs w:val="24"/>
          <w:lang w:val="en-GB"/>
        </w:rPr>
        <w:tab/>
        <w:t xml:space="preserve"> [Accessed on:</w:t>
      </w:r>
      <w:r w:rsidR="00F8066A" w:rsidRPr="009F13BD">
        <w:rPr>
          <w:rFonts w:ascii="Times New Roman" w:hAnsi="Times New Roman" w:cs="Times New Roman"/>
          <w:sz w:val="24"/>
          <w:szCs w:val="24"/>
          <w:lang w:val="en-GB"/>
        </w:rPr>
        <w:t xml:space="preserve"> </w:t>
      </w:r>
      <w:r w:rsidR="004077DD" w:rsidRPr="009F13BD">
        <w:rPr>
          <w:rFonts w:ascii="Times New Roman" w:hAnsi="Times New Roman" w:cs="Times New Roman"/>
          <w:sz w:val="24"/>
          <w:szCs w:val="24"/>
          <w:lang w:val="en-GB"/>
        </w:rPr>
        <w:t>5 April</w:t>
      </w:r>
      <w:r w:rsidR="00F8066A" w:rsidRPr="009F13BD">
        <w:rPr>
          <w:rFonts w:ascii="Times New Roman" w:hAnsi="Times New Roman" w:cs="Times New Roman"/>
          <w:sz w:val="24"/>
          <w:szCs w:val="24"/>
          <w:lang w:val="en-GB"/>
        </w:rPr>
        <w:t xml:space="preserve"> 2023]</w:t>
      </w:r>
      <w:r w:rsidRPr="009F13BD">
        <w:rPr>
          <w:rFonts w:ascii="Times New Roman" w:hAnsi="Times New Roman" w:cs="Times New Roman"/>
          <w:sz w:val="24"/>
          <w:szCs w:val="24"/>
          <w:lang w:val="en-GB"/>
        </w:rPr>
        <w:t>.</w:t>
      </w:r>
    </w:p>
    <w:p w14:paraId="51F52146" w14:textId="7777777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Padfield, N. 2016. </w:t>
      </w:r>
      <w:r w:rsidRPr="009F13BD">
        <w:rPr>
          <w:rFonts w:ascii="Times New Roman" w:hAnsi="Times New Roman" w:cs="Times New Roman"/>
          <w:i/>
          <w:sz w:val="24"/>
          <w:szCs w:val="24"/>
          <w:lang w:val="en-GB"/>
        </w:rPr>
        <w:t>Criminal Law</w:t>
      </w:r>
      <w:r w:rsidRPr="009F13BD">
        <w:rPr>
          <w:rFonts w:ascii="Times New Roman" w:hAnsi="Times New Roman" w:cs="Times New Roman"/>
          <w:sz w:val="24"/>
          <w:szCs w:val="24"/>
          <w:lang w:val="en-GB"/>
        </w:rPr>
        <w:t>. London: Oxford University Press.</w:t>
      </w:r>
    </w:p>
    <w:p w14:paraId="440A6760"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shd w:val="clear" w:color="auto" w:fill="FFFFFF"/>
          <w:lang w:val="en-GB"/>
        </w:rPr>
      </w:pPr>
      <w:r w:rsidRPr="009F13BD">
        <w:rPr>
          <w:rFonts w:ascii="Times New Roman" w:hAnsi="Times New Roman" w:cs="Times New Roman"/>
          <w:sz w:val="24"/>
          <w:szCs w:val="24"/>
          <w:shd w:val="clear" w:color="auto" w:fill="FFFFFF"/>
          <w:lang w:val="en-GB"/>
        </w:rPr>
        <w:t xml:space="preserve">Park, Y.S., </w:t>
      </w:r>
      <w:proofErr w:type="spellStart"/>
      <w:r w:rsidRPr="009F13BD">
        <w:rPr>
          <w:rFonts w:ascii="Times New Roman" w:hAnsi="Times New Roman" w:cs="Times New Roman"/>
          <w:sz w:val="24"/>
          <w:szCs w:val="24"/>
          <w:shd w:val="clear" w:color="auto" w:fill="FFFFFF"/>
          <w:lang w:val="en-GB"/>
        </w:rPr>
        <w:t>Konge</w:t>
      </w:r>
      <w:proofErr w:type="spellEnd"/>
      <w:r w:rsidRPr="009F13BD">
        <w:rPr>
          <w:rFonts w:ascii="Times New Roman" w:hAnsi="Times New Roman" w:cs="Times New Roman"/>
          <w:sz w:val="24"/>
          <w:szCs w:val="24"/>
          <w:shd w:val="clear" w:color="auto" w:fill="FFFFFF"/>
          <w:lang w:val="en-GB"/>
        </w:rPr>
        <w:t xml:space="preserve">, L. and </w:t>
      </w:r>
      <w:proofErr w:type="spellStart"/>
      <w:r w:rsidRPr="009F13BD">
        <w:rPr>
          <w:rFonts w:ascii="Times New Roman" w:hAnsi="Times New Roman" w:cs="Times New Roman"/>
          <w:sz w:val="24"/>
          <w:szCs w:val="24"/>
          <w:shd w:val="clear" w:color="auto" w:fill="FFFFFF"/>
          <w:lang w:val="en-GB"/>
        </w:rPr>
        <w:t>Artino</w:t>
      </w:r>
      <w:proofErr w:type="spellEnd"/>
      <w:r w:rsidRPr="009F13BD">
        <w:rPr>
          <w:rFonts w:ascii="Times New Roman" w:hAnsi="Times New Roman" w:cs="Times New Roman"/>
          <w:sz w:val="24"/>
          <w:szCs w:val="24"/>
          <w:shd w:val="clear" w:color="auto" w:fill="FFFFFF"/>
          <w:lang w:val="en-GB"/>
        </w:rPr>
        <w:t>, A.R. 2020. The positivism paradigm of research. </w:t>
      </w:r>
      <w:r w:rsidRPr="009F13BD">
        <w:rPr>
          <w:rFonts w:ascii="Times New Roman" w:hAnsi="Times New Roman" w:cs="Times New Roman"/>
          <w:i/>
          <w:iCs/>
          <w:sz w:val="24"/>
          <w:szCs w:val="24"/>
          <w:shd w:val="clear" w:color="auto" w:fill="FFFFFF"/>
          <w:lang w:val="en-GB"/>
        </w:rPr>
        <w:t>Academic Medicine</w:t>
      </w:r>
      <w:r w:rsidRPr="009F13BD">
        <w:rPr>
          <w:rFonts w:ascii="Times New Roman" w:hAnsi="Times New Roman" w:cs="Times New Roman"/>
          <w:sz w:val="24"/>
          <w:szCs w:val="24"/>
          <w:shd w:val="clear" w:color="auto" w:fill="FFFFFF"/>
          <w:lang w:val="en-GB"/>
        </w:rPr>
        <w:t xml:space="preserve"> 95(5), pp.690-694.</w:t>
      </w:r>
    </w:p>
    <w:p w14:paraId="5E2CABC2" w14:textId="77777777" w:rsidR="006255FC" w:rsidRPr="009F13BD" w:rsidRDefault="006255FC"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Reed, A. 2016. </w:t>
      </w:r>
      <w:r w:rsidRPr="009F13BD">
        <w:rPr>
          <w:rFonts w:ascii="Times New Roman" w:hAnsi="Times New Roman" w:cs="Times New Roman"/>
          <w:i/>
          <w:iCs/>
          <w:sz w:val="24"/>
          <w:szCs w:val="24"/>
          <w:lang w:val="en-GB"/>
        </w:rPr>
        <w:t>Loss of Control and Diminished Responsibility: Domestic, Comparative and International Perspectives</w:t>
      </w:r>
      <w:r w:rsidRPr="009F13BD">
        <w:rPr>
          <w:rFonts w:ascii="Times New Roman" w:hAnsi="Times New Roman" w:cs="Times New Roman"/>
          <w:sz w:val="24"/>
          <w:szCs w:val="24"/>
          <w:lang w:val="en-GB"/>
        </w:rPr>
        <w:t>. Taylor &amp; Francis.</w:t>
      </w:r>
    </w:p>
    <w:p w14:paraId="5A1EEF77" w14:textId="53244700" w:rsidR="00911012" w:rsidRPr="009F13BD" w:rsidRDefault="00911012" w:rsidP="00F9022B">
      <w:pPr>
        <w:pStyle w:val="ListParagraph"/>
        <w:numPr>
          <w:ilvl w:val="0"/>
          <w:numId w:val="2"/>
        </w:numPr>
        <w:tabs>
          <w:tab w:val="left" w:pos="720"/>
        </w:tabs>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Smith, J. C., &amp; Hogan, B. (2015). Criminal Law. Oxford University Press.</w:t>
      </w:r>
    </w:p>
    <w:p w14:paraId="4DBC307F" w14:textId="77777777" w:rsidR="00D938E1" w:rsidRPr="009F13BD" w:rsidRDefault="00D938E1"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Smith, C. (2003). Criminal Law in England and Wales. Oxford University Press.</w:t>
      </w:r>
    </w:p>
    <w:p w14:paraId="28295394" w14:textId="77777777" w:rsidR="00D938E1" w:rsidRPr="009F13BD" w:rsidRDefault="00D938E1" w:rsidP="00F9022B">
      <w:pPr>
        <w:pStyle w:val="ListParagraph"/>
        <w:tabs>
          <w:tab w:val="left" w:pos="720"/>
        </w:tabs>
        <w:spacing w:line="480" w:lineRule="auto"/>
        <w:contextualSpacing w:val="0"/>
        <w:jc w:val="both"/>
        <w:rPr>
          <w:rFonts w:ascii="Times New Roman" w:hAnsi="Times New Roman" w:cs="Times New Roman"/>
          <w:sz w:val="24"/>
          <w:szCs w:val="24"/>
          <w:lang w:val="en-GB"/>
        </w:rPr>
      </w:pPr>
    </w:p>
    <w:p w14:paraId="72C6222A" w14:textId="65152DD7" w:rsidR="006255FC"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Shah, N. 2015. Hutchinson v UK – A Change in Direction on Whole Life Orders? [Online]. Available at: </w:t>
      </w:r>
      <w:hyperlink r:id="rId13" w:history="1">
        <w:r w:rsidRPr="009F13BD">
          <w:rPr>
            <w:rStyle w:val="Hyperlink"/>
            <w:rFonts w:ascii="Times New Roman" w:hAnsi="Times New Roman" w:cs="Times New Roman"/>
            <w:color w:val="auto"/>
            <w:sz w:val="24"/>
            <w:szCs w:val="24"/>
            <w:lang w:val="en-GB"/>
          </w:rPr>
          <w:t>https://ohrh.law.ox.ac.uk/hutchinson-v-uk-a-change-in-direction-on-whole-life-orders/</w:t>
        </w:r>
      </w:hyperlink>
      <w:r w:rsidRPr="009F13BD">
        <w:rPr>
          <w:rFonts w:ascii="Times New Roman" w:hAnsi="Times New Roman" w:cs="Times New Roman"/>
          <w:sz w:val="24"/>
          <w:szCs w:val="24"/>
          <w:lang w:val="en-GB"/>
        </w:rPr>
        <w:t xml:space="preserve">. [Accessed on: </w:t>
      </w:r>
      <w:r w:rsidR="00F8066A" w:rsidRPr="009F13BD">
        <w:rPr>
          <w:rFonts w:ascii="Times New Roman" w:hAnsi="Times New Roman" w:cs="Times New Roman"/>
          <w:sz w:val="24"/>
          <w:szCs w:val="24"/>
          <w:lang w:val="en-GB"/>
        </w:rPr>
        <w:t xml:space="preserve">21 </w:t>
      </w:r>
      <w:r w:rsidR="004077DD" w:rsidRPr="009F13BD">
        <w:rPr>
          <w:rFonts w:ascii="Times New Roman" w:hAnsi="Times New Roman" w:cs="Times New Roman"/>
          <w:sz w:val="24"/>
          <w:szCs w:val="24"/>
          <w:lang w:val="en-GB"/>
        </w:rPr>
        <w:t>March</w:t>
      </w:r>
      <w:r w:rsidR="00F8066A" w:rsidRPr="009F13BD">
        <w:rPr>
          <w:rFonts w:ascii="Times New Roman" w:hAnsi="Times New Roman" w:cs="Times New Roman"/>
          <w:sz w:val="24"/>
          <w:szCs w:val="24"/>
          <w:lang w:val="en-GB"/>
        </w:rPr>
        <w:t xml:space="preserve"> 2023</w:t>
      </w:r>
      <w:r w:rsidRPr="009F13BD">
        <w:rPr>
          <w:rFonts w:ascii="Times New Roman" w:hAnsi="Times New Roman" w:cs="Times New Roman"/>
          <w:sz w:val="24"/>
          <w:szCs w:val="24"/>
          <w:lang w:val="en-GB"/>
        </w:rPr>
        <w:t>].</w:t>
      </w:r>
    </w:p>
    <w:p w14:paraId="1C52B73D" w14:textId="77777777" w:rsidR="001B01FB" w:rsidRPr="009F13BD" w:rsidRDefault="001B01FB" w:rsidP="00F9022B">
      <w:pPr>
        <w:pStyle w:val="ListParagraph"/>
        <w:jc w:val="both"/>
        <w:rPr>
          <w:rFonts w:ascii="Times New Roman" w:hAnsi="Times New Roman" w:cs="Times New Roman"/>
          <w:sz w:val="24"/>
          <w:szCs w:val="24"/>
          <w:lang w:val="en-GB"/>
        </w:rPr>
      </w:pPr>
    </w:p>
    <w:p w14:paraId="608D0055" w14:textId="67508314" w:rsidR="001B01FB" w:rsidRPr="009F13BD" w:rsidRDefault="001B01FB"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Smith, J. (2019). Homicide Law in England and Wales: A Comprehensive Analysis. London: Legal Publishing Co.</w:t>
      </w:r>
    </w:p>
    <w:p w14:paraId="14C507F3" w14:textId="617E1CFF" w:rsidR="00D938E1" w:rsidRPr="009F13BD" w:rsidRDefault="006255FC"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Turner, C. and Boylan-Kemp, J. 2013. Unlocking legal learning. Routledge.</w:t>
      </w:r>
    </w:p>
    <w:p w14:paraId="59EDAC20" w14:textId="0263C3B3" w:rsidR="00D938E1" w:rsidRPr="009F13BD" w:rsidRDefault="00D938E1" w:rsidP="00F9022B">
      <w:pPr>
        <w:pStyle w:val="ListParagraph"/>
        <w:numPr>
          <w:ilvl w:val="0"/>
          <w:numId w:val="2"/>
        </w:numPr>
        <w:spacing w:line="480" w:lineRule="auto"/>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Williams, G. (2012). Textbook of Criminal Law. Oxford University Press.</w:t>
      </w:r>
    </w:p>
    <w:p w14:paraId="3D048747" w14:textId="50D74E23" w:rsidR="00125340" w:rsidRPr="009F13BD" w:rsidRDefault="00125340" w:rsidP="00F9022B">
      <w:pPr>
        <w:pStyle w:val="ListParagraph"/>
        <w:numPr>
          <w:ilvl w:val="0"/>
          <w:numId w:val="2"/>
        </w:numPr>
        <w:spacing w:line="480" w:lineRule="auto"/>
        <w:contextualSpacing w:val="0"/>
        <w:jc w:val="both"/>
        <w:rPr>
          <w:rFonts w:ascii="Times New Roman" w:hAnsi="Times New Roman" w:cs="Times New Roman"/>
          <w:sz w:val="24"/>
          <w:szCs w:val="24"/>
          <w:lang w:val="en-GB"/>
        </w:rPr>
      </w:pPr>
      <w:r w:rsidRPr="009F13BD">
        <w:rPr>
          <w:rFonts w:ascii="Times New Roman" w:hAnsi="Times New Roman" w:cs="Times New Roman"/>
          <w:sz w:val="24"/>
          <w:szCs w:val="24"/>
          <w:lang w:val="en-GB"/>
        </w:rPr>
        <w:t xml:space="preserve">Yeo, S.M.H. 1997. </w:t>
      </w:r>
      <w:r w:rsidRPr="009F13BD">
        <w:rPr>
          <w:rFonts w:ascii="Times New Roman" w:hAnsi="Times New Roman" w:cs="Times New Roman"/>
          <w:i/>
          <w:iCs/>
          <w:sz w:val="24"/>
          <w:szCs w:val="24"/>
          <w:lang w:val="en-GB"/>
        </w:rPr>
        <w:t>Fault in Homicide: Towards a Schematic Approach to the Fault Elements for Murder and Involuntary Manslaughter in England, and other nations</w:t>
      </w:r>
      <w:r w:rsidRPr="009F13BD">
        <w:rPr>
          <w:rFonts w:ascii="Times New Roman" w:hAnsi="Times New Roman" w:cs="Times New Roman"/>
          <w:sz w:val="24"/>
          <w:szCs w:val="24"/>
          <w:lang w:val="en-GB"/>
        </w:rPr>
        <w:t xml:space="preserve">. </w:t>
      </w:r>
    </w:p>
    <w:bookmarkEnd w:id="15"/>
    <w:p w14:paraId="57BF54CD" w14:textId="77777777" w:rsidR="00125340" w:rsidRDefault="00125340" w:rsidP="00F9022B">
      <w:pPr>
        <w:spacing w:line="480" w:lineRule="auto"/>
        <w:jc w:val="both"/>
        <w:rPr>
          <w:rFonts w:ascii="Times New Roman" w:hAnsi="Times New Roman" w:cs="Times New Roman"/>
          <w:sz w:val="24"/>
          <w:szCs w:val="24"/>
          <w:lang w:val="en-GB"/>
        </w:rPr>
      </w:pPr>
    </w:p>
    <w:sectPr w:rsidR="00125340">
      <w:footerReference w:type="default" r:id="rId14"/>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5ECF4" w14:textId="77777777" w:rsidR="003509EF" w:rsidRDefault="003509EF">
      <w:r>
        <w:separator/>
      </w:r>
    </w:p>
  </w:endnote>
  <w:endnote w:type="continuationSeparator" w:id="0">
    <w:p w14:paraId="2531E1C2" w14:textId="77777777" w:rsidR="003509EF" w:rsidRDefault="003509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21582"/>
      <w:docPartObj>
        <w:docPartGallery w:val="Page Numbers (Bottom of Page)"/>
        <w:docPartUnique/>
      </w:docPartObj>
    </w:sdtPr>
    <w:sdtEndPr>
      <w:rPr>
        <w:noProof/>
      </w:rPr>
    </w:sdtEndPr>
    <w:sdtContent>
      <w:p w14:paraId="4CC5F9F8" w14:textId="14725705" w:rsidR="00B020A8" w:rsidRDefault="00B020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E5BA4E" w14:textId="702168FF" w:rsidR="00FE532D" w:rsidRDefault="00FE5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613D5" w14:textId="77777777" w:rsidR="003509EF" w:rsidRDefault="003509EF">
      <w:r>
        <w:separator/>
      </w:r>
    </w:p>
  </w:footnote>
  <w:footnote w:type="continuationSeparator" w:id="0">
    <w:p w14:paraId="2BAF0F4D" w14:textId="77777777" w:rsidR="003509EF" w:rsidRDefault="003509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D63AA"/>
    <w:multiLevelType w:val="multilevel"/>
    <w:tmpl w:val="4FAD63A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7481AC3"/>
    <w:multiLevelType w:val="hybridMultilevel"/>
    <w:tmpl w:val="A1860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312193">
    <w:abstractNumId w:val="0"/>
  </w:num>
  <w:num w:numId="2" w16cid:durableId="1826974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8D6216D"/>
    <w:rsid w:val="00003F74"/>
    <w:rsid w:val="00007DB7"/>
    <w:rsid w:val="000175B7"/>
    <w:rsid w:val="00020ADB"/>
    <w:rsid w:val="00022C37"/>
    <w:rsid w:val="0003246B"/>
    <w:rsid w:val="000557C6"/>
    <w:rsid w:val="00063472"/>
    <w:rsid w:val="00070AF6"/>
    <w:rsid w:val="000A34D6"/>
    <w:rsid w:val="000D6767"/>
    <w:rsid w:val="000F77A1"/>
    <w:rsid w:val="0010348B"/>
    <w:rsid w:val="00105D22"/>
    <w:rsid w:val="00121C0F"/>
    <w:rsid w:val="00125340"/>
    <w:rsid w:val="001473D1"/>
    <w:rsid w:val="001507CD"/>
    <w:rsid w:val="00156DB8"/>
    <w:rsid w:val="00187D47"/>
    <w:rsid w:val="00193FD2"/>
    <w:rsid w:val="001966F7"/>
    <w:rsid w:val="001A3625"/>
    <w:rsid w:val="001B01FB"/>
    <w:rsid w:val="001C3C99"/>
    <w:rsid w:val="001E0809"/>
    <w:rsid w:val="001E7CA8"/>
    <w:rsid w:val="001F70C8"/>
    <w:rsid w:val="002061E6"/>
    <w:rsid w:val="0023688F"/>
    <w:rsid w:val="002638D2"/>
    <w:rsid w:val="00272C2C"/>
    <w:rsid w:val="00274C4E"/>
    <w:rsid w:val="00277195"/>
    <w:rsid w:val="002B0839"/>
    <w:rsid w:val="002D4773"/>
    <w:rsid w:val="002F4628"/>
    <w:rsid w:val="002F4904"/>
    <w:rsid w:val="002F52FC"/>
    <w:rsid w:val="00302A35"/>
    <w:rsid w:val="00322169"/>
    <w:rsid w:val="00323AEC"/>
    <w:rsid w:val="00332B97"/>
    <w:rsid w:val="003349CA"/>
    <w:rsid w:val="00346D92"/>
    <w:rsid w:val="003509EF"/>
    <w:rsid w:val="003551D6"/>
    <w:rsid w:val="003660C7"/>
    <w:rsid w:val="003856F8"/>
    <w:rsid w:val="003C25CA"/>
    <w:rsid w:val="003C5749"/>
    <w:rsid w:val="003D1229"/>
    <w:rsid w:val="003D1AD0"/>
    <w:rsid w:val="003D7541"/>
    <w:rsid w:val="003E7EED"/>
    <w:rsid w:val="00400769"/>
    <w:rsid w:val="00402E15"/>
    <w:rsid w:val="004077DD"/>
    <w:rsid w:val="00415AB3"/>
    <w:rsid w:val="00417661"/>
    <w:rsid w:val="00441E76"/>
    <w:rsid w:val="004456F2"/>
    <w:rsid w:val="00462A18"/>
    <w:rsid w:val="0047769A"/>
    <w:rsid w:val="00480F69"/>
    <w:rsid w:val="004874C3"/>
    <w:rsid w:val="00494D4E"/>
    <w:rsid w:val="004A23CA"/>
    <w:rsid w:val="004E2611"/>
    <w:rsid w:val="004E713B"/>
    <w:rsid w:val="004F7338"/>
    <w:rsid w:val="005045F5"/>
    <w:rsid w:val="00507D5A"/>
    <w:rsid w:val="005237D3"/>
    <w:rsid w:val="0054338E"/>
    <w:rsid w:val="00550FBE"/>
    <w:rsid w:val="00577D36"/>
    <w:rsid w:val="005C6A76"/>
    <w:rsid w:val="005E0EA1"/>
    <w:rsid w:val="005E6F38"/>
    <w:rsid w:val="006255FC"/>
    <w:rsid w:val="00627C04"/>
    <w:rsid w:val="006301EE"/>
    <w:rsid w:val="006365B2"/>
    <w:rsid w:val="00636B0E"/>
    <w:rsid w:val="00642608"/>
    <w:rsid w:val="006451FB"/>
    <w:rsid w:val="00655115"/>
    <w:rsid w:val="00676FA9"/>
    <w:rsid w:val="00685D44"/>
    <w:rsid w:val="006B0CFB"/>
    <w:rsid w:val="006B1A6C"/>
    <w:rsid w:val="006B6CAF"/>
    <w:rsid w:val="006E3CFC"/>
    <w:rsid w:val="006E4397"/>
    <w:rsid w:val="006F7DEE"/>
    <w:rsid w:val="00712B58"/>
    <w:rsid w:val="00740D7A"/>
    <w:rsid w:val="00744427"/>
    <w:rsid w:val="0075541F"/>
    <w:rsid w:val="00764B46"/>
    <w:rsid w:val="00790D68"/>
    <w:rsid w:val="007A6339"/>
    <w:rsid w:val="00810769"/>
    <w:rsid w:val="00820C7A"/>
    <w:rsid w:val="00836C3E"/>
    <w:rsid w:val="0084720C"/>
    <w:rsid w:val="00850622"/>
    <w:rsid w:val="008557FD"/>
    <w:rsid w:val="00857436"/>
    <w:rsid w:val="008618C7"/>
    <w:rsid w:val="00867830"/>
    <w:rsid w:val="00871C89"/>
    <w:rsid w:val="008A270A"/>
    <w:rsid w:val="008C499C"/>
    <w:rsid w:val="008C5209"/>
    <w:rsid w:val="008F61A7"/>
    <w:rsid w:val="00904A2E"/>
    <w:rsid w:val="00911012"/>
    <w:rsid w:val="009279A7"/>
    <w:rsid w:val="009367BC"/>
    <w:rsid w:val="0096281E"/>
    <w:rsid w:val="00966D82"/>
    <w:rsid w:val="00972038"/>
    <w:rsid w:val="00994F64"/>
    <w:rsid w:val="009A2998"/>
    <w:rsid w:val="009B1DBD"/>
    <w:rsid w:val="009C553E"/>
    <w:rsid w:val="009E3842"/>
    <w:rsid w:val="009E4BA1"/>
    <w:rsid w:val="009F070A"/>
    <w:rsid w:val="009F13BD"/>
    <w:rsid w:val="009F72F4"/>
    <w:rsid w:val="00A00A9D"/>
    <w:rsid w:val="00A11306"/>
    <w:rsid w:val="00A11C35"/>
    <w:rsid w:val="00A273DD"/>
    <w:rsid w:val="00A44ED7"/>
    <w:rsid w:val="00A51529"/>
    <w:rsid w:val="00A92106"/>
    <w:rsid w:val="00A97A8D"/>
    <w:rsid w:val="00AC0F00"/>
    <w:rsid w:val="00AD01E4"/>
    <w:rsid w:val="00B020A8"/>
    <w:rsid w:val="00B049DD"/>
    <w:rsid w:val="00B1419A"/>
    <w:rsid w:val="00B14BFC"/>
    <w:rsid w:val="00B35229"/>
    <w:rsid w:val="00B71503"/>
    <w:rsid w:val="00B77A20"/>
    <w:rsid w:val="00BA03BE"/>
    <w:rsid w:val="00BA0CE2"/>
    <w:rsid w:val="00BA15CE"/>
    <w:rsid w:val="00BC1CFD"/>
    <w:rsid w:val="00BC54A9"/>
    <w:rsid w:val="00BC7397"/>
    <w:rsid w:val="00C30410"/>
    <w:rsid w:val="00C409DD"/>
    <w:rsid w:val="00C762C6"/>
    <w:rsid w:val="00C84781"/>
    <w:rsid w:val="00CC2E1B"/>
    <w:rsid w:val="00CD2964"/>
    <w:rsid w:val="00CD492F"/>
    <w:rsid w:val="00CE11A0"/>
    <w:rsid w:val="00D00509"/>
    <w:rsid w:val="00D30B34"/>
    <w:rsid w:val="00D35F47"/>
    <w:rsid w:val="00D41D69"/>
    <w:rsid w:val="00D938E1"/>
    <w:rsid w:val="00DB4995"/>
    <w:rsid w:val="00DB564A"/>
    <w:rsid w:val="00DC5623"/>
    <w:rsid w:val="00DD77AC"/>
    <w:rsid w:val="00E2773B"/>
    <w:rsid w:val="00E425F9"/>
    <w:rsid w:val="00E9578C"/>
    <w:rsid w:val="00E9716B"/>
    <w:rsid w:val="00EB454F"/>
    <w:rsid w:val="00EB6131"/>
    <w:rsid w:val="00F223F8"/>
    <w:rsid w:val="00F2414A"/>
    <w:rsid w:val="00F27676"/>
    <w:rsid w:val="00F60957"/>
    <w:rsid w:val="00F8066A"/>
    <w:rsid w:val="00F80C99"/>
    <w:rsid w:val="00F84788"/>
    <w:rsid w:val="00F8776A"/>
    <w:rsid w:val="00F9022B"/>
    <w:rsid w:val="00FA18E4"/>
    <w:rsid w:val="00FB2AA7"/>
    <w:rsid w:val="00FB4F50"/>
    <w:rsid w:val="00FC53EF"/>
    <w:rsid w:val="00FE532D"/>
    <w:rsid w:val="010C284D"/>
    <w:rsid w:val="012E251C"/>
    <w:rsid w:val="024E4B4B"/>
    <w:rsid w:val="0286050E"/>
    <w:rsid w:val="02AF74E7"/>
    <w:rsid w:val="0331745B"/>
    <w:rsid w:val="044D5F13"/>
    <w:rsid w:val="045B7FD9"/>
    <w:rsid w:val="04A32778"/>
    <w:rsid w:val="06020C8A"/>
    <w:rsid w:val="06B222FA"/>
    <w:rsid w:val="06F965AD"/>
    <w:rsid w:val="06FD6A9C"/>
    <w:rsid w:val="0A0271A4"/>
    <w:rsid w:val="0B104E21"/>
    <w:rsid w:val="0CD20891"/>
    <w:rsid w:val="0D7F11F1"/>
    <w:rsid w:val="0D996B92"/>
    <w:rsid w:val="0F542271"/>
    <w:rsid w:val="0FF66BCF"/>
    <w:rsid w:val="10A51DDA"/>
    <w:rsid w:val="10FE14EA"/>
    <w:rsid w:val="11B56635"/>
    <w:rsid w:val="11D05A33"/>
    <w:rsid w:val="11FB5CB5"/>
    <w:rsid w:val="129865B0"/>
    <w:rsid w:val="12A72CD1"/>
    <w:rsid w:val="13611C97"/>
    <w:rsid w:val="144D6AC7"/>
    <w:rsid w:val="15B94712"/>
    <w:rsid w:val="18AC4F64"/>
    <w:rsid w:val="19005050"/>
    <w:rsid w:val="191B2B9B"/>
    <w:rsid w:val="1A0451CA"/>
    <w:rsid w:val="1CAC5F6D"/>
    <w:rsid w:val="1DF73FA2"/>
    <w:rsid w:val="1EB276AF"/>
    <w:rsid w:val="1EDD1BA5"/>
    <w:rsid w:val="205940C2"/>
    <w:rsid w:val="20CB0A25"/>
    <w:rsid w:val="212A3F41"/>
    <w:rsid w:val="213D23B6"/>
    <w:rsid w:val="22495EC2"/>
    <w:rsid w:val="23072480"/>
    <w:rsid w:val="231B6960"/>
    <w:rsid w:val="23D31E2B"/>
    <w:rsid w:val="23DA1662"/>
    <w:rsid w:val="265500E2"/>
    <w:rsid w:val="26FB0B96"/>
    <w:rsid w:val="28D6216D"/>
    <w:rsid w:val="293F15D2"/>
    <w:rsid w:val="29B729B5"/>
    <w:rsid w:val="29DB25DC"/>
    <w:rsid w:val="29EC0622"/>
    <w:rsid w:val="2B354446"/>
    <w:rsid w:val="2BE10ED2"/>
    <w:rsid w:val="2C046685"/>
    <w:rsid w:val="2CE41F2E"/>
    <w:rsid w:val="2D755A7A"/>
    <w:rsid w:val="2DC27D32"/>
    <w:rsid w:val="2F811B21"/>
    <w:rsid w:val="30576C24"/>
    <w:rsid w:val="313E1763"/>
    <w:rsid w:val="31B636F0"/>
    <w:rsid w:val="31F95DF3"/>
    <w:rsid w:val="330E1609"/>
    <w:rsid w:val="338418CB"/>
    <w:rsid w:val="338662EE"/>
    <w:rsid w:val="33A81036"/>
    <w:rsid w:val="33D01B1A"/>
    <w:rsid w:val="34AA2C62"/>
    <w:rsid w:val="350D70D7"/>
    <w:rsid w:val="35624D04"/>
    <w:rsid w:val="36F90814"/>
    <w:rsid w:val="378F42F1"/>
    <w:rsid w:val="386F782D"/>
    <w:rsid w:val="393F42CA"/>
    <w:rsid w:val="39E405BF"/>
    <w:rsid w:val="39ED2450"/>
    <w:rsid w:val="3A3F4A45"/>
    <w:rsid w:val="3ADF1019"/>
    <w:rsid w:val="3B7D3A2D"/>
    <w:rsid w:val="3C5C1B69"/>
    <w:rsid w:val="3C846F7C"/>
    <w:rsid w:val="3D540643"/>
    <w:rsid w:val="3F537858"/>
    <w:rsid w:val="42F371D5"/>
    <w:rsid w:val="43E907CA"/>
    <w:rsid w:val="44110F59"/>
    <w:rsid w:val="44163D42"/>
    <w:rsid w:val="465501F8"/>
    <w:rsid w:val="48026F58"/>
    <w:rsid w:val="48474A35"/>
    <w:rsid w:val="4A3C51B1"/>
    <w:rsid w:val="4AF319E3"/>
    <w:rsid w:val="4C5A5663"/>
    <w:rsid w:val="4DD40E26"/>
    <w:rsid w:val="4DDA060D"/>
    <w:rsid w:val="4E7919E9"/>
    <w:rsid w:val="4EEF38AF"/>
    <w:rsid w:val="4FA20E4B"/>
    <w:rsid w:val="4FF54706"/>
    <w:rsid w:val="50362B19"/>
    <w:rsid w:val="503A176D"/>
    <w:rsid w:val="51BB20EF"/>
    <w:rsid w:val="5252276D"/>
    <w:rsid w:val="52721545"/>
    <w:rsid w:val="531E71EE"/>
    <w:rsid w:val="53313D25"/>
    <w:rsid w:val="554A3878"/>
    <w:rsid w:val="55592780"/>
    <w:rsid w:val="557430F6"/>
    <w:rsid w:val="55CD5F67"/>
    <w:rsid w:val="55F77D8C"/>
    <w:rsid w:val="58230859"/>
    <w:rsid w:val="58DD25BE"/>
    <w:rsid w:val="592836CB"/>
    <w:rsid w:val="592937AF"/>
    <w:rsid w:val="5A1309EA"/>
    <w:rsid w:val="5A2040C5"/>
    <w:rsid w:val="5A672A61"/>
    <w:rsid w:val="5BA8209C"/>
    <w:rsid w:val="5C5E72C1"/>
    <w:rsid w:val="5D9C2231"/>
    <w:rsid w:val="5DEE5204"/>
    <w:rsid w:val="5E0C4813"/>
    <w:rsid w:val="5F893C41"/>
    <w:rsid w:val="6059582B"/>
    <w:rsid w:val="617C536B"/>
    <w:rsid w:val="623139CC"/>
    <w:rsid w:val="625905D1"/>
    <w:rsid w:val="626544F2"/>
    <w:rsid w:val="628969D9"/>
    <w:rsid w:val="636218DD"/>
    <w:rsid w:val="636B4E7E"/>
    <w:rsid w:val="639D73BB"/>
    <w:rsid w:val="65493C57"/>
    <w:rsid w:val="674E72EB"/>
    <w:rsid w:val="67B27255"/>
    <w:rsid w:val="68770075"/>
    <w:rsid w:val="699346A7"/>
    <w:rsid w:val="6B3E29C2"/>
    <w:rsid w:val="6B53295C"/>
    <w:rsid w:val="6CC62031"/>
    <w:rsid w:val="6DC05C64"/>
    <w:rsid w:val="6E567BAB"/>
    <w:rsid w:val="705D2071"/>
    <w:rsid w:val="708F4EE4"/>
    <w:rsid w:val="70CF470A"/>
    <w:rsid w:val="726B427C"/>
    <w:rsid w:val="72BD745E"/>
    <w:rsid w:val="7317121F"/>
    <w:rsid w:val="73DE566C"/>
    <w:rsid w:val="78591FAB"/>
    <w:rsid w:val="7AA16FC8"/>
    <w:rsid w:val="7C107B68"/>
    <w:rsid w:val="7D4A6009"/>
    <w:rsid w:val="7DF27CF8"/>
    <w:rsid w:val="7E775881"/>
    <w:rsid w:val="7E7D485F"/>
    <w:rsid w:val="7EB80774"/>
    <w:rsid w:val="7FA30EEB"/>
    <w:rsid w:val="7FEA74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0CB726"/>
  <w15:docId w15:val="{9255DA34-A30C-4029-9C4B-05AFF2AE3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uiPriority="20"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next w:val="Normal"/>
    <w:link w:val="Heading1Char"/>
    <w:qFormat/>
    <w:pPr>
      <w:spacing w:beforeAutospacing="1" w:afterAutospacing="1"/>
      <w:outlineLvl w:val="0"/>
    </w:pPr>
    <w:rPr>
      <w:rFonts w:ascii="SimSun" w:hAnsi="SimSun" w:hint="eastAsia"/>
      <w:b/>
      <w:bCs/>
      <w:kern w:val="44"/>
      <w:sz w:val="48"/>
      <w:szCs w:val="48"/>
      <w:lang w:eastAsia="zh-CN"/>
    </w:rPr>
  </w:style>
  <w:style w:type="paragraph" w:styleId="Heading2">
    <w:name w:val="heading 2"/>
    <w:basedOn w:val="Normal"/>
    <w:next w:val="Normal"/>
    <w:link w:val="Heading2Char"/>
    <w:unhideWhenUsed/>
    <w:qFormat/>
    <w:pPr>
      <w:keepNext/>
      <w:keepLines/>
      <w:spacing w:before="260" w:after="260" w:line="416" w:lineRule="auto"/>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uiPriority w:val="99"/>
    <w:rPr>
      <w:color w:val="0000FF"/>
      <w:u w:val="single"/>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ListParagraph">
    <w:name w:val="List Paragraph"/>
    <w:basedOn w:val="Normal"/>
    <w:uiPriority w:val="34"/>
    <w:qFormat/>
    <w:pPr>
      <w:ind w:left="720"/>
      <w:contextualSpacing/>
    </w:pPr>
  </w:style>
  <w:style w:type="character" w:customStyle="1" w:styleId="Heading2Char">
    <w:name w:val="Heading 2 Char"/>
    <w:link w:val="Heading2"/>
    <w:rPr>
      <w:b/>
      <w:bCs/>
      <w:sz w:val="32"/>
      <w:szCs w:val="32"/>
    </w:rPr>
  </w:style>
  <w:style w:type="character" w:customStyle="1" w:styleId="Heading1Char">
    <w:name w:val="Heading 1 Char"/>
    <w:link w:val="Heading1"/>
    <w:rPr>
      <w:rFonts w:ascii="SimSun" w:eastAsia="SimSun" w:hAnsi="SimSun" w:cs="SimSun" w:hint="eastAsia"/>
      <w:b/>
      <w:bCs/>
      <w:kern w:val="44"/>
      <w:sz w:val="48"/>
      <w:szCs w:val="48"/>
      <w:lang w:val="en-US" w:eastAsia="zh-CN" w:bidi="ar"/>
    </w:rPr>
  </w:style>
  <w:style w:type="paragraph" w:customStyle="1" w:styleId="WPSOffice1">
    <w:name w:val="WPSOffice手动目录 1"/>
  </w:style>
  <w:style w:type="paragraph" w:customStyle="1" w:styleId="WPSOffice2">
    <w:name w:val="WPSOffice手动目录 2"/>
    <w:pPr>
      <w:ind w:leftChars="200" w:left="200"/>
    </w:pPr>
  </w:style>
  <w:style w:type="character" w:styleId="UnresolvedMention">
    <w:name w:val="Unresolved Mention"/>
    <w:basedOn w:val="DefaultParagraphFont"/>
    <w:uiPriority w:val="99"/>
    <w:semiHidden/>
    <w:unhideWhenUsed/>
    <w:rsid w:val="006255FC"/>
    <w:rPr>
      <w:color w:val="605E5C"/>
      <w:shd w:val="clear" w:color="auto" w:fill="E1DFDD"/>
    </w:rPr>
  </w:style>
  <w:style w:type="paragraph" w:styleId="NoSpacing">
    <w:name w:val="No Spacing"/>
    <w:link w:val="NoSpacingChar"/>
    <w:uiPriority w:val="1"/>
    <w:qFormat/>
    <w:rsid w:val="0096281E"/>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6281E"/>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B020A8"/>
    <w:rPr>
      <w:rFonts w:asciiTheme="minorHAnsi" w:eastAsiaTheme="minorEastAsia" w:hAnsiTheme="minorHAnsi" w:cstheme="minorBidi"/>
      <w:sz w:val="18"/>
      <w:szCs w:val="18"/>
      <w:lang w:eastAsia="zh-CN"/>
    </w:rPr>
  </w:style>
  <w:style w:type="character" w:styleId="CommentReference">
    <w:name w:val="annotation reference"/>
    <w:basedOn w:val="DefaultParagraphFont"/>
    <w:rsid w:val="00836C3E"/>
    <w:rPr>
      <w:sz w:val="16"/>
      <w:szCs w:val="16"/>
    </w:rPr>
  </w:style>
  <w:style w:type="paragraph" w:styleId="CommentText">
    <w:name w:val="annotation text"/>
    <w:basedOn w:val="Normal"/>
    <w:link w:val="CommentTextChar"/>
    <w:rsid w:val="00836C3E"/>
  </w:style>
  <w:style w:type="character" w:customStyle="1" w:styleId="CommentTextChar">
    <w:name w:val="Comment Text Char"/>
    <w:basedOn w:val="DefaultParagraphFont"/>
    <w:link w:val="CommentText"/>
    <w:rsid w:val="00836C3E"/>
    <w:rPr>
      <w:rFonts w:asciiTheme="minorHAnsi" w:eastAsiaTheme="minorEastAsia" w:hAnsiTheme="minorHAnsi" w:cstheme="minorBidi"/>
      <w:lang w:eastAsia="zh-CN"/>
    </w:rPr>
  </w:style>
  <w:style w:type="paragraph" w:styleId="CommentSubject">
    <w:name w:val="annotation subject"/>
    <w:basedOn w:val="CommentText"/>
    <w:next w:val="CommentText"/>
    <w:link w:val="CommentSubjectChar"/>
    <w:rsid w:val="00836C3E"/>
    <w:rPr>
      <w:b/>
      <w:bCs/>
    </w:rPr>
  </w:style>
  <w:style w:type="character" w:customStyle="1" w:styleId="CommentSubjectChar">
    <w:name w:val="Comment Subject Char"/>
    <w:basedOn w:val="CommentTextChar"/>
    <w:link w:val="CommentSubject"/>
    <w:rsid w:val="00836C3E"/>
    <w:rPr>
      <w:rFonts w:asciiTheme="minorHAnsi" w:eastAsiaTheme="minorEastAsia" w:hAnsiTheme="minorHAnsi" w:cstheme="minorBidi"/>
      <w:b/>
      <w:bCs/>
      <w:lang w:eastAsia="zh-CN"/>
    </w:rPr>
  </w:style>
  <w:style w:type="character" w:styleId="Emphasis">
    <w:name w:val="Emphasis"/>
    <w:basedOn w:val="DefaultParagraphFont"/>
    <w:uiPriority w:val="20"/>
    <w:qFormat/>
    <w:rsid w:val="000557C6"/>
    <w:rPr>
      <w:i/>
      <w:iCs/>
    </w:rPr>
  </w:style>
  <w:style w:type="paragraph" w:styleId="TOCHeading">
    <w:name w:val="TOC Heading"/>
    <w:basedOn w:val="Heading1"/>
    <w:next w:val="Normal"/>
    <w:uiPriority w:val="39"/>
    <w:unhideWhenUsed/>
    <w:qFormat/>
    <w:rsid w:val="002D4773"/>
    <w:pPr>
      <w:keepNext/>
      <w:keepLines/>
      <w:spacing w:before="240" w:beforeAutospacing="0" w:afterAutospacing="0" w:line="259" w:lineRule="auto"/>
      <w:outlineLvl w:val="9"/>
    </w:pPr>
    <w:rPr>
      <w:rFonts w:asciiTheme="majorHAnsi" w:eastAsiaTheme="majorEastAsia" w:hAnsiTheme="majorHAnsi" w:cstheme="majorBidi" w:hint="default"/>
      <w:b w:val="0"/>
      <w:bCs w:val="0"/>
      <w:color w:val="2E74B5" w:themeColor="accent1" w:themeShade="BF"/>
      <w:kern w:val="0"/>
      <w:sz w:val="32"/>
      <w:szCs w:val="32"/>
      <w:lang w:eastAsia="en-US"/>
    </w:rPr>
  </w:style>
  <w:style w:type="character" w:customStyle="1" w:styleId="chapter-label">
    <w:name w:val="chapter-label"/>
    <w:basedOn w:val="DefaultParagraphFont"/>
    <w:rsid w:val="00022C37"/>
  </w:style>
  <w:style w:type="character" w:customStyle="1" w:styleId="chapter-title-without-label">
    <w:name w:val="chapter-title-without-label"/>
    <w:basedOn w:val="DefaultParagraphFont"/>
    <w:rsid w:val="00810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28</Pages>
  <Words>6460</Words>
  <Characters>36822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Research Projects</vt:lpstr>
    </vt:vector>
  </TitlesOfParts>
  <Company/>
  <LinksUpToDate>false</LinksUpToDate>
  <CharactersWithSpaces>43196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Projects</dc:title>
  <dc:subject/>
  <dc:creator>Roshid Ahmed</dc:creator>
  <cp:lastModifiedBy>Roshid Ahmed</cp:lastModifiedBy>
  <cp:revision>80</cp:revision>
  <cp:lastPrinted>2023-07-19T19:49:00Z</cp:lastPrinted>
  <dcterms:created xsi:type="dcterms:W3CDTF">2023-07-19T17:44:00Z</dcterms:created>
  <dcterms:modified xsi:type="dcterms:W3CDTF">2023-07-21T13:47:00Z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4E6E470BECAD470C8963F129AA8FBCB8</vt:lpwstr>
  </property>
  <property fmtid="{D5CDD505-2E9C-101B-9397-08002B2CF9AE}" pid="3" name="KSOProductBuildVer">
    <vt:lpwstr>1033-11.2.0.11417</vt:lpwstr>
  </property>
</Properties>
</file>