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2DF588" w14:textId="77777777" w:rsidR="00527753" w:rsidRPr="00E11B06" w:rsidRDefault="00527753" w:rsidP="00E11B06">
      <w:pPr>
        <w:jc w:val="center"/>
        <w:rPr>
          <w:b/>
          <w:bCs/>
          <w:sz w:val="32"/>
          <w:szCs w:val="32"/>
        </w:rPr>
      </w:pPr>
    </w:p>
    <w:p w14:paraId="4C3120AC" w14:textId="0B027446" w:rsidR="00527753" w:rsidRDefault="004F7945" w:rsidP="004F7945">
      <w:pPr>
        <w:widowControl w:val="0"/>
        <w:jc w:val="center"/>
        <w:rPr>
          <w:b/>
          <w:bCs/>
          <w:sz w:val="32"/>
          <w:szCs w:val="32"/>
        </w:rPr>
      </w:pPr>
      <w:r>
        <w:rPr>
          <w:noProof/>
          <w:lang w:eastAsia="en-GB"/>
        </w:rPr>
        <w:drawing>
          <wp:inline distT="0" distB="0" distL="0" distR="0" wp14:anchorId="78335F51" wp14:editId="65DCA7FA">
            <wp:extent cx="2816225" cy="673100"/>
            <wp:effectExtent l="0" t="0" r="0" b="0"/>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p>
    <w:p w14:paraId="268D95CC" w14:textId="77777777" w:rsidR="00BB39E8" w:rsidRPr="009C063A" w:rsidRDefault="00BB39E8" w:rsidP="00BB39E8">
      <w:pPr>
        <w:spacing w:line="240" w:lineRule="auto"/>
        <w:jc w:val="center"/>
        <w:rPr>
          <w:sz w:val="38"/>
          <w:szCs w:val="38"/>
        </w:rPr>
      </w:pPr>
      <w:r w:rsidRPr="009C063A">
        <w:rPr>
          <w:sz w:val="38"/>
          <w:szCs w:val="38"/>
        </w:rPr>
        <w:t>Master of Business Administration</w:t>
      </w:r>
    </w:p>
    <w:p w14:paraId="20B8707A" w14:textId="77777777" w:rsidR="00BB39E8" w:rsidRPr="009C063A" w:rsidRDefault="00BB39E8" w:rsidP="00BB39E8">
      <w:pPr>
        <w:spacing w:line="240" w:lineRule="auto"/>
        <w:jc w:val="center"/>
        <w:rPr>
          <w:sz w:val="32"/>
          <w:szCs w:val="32"/>
        </w:rPr>
      </w:pPr>
      <w:r w:rsidRPr="009C063A">
        <w:rPr>
          <w:sz w:val="32"/>
          <w:szCs w:val="32"/>
        </w:rPr>
        <w:t>International Business pathway</w:t>
      </w:r>
    </w:p>
    <w:p w14:paraId="7E927036" w14:textId="62A1D01F" w:rsidR="00BB39E8" w:rsidRDefault="00BB39E8" w:rsidP="004B0321">
      <w:pPr>
        <w:rPr>
          <w:sz w:val="28"/>
          <w:szCs w:val="28"/>
        </w:rPr>
      </w:pPr>
    </w:p>
    <w:p w14:paraId="65A3F551" w14:textId="77777777" w:rsidR="00DF0435" w:rsidRPr="00E11B06" w:rsidRDefault="00DF0435" w:rsidP="00DF0435">
      <w:pPr>
        <w:jc w:val="center"/>
        <w:rPr>
          <w:b/>
          <w:bCs/>
          <w:sz w:val="32"/>
          <w:szCs w:val="32"/>
        </w:rPr>
      </w:pPr>
      <w:r w:rsidRPr="00E11B06">
        <w:rPr>
          <w:b/>
          <w:bCs/>
          <w:sz w:val="32"/>
          <w:szCs w:val="32"/>
        </w:rPr>
        <w:t>CRITICAL ANALYSIS OF BYD’S STRATEGIC MANAGEMENT PRACTICES</w:t>
      </w:r>
    </w:p>
    <w:p w14:paraId="53A3B63F" w14:textId="77777777" w:rsidR="00DF0435" w:rsidRPr="00DF0435" w:rsidRDefault="00DF0435" w:rsidP="00AA2009">
      <w:pPr>
        <w:rPr>
          <w:sz w:val="28"/>
          <w:szCs w:val="28"/>
        </w:rPr>
      </w:pPr>
    </w:p>
    <w:p w14:paraId="35BBC280" w14:textId="1499A888" w:rsidR="003046E1" w:rsidRDefault="003046E1" w:rsidP="004B0321">
      <w:pPr>
        <w:jc w:val="center"/>
        <w:rPr>
          <w:b/>
          <w:bCs/>
          <w:sz w:val="28"/>
          <w:szCs w:val="28"/>
        </w:rPr>
      </w:pPr>
      <w:r w:rsidRPr="003046E1">
        <w:rPr>
          <w:b/>
          <w:bCs/>
          <w:sz w:val="28"/>
          <w:szCs w:val="28"/>
        </w:rPr>
        <w:t>Programme:</w:t>
      </w:r>
      <w:r>
        <w:rPr>
          <w:b/>
          <w:bCs/>
          <w:sz w:val="28"/>
          <w:szCs w:val="28"/>
        </w:rPr>
        <w:t xml:space="preserve"> </w:t>
      </w:r>
      <w:r w:rsidRPr="003046E1">
        <w:rPr>
          <w:b/>
          <w:bCs/>
          <w:sz w:val="28"/>
          <w:szCs w:val="28"/>
        </w:rPr>
        <w:t>Master of Business Administration</w:t>
      </w:r>
    </w:p>
    <w:p w14:paraId="38179586" w14:textId="46048053" w:rsidR="00BB39E8" w:rsidRPr="00043B72" w:rsidRDefault="00BB39E8" w:rsidP="004B0321">
      <w:pPr>
        <w:jc w:val="center"/>
        <w:rPr>
          <w:sz w:val="28"/>
          <w:szCs w:val="28"/>
        </w:rPr>
      </w:pPr>
      <w:r w:rsidRPr="00043B72">
        <w:rPr>
          <w:b/>
          <w:bCs/>
          <w:sz w:val="28"/>
          <w:szCs w:val="28"/>
        </w:rPr>
        <w:t>Module name:</w:t>
      </w:r>
      <w:r w:rsidR="00AD7542">
        <w:rPr>
          <w:b/>
          <w:bCs/>
          <w:sz w:val="28"/>
          <w:szCs w:val="28"/>
        </w:rPr>
        <w:t xml:space="preserve"> </w:t>
      </w:r>
      <w:r w:rsidR="00AD7542" w:rsidRPr="00E11B06">
        <w:rPr>
          <w:b/>
          <w:bCs/>
          <w:sz w:val="26"/>
          <w:szCs w:val="26"/>
        </w:rPr>
        <w:t>Strategic Management</w:t>
      </w:r>
    </w:p>
    <w:p w14:paraId="7BD00147" w14:textId="4E35B299" w:rsidR="00BB39E8" w:rsidRPr="00043B72" w:rsidRDefault="00BB39E8" w:rsidP="004B0321">
      <w:pPr>
        <w:jc w:val="center"/>
        <w:rPr>
          <w:sz w:val="28"/>
          <w:szCs w:val="28"/>
        </w:rPr>
      </w:pPr>
      <w:r w:rsidRPr="00043B72">
        <w:rPr>
          <w:b/>
          <w:bCs/>
          <w:sz w:val="28"/>
          <w:szCs w:val="28"/>
        </w:rPr>
        <w:t>Module code</w:t>
      </w:r>
      <w:r w:rsidRPr="00043B72">
        <w:rPr>
          <w:sz w:val="28"/>
          <w:szCs w:val="28"/>
        </w:rPr>
        <w:t>:</w:t>
      </w:r>
      <w:r w:rsidR="007121F5">
        <w:rPr>
          <w:sz w:val="28"/>
          <w:szCs w:val="28"/>
        </w:rPr>
        <w:t xml:space="preserve"> </w:t>
      </w:r>
      <w:r w:rsidR="007121F5" w:rsidRPr="00E11B06">
        <w:rPr>
          <w:b/>
          <w:bCs/>
          <w:sz w:val="26"/>
          <w:szCs w:val="26"/>
        </w:rPr>
        <w:t>LCMB7003</w:t>
      </w:r>
    </w:p>
    <w:p w14:paraId="7C9E5612" w14:textId="16072FCC" w:rsidR="00BB39E8" w:rsidRDefault="00BB39E8" w:rsidP="00D1052D">
      <w:pPr>
        <w:jc w:val="center"/>
        <w:rPr>
          <w:b/>
          <w:sz w:val="28"/>
          <w:szCs w:val="28"/>
        </w:rPr>
      </w:pPr>
      <w:r w:rsidRPr="00043B72">
        <w:rPr>
          <w:b/>
          <w:bCs/>
          <w:sz w:val="28"/>
          <w:szCs w:val="28"/>
        </w:rPr>
        <w:t>Lecturer name</w:t>
      </w:r>
      <w:r w:rsidRPr="00043B72">
        <w:rPr>
          <w:sz w:val="28"/>
          <w:szCs w:val="28"/>
        </w:rPr>
        <w:t>:</w:t>
      </w:r>
      <w:r w:rsidR="003046E1">
        <w:rPr>
          <w:sz w:val="28"/>
          <w:szCs w:val="28"/>
        </w:rPr>
        <w:t xml:space="preserve"> </w:t>
      </w:r>
      <w:r w:rsidR="00513D5D">
        <w:rPr>
          <w:b/>
          <w:sz w:val="28"/>
          <w:szCs w:val="28"/>
        </w:rPr>
        <w:t>Dr Hoang Dang Nguyen</w:t>
      </w:r>
    </w:p>
    <w:p w14:paraId="27EE1202" w14:textId="77777777" w:rsidR="00E80F53" w:rsidRPr="00E80F53" w:rsidRDefault="00E80F53" w:rsidP="00E80F53">
      <w:pPr>
        <w:jc w:val="center"/>
        <w:rPr>
          <w:b/>
          <w:sz w:val="28"/>
          <w:szCs w:val="28"/>
        </w:rPr>
      </w:pPr>
      <w:r w:rsidRPr="00E80F53">
        <w:rPr>
          <w:b/>
          <w:sz w:val="28"/>
          <w:szCs w:val="28"/>
        </w:rPr>
        <w:t>Assignment Title:</w:t>
      </w:r>
      <w:r>
        <w:rPr>
          <w:b/>
          <w:sz w:val="28"/>
          <w:szCs w:val="28"/>
        </w:rPr>
        <w:t xml:space="preserve"> </w:t>
      </w:r>
      <w:r w:rsidRPr="00E80F53">
        <w:rPr>
          <w:b/>
          <w:sz w:val="28"/>
          <w:szCs w:val="28"/>
        </w:rPr>
        <w:t>Assessment component -</w:t>
      </w:r>
    </w:p>
    <w:p w14:paraId="214F2FEA" w14:textId="73359C8F" w:rsidR="00E80F53" w:rsidRDefault="00E80F53" w:rsidP="00E80F53">
      <w:pPr>
        <w:jc w:val="center"/>
        <w:rPr>
          <w:b/>
          <w:sz w:val="28"/>
          <w:szCs w:val="28"/>
        </w:rPr>
      </w:pPr>
      <w:r w:rsidRPr="00E80F53">
        <w:rPr>
          <w:b/>
          <w:sz w:val="28"/>
          <w:szCs w:val="28"/>
        </w:rPr>
        <w:t>Individual report</w:t>
      </w:r>
    </w:p>
    <w:p w14:paraId="6158EABF" w14:textId="690E0E54" w:rsidR="00BB39E8" w:rsidRPr="00283BBA" w:rsidRDefault="00BB39E8" w:rsidP="004B0321">
      <w:pPr>
        <w:jc w:val="center"/>
        <w:rPr>
          <w:b/>
          <w:bCs/>
          <w:sz w:val="28"/>
          <w:szCs w:val="28"/>
        </w:rPr>
      </w:pPr>
      <w:r w:rsidRPr="00283BBA">
        <w:rPr>
          <w:b/>
          <w:bCs/>
          <w:sz w:val="28"/>
          <w:szCs w:val="28"/>
        </w:rPr>
        <w:t>Student name:</w:t>
      </w:r>
      <w:r w:rsidR="00513D5D">
        <w:rPr>
          <w:b/>
          <w:bCs/>
          <w:sz w:val="28"/>
          <w:szCs w:val="28"/>
        </w:rPr>
        <w:t xml:space="preserve"> Vijay Kumar</w:t>
      </w:r>
    </w:p>
    <w:p w14:paraId="4C29A0AC" w14:textId="5F4D4930" w:rsidR="00BB39E8" w:rsidRPr="00283BBA" w:rsidRDefault="00BB39E8" w:rsidP="004B0321">
      <w:pPr>
        <w:jc w:val="center"/>
        <w:rPr>
          <w:b/>
          <w:bCs/>
          <w:sz w:val="28"/>
          <w:szCs w:val="28"/>
        </w:rPr>
      </w:pPr>
      <w:r w:rsidRPr="00283BBA">
        <w:rPr>
          <w:b/>
          <w:bCs/>
          <w:sz w:val="28"/>
          <w:szCs w:val="28"/>
        </w:rPr>
        <w:t>Student ID:</w:t>
      </w:r>
      <w:r w:rsidR="00513D5D">
        <w:rPr>
          <w:b/>
          <w:bCs/>
          <w:sz w:val="28"/>
          <w:szCs w:val="28"/>
        </w:rPr>
        <w:t xml:space="preserve"> 2433812</w:t>
      </w:r>
    </w:p>
    <w:p w14:paraId="7405B8FA" w14:textId="27DE9C57" w:rsidR="00BB39E8" w:rsidRPr="00283BBA" w:rsidRDefault="00BB39E8" w:rsidP="004B0321">
      <w:pPr>
        <w:jc w:val="center"/>
        <w:rPr>
          <w:b/>
          <w:bCs/>
          <w:sz w:val="28"/>
          <w:szCs w:val="28"/>
        </w:rPr>
      </w:pPr>
      <w:r w:rsidRPr="00283BBA">
        <w:rPr>
          <w:b/>
          <w:bCs/>
          <w:sz w:val="28"/>
          <w:szCs w:val="28"/>
        </w:rPr>
        <w:t>Word count:</w:t>
      </w:r>
      <w:r w:rsidR="007121F5" w:rsidRPr="00283BBA">
        <w:rPr>
          <w:b/>
          <w:bCs/>
          <w:sz w:val="28"/>
          <w:szCs w:val="28"/>
        </w:rPr>
        <w:t xml:space="preserve"> 5143</w:t>
      </w:r>
    </w:p>
    <w:p w14:paraId="6CAA4730" w14:textId="59C12828" w:rsidR="00283BBA" w:rsidRPr="00283BBA" w:rsidRDefault="00BB39E8" w:rsidP="004B0321">
      <w:pPr>
        <w:jc w:val="center"/>
        <w:rPr>
          <w:b/>
          <w:bCs/>
          <w:sz w:val="28"/>
          <w:szCs w:val="28"/>
        </w:rPr>
      </w:pPr>
      <w:r w:rsidRPr="00283BBA">
        <w:rPr>
          <w:b/>
          <w:bCs/>
          <w:sz w:val="28"/>
          <w:szCs w:val="28"/>
        </w:rPr>
        <w:t>Submission date</w:t>
      </w:r>
      <w:bookmarkStart w:id="0" w:name="_sy0v28caljm3" w:colFirst="0" w:colLast="0"/>
      <w:bookmarkEnd w:id="0"/>
      <w:r w:rsidR="00AA2009" w:rsidRPr="00283BBA">
        <w:rPr>
          <w:b/>
          <w:bCs/>
          <w:sz w:val="28"/>
          <w:szCs w:val="28"/>
        </w:rPr>
        <w:t>:</w:t>
      </w:r>
      <w:r w:rsidR="00283BBA" w:rsidRPr="00283BBA">
        <w:rPr>
          <w:b/>
          <w:bCs/>
          <w:sz w:val="28"/>
          <w:szCs w:val="28"/>
        </w:rPr>
        <w:t xml:space="preserve"> 1</w:t>
      </w:r>
      <w:r w:rsidR="00283BBA" w:rsidRPr="00283BBA">
        <w:rPr>
          <w:b/>
          <w:bCs/>
          <w:sz w:val="28"/>
          <w:szCs w:val="28"/>
          <w:vertAlign w:val="superscript"/>
        </w:rPr>
        <w:t>st</w:t>
      </w:r>
      <w:r w:rsidR="00283BBA" w:rsidRPr="00283BBA">
        <w:rPr>
          <w:b/>
          <w:bCs/>
          <w:sz w:val="28"/>
          <w:szCs w:val="28"/>
        </w:rPr>
        <w:t xml:space="preserve"> May, 2026</w:t>
      </w:r>
    </w:p>
    <w:p w14:paraId="6F994B72" w14:textId="77777777" w:rsidR="00283BBA" w:rsidRDefault="00283BBA">
      <w:pPr>
        <w:spacing w:before="0" w:after="0" w:line="276" w:lineRule="auto"/>
        <w:jc w:val="left"/>
        <w:rPr>
          <w:sz w:val="28"/>
          <w:szCs w:val="28"/>
        </w:rPr>
      </w:pPr>
      <w:r>
        <w:rPr>
          <w:sz w:val="28"/>
          <w:szCs w:val="28"/>
        </w:rPr>
        <w:br w:type="page"/>
      </w:r>
    </w:p>
    <w:p w14:paraId="291D15C4" w14:textId="68493D18" w:rsidR="007A426C" w:rsidRDefault="007A426C" w:rsidP="007A426C">
      <w:pPr>
        <w:pStyle w:val="Heading1"/>
      </w:pPr>
      <w:r>
        <w:lastRenderedPageBreak/>
        <w:t>AI use acknowledgement</w:t>
      </w:r>
    </w:p>
    <w:p w14:paraId="0BFC396D" w14:textId="61872ED5" w:rsidR="00C02E6E" w:rsidRDefault="00C02E6E" w:rsidP="00C02E6E">
      <w:r w:rsidRPr="00AC58C4">
        <w:t xml:space="preserve">I confirm that I have not presented any </w:t>
      </w:r>
      <w:r w:rsidR="00513D5D">
        <w:t>AI-generated</w:t>
      </w:r>
      <w:r w:rsidRPr="00AC58C4">
        <w:t xml:space="preserve"> text as my own work. I confirm I have copies of my drafts, notes, and other resources I used before and after the use of AI tools</w:t>
      </w:r>
      <w:r w:rsidR="00513D5D">
        <w:t>,</w:t>
      </w:r>
      <w:r w:rsidRPr="00AC58C4">
        <w:t xml:space="preserve"> which I may be asked to provide in evidence.</w:t>
      </w:r>
    </w:p>
    <w:p w14:paraId="090F8E4E" w14:textId="5B79ED81" w:rsidR="00E83F3E" w:rsidRPr="00AA2009" w:rsidRDefault="00E83F3E" w:rsidP="00E11B06">
      <w:pPr>
        <w:rPr>
          <w:sz w:val="28"/>
          <w:szCs w:val="28"/>
        </w:rPr>
      </w:pPr>
      <w:r w:rsidRPr="00E11B06">
        <w:br w:type="page"/>
      </w:r>
    </w:p>
    <w:sdt>
      <w:sdtPr>
        <w:rPr>
          <w:rFonts w:ascii="Arial" w:eastAsia="Arial" w:hAnsi="Arial" w:cs="Arial"/>
          <w:color w:val="auto"/>
          <w:sz w:val="28"/>
          <w:szCs w:val="28"/>
          <w:lang w:val="en-GB" w:eastAsia="en-IN"/>
        </w:rPr>
        <w:id w:val="-845170121"/>
        <w:docPartObj>
          <w:docPartGallery w:val="Table of Contents"/>
          <w:docPartUnique/>
        </w:docPartObj>
      </w:sdtPr>
      <w:sdtEndPr>
        <w:rPr>
          <w:b/>
          <w:bCs/>
          <w:noProof/>
          <w:sz w:val="24"/>
          <w:szCs w:val="22"/>
        </w:rPr>
      </w:sdtEndPr>
      <w:sdtContent>
        <w:p w14:paraId="16032AEE" w14:textId="7BB195E4" w:rsidR="00E83F3E" w:rsidRPr="00BA5309" w:rsidRDefault="00E83F3E" w:rsidP="00E11B06">
          <w:pPr>
            <w:pStyle w:val="TOCHeading"/>
            <w:spacing w:line="360" w:lineRule="auto"/>
            <w:jc w:val="center"/>
            <w:rPr>
              <w:rFonts w:ascii="Arial" w:hAnsi="Arial" w:cs="Arial"/>
              <w:b/>
              <w:bCs/>
              <w:color w:val="auto"/>
              <w:sz w:val="28"/>
              <w:szCs w:val="28"/>
            </w:rPr>
          </w:pPr>
          <w:r w:rsidRPr="00BA5309">
            <w:rPr>
              <w:rFonts w:ascii="Arial" w:hAnsi="Arial" w:cs="Arial"/>
              <w:b/>
              <w:bCs/>
              <w:color w:val="auto"/>
              <w:sz w:val="28"/>
              <w:szCs w:val="28"/>
            </w:rPr>
            <w:t>Table of Contents</w:t>
          </w:r>
        </w:p>
        <w:p w14:paraId="11F07E6C" w14:textId="5A620C6C" w:rsidR="00BA5309" w:rsidRDefault="00E83F3E">
          <w:pPr>
            <w:pStyle w:val="TOC1"/>
            <w:tabs>
              <w:tab w:val="right" w:leader="dot" w:pos="9019"/>
            </w:tabs>
            <w:rPr>
              <w:rFonts w:asciiTheme="minorHAnsi" w:eastAsiaTheme="minorEastAsia" w:hAnsiTheme="minorHAnsi" w:cstheme="minorBidi"/>
              <w:noProof/>
              <w:kern w:val="2"/>
              <w:szCs w:val="24"/>
              <w:lang w:val="en-IN"/>
              <w14:ligatures w14:val="standardContextual"/>
            </w:rPr>
          </w:pPr>
          <w:r w:rsidRPr="00E11B06">
            <w:fldChar w:fldCharType="begin"/>
          </w:r>
          <w:r w:rsidRPr="00E11B06">
            <w:instrText xml:space="preserve"> TOC \o "1-3" \h \z \u </w:instrText>
          </w:r>
          <w:r w:rsidRPr="00E11B06">
            <w:fldChar w:fldCharType="separate"/>
          </w:r>
          <w:hyperlink w:anchor="_Toc225332014" w:history="1">
            <w:r w:rsidR="00BA5309" w:rsidRPr="0080754C">
              <w:rPr>
                <w:rStyle w:val="Hyperlink"/>
                <w:noProof/>
              </w:rPr>
              <w:t>Part A</w:t>
            </w:r>
            <w:r w:rsidR="00BA5309">
              <w:rPr>
                <w:noProof/>
                <w:webHidden/>
              </w:rPr>
              <w:tab/>
            </w:r>
            <w:r w:rsidR="00BA5309">
              <w:rPr>
                <w:noProof/>
                <w:webHidden/>
              </w:rPr>
              <w:fldChar w:fldCharType="begin"/>
            </w:r>
            <w:r w:rsidR="00BA5309">
              <w:rPr>
                <w:noProof/>
                <w:webHidden/>
              </w:rPr>
              <w:instrText xml:space="preserve"> PAGEREF _Toc225332014 \h </w:instrText>
            </w:r>
            <w:r w:rsidR="00BA5309">
              <w:rPr>
                <w:noProof/>
                <w:webHidden/>
              </w:rPr>
            </w:r>
            <w:r w:rsidR="00BA5309">
              <w:rPr>
                <w:noProof/>
                <w:webHidden/>
              </w:rPr>
              <w:fldChar w:fldCharType="separate"/>
            </w:r>
            <w:r w:rsidR="00BA5309">
              <w:rPr>
                <w:noProof/>
                <w:webHidden/>
              </w:rPr>
              <w:t>4</w:t>
            </w:r>
            <w:r w:rsidR="00BA5309">
              <w:rPr>
                <w:noProof/>
                <w:webHidden/>
              </w:rPr>
              <w:fldChar w:fldCharType="end"/>
            </w:r>
          </w:hyperlink>
        </w:p>
        <w:p w14:paraId="522EB54C" w14:textId="1313ECB4" w:rsidR="00BA5309" w:rsidRDefault="00BA5309">
          <w:pPr>
            <w:pStyle w:val="TOC2"/>
            <w:tabs>
              <w:tab w:val="right" w:leader="dot" w:pos="9019"/>
            </w:tabs>
            <w:rPr>
              <w:rFonts w:asciiTheme="minorHAnsi" w:eastAsiaTheme="minorEastAsia" w:hAnsiTheme="minorHAnsi" w:cstheme="minorBidi"/>
              <w:noProof/>
              <w:kern w:val="2"/>
              <w:szCs w:val="24"/>
              <w:lang w:val="en-IN"/>
              <w14:ligatures w14:val="standardContextual"/>
            </w:rPr>
          </w:pPr>
          <w:hyperlink w:anchor="_Toc225332015" w:history="1">
            <w:r w:rsidRPr="0080754C">
              <w:rPr>
                <w:rStyle w:val="Hyperlink"/>
                <w:noProof/>
              </w:rPr>
              <w:t>1. Introduction and Organisational Context</w:t>
            </w:r>
            <w:r>
              <w:rPr>
                <w:noProof/>
                <w:webHidden/>
              </w:rPr>
              <w:tab/>
            </w:r>
            <w:r>
              <w:rPr>
                <w:noProof/>
                <w:webHidden/>
              </w:rPr>
              <w:fldChar w:fldCharType="begin"/>
            </w:r>
            <w:r>
              <w:rPr>
                <w:noProof/>
                <w:webHidden/>
              </w:rPr>
              <w:instrText xml:space="preserve"> PAGEREF _Toc225332015 \h </w:instrText>
            </w:r>
            <w:r>
              <w:rPr>
                <w:noProof/>
                <w:webHidden/>
              </w:rPr>
            </w:r>
            <w:r>
              <w:rPr>
                <w:noProof/>
                <w:webHidden/>
              </w:rPr>
              <w:fldChar w:fldCharType="separate"/>
            </w:r>
            <w:r>
              <w:rPr>
                <w:noProof/>
                <w:webHidden/>
              </w:rPr>
              <w:t>4</w:t>
            </w:r>
            <w:r>
              <w:rPr>
                <w:noProof/>
                <w:webHidden/>
              </w:rPr>
              <w:fldChar w:fldCharType="end"/>
            </w:r>
          </w:hyperlink>
        </w:p>
        <w:p w14:paraId="64EE0A0F" w14:textId="23A8F429" w:rsidR="00BA5309" w:rsidRDefault="00BA5309">
          <w:pPr>
            <w:pStyle w:val="TOC2"/>
            <w:tabs>
              <w:tab w:val="right" w:leader="dot" w:pos="9019"/>
            </w:tabs>
            <w:rPr>
              <w:rFonts w:asciiTheme="minorHAnsi" w:eastAsiaTheme="minorEastAsia" w:hAnsiTheme="minorHAnsi" w:cstheme="minorBidi"/>
              <w:noProof/>
              <w:kern w:val="2"/>
              <w:szCs w:val="24"/>
              <w:lang w:val="en-IN"/>
              <w14:ligatures w14:val="standardContextual"/>
            </w:rPr>
          </w:pPr>
          <w:hyperlink w:anchor="_Toc225332016" w:history="1">
            <w:r w:rsidRPr="0080754C">
              <w:rPr>
                <w:rStyle w:val="Hyperlink"/>
                <w:noProof/>
              </w:rPr>
              <w:t>2. External and Internal Environment analysis</w:t>
            </w:r>
            <w:r>
              <w:rPr>
                <w:noProof/>
                <w:webHidden/>
              </w:rPr>
              <w:tab/>
            </w:r>
            <w:r>
              <w:rPr>
                <w:noProof/>
                <w:webHidden/>
              </w:rPr>
              <w:fldChar w:fldCharType="begin"/>
            </w:r>
            <w:r>
              <w:rPr>
                <w:noProof/>
                <w:webHidden/>
              </w:rPr>
              <w:instrText xml:space="preserve"> PAGEREF _Toc225332016 \h </w:instrText>
            </w:r>
            <w:r>
              <w:rPr>
                <w:noProof/>
                <w:webHidden/>
              </w:rPr>
            </w:r>
            <w:r>
              <w:rPr>
                <w:noProof/>
                <w:webHidden/>
              </w:rPr>
              <w:fldChar w:fldCharType="separate"/>
            </w:r>
            <w:r>
              <w:rPr>
                <w:noProof/>
                <w:webHidden/>
              </w:rPr>
              <w:t>6</w:t>
            </w:r>
            <w:r>
              <w:rPr>
                <w:noProof/>
                <w:webHidden/>
              </w:rPr>
              <w:fldChar w:fldCharType="end"/>
            </w:r>
          </w:hyperlink>
        </w:p>
        <w:p w14:paraId="1B04DF68" w14:textId="0A60DA0B" w:rsidR="00BA5309" w:rsidRDefault="00BA5309">
          <w:pPr>
            <w:pStyle w:val="TOC3"/>
            <w:tabs>
              <w:tab w:val="right" w:leader="dot" w:pos="9019"/>
            </w:tabs>
            <w:rPr>
              <w:rFonts w:asciiTheme="minorHAnsi" w:eastAsiaTheme="minorEastAsia" w:hAnsiTheme="minorHAnsi" w:cstheme="minorBidi"/>
              <w:noProof/>
              <w:kern w:val="2"/>
              <w:szCs w:val="24"/>
              <w:lang w:val="en-IN"/>
              <w14:ligatures w14:val="standardContextual"/>
            </w:rPr>
          </w:pPr>
          <w:hyperlink w:anchor="_Toc225332017" w:history="1">
            <w:r w:rsidRPr="0080754C">
              <w:rPr>
                <w:rStyle w:val="Hyperlink"/>
                <w:noProof/>
              </w:rPr>
              <w:t>2.1 External environment analysis using the PESTEL framework</w:t>
            </w:r>
            <w:r>
              <w:rPr>
                <w:noProof/>
                <w:webHidden/>
              </w:rPr>
              <w:tab/>
            </w:r>
            <w:r>
              <w:rPr>
                <w:noProof/>
                <w:webHidden/>
              </w:rPr>
              <w:fldChar w:fldCharType="begin"/>
            </w:r>
            <w:r>
              <w:rPr>
                <w:noProof/>
                <w:webHidden/>
              </w:rPr>
              <w:instrText xml:space="preserve"> PAGEREF _Toc225332017 \h </w:instrText>
            </w:r>
            <w:r>
              <w:rPr>
                <w:noProof/>
                <w:webHidden/>
              </w:rPr>
            </w:r>
            <w:r>
              <w:rPr>
                <w:noProof/>
                <w:webHidden/>
              </w:rPr>
              <w:fldChar w:fldCharType="separate"/>
            </w:r>
            <w:r>
              <w:rPr>
                <w:noProof/>
                <w:webHidden/>
              </w:rPr>
              <w:t>6</w:t>
            </w:r>
            <w:r>
              <w:rPr>
                <w:noProof/>
                <w:webHidden/>
              </w:rPr>
              <w:fldChar w:fldCharType="end"/>
            </w:r>
          </w:hyperlink>
        </w:p>
        <w:p w14:paraId="24FB5939" w14:textId="5BD94607" w:rsidR="00BA5309" w:rsidRDefault="00BA5309">
          <w:pPr>
            <w:pStyle w:val="TOC3"/>
            <w:tabs>
              <w:tab w:val="right" w:leader="dot" w:pos="9019"/>
            </w:tabs>
            <w:rPr>
              <w:rFonts w:asciiTheme="minorHAnsi" w:eastAsiaTheme="minorEastAsia" w:hAnsiTheme="minorHAnsi" w:cstheme="minorBidi"/>
              <w:noProof/>
              <w:kern w:val="2"/>
              <w:szCs w:val="24"/>
              <w:lang w:val="en-IN"/>
              <w14:ligatures w14:val="standardContextual"/>
            </w:rPr>
          </w:pPr>
          <w:hyperlink w:anchor="_Toc225332018" w:history="1">
            <w:r w:rsidRPr="0080754C">
              <w:rPr>
                <w:rStyle w:val="Hyperlink"/>
                <w:noProof/>
              </w:rPr>
              <w:t>2.2 Critical Analysis</w:t>
            </w:r>
            <w:r>
              <w:rPr>
                <w:noProof/>
                <w:webHidden/>
              </w:rPr>
              <w:tab/>
            </w:r>
            <w:r>
              <w:rPr>
                <w:noProof/>
                <w:webHidden/>
              </w:rPr>
              <w:fldChar w:fldCharType="begin"/>
            </w:r>
            <w:r>
              <w:rPr>
                <w:noProof/>
                <w:webHidden/>
              </w:rPr>
              <w:instrText xml:space="preserve"> PAGEREF _Toc225332018 \h </w:instrText>
            </w:r>
            <w:r>
              <w:rPr>
                <w:noProof/>
                <w:webHidden/>
              </w:rPr>
            </w:r>
            <w:r>
              <w:rPr>
                <w:noProof/>
                <w:webHidden/>
              </w:rPr>
              <w:fldChar w:fldCharType="separate"/>
            </w:r>
            <w:r>
              <w:rPr>
                <w:noProof/>
                <w:webHidden/>
              </w:rPr>
              <w:t>10</w:t>
            </w:r>
            <w:r>
              <w:rPr>
                <w:noProof/>
                <w:webHidden/>
              </w:rPr>
              <w:fldChar w:fldCharType="end"/>
            </w:r>
          </w:hyperlink>
        </w:p>
        <w:p w14:paraId="599A9B46" w14:textId="40277E8C" w:rsidR="00BA5309" w:rsidRDefault="00BA5309">
          <w:pPr>
            <w:pStyle w:val="TOC3"/>
            <w:tabs>
              <w:tab w:val="right" w:leader="dot" w:pos="9019"/>
            </w:tabs>
            <w:rPr>
              <w:rFonts w:asciiTheme="minorHAnsi" w:eastAsiaTheme="minorEastAsia" w:hAnsiTheme="minorHAnsi" w:cstheme="minorBidi"/>
              <w:noProof/>
              <w:kern w:val="2"/>
              <w:szCs w:val="24"/>
              <w:lang w:val="en-IN"/>
              <w14:ligatures w14:val="standardContextual"/>
            </w:rPr>
          </w:pPr>
          <w:hyperlink w:anchor="_Toc225332019" w:history="1">
            <w:r w:rsidRPr="0080754C">
              <w:rPr>
                <w:rStyle w:val="Hyperlink"/>
                <w:noProof/>
              </w:rPr>
              <w:t>2.3 Internal Environment analysis using VRIO Framework</w:t>
            </w:r>
            <w:r>
              <w:rPr>
                <w:noProof/>
                <w:webHidden/>
              </w:rPr>
              <w:tab/>
            </w:r>
            <w:r>
              <w:rPr>
                <w:noProof/>
                <w:webHidden/>
              </w:rPr>
              <w:fldChar w:fldCharType="begin"/>
            </w:r>
            <w:r>
              <w:rPr>
                <w:noProof/>
                <w:webHidden/>
              </w:rPr>
              <w:instrText xml:space="preserve"> PAGEREF _Toc225332019 \h </w:instrText>
            </w:r>
            <w:r>
              <w:rPr>
                <w:noProof/>
                <w:webHidden/>
              </w:rPr>
            </w:r>
            <w:r>
              <w:rPr>
                <w:noProof/>
                <w:webHidden/>
              </w:rPr>
              <w:fldChar w:fldCharType="separate"/>
            </w:r>
            <w:r>
              <w:rPr>
                <w:noProof/>
                <w:webHidden/>
              </w:rPr>
              <w:t>11</w:t>
            </w:r>
            <w:r>
              <w:rPr>
                <w:noProof/>
                <w:webHidden/>
              </w:rPr>
              <w:fldChar w:fldCharType="end"/>
            </w:r>
          </w:hyperlink>
        </w:p>
        <w:p w14:paraId="1B43B5C8" w14:textId="0741BC10" w:rsidR="00BA5309" w:rsidRDefault="00BA5309">
          <w:pPr>
            <w:pStyle w:val="TOC3"/>
            <w:tabs>
              <w:tab w:val="right" w:leader="dot" w:pos="9019"/>
            </w:tabs>
            <w:rPr>
              <w:rFonts w:asciiTheme="minorHAnsi" w:eastAsiaTheme="minorEastAsia" w:hAnsiTheme="minorHAnsi" w:cstheme="minorBidi"/>
              <w:noProof/>
              <w:kern w:val="2"/>
              <w:szCs w:val="24"/>
              <w:lang w:val="en-IN"/>
              <w14:ligatures w14:val="standardContextual"/>
            </w:rPr>
          </w:pPr>
          <w:hyperlink w:anchor="_Toc225332020" w:history="1">
            <w:r w:rsidRPr="0080754C">
              <w:rPr>
                <w:rStyle w:val="Hyperlink"/>
                <w:noProof/>
              </w:rPr>
              <w:t>2.4 Internal Strengths and Competitive Advantage</w:t>
            </w:r>
            <w:r>
              <w:rPr>
                <w:noProof/>
                <w:webHidden/>
              </w:rPr>
              <w:tab/>
            </w:r>
            <w:r>
              <w:rPr>
                <w:noProof/>
                <w:webHidden/>
              </w:rPr>
              <w:fldChar w:fldCharType="begin"/>
            </w:r>
            <w:r>
              <w:rPr>
                <w:noProof/>
                <w:webHidden/>
              </w:rPr>
              <w:instrText xml:space="preserve"> PAGEREF _Toc225332020 \h </w:instrText>
            </w:r>
            <w:r>
              <w:rPr>
                <w:noProof/>
                <w:webHidden/>
              </w:rPr>
            </w:r>
            <w:r>
              <w:rPr>
                <w:noProof/>
                <w:webHidden/>
              </w:rPr>
              <w:fldChar w:fldCharType="separate"/>
            </w:r>
            <w:r>
              <w:rPr>
                <w:noProof/>
                <w:webHidden/>
              </w:rPr>
              <w:t>12</w:t>
            </w:r>
            <w:r>
              <w:rPr>
                <w:noProof/>
                <w:webHidden/>
              </w:rPr>
              <w:fldChar w:fldCharType="end"/>
            </w:r>
          </w:hyperlink>
        </w:p>
        <w:p w14:paraId="0FA17BF9" w14:textId="2AE3A2DE" w:rsidR="00BA5309" w:rsidRDefault="00BA5309">
          <w:pPr>
            <w:pStyle w:val="TOC2"/>
            <w:tabs>
              <w:tab w:val="right" w:leader="dot" w:pos="9019"/>
            </w:tabs>
            <w:rPr>
              <w:rFonts w:asciiTheme="minorHAnsi" w:eastAsiaTheme="minorEastAsia" w:hAnsiTheme="minorHAnsi" w:cstheme="minorBidi"/>
              <w:noProof/>
              <w:kern w:val="2"/>
              <w:szCs w:val="24"/>
              <w:lang w:val="en-IN"/>
              <w14:ligatures w14:val="standardContextual"/>
            </w:rPr>
          </w:pPr>
          <w:hyperlink w:anchor="_Toc225332021" w:history="1">
            <w:r w:rsidRPr="0080754C">
              <w:rPr>
                <w:rStyle w:val="Hyperlink"/>
                <w:noProof/>
              </w:rPr>
              <w:t>3. CSR and Sustainability objectives</w:t>
            </w:r>
            <w:r>
              <w:rPr>
                <w:noProof/>
                <w:webHidden/>
              </w:rPr>
              <w:tab/>
            </w:r>
            <w:r>
              <w:rPr>
                <w:noProof/>
                <w:webHidden/>
              </w:rPr>
              <w:fldChar w:fldCharType="begin"/>
            </w:r>
            <w:r>
              <w:rPr>
                <w:noProof/>
                <w:webHidden/>
              </w:rPr>
              <w:instrText xml:space="preserve"> PAGEREF _Toc225332021 \h </w:instrText>
            </w:r>
            <w:r>
              <w:rPr>
                <w:noProof/>
                <w:webHidden/>
              </w:rPr>
            </w:r>
            <w:r>
              <w:rPr>
                <w:noProof/>
                <w:webHidden/>
              </w:rPr>
              <w:fldChar w:fldCharType="separate"/>
            </w:r>
            <w:r>
              <w:rPr>
                <w:noProof/>
                <w:webHidden/>
              </w:rPr>
              <w:t>13</w:t>
            </w:r>
            <w:r>
              <w:rPr>
                <w:noProof/>
                <w:webHidden/>
              </w:rPr>
              <w:fldChar w:fldCharType="end"/>
            </w:r>
          </w:hyperlink>
        </w:p>
        <w:p w14:paraId="411DA96B" w14:textId="6B16372F" w:rsidR="00BA5309" w:rsidRDefault="00BA5309">
          <w:pPr>
            <w:pStyle w:val="TOC3"/>
            <w:tabs>
              <w:tab w:val="right" w:leader="dot" w:pos="9019"/>
            </w:tabs>
            <w:rPr>
              <w:rFonts w:asciiTheme="minorHAnsi" w:eastAsiaTheme="minorEastAsia" w:hAnsiTheme="minorHAnsi" w:cstheme="minorBidi"/>
              <w:noProof/>
              <w:kern w:val="2"/>
              <w:szCs w:val="24"/>
              <w:lang w:val="en-IN"/>
              <w14:ligatures w14:val="standardContextual"/>
            </w:rPr>
          </w:pPr>
          <w:hyperlink w:anchor="_Toc225332022" w:history="1">
            <w:r w:rsidRPr="0080754C">
              <w:rPr>
                <w:rStyle w:val="Hyperlink"/>
                <w:noProof/>
              </w:rPr>
              <w:t>3.1 Overview of CSR and Sustainability Strategy</w:t>
            </w:r>
            <w:r>
              <w:rPr>
                <w:noProof/>
                <w:webHidden/>
              </w:rPr>
              <w:tab/>
            </w:r>
            <w:r>
              <w:rPr>
                <w:noProof/>
                <w:webHidden/>
              </w:rPr>
              <w:fldChar w:fldCharType="begin"/>
            </w:r>
            <w:r>
              <w:rPr>
                <w:noProof/>
                <w:webHidden/>
              </w:rPr>
              <w:instrText xml:space="preserve"> PAGEREF _Toc225332022 \h </w:instrText>
            </w:r>
            <w:r>
              <w:rPr>
                <w:noProof/>
                <w:webHidden/>
              </w:rPr>
            </w:r>
            <w:r>
              <w:rPr>
                <w:noProof/>
                <w:webHidden/>
              </w:rPr>
              <w:fldChar w:fldCharType="separate"/>
            </w:r>
            <w:r>
              <w:rPr>
                <w:noProof/>
                <w:webHidden/>
              </w:rPr>
              <w:t>13</w:t>
            </w:r>
            <w:r>
              <w:rPr>
                <w:noProof/>
                <w:webHidden/>
              </w:rPr>
              <w:fldChar w:fldCharType="end"/>
            </w:r>
          </w:hyperlink>
        </w:p>
        <w:p w14:paraId="29F93CEC" w14:textId="6F3BA178" w:rsidR="00BA5309" w:rsidRDefault="00BA5309">
          <w:pPr>
            <w:pStyle w:val="TOC3"/>
            <w:tabs>
              <w:tab w:val="right" w:leader="dot" w:pos="9019"/>
            </w:tabs>
            <w:rPr>
              <w:rFonts w:asciiTheme="minorHAnsi" w:eastAsiaTheme="minorEastAsia" w:hAnsiTheme="minorHAnsi" w:cstheme="minorBidi"/>
              <w:noProof/>
              <w:kern w:val="2"/>
              <w:szCs w:val="24"/>
              <w:lang w:val="en-IN"/>
              <w14:ligatures w14:val="standardContextual"/>
            </w:rPr>
          </w:pPr>
          <w:hyperlink w:anchor="_Toc225332023" w:history="1">
            <w:r w:rsidRPr="0080754C">
              <w:rPr>
                <w:rStyle w:val="Hyperlink"/>
                <w:noProof/>
              </w:rPr>
              <w:t>3.2 Alignment Between CSR and Business Objectives</w:t>
            </w:r>
            <w:r>
              <w:rPr>
                <w:noProof/>
                <w:webHidden/>
              </w:rPr>
              <w:tab/>
            </w:r>
            <w:r>
              <w:rPr>
                <w:noProof/>
                <w:webHidden/>
              </w:rPr>
              <w:fldChar w:fldCharType="begin"/>
            </w:r>
            <w:r>
              <w:rPr>
                <w:noProof/>
                <w:webHidden/>
              </w:rPr>
              <w:instrText xml:space="preserve"> PAGEREF _Toc225332023 \h </w:instrText>
            </w:r>
            <w:r>
              <w:rPr>
                <w:noProof/>
                <w:webHidden/>
              </w:rPr>
            </w:r>
            <w:r>
              <w:rPr>
                <w:noProof/>
                <w:webHidden/>
              </w:rPr>
              <w:fldChar w:fldCharType="separate"/>
            </w:r>
            <w:r>
              <w:rPr>
                <w:noProof/>
                <w:webHidden/>
              </w:rPr>
              <w:t>13</w:t>
            </w:r>
            <w:r>
              <w:rPr>
                <w:noProof/>
                <w:webHidden/>
              </w:rPr>
              <w:fldChar w:fldCharType="end"/>
            </w:r>
          </w:hyperlink>
        </w:p>
        <w:p w14:paraId="59A2F569" w14:textId="06354047" w:rsidR="00BA5309" w:rsidRDefault="00BA5309">
          <w:pPr>
            <w:pStyle w:val="TOC3"/>
            <w:tabs>
              <w:tab w:val="right" w:leader="dot" w:pos="9019"/>
            </w:tabs>
            <w:rPr>
              <w:rFonts w:asciiTheme="minorHAnsi" w:eastAsiaTheme="minorEastAsia" w:hAnsiTheme="minorHAnsi" w:cstheme="minorBidi"/>
              <w:noProof/>
              <w:kern w:val="2"/>
              <w:szCs w:val="24"/>
              <w:lang w:val="en-IN"/>
              <w14:ligatures w14:val="standardContextual"/>
            </w:rPr>
          </w:pPr>
          <w:hyperlink w:anchor="_Toc225332024" w:history="1">
            <w:r w:rsidRPr="0080754C">
              <w:rPr>
                <w:rStyle w:val="Hyperlink"/>
                <w:noProof/>
              </w:rPr>
              <w:t>3.3 Critical Evaluation of CSR Effectiveness and Strategic Value</w:t>
            </w:r>
            <w:r>
              <w:rPr>
                <w:noProof/>
                <w:webHidden/>
              </w:rPr>
              <w:tab/>
            </w:r>
            <w:r>
              <w:rPr>
                <w:noProof/>
                <w:webHidden/>
              </w:rPr>
              <w:fldChar w:fldCharType="begin"/>
            </w:r>
            <w:r>
              <w:rPr>
                <w:noProof/>
                <w:webHidden/>
              </w:rPr>
              <w:instrText xml:space="preserve"> PAGEREF _Toc225332024 \h </w:instrText>
            </w:r>
            <w:r>
              <w:rPr>
                <w:noProof/>
                <w:webHidden/>
              </w:rPr>
            </w:r>
            <w:r>
              <w:rPr>
                <w:noProof/>
                <w:webHidden/>
              </w:rPr>
              <w:fldChar w:fldCharType="separate"/>
            </w:r>
            <w:r>
              <w:rPr>
                <w:noProof/>
                <w:webHidden/>
              </w:rPr>
              <w:t>14</w:t>
            </w:r>
            <w:r>
              <w:rPr>
                <w:noProof/>
                <w:webHidden/>
              </w:rPr>
              <w:fldChar w:fldCharType="end"/>
            </w:r>
          </w:hyperlink>
        </w:p>
        <w:p w14:paraId="5BADA884" w14:textId="56E1C263" w:rsidR="00BA5309" w:rsidRDefault="00BA5309">
          <w:pPr>
            <w:pStyle w:val="TOC2"/>
            <w:tabs>
              <w:tab w:val="right" w:leader="dot" w:pos="9019"/>
            </w:tabs>
            <w:rPr>
              <w:rFonts w:asciiTheme="minorHAnsi" w:eastAsiaTheme="minorEastAsia" w:hAnsiTheme="minorHAnsi" w:cstheme="minorBidi"/>
              <w:noProof/>
              <w:kern w:val="2"/>
              <w:szCs w:val="24"/>
              <w:lang w:val="en-IN"/>
              <w14:ligatures w14:val="standardContextual"/>
            </w:rPr>
          </w:pPr>
          <w:hyperlink w:anchor="_Toc225332025" w:history="1">
            <w:r w:rsidRPr="0080754C">
              <w:rPr>
                <w:rStyle w:val="Hyperlink"/>
                <w:noProof/>
              </w:rPr>
              <w:t>4. Comprehensive and holistic view of the organisation</w:t>
            </w:r>
            <w:r>
              <w:rPr>
                <w:noProof/>
                <w:webHidden/>
              </w:rPr>
              <w:tab/>
            </w:r>
            <w:r>
              <w:rPr>
                <w:noProof/>
                <w:webHidden/>
              </w:rPr>
              <w:fldChar w:fldCharType="begin"/>
            </w:r>
            <w:r>
              <w:rPr>
                <w:noProof/>
                <w:webHidden/>
              </w:rPr>
              <w:instrText xml:space="preserve"> PAGEREF _Toc225332025 \h </w:instrText>
            </w:r>
            <w:r>
              <w:rPr>
                <w:noProof/>
                <w:webHidden/>
              </w:rPr>
            </w:r>
            <w:r>
              <w:rPr>
                <w:noProof/>
                <w:webHidden/>
              </w:rPr>
              <w:fldChar w:fldCharType="separate"/>
            </w:r>
            <w:r>
              <w:rPr>
                <w:noProof/>
                <w:webHidden/>
              </w:rPr>
              <w:t>14</w:t>
            </w:r>
            <w:r>
              <w:rPr>
                <w:noProof/>
                <w:webHidden/>
              </w:rPr>
              <w:fldChar w:fldCharType="end"/>
            </w:r>
          </w:hyperlink>
        </w:p>
        <w:p w14:paraId="3026B4F5" w14:textId="3441D7E5" w:rsidR="00BA5309" w:rsidRDefault="00BA5309">
          <w:pPr>
            <w:pStyle w:val="TOC3"/>
            <w:tabs>
              <w:tab w:val="right" w:leader="dot" w:pos="9019"/>
            </w:tabs>
            <w:rPr>
              <w:rFonts w:asciiTheme="minorHAnsi" w:eastAsiaTheme="minorEastAsia" w:hAnsiTheme="minorHAnsi" w:cstheme="minorBidi"/>
              <w:noProof/>
              <w:kern w:val="2"/>
              <w:szCs w:val="24"/>
              <w:lang w:val="en-IN"/>
              <w14:ligatures w14:val="standardContextual"/>
            </w:rPr>
          </w:pPr>
          <w:hyperlink w:anchor="_Toc225332026" w:history="1">
            <w:r w:rsidRPr="0080754C">
              <w:rPr>
                <w:rStyle w:val="Hyperlink"/>
                <w:noProof/>
              </w:rPr>
              <w:t>4.1 Financial Perspective: Performance and Profitability Drivers</w:t>
            </w:r>
            <w:r>
              <w:rPr>
                <w:noProof/>
                <w:webHidden/>
              </w:rPr>
              <w:tab/>
            </w:r>
            <w:r>
              <w:rPr>
                <w:noProof/>
                <w:webHidden/>
              </w:rPr>
              <w:fldChar w:fldCharType="begin"/>
            </w:r>
            <w:r>
              <w:rPr>
                <w:noProof/>
                <w:webHidden/>
              </w:rPr>
              <w:instrText xml:space="preserve"> PAGEREF _Toc225332026 \h </w:instrText>
            </w:r>
            <w:r>
              <w:rPr>
                <w:noProof/>
                <w:webHidden/>
              </w:rPr>
            </w:r>
            <w:r>
              <w:rPr>
                <w:noProof/>
                <w:webHidden/>
              </w:rPr>
              <w:fldChar w:fldCharType="separate"/>
            </w:r>
            <w:r>
              <w:rPr>
                <w:noProof/>
                <w:webHidden/>
              </w:rPr>
              <w:t>14</w:t>
            </w:r>
            <w:r>
              <w:rPr>
                <w:noProof/>
                <w:webHidden/>
              </w:rPr>
              <w:fldChar w:fldCharType="end"/>
            </w:r>
          </w:hyperlink>
        </w:p>
        <w:p w14:paraId="57F8EF26" w14:textId="047BBB10" w:rsidR="00BA5309" w:rsidRDefault="00BA5309">
          <w:pPr>
            <w:pStyle w:val="TOC3"/>
            <w:tabs>
              <w:tab w:val="right" w:leader="dot" w:pos="9019"/>
            </w:tabs>
            <w:rPr>
              <w:rFonts w:asciiTheme="minorHAnsi" w:eastAsiaTheme="minorEastAsia" w:hAnsiTheme="minorHAnsi" w:cstheme="minorBidi"/>
              <w:noProof/>
              <w:kern w:val="2"/>
              <w:szCs w:val="24"/>
              <w:lang w:val="en-IN"/>
              <w14:ligatures w14:val="standardContextual"/>
            </w:rPr>
          </w:pPr>
          <w:hyperlink w:anchor="_Toc225332027" w:history="1">
            <w:r w:rsidRPr="0080754C">
              <w:rPr>
                <w:rStyle w:val="Hyperlink"/>
                <w:noProof/>
              </w:rPr>
              <w:t>4.2 Customer Perspective: Value Creation and Market Positioning</w:t>
            </w:r>
            <w:r>
              <w:rPr>
                <w:noProof/>
                <w:webHidden/>
              </w:rPr>
              <w:tab/>
            </w:r>
            <w:r>
              <w:rPr>
                <w:noProof/>
                <w:webHidden/>
              </w:rPr>
              <w:fldChar w:fldCharType="begin"/>
            </w:r>
            <w:r>
              <w:rPr>
                <w:noProof/>
                <w:webHidden/>
              </w:rPr>
              <w:instrText xml:space="preserve"> PAGEREF _Toc225332027 \h </w:instrText>
            </w:r>
            <w:r>
              <w:rPr>
                <w:noProof/>
                <w:webHidden/>
              </w:rPr>
            </w:r>
            <w:r>
              <w:rPr>
                <w:noProof/>
                <w:webHidden/>
              </w:rPr>
              <w:fldChar w:fldCharType="separate"/>
            </w:r>
            <w:r>
              <w:rPr>
                <w:noProof/>
                <w:webHidden/>
              </w:rPr>
              <w:t>15</w:t>
            </w:r>
            <w:r>
              <w:rPr>
                <w:noProof/>
                <w:webHidden/>
              </w:rPr>
              <w:fldChar w:fldCharType="end"/>
            </w:r>
          </w:hyperlink>
        </w:p>
        <w:p w14:paraId="03FB5DF9" w14:textId="0E42CA4B" w:rsidR="00BA5309" w:rsidRDefault="00BA5309">
          <w:pPr>
            <w:pStyle w:val="TOC3"/>
            <w:tabs>
              <w:tab w:val="right" w:leader="dot" w:pos="9019"/>
            </w:tabs>
            <w:rPr>
              <w:rFonts w:asciiTheme="minorHAnsi" w:eastAsiaTheme="minorEastAsia" w:hAnsiTheme="minorHAnsi" w:cstheme="minorBidi"/>
              <w:noProof/>
              <w:kern w:val="2"/>
              <w:szCs w:val="24"/>
              <w:lang w:val="en-IN"/>
              <w14:ligatures w14:val="standardContextual"/>
            </w:rPr>
          </w:pPr>
          <w:hyperlink w:anchor="_Toc225332028" w:history="1">
            <w:r w:rsidRPr="0080754C">
              <w:rPr>
                <w:rStyle w:val="Hyperlink"/>
                <w:noProof/>
              </w:rPr>
              <w:t>4.3 Internal Business Processes: Operational Efficiency and Innovation</w:t>
            </w:r>
            <w:r>
              <w:rPr>
                <w:noProof/>
                <w:webHidden/>
              </w:rPr>
              <w:tab/>
            </w:r>
            <w:r>
              <w:rPr>
                <w:noProof/>
                <w:webHidden/>
              </w:rPr>
              <w:fldChar w:fldCharType="begin"/>
            </w:r>
            <w:r>
              <w:rPr>
                <w:noProof/>
                <w:webHidden/>
              </w:rPr>
              <w:instrText xml:space="preserve"> PAGEREF _Toc225332028 \h </w:instrText>
            </w:r>
            <w:r>
              <w:rPr>
                <w:noProof/>
                <w:webHidden/>
              </w:rPr>
            </w:r>
            <w:r>
              <w:rPr>
                <w:noProof/>
                <w:webHidden/>
              </w:rPr>
              <w:fldChar w:fldCharType="separate"/>
            </w:r>
            <w:r>
              <w:rPr>
                <w:noProof/>
                <w:webHidden/>
              </w:rPr>
              <w:t>15</w:t>
            </w:r>
            <w:r>
              <w:rPr>
                <w:noProof/>
                <w:webHidden/>
              </w:rPr>
              <w:fldChar w:fldCharType="end"/>
            </w:r>
          </w:hyperlink>
        </w:p>
        <w:p w14:paraId="5D50D2C7" w14:textId="3A26DCB2" w:rsidR="00BA5309" w:rsidRDefault="00BA5309">
          <w:pPr>
            <w:pStyle w:val="TOC3"/>
            <w:tabs>
              <w:tab w:val="right" w:leader="dot" w:pos="9019"/>
            </w:tabs>
            <w:rPr>
              <w:rFonts w:asciiTheme="minorHAnsi" w:eastAsiaTheme="minorEastAsia" w:hAnsiTheme="minorHAnsi" w:cstheme="minorBidi"/>
              <w:noProof/>
              <w:kern w:val="2"/>
              <w:szCs w:val="24"/>
              <w:lang w:val="en-IN"/>
              <w14:ligatures w14:val="standardContextual"/>
            </w:rPr>
          </w:pPr>
          <w:hyperlink w:anchor="_Toc225332029" w:history="1">
            <w:r w:rsidRPr="0080754C">
              <w:rPr>
                <w:rStyle w:val="Hyperlink"/>
                <w:noProof/>
              </w:rPr>
              <w:t>4.4 Learning and Growth: Capability Development and Future Readiness</w:t>
            </w:r>
            <w:r>
              <w:rPr>
                <w:noProof/>
                <w:webHidden/>
              </w:rPr>
              <w:tab/>
            </w:r>
            <w:r>
              <w:rPr>
                <w:noProof/>
                <w:webHidden/>
              </w:rPr>
              <w:fldChar w:fldCharType="begin"/>
            </w:r>
            <w:r>
              <w:rPr>
                <w:noProof/>
                <w:webHidden/>
              </w:rPr>
              <w:instrText xml:space="preserve"> PAGEREF _Toc225332029 \h </w:instrText>
            </w:r>
            <w:r>
              <w:rPr>
                <w:noProof/>
                <w:webHidden/>
              </w:rPr>
            </w:r>
            <w:r>
              <w:rPr>
                <w:noProof/>
                <w:webHidden/>
              </w:rPr>
              <w:fldChar w:fldCharType="separate"/>
            </w:r>
            <w:r>
              <w:rPr>
                <w:noProof/>
                <w:webHidden/>
              </w:rPr>
              <w:t>15</w:t>
            </w:r>
            <w:r>
              <w:rPr>
                <w:noProof/>
                <w:webHidden/>
              </w:rPr>
              <w:fldChar w:fldCharType="end"/>
            </w:r>
          </w:hyperlink>
        </w:p>
        <w:p w14:paraId="00B2F46A" w14:textId="52BBF721" w:rsidR="00BA5309" w:rsidRDefault="00BA5309">
          <w:pPr>
            <w:pStyle w:val="TOC2"/>
            <w:tabs>
              <w:tab w:val="right" w:leader="dot" w:pos="9019"/>
            </w:tabs>
            <w:rPr>
              <w:rFonts w:asciiTheme="minorHAnsi" w:eastAsiaTheme="minorEastAsia" w:hAnsiTheme="minorHAnsi" w:cstheme="minorBidi"/>
              <w:noProof/>
              <w:kern w:val="2"/>
              <w:szCs w:val="24"/>
              <w:lang w:val="en-IN"/>
              <w14:ligatures w14:val="standardContextual"/>
            </w:rPr>
          </w:pPr>
          <w:hyperlink w:anchor="_Toc225332030" w:history="1">
            <w:r w:rsidRPr="0080754C">
              <w:rPr>
                <w:rStyle w:val="Hyperlink"/>
                <w:noProof/>
              </w:rPr>
              <w:t>5. Strategic Choices and Implementation</w:t>
            </w:r>
            <w:r>
              <w:rPr>
                <w:noProof/>
                <w:webHidden/>
              </w:rPr>
              <w:tab/>
            </w:r>
            <w:r>
              <w:rPr>
                <w:noProof/>
                <w:webHidden/>
              </w:rPr>
              <w:fldChar w:fldCharType="begin"/>
            </w:r>
            <w:r>
              <w:rPr>
                <w:noProof/>
                <w:webHidden/>
              </w:rPr>
              <w:instrText xml:space="preserve"> PAGEREF _Toc225332030 \h </w:instrText>
            </w:r>
            <w:r>
              <w:rPr>
                <w:noProof/>
                <w:webHidden/>
              </w:rPr>
            </w:r>
            <w:r>
              <w:rPr>
                <w:noProof/>
                <w:webHidden/>
              </w:rPr>
              <w:fldChar w:fldCharType="separate"/>
            </w:r>
            <w:r>
              <w:rPr>
                <w:noProof/>
                <w:webHidden/>
              </w:rPr>
              <w:t>16</w:t>
            </w:r>
            <w:r>
              <w:rPr>
                <w:noProof/>
                <w:webHidden/>
              </w:rPr>
              <w:fldChar w:fldCharType="end"/>
            </w:r>
          </w:hyperlink>
        </w:p>
        <w:p w14:paraId="6C572AFF" w14:textId="1B6725A7" w:rsidR="00BA5309" w:rsidRDefault="00BA5309">
          <w:pPr>
            <w:pStyle w:val="TOC3"/>
            <w:tabs>
              <w:tab w:val="right" w:leader="dot" w:pos="9019"/>
            </w:tabs>
            <w:rPr>
              <w:rFonts w:asciiTheme="minorHAnsi" w:eastAsiaTheme="minorEastAsia" w:hAnsiTheme="minorHAnsi" w:cstheme="minorBidi"/>
              <w:noProof/>
              <w:kern w:val="2"/>
              <w:szCs w:val="24"/>
              <w:lang w:val="en-IN"/>
              <w14:ligatures w14:val="standardContextual"/>
            </w:rPr>
          </w:pPr>
          <w:hyperlink w:anchor="_Toc225332031" w:history="1">
            <w:r w:rsidRPr="0080754C">
              <w:rPr>
                <w:rStyle w:val="Hyperlink"/>
                <w:noProof/>
              </w:rPr>
              <w:t>5.1 Business-Level Strategy: Cost Leadership and Differentiation</w:t>
            </w:r>
            <w:r>
              <w:rPr>
                <w:noProof/>
                <w:webHidden/>
              </w:rPr>
              <w:tab/>
            </w:r>
            <w:r>
              <w:rPr>
                <w:noProof/>
                <w:webHidden/>
              </w:rPr>
              <w:fldChar w:fldCharType="begin"/>
            </w:r>
            <w:r>
              <w:rPr>
                <w:noProof/>
                <w:webHidden/>
              </w:rPr>
              <w:instrText xml:space="preserve"> PAGEREF _Toc225332031 \h </w:instrText>
            </w:r>
            <w:r>
              <w:rPr>
                <w:noProof/>
                <w:webHidden/>
              </w:rPr>
            </w:r>
            <w:r>
              <w:rPr>
                <w:noProof/>
                <w:webHidden/>
              </w:rPr>
              <w:fldChar w:fldCharType="separate"/>
            </w:r>
            <w:r>
              <w:rPr>
                <w:noProof/>
                <w:webHidden/>
              </w:rPr>
              <w:t>16</w:t>
            </w:r>
            <w:r>
              <w:rPr>
                <w:noProof/>
                <w:webHidden/>
              </w:rPr>
              <w:fldChar w:fldCharType="end"/>
            </w:r>
          </w:hyperlink>
        </w:p>
        <w:p w14:paraId="67196415" w14:textId="57E0AE67" w:rsidR="00BA5309" w:rsidRDefault="00BA5309">
          <w:pPr>
            <w:pStyle w:val="TOC3"/>
            <w:tabs>
              <w:tab w:val="right" w:leader="dot" w:pos="9019"/>
            </w:tabs>
            <w:rPr>
              <w:rFonts w:asciiTheme="minorHAnsi" w:eastAsiaTheme="minorEastAsia" w:hAnsiTheme="minorHAnsi" w:cstheme="minorBidi"/>
              <w:noProof/>
              <w:kern w:val="2"/>
              <w:szCs w:val="24"/>
              <w:lang w:val="en-IN"/>
              <w14:ligatures w14:val="standardContextual"/>
            </w:rPr>
          </w:pPr>
          <w:hyperlink w:anchor="_Toc225332032" w:history="1">
            <w:r w:rsidRPr="0080754C">
              <w:rPr>
                <w:rStyle w:val="Hyperlink"/>
                <w:noProof/>
              </w:rPr>
              <w:t>5.2 Corporate-Level Strategy: Diversification and International Expansion</w:t>
            </w:r>
            <w:r>
              <w:rPr>
                <w:noProof/>
                <w:webHidden/>
              </w:rPr>
              <w:tab/>
            </w:r>
            <w:r>
              <w:rPr>
                <w:noProof/>
                <w:webHidden/>
              </w:rPr>
              <w:fldChar w:fldCharType="begin"/>
            </w:r>
            <w:r>
              <w:rPr>
                <w:noProof/>
                <w:webHidden/>
              </w:rPr>
              <w:instrText xml:space="preserve"> PAGEREF _Toc225332032 \h </w:instrText>
            </w:r>
            <w:r>
              <w:rPr>
                <w:noProof/>
                <w:webHidden/>
              </w:rPr>
            </w:r>
            <w:r>
              <w:rPr>
                <w:noProof/>
                <w:webHidden/>
              </w:rPr>
              <w:fldChar w:fldCharType="separate"/>
            </w:r>
            <w:r>
              <w:rPr>
                <w:noProof/>
                <w:webHidden/>
              </w:rPr>
              <w:t>17</w:t>
            </w:r>
            <w:r>
              <w:rPr>
                <w:noProof/>
                <w:webHidden/>
              </w:rPr>
              <w:fldChar w:fldCharType="end"/>
            </w:r>
          </w:hyperlink>
        </w:p>
        <w:p w14:paraId="54217123" w14:textId="5C8730D1" w:rsidR="00BA5309" w:rsidRDefault="00BA5309">
          <w:pPr>
            <w:pStyle w:val="TOC3"/>
            <w:tabs>
              <w:tab w:val="right" w:leader="dot" w:pos="9019"/>
            </w:tabs>
            <w:rPr>
              <w:rFonts w:asciiTheme="minorHAnsi" w:eastAsiaTheme="minorEastAsia" w:hAnsiTheme="minorHAnsi" w:cstheme="minorBidi"/>
              <w:noProof/>
              <w:kern w:val="2"/>
              <w:szCs w:val="24"/>
              <w:lang w:val="en-IN"/>
              <w14:ligatures w14:val="standardContextual"/>
            </w:rPr>
          </w:pPr>
          <w:hyperlink w:anchor="_Toc225332033" w:history="1">
            <w:r w:rsidRPr="0080754C">
              <w:rPr>
                <w:rStyle w:val="Hyperlink"/>
                <w:noProof/>
              </w:rPr>
              <w:t>5.3 Strategic Implementation and Change Management Assessment</w:t>
            </w:r>
            <w:r>
              <w:rPr>
                <w:noProof/>
                <w:webHidden/>
              </w:rPr>
              <w:tab/>
            </w:r>
            <w:r>
              <w:rPr>
                <w:noProof/>
                <w:webHidden/>
              </w:rPr>
              <w:fldChar w:fldCharType="begin"/>
            </w:r>
            <w:r>
              <w:rPr>
                <w:noProof/>
                <w:webHidden/>
              </w:rPr>
              <w:instrText xml:space="preserve"> PAGEREF _Toc225332033 \h </w:instrText>
            </w:r>
            <w:r>
              <w:rPr>
                <w:noProof/>
                <w:webHidden/>
              </w:rPr>
            </w:r>
            <w:r>
              <w:rPr>
                <w:noProof/>
                <w:webHidden/>
              </w:rPr>
              <w:fldChar w:fldCharType="separate"/>
            </w:r>
            <w:r>
              <w:rPr>
                <w:noProof/>
                <w:webHidden/>
              </w:rPr>
              <w:t>17</w:t>
            </w:r>
            <w:r>
              <w:rPr>
                <w:noProof/>
                <w:webHidden/>
              </w:rPr>
              <w:fldChar w:fldCharType="end"/>
            </w:r>
          </w:hyperlink>
        </w:p>
        <w:p w14:paraId="21FE410E" w14:textId="4C9CC657" w:rsidR="00BA5309" w:rsidRDefault="00BA5309">
          <w:pPr>
            <w:pStyle w:val="TOC2"/>
            <w:tabs>
              <w:tab w:val="right" w:leader="dot" w:pos="9019"/>
            </w:tabs>
            <w:rPr>
              <w:rFonts w:asciiTheme="minorHAnsi" w:eastAsiaTheme="minorEastAsia" w:hAnsiTheme="minorHAnsi" w:cstheme="minorBidi"/>
              <w:noProof/>
              <w:kern w:val="2"/>
              <w:szCs w:val="24"/>
              <w:lang w:val="en-IN"/>
              <w14:ligatures w14:val="standardContextual"/>
            </w:rPr>
          </w:pPr>
          <w:hyperlink w:anchor="_Toc225332034" w:history="1">
            <w:r w:rsidRPr="0080754C">
              <w:rPr>
                <w:rStyle w:val="Hyperlink"/>
                <w:noProof/>
              </w:rPr>
              <w:t>6. Strategic Evaluation and Recommendations</w:t>
            </w:r>
            <w:r>
              <w:rPr>
                <w:noProof/>
                <w:webHidden/>
              </w:rPr>
              <w:tab/>
            </w:r>
            <w:r>
              <w:rPr>
                <w:noProof/>
                <w:webHidden/>
              </w:rPr>
              <w:fldChar w:fldCharType="begin"/>
            </w:r>
            <w:r>
              <w:rPr>
                <w:noProof/>
                <w:webHidden/>
              </w:rPr>
              <w:instrText xml:space="preserve"> PAGEREF _Toc225332034 \h </w:instrText>
            </w:r>
            <w:r>
              <w:rPr>
                <w:noProof/>
                <w:webHidden/>
              </w:rPr>
            </w:r>
            <w:r>
              <w:rPr>
                <w:noProof/>
                <w:webHidden/>
              </w:rPr>
              <w:fldChar w:fldCharType="separate"/>
            </w:r>
            <w:r>
              <w:rPr>
                <w:noProof/>
                <w:webHidden/>
              </w:rPr>
              <w:t>17</w:t>
            </w:r>
            <w:r>
              <w:rPr>
                <w:noProof/>
                <w:webHidden/>
              </w:rPr>
              <w:fldChar w:fldCharType="end"/>
            </w:r>
          </w:hyperlink>
        </w:p>
        <w:p w14:paraId="32127ACC" w14:textId="6C8DBC4A" w:rsidR="00BA5309" w:rsidRDefault="00BA5309">
          <w:pPr>
            <w:pStyle w:val="TOC3"/>
            <w:tabs>
              <w:tab w:val="right" w:leader="dot" w:pos="9019"/>
            </w:tabs>
            <w:rPr>
              <w:rFonts w:asciiTheme="minorHAnsi" w:eastAsiaTheme="minorEastAsia" w:hAnsiTheme="minorHAnsi" w:cstheme="minorBidi"/>
              <w:noProof/>
              <w:kern w:val="2"/>
              <w:szCs w:val="24"/>
              <w:lang w:val="en-IN"/>
              <w14:ligatures w14:val="standardContextual"/>
            </w:rPr>
          </w:pPr>
          <w:hyperlink w:anchor="_Toc225332035" w:history="1">
            <w:r w:rsidRPr="0080754C">
              <w:rPr>
                <w:rStyle w:val="Hyperlink"/>
                <w:noProof/>
              </w:rPr>
              <w:t>6.1 Evaluation of Current Strategy Using Ansoff Matrix</w:t>
            </w:r>
            <w:r>
              <w:rPr>
                <w:noProof/>
                <w:webHidden/>
              </w:rPr>
              <w:tab/>
            </w:r>
            <w:r>
              <w:rPr>
                <w:noProof/>
                <w:webHidden/>
              </w:rPr>
              <w:fldChar w:fldCharType="begin"/>
            </w:r>
            <w:r>
              <w:rPr>
                <w:noProof/>
                <w:webHidden/>
              </w:rPr>
              <w:instrText xml:space="preserve"> PAGEREF _Toc225332035 \h </w:instrText>
            </w:r>
            <w:r>
              <w:rPr>
                <w:noProof/>
                <w:webHidden/>
              </w:rPr>
            </w:r>
            <w:r>
              <w:rPr>
                <w:noProof/>
                <w:webHidden/>
              </w:rPr>
              <w:fldChar w:fldCharType="separate"/>
            </w:r>
            <w:r>
              <w:rPr>
                <w:noProof/>
                <w:webHidden/>
              </w:rPr>
              <w:t>17</w:t>
            </w:r>
            <w:r>
              <w:rPr>
                <w:noProof/>
                <w:webHidden/>
              </w:rPr>
              <w:fldChar w:fldCharType="end"/>
            </w:r>
          </w:hyperlink>
        </w:p>
        <w:p w14:paraId="09FDAD3E" w14:textId="24D70836" w:rsidR="00BA5309" w:rsidRDefault="00BA5309">
          <w:pPr>
            <w:pStyle w:val="TOC3"/>
            <w:tabs>
              <w:tab w:val="right" w:leader="dot" w:pos="9019"/>
            </w:tabs>
            <w:rPr>
              <w:rFonts w:asciiTheme="minorHAnsi" w:eastAsiaTheme="minorEastAsia" w:hAnsiTheme="minorHAnsi" w:cstheme="minorBidi"/>
              <w:noProof/>
              <w:kern w:val="2"/>
              <w:szCs w:val="24"/>
              <w:lang w:val="en-IN"/>
              <w14:ligatures w14:val="standardContextual"/>
            </w:rPr>
          </w:pPr>
          <w:hyperlink w:anchor="_Toc225332036" w:history="1">
            <w:r w:rsidRPr="0080754C">
              <w:rPr>
                <w:rStyle w:val="Hyperlink"/>
                <w:noProof/>
              </w:rPr>
              <w:t>6.2 Gap identification and evidence-based recommendations</w:t>
            </w:r>
            <w:r>
              <w:rPr>
                <w:noProof/>
                <w:webHidden/>
              </w:rPr>
              <w:tab/>
            </w:r>
            <w:r>
              <w:rPr>
                <w:noProof/>
                <w:webHidden/>
              </w:rPr>
              <w:fldChar w:fldCharType="begin"/>
            </w:r>
            <w:r>
              <w:rPr>
                <w:noProof/>
                <w:webHidden/>
              </w:rPr>
              <w:instrText xml:space="preserve"> PAGEREF _Toc225332036 \h </w:instrText>
            </w:r>
            <w:r>
              <w:rPr>
                <w:noProof/>
                <w:webHidden/>
              </w:rPr>
            </w:r>
            <w:r>
              <w:rPr>
                <w:noProof/>
                <w:webHidden/>
              </w:rPr>
              <w:fldChar w:fldCharType="separate"/>
            </w:r>
            <w:r>
              <w:rPr>
                <w:noProof/>
                <w:webHidden/>
              </w:rPr>
              <w:t>18</w:t>
            </w:r>
            <w:r>
              <w:rPr>
                <w:noProof/>
                <w:webHidden/>
              </w:rPr>
              <w:fldChar w:fldCharType="end"/>
            </w:r>
          </w:hyperlink>
        </w:p>
        <w:p w14:paraId="63EBE1C9" w14:textId="32CD1438" w:rsidR="00BA5309" w:rsidRDefault="00BA5309">
          <w:pPr>
            <w:pStyle w:val="TOC1"/>
            <w:tabs>
              <w:tab w:val="right" w:leader="dot" w:pos="9019"/>
            </w:tabs>
            <w:rPr>
              <w:rFonts w:asciiTheme="minorHAnsi" w:eastAsiaTheme="minorEastAsia" w:hAnsiTheme="minorHAnsi" w:cstheme="minorBidi"/>
              <w:noProof/>
              <w:kern w:val="2"/>
              <w:szCs w:val="24"/>
              <w:lang w:val="en-IN"/>
              <w14:ligatures w14:val="standardContextual"/>
            </w:rPr>
          </w:pPr>
          <w:hyperlink w:anchor="_Toc225332037" w:history="1">
            <w:r w:rsidRPr="0080754C">
              <w:rPr>
                <w:rStyle w:val="Hyperlink"/>
                <w:noProof/>
              </w:rPr>
              <w:t>Part B</w:t>
            </w:r>
            <w:r>
              <w:rPr>
                <w:noProof/>
                <w:webHidden/>
              </w:rPr>
              <w:tab/>
            </w:r>
            <w:r>
              <w:rPr>
                <w:noProof/>
                <w:webHidden/>
              </w:rPr>
              <w:fldChar w:fldCharType="begin"/>
            </w:r>
            <w:r>
              <w:rPr>
                <w:noProof/>
                <w:webHidden/>
              </w:rPr>
              <w:instrText xml:space="preserve"> PAGEREF _Toc225332037 \h </w:instrText>
            </w:r>
            <w:r>
              <w:rPr>
                <w:noProof/>
                <w:webHidden/>
              </w:rPr>
            </w:r>
            <w:r>
              <w:rPr>
                <w:noProof/>
                <w:webHidden/>
              </w:rPr>
              <w:fldChar w:fldCharType="separate"/>
            </w:r>
            <w:r>
              <w:rPr>
                <w:noProof/>
                <w:webHidden/>
              </w:rPr>
              <w:t>19</w:t>
            </w:r>
            <w:r>
              <w:rPr>
                <w:noProof/>
                <w:webHidden/>
              </w:rPr>
              <w:fldChar w:fldCharType="end"/>
            </w:r>
          </w:hyperlink>
        </w:p>
        <w:p w14:paraId="6B41DA0C" w14:textId="50CDAAFA" w:rsidR="00BA5309" w:rsidRDefault="00BA5309">
          <w:pPr>
            <w:pStyle w:val="TOC2"/>
            <w:tabs>
              <w:tab w:val="right" w:leader="dot" w:pos="9019"/>
            </w:tabs>
            <w:rPr>
              <w:rFonts w:asciiTheme="minorHAnsi" w:eastAsiaTheme="minorEastAsia" w:hAnsiTheme="minorHAnsi" w:cstheme="minorBidi"/>
              <w:noProof/>
              <w:kern w:val="2"/>
              <w:szCs w:val="24"/>
              <w:lang w:val="en-IN"/>
              <w14:ligatures w14:val="standardContextual"/>
            </w:rPr>
          </w:pPr>
          <w:hyperlink w:anchor="_Toc225332038" w:history="1">
            <w:r w:rsidRPr="0080754C">
              <w:rPr>
                <w:rStyle w:val="Hyperlink"/>
                <w:noProof/>
              </w:rPr>
              <w:t>Reflection</w:t>
            </w:r>
            <w:r>
              <w:rPr>
                <w:noProof/>
                <w:webHidden/>
              </w:rPr>
              <w:tab/>
            </w:r>
            <w:r>
              <w:rPr>
                <w:noProof/>
                <w:webHidden/>
              </w:rPr>
              <w:fldChar w:fldCharType="begin"/>
            </w:r>
            <w:r>
              <w:rPr>
                <w:noProof/>
                <w:webHidden/>
              </w:rPr>
              <w:instrText xml:space="preserve"> PAGEREF _Toc225332038 \h </w:instrText>
            </w:r>
            <w:r>
              <w:rPr>
                <w:noProof/>
                <w:webHidden/>
              </w:rPr>
            </w:r>
            <w:r>
              <w:rPr>
                <w:noProof/>
                <w:webHidden/>
              </w:rPr>
              <w:fldChar w:fldCharType="separate"/>
            </w:r>
            <w:r>
              <w:rPr>
                <w:noProof/>
                <w:webHidden/>
              </w:rPr>
              <w:t>19</w:t>
            </w:r>
            <w:r>
              <w:rPr>
                <w:noProof/>
                <w:webHidden/>
              </w:rPr>
              <w:fldChar w:fldCharType="end"/>
            </w:r>
          </w:hyperlink>
        </w:p>
        <w:p w14:paraId="5856EC21" w14:textId="13830C70" w:rsidR="00BA5309" w:rsidRDefault="00BA5309">
          <w:pPr>
            <w:pStyle w:val="TOC1"/>
            <w:tabs>
              <w:tab w:val="right" w:leader="dot" w:pos="9019"/>
            </w:tabs>
            <w:rPr>
              <w:rFonts w:asciiTheme="minorHAnsi" w:eastAsiaTheme="minorEastAsia" w:hAnsiTheme="minorHAnsi" w:cstheme="minorBidi"/>
              <w:noProof/>
              <w:kern w:val="2"/>
              <w:szCs w:val="24"/>
              <w:lang w:val="en-IN"/>
              <w14:ligatures w14:val="standardContextual"/>
            </w:rPr>
          </w:pPr>
          <w:hyperlink w:anchor="_Toc225332039" w:history="1">
            <w:r w:rsidRPr="0080754C">
              <w:rPr>
                <w:rStyle w:val="Hyperlink"/>
                <w:noProof/>
              </w:rPr>
              <w:t>References</w:t>
            </w:r>
            <w:r>
              <w:rPr>
                <w:noProof/>
                <w:webHidden/>
              </w:rPr>
              <w:tab/>
            </w:r>
            <w:r>
              <w:rPr>
                <w:noProof/>
                <w:webHidden/>
              </w:rPr>
              <w:fldChar w:fldCharType="begin"/>
            </w:r>
            <w:r>
              <w:rPr>
                <w:noProof/>
                <w:webHidden/>
              </w:rPr>
              <w:instrText xml:space="preserve"> PAGEREF _Toc225332039 \h </w:instrText>
            </w:r>
            <w:r>
              <w:rPr>
                <w:noProof/>
                <w:webHidden/>
              </w:rPr>
            </w:r>
            <w:r>
              <w:rPr>
                <w:noProof/>
                <w:webHidden/>
              </w:rPr>
              <w:fldChar w:fldCharType="separate"/>
            </w:r>
            <w:r>
              <w:rPr>
                <w:noProof/>
                <w:webHidden/>
              </w:rPr>
              <w:t>24</w:t>
            </w:r>
            <w:r>
              <w:rPr>
                <w:noProof/>
                <w:webHidden/>
              </w:rPr>
              <w:fldChar w:fldCharType="end"/>
            </w:r>
          </w:hyperlink>
        </w:p>
        <w:p w14:paraId="1292B764" w14:textId="19AD8BE0" w:rsidR="00E83F3E" w:rsidRPr="00E11B06" w:rsidRDefault="00E83F3E" w:rsidP="00E11B06">
          <w:r w:rsidRPr="00E11B06">
            <w:rPr>
              <w:b/>
              <w:bCs/>
              <w:noProof/>
            </w:rPr>
            <w:fldChar w:fldCharType="end"/>
          </w:r>
        </w:p>
      </w:sdtContent>
    </w:sdt>
    <w:p w14:paraId="1CCA852C" w14:textId="11959029" w:rsidR="00E83F3E" w:rsidRPr="00E11B06" w:rsidRDefault="00E83F3E" w:rsidP="00E11B06">
      <w:r w:rsidRPr="00E11B06">
        <w:br w:type="page"/>
      </w:r>
    </w:p>
    <w:p w14:paraId="34D2FB3C" w14:textId="77777777" w:rsidR="00527753" w:rsidRPr="00E11B06" w:rsidRDefault="003E4230" w:rsidP="00E11B06">
      <w:pPr>
        <w:pStyle w:val="Heading1"/>
      </w:pPr>
      <w:bookmarkStart w:id="1" w:name="_akb1ciiv5ygi" w:colFirst="0" w:colLast="0"/>
      <w:bookmarkStart w:id="2" w:name="_Toc225332014"/>
      <w:bookmarkEnd w:id="1"/>
      <w:r w:rsidRPr="00E11B06">
        <w:lastRenderedPageBreak/>
        <w:t>Part A</w:t>
      </w:r>
      <w:bookmarkEnd w:id="2"/>
    </w:p>
    <w:p w14:paraId="1CFD0FC8" w14:textId="77777777" w:rsidR="00527753" w:rsidRPr="00E11B06" w:rsidRDefault="003E4230" w:rsidP="00AC3CC7">
      <w:pPr>
        <w:pStyle w:val="Heading2"/>
      </w:pPr>
      <w:bookmarkStart w:id="3" w:name="_wpkg01wgy3je" w:colFirst="0" w:colLast="0"/>
      <w:bookmarkStart w:id="4" w:name="_Toc225332015"/>
      <w:bookmarkEnd w:id="3"/>
      <w:r w:rsidRPr="00E11B06">
        <w:t>1. Introduction and Organisational Context</w:t>
      </w:r>
      <w:bookmarkEnd w:id="4"/>
    </w:p>
    <w:p w14:paraId="33531D1C" w14:textId="203D4E51" w:rsidR="00527753" w:rsidRPr="00E11B06" w:rsidRDefault="003E4230" w:rsidP="00E11B06">
      <w:r w:rsidRPr="00E11B06">
        <w:t>BYD is a Chinese multinational automotive company with a focus on EVs</w:t>
      </w:r>
      <w:r w:rsidR="009063FD" w:rsidRPr="00E11B06">
        <w:t>,</w:t>
      </w:r>
      <w:r w:rsidRPr="00E11B06">
        <w:t xml:space="preserve"> batteries</w:t>
      </w:r>
      <w:r w:rsidR="009063FD" w:rsidRPr="00E11B06">
        <w:t>,</w:t>
      </w:r>
      <w:r w:rsidRPr="00E11B06">
        <w:t xml:space="preserve"> and renewable energy </w:t>
      </w:r>
      <w:r w:rsidR="009063FD" w:rsidRPr="00E11B06">
        <w:t>solutions</w:t>
      </w:r>
      <w:r w:rsidRPr="00E11B06">
        <w:t>. This company has a long history as a vertically integrated powerhouse</w:t>
      </w:r>
      <w:r w:rsidR="009063FD" w:rsidRPr="00E11B06">
        <w:t>,</w:t>
      </w:r>
      <w:r w:rsidRPr="00E11B06">
        <w:t xml:space="preserve"> being established in 1995 as a manufacturer of rechargeable batteries, yet has evolved through a strategic change to electrification and </w:t>
      </w:r>
      <w:r w:rsidR="009063FD" w:rsidRPr="00E11B06">
        <w:t xml:space="preserve">the </w:t>
      </w:r>
      <w:r w:rsidRPr="00E11B06">
        <w:t xml:space="preserve">development of sustainable transport. </w:t>
      </w:r>
      <w:r w:rsidRPr="00513D5D">
        <w:rPr>
          <w:color w:val="000000" w:themeColor="text1"/>
        </w:rPr>
        <w:t xml:space="preserve">The mission of BYD </w:t>
      </w:r>
      <w:r w:rsidR="00513D5D">
        <w:rPr>
          <w:color w:val="000000" w:themeColor="text1"/>
        </w:rPr>
        <w:t>focuses</w:t>
      </w:r>
      <w:r w:rsidRPr="00513D5D">
        <w:rPr>
          <w:color w:val="000000" w:themeColor="text1"/>
        </w:rPr>
        <w:t xml:space="preserve"> on technological innovation as a future of a greener world</w:t>
      </w:r>
      <w:r w:rsidR="00513D5D">
        <w:rPr>
          <w:color w:val="000000" w:themeColor="text1"/>
        </w:rPr>
        <w:t>,</w:t>
      </w:r>
      <w:r w:rsidRPr="00513D5D">
        <w:rPr>
          <w:color w:val="000000" w:themeColor="text1"/>
        </w:rPr>
        <w:t xml:space="preserve"> </w:t>
      </w:r>
      <w:r w:rsidR="00FD3BE3" w:rsidRPr="00513D5D">
        <w:rPr>
          <w:color w:val="000000" w:themeColor="text1"/>
        </w:rPr>
        <w:t>whereas</w:t>
      </w:r>
      <w:r w:rsidRPr="00513D5D">
        <w:rPr>
          <w:color w:val="000000" w:themeColor="text1"/>
        </w:rPr>
        <w:t xml:space="preserve"> minimising the global reliance on fossil fuels with clean energy ecosystems</w:t>
      </w:r>
      <w:r w:rsidR="00FD3BE3" w:rsidRPr="00513D5D">
        <w:rPr>
          <w:color w:val="000000" w:themeColor="text1"/>
        </w:rPr>
        <w:t xml:space="preserve"> </w:t>
      </w:r>
      <w:r w:rsidR="00CB724A" w:rsidRPr="00513D5D">
        <w:rPr>
          <w:color w:val="000000" w:themeColor="text1"/>
        </w:rPr>
        <w:t>is</w:t>
      </w:r>
      <w:r w:rsidR="00FD3BE3" w:rsidRPr="00513D5D">
        <w:rPr>
          <w:color w:val="000000" w:themeColor="text1"/>
        </w:rPr>
        <w:t xml:space="preserve"> BYD’s </w:t>
      </w:r>
      <w:r w:rsidR="004F6026" w:rsidRPr="00513D5D">
        <w:rPr>
          <w:color w:val="000000" w:themeColor="text1"/>
        </w:rPr>
        <w:t>vision</w:t>
      </w:r>
      <w:r w:rsidRPr="00513D5D">
        <w:rPr>
          <w:color w:val="000000" w:themeColor="text1"/>
        </w:rPr>
        <w:t xml:space="preserve"> (BYD, 2024a).</w:t>
      </w:r>
      <w:r w:rsidR="007C305E" w:rsidRPr="00513D5D">
        <w:rPr>
          <w:color w:val="000000" w:themeColor="text1"/>
        </w:rPr>
        <w:t xml:space="preserve"> It is analysed that BYD’s mission remains present-focused and operational</w:t>
      </w:r>
      <w:r w:rsidR="00513D5D">
        <w:rPr>
          <w:color w:val="000000" w:themeColor="text1"/>
        </w:rPr>
        <w:t>,</w:t>
      </w:r>
      <w:r w:rsidR="007C305E" w:rsidRPr="00513D5D">
        <w:rPr>
          <w:color w:val="000000" w:themeColor="text1"/>
        </w:rPr>
        <w:t xml:space="preserve"> while the vision stands strategically future-oriented. </w:t>
      </w:r>
      <w:r w:rsidRPr="00E11B06">
        <w:t>The business model operationalised is that of EV manufacturing, battery manufacturing, and energy storage, allowing the company to achieve cost efficiencies and control the supply chain.</w:t>
      </w:r>
    </w:p>
    <w:p w14:paraId="16909085" w14:textId="77777777" w:rsidR="00527753" w:rsidRPr="00E11B06" w:rsidRDefault="003E4230" w:rsidP="00E11B06">
      <w:r w:rsidRPr="00E11B06">
        <w:t xml:space="preserve">The EV market is also in a booming situation, with the sales amount reaching up to 17million units in 2024 owing to the influence of regulations and the decarbonisation agenda (IEA, 2025). </w:t>
      </w:r>
    </w:p>
    <w:p w14:paraId="4304ED85" w14:textId="77777777" w:rsidR="00527753" w:rsidRPr="00E11B06" w:rsidRDefault="003E4230" w:rsidP="00E11B06">
      <w:pPr>
        <w:spacing w:after="240"/>
        <w:jc w:val="center"/>
      </w:pPr>
      <w:r w:rsidRPr="00E11B06">
        <w:rPr>
          <w:noProof/>
          <w:lang w:eastAsia="en-GB"/>
        </w:rPr>
        <w:drawing>
          <wp:inline distT="114300" distB="114300" distL="114300" distR="114300" wp14:anchorId="772D551D" wp14:editId="2127322C">
            <wp:extent cx="5731200" cy="2806700"/>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2806700"/>
                    </a:xfrm>
                    <a:prstGeom prst="rect">
                      <a:avLst/>
                    </a:prstGeom>
                    <a:ln w="25400">
                      <a:solidFill>
                        <a:srgbClr val="000000"/>
                      </a:solidFill>
                      <a:prstDash val="solid"/>
                    </a:ln>
                  </pic:spPr>
                </pic:pic>
              </a:graphicData>
            </a:graphic>
          </wp:inline>
        </w:drawing>
      </w:r>
    </w:p>
    <w:p w14:paraId="2F18F1CA" w14:textId="77777777" w:rsidR="00527753" w:rsidRPr="00E11B06" w:rsidRDefault="003E4230" w:rsidP="00E11B06">
      <w:pPr>
        <w:jc w:val="center"/>
        <w:rPr>
          <w:b/>
          <w:bCs/>
        </w:rPr>
      </w:pPr>
      <w:r w:rsidRPr="00E11B06">
        <w:rPr>
          <w:b/>
          <w:bCs/>
        </w:rPr>
        <w:t>Figure 1: Trends prominent across the global EV market</w:t>
      </w:r>
    </w:p>
    <w:p w14:paraId="6B00B07E" w14:textId="77777777" w:rsidR="00527753" w:rsidRPr="00E11B06" w:rsidRDefault="003E4230" w:rsidP="00E11B06">
      <w:pPr>
        <w:jc w:val="center"/>
      </w:pPr>
      <w:r w:rsidRPr="00E11B06">
        <w:t>(Source: IEA, 2025)</w:t>
      </w:r>
    </w:p>
    <w:p w14:paraId="147FB103" w14:textId="2719186B" w:rsidR="00527753" w:rsidRPr="00E11B06" w:rsidRDefault="003E4230" w:rsidP="00E11B06">
      <w:r w:rsidRPr="00E11B06">
        <w:lastRenderedPageBreak/>
        <w:t>The figure shows a sudden surge in EV adoption among countries, showcasing the speed at which this industry continues to grow. This growth consolidation supports the strategic positioning of BYD</w:t>
      </w:r>
      <w:r w:rsidR="009063FD" w:rsidRPr="00E11B06">
        <w:t>,</w:t>
      </w:r>
      <w:r w:rsidRPr="00E11B06">
        <w:t xml:space="preserve"> which consistently </w:t>
      </w:r>
      <w:r w:rsidR="009063FD" w:rsidRPr="00E11B06">
        <w:t>verticalizes</w:t>
      </w:r>
      <w:r w:rsidRPr="00E11B06">
        <w:t xml:space="preserve"> the model and scale of production to take advantage of the growing global demand </w:t>
      </w:r>
      <w:r w:rsidR="009063FD" w:rsidRPr="00E11B06">
        <w:t>for</w:t>
      </w:r>
      <w:r w:rsidRPr="00E11B06">
        <w:t xml:space="preserve"> electric </w:t>
      </w:r>
      <w:r w:rsidR="009063FD" w:rsidRPr="00E11B06">
        <w:t>mobility</w:t>
      </w:r>
      <w:r w:rsidRPr="00E11B06">
        <w:t>. In this regard, BYD contests with companies like Tesla, NIO, or Volkswagen, aiming at strategic positioning within the technological, price</w:t>
      </w:r>
      <w:r w:rsidR="00513D5D">
        <w:t>,</w:t>
      </w:r>
      <w:r w:rsidRPr="00E11B06">
        <w:t xml:space="preserve"> and internationalisation sphere. The competitive advantage of BYD is enhanced by its proprietary Blade battery technology and its capacity to produce in large scale</w:t>
      </w:r>
      <w:r w:rsidR="009063FD" w:rsidRPr="00E11B06">
        <w:t>,</w:t>
      </w:r>
      <w:r w:rsidRPr="00E11B06">
        <w:t xml:space="preserve"> which underlies cost leadership as well as differentiation.</w:t>
      </w:r>
    </w:p>
    <w:p w14:paraId="01B66E79" w14:textId="77777777" w:rsidR="00527753" w:rsidRPr="00E11B06" w:rsidRDefault="003E4230" w:rsidP="00E11B06">
      <w:pPr>
        <w:spacing w:before="240" w:after="240"/>
        <w:jc w:val="center"/>
      </w:pPr>
      <w:r w:rsidRPr="00E11B06">
        <w:rPr>
          <w:noProof/>
          <w:lang w:eastAsia="en-GB"/>
        </w:rPr>
        <w:drawing>
          <wp:inline distT="114300" distB="114300" distL="114300" distR="114300" wp14:anchorId="77BC868A" wp14:editId="1682640E">
            <wp:extent cx="5731200" cy="4483100"/>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31200" cy="4483100"/>
                    </a:xfrm>
                    <a:prstGeom prst="rect">
                      <a:avLst/>
                    </a:prstGeom>
                    <a:ln w="25400">
                      <a:solidFill>
                        <a:srgbClr val="000000"/>
                      </a:solidFill>
                      <a:prstDash val="solid"/>
                    </a:ln>
                  </pic:spPr>
                </pic:pic>
              </a:graphicData>
            </a:graphic>
          </wp:inline>
        </w:drawing>
      </w:r>
    </w:p>
    <w:p w14:paraId="4EB8DC24" w14:textId="3EBBF66D" w:rsidR="00527753" w:rsidRPr="00E11B06" w:rsidRDefault="003E4230" w:rsidP="00E11B06">
      <w:pPr>
        <w:spacing w:before="240"/>
        <w:jc w:val="center"/>
        <w:rPr>
          <w:b/>
          <w:bCs/>
        </w:rPr>
      </w:pPr>
      <w:r w:rsidRPr="00E11B06">
        <w:rPr>
          <w:b/>
          <w:bCs/>
        </w:rPr>
        <w:t xml:space="preserve">Figure 2: BYD positioning as </w:t>
      </w:r>
      <w:r w:rsidR="00513D5D">
        <w:rPr>
          <w:b/>
          <w:bCs/>
        </w:rPr>
        <w:t xml:space="preserve">the </w:t>
      </w:r>
      <w:r w:rsidRPr="00E11B06">
        <w:rPr>
          <w:b/>
          <w:bCs/>
        </w:rPr>
        <w:t>leader of the global EV sector</w:t>
      </w:r>
    </w:p>
    <w:p w14:paraId="24E23629" w14:textId="77777777" w:rsidR="00527753" w:rsidRPr="00E11B06" w:rsidRDefault="003E4230" w:rsidP="00E11B06">
      <w:pPr>
        <w:jc w:val="center"/>
      </w:pPr>
      <w:r w:rsidRPr="00E11B06">
        <w:t>(Source: Richter, 2026)</w:t>
      </w:r>
    </w:p>
    <w:p w14:paraId="15448EA6" w14:textId="1C4B501A" w:rsidR="00527753" w:rsidRPr="00E11B06" w:rsidRDefault="003E4230" w:rsidP="00E11B06">
      <w:r w:rsidRPr="00E11B06">
        <w:t xml:space="preserve">As noted in the above figure, BYD is strategically placed by its recent performance. In sales of new energy vehicles, BYD demonstrated more than 2.26 million new vehicle sales in 2025, more than </w:t>
      </w:r>
      <w:r w:rsidR="009063FD" w:rsidRPr="00E11B06">
        <w:t>Tesla's</w:t>
      </w:r>
      <w:r w:rsidRPr="00E11B06">
        <w:t xml:space="preserve"> worldwide EV sales (Richter, 2026). Precisely, BYD </w:t>
      </w:r>
      <w:r w:rsidRPr="00E11B06">
        <w:lastRenderedPageBreak/>
        <w:t xml:space="preserve">has become a major producer of EVs globally and more specifically </w:t>
      </w:r>
      <w:r w:rsidR="009063FD" w:rsidRPr="00E11B06">
        <w:t xml:space="preserve">in China </w:t>
      </w:r>
      <w:r w:rsidRPr="00E11B06">
        <w:t xml:space="preserve">as it gears towards global growth. This stance displays an approach </w:t>
      </w:r>
      <w:r w:rsidR="00513D5D">
        <w:t>that</w:t>
      </w:r>
      <w:r w:rsidRPr="00E11B06">
        <w:t xml:space="preserve"> matches the external environment opportunities, including the incentives of policies and technological innovations</w:t>
      </w:r>
      <w:r w:rsidR="009063FD" w:rsidRPr="00E11B06">
        <w:t>,</w:t>
      </w:r>
      <w:r w:rsidRPr="00E11B06">
        <w:t xml:space="preserve"> in terms of maintaining competitiveness within an ever-changing environment. Nevertheless, Rehman and </w:t>
      </w:r>
      <w:proofErr w:type="spellStart"/>
      <w:r w:rsidRPr="00E11B06">
        <w:t>Jajja</w:t>
      </w:r>
      <w:proofErr w:type="spellEnd"/>
      <w:r w:rsidRPr="00E11B06">
        <w:t xml:space="preserve"> (2025) also cited that with increasing rivalry, geopolitical dynamics are also in play</w:t>
      </w:r>
      <w:r w:rsidR="00513D5D">
        <w:t>,</w:t>
      </w:r>
      <w:r w:rsidRPr="00E11B06">
        <w:t xml:space="preserve"> and developing consumer demands need constant strategic response. The case of BYD shows how companies can use their internal strength and external opportunities to attain long-term growth in challenging global contexts and build long-term strategic sustainability based on innovation, scale, and diversification strategy in the international arena.</w:t>
      </w:r>
    </w:p>
    <w:p w14:paraId="02214249" w14:textId="77777777" w:rsidR="00527753" w:rsidRPr="00E11B06" w:rsidRDefault="003E4230" w:rsidP="00AC3CC7">
      <w:pPr>
        <w:pStyle w:val="Heading2"/>
      </w:pPr>
      <w:bookmarkStart w:id="5" w:name="_cs94t2gpypea" w:colFirst="0" w:colLast="0"/>
      <w:bookmarkStart w:id="6" w:name="_Toc225332016"/>
      <w:bookmarkEnd w:id="5"/>
      <w:r w:rsidRPr="00E11B06">
        <w:t>2. External and Internal Environment analysis</w:t>
      </w:r>
      <w:bookmarkEnd w:id="6"/>
    </w:p>
    <w:p w14:paraId="50F8A50A" w14:textId="170E0756" w:rsidR="00527753" w:rsidRPr="00E11B06" w:rsidRDefault="003E4230" w:rsidP="00E11B06">
      <w:pPr>
        <w:pStyle w:val="Heading3"/>
      </w:pPr>
      <w:bookmarkStart w:id="7" w:name="_g3eckunjaznj" w:colFirst="0" w:colLast="0"/>
      <w:bookmarkStart w:id="8" w:name="_Toc225332017"/>
      <w:bookmarkEnd w:id="7"/>
      <w:r w:rsidRPr="00E11B06">
        <w:t xml:space="preserve">2.1 External environment analysis using </w:t>
      </w:r>
      <w:r w:rsidR="009063FD" w:rsidRPr="00E11B06">
        <w:t xml:space="preserve">the </w:t>
      </w:r>
      <w:r w:rsidRPr="00E11B06">
        <w:t>PESTEL framework</w:t>
      </w:r>
      <w:bookmarkEnd w:id="8"/>
      <w:r w:rsidRPr="00E11B06">
        <w:t xml:space="preserve"> </w:t>
      </w:r>
    </w:p>
    <w:p w14:paraId="6DE04527" w14:textId="77777777" w:rsidR="00527753" w:rsidRPr="00E11B06" w:rsidRDefault="003E4230" w:rsidP="00E11B06">
      <w:pPr>
        <w:rPr>
          <w:b/>
          <w:bCs/>
          <w:i/>
          <w:iCs/>
        </w:rPr>
      </w:pPr>
      <w:r w:rsidRPr="00E11B06">
        <w:rPr>
          <w:b/>
          <w:bCs/>
          <w:i/>
          <w:iCs/>
        </w:rPr>
        <w:t>Political factor</w:t>
      </w:r>
    </w:p>
    <w:p w14:paraId="4FC9D5D0" w14:textId="20CF9A3D" w:rsidR="00527753" w:rsidRPr="00E11B06" w:rsidRDefault="003E4230" w:rsidP="00E11B06">
      <w:r w:rsidRPr="00E11B06">
        <w:t>BYD is present in a highly dynamic international context as defined by political, economic, social, technological, environmental</w:t>
      </w:r>
      <w:r w:rsidR="00513D5D">
        <w:t>,</w:t>
      </w:r>
      <w:r w:rsidRPr="00E11B06">
        <w:t xml:space="preserve"> and legal forces. On the political front, governments around the world are hastening the move towards electric mobility by offering subsidies, tax breaks</w:t>
      </w:r>
      <w:r w:rsidR="00513D5D">
        <w:t>,</w:t>
      </w:r>
      <w:r w:rsidRPr="00E11B06">
        <w:t xml:space="preserve"> and investing in infrastructure. In China, EV tax exemptions have been increased until 2027</w:t>
      </w:r>
      <w:r w:rsidR="009063FD" w:rsidRPr="00E11B06">
        <w:t>,</w:t>
      </w:r>
      <w:r w:rsidRPr="00E11B06">
        <w:t xml:space="preserve"> and the approximation is recorded to be around 520</w:t>
      </w:r>
      <w:r w:rsidR="00513D5D">
        <w:t xml:space="preserve"> billion</w:t>
      </w:r>
      <w:r w:rsidRPr="00E11B06">
        <w:t xml:space="preserve"> Yuan, financing to the local players in the batteries like BYD (Bloomberg, 2023).  Conversely, increasing protectionism is an indication that the European Union is investigating Chinese EV subsidies that have developed enumerated opportunities in terms of expansions and geopolitical risks to BYD.</w:t>
      </w:r>
    </w:p>
    <w:p w14:paraId="0D1C7517" w14:textId="77777777" w:rsidR="00527753" w:rsidRPr="00E11B06" w:rsidRDefault="003E4230" w:rsidP="00E11B06">
      <w:pPr>
        <w:rPr>
          <w:b/>
          <w:bCs/>
        </w:rPr>
      </w:pPr>
      <w:r w:rsidRPr="00E11B06">
        <w:rPr>
          <w:b/>
          <w:bCs/>
        </w:rPr>
        <w:t>Economic factor</w:t>
      </w:r>
    </w:p>
    <w:p w14:paraId="17C4B5BF" w14:textId="25AA0A11" w:rsidR="00527753" w:rsidRPr="00E11B06" w:rsidRDefault="003E4230" w:rsidP="00E11B06">
      <w:r w:rsidRPr="00E11B06">
        <w:t xml:space="preserve">The EV industry has taken </w:t>
      </w:r>
      <w:r w:rsidR="009063FD" w:rsidRPr="00E11B06">
        <w:t>the</w:t>
      </w:r>
      <w:r w:rsidRPr="00E11B06">
        <w:t xml:space="preserve"> lead as a key source of economic growth in the world. It is a </w:t>
      </w:r>
      <w:r w:rsidR="009063FD" w:rsidRPr="00E11B06">
        <w:t>multi-billion-dollar</w:t>
      </w:r>
      <w:r w:rsidRPr="00E11B06">
        <w:t xml:space="preserve"> market worth more than $700b with its place booming by a large margin in </w:t>
      </w:r>
      <w:r w:rsidR="00513D5D">
        <w:t xml:space="preserve">the </w:t>
      </w:r>
      <w:r w:rsidRPr="00E11B06">
        <w:t>future (</w:t>
      </w:r>
      <w:proofErr w:type="spellStart"/>
      <w:r w:rsidRPr="00E11B06">
        <w:t>Marketsandmarkets</w:t>
      </w:r>
      <w:proofErr w:type="spellEnd"/>
      <w:r w:rsidRPr="00E11B06">
        <w:t xml:space="preserve">, 2026). Also, clean energy industries, one of which is EVs, had an approximate contribution of $1.9trillion, equivalent </w:t>
      </w:r>
      <w:r w:rsidR="009063FD" w:rsidRPr="00E11B06">
        <w:t xml:space="preserve">to </w:t>
      </w:r>
      <w:r w:rsidRPr="00E11B06">
        <w:t xml:space="preserve">around 10% of the GDP of China in 2024, pointing to their macroeconomic importance (Keenan, 2025). This growth has given BYD more sales of cars, with the recoveries estimating its sales of more than 3million vehicles in 2023 (Cheng, 2024). Yet the </w:t>
      </w:r>
      <w:r w:rsidRPr="00E11B06">
        <w:lastRenderedPageBreak/>
        <w:t>strength of price competition, especially in China, has exerted some downward pressure on margins.</w:t>
      </w:r>
    </w:p>
    <w:p w14:paraId="707D1150" w14:textId="77777777" w:rsidR="00527753" w:rsidRPr="00E11B06" w:rsidRDefault="003E4230" w:rsidP="00E11B06">
      <w:pPr>
        <w:jc w:val="center"/>
      </w:pPr>
      <w:r w:rsidRPr="00E11B06">
        <w:rPr>
          <w:noProof/>
          <w:lang w:eastAsia="en-GB"/>
        </w:rPr>
        <w:drawing>
          <wp:inline distT="114300" distB="114300" distL="114300" distR="114300" wp14:anchorId="234533BF" wp14:editId="30DEE4E1">
            <wp:extent cx="5731200" cy="3771900"/>
            <wp:effectExtent l="25400" t="25400" r="25400" b="2540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731200" cy="3771900"/>
                    </a:xfrm>
                    <a:prstGeom prst="rect">
                      <a:avLst/>
                    </a:prstGeom>
                    <a:ln w="25400">
                      <a:solidFill>
                        <a:srgbClr val="000000"/>
                      </a:solidFill>
                      <a:prstDash val="solid"/>
                    </a:ln>
                  </pic:spPr>
                </pic:pic>
              </a:graphicData>
            </a:graphic>
          </wp:inline>
        </w:drawing>
      </w:r>
    </w:p>
    <w:p w14:paraId="090E1B5C" w14:textId="77777777" w:rsidR="00527753" w:rsidRPr="00E11B06" w:rsidRDefault="003E4230" w:rsidP="00E11B06">
      <w:pPr>
        <w:jc w:val="center"/>
        <w:rPr>
          <w:b/>
          <w:bCs/>
        </w:rPr>
      </w:pPr>
      <w:r w:rsidRPr="00E11B06">
        <w:rPr>
          <w:b/>
          <w:bCs/>
        </w:rPr>
        <w:t>Figure 3: Clean Power Sector contributes $1.9trillion to Chinese GDP in 2024</w:t>
      </w:r>
    </w:p>
    <w:p w14:paraId="7D3C3E1B" w14:textId="77777777" w:rsidR="00527753" w:rsidRPr="00E11B06" w:rsidRDefault="003E4230" w:rsidP="00E11B06">
      <w:pPr>
        <w:jc w:val="center"/>
      </w:pPr>
      <w:r w:rsidRPr="00E11B06">
        <w:t>(Source: Keenan, 2025)</w:t>
      </w:r>
    </w:p>
    <w:p w14:paraId="0B27A007" w14:textId="77777777" w:rsidR="00527753" w:rsidRPr="00E11B06" w:rsidRDefault="003E4230" w:rsidP="00E11B06">
      <w:pPr>
        <w:jc w:val="center"/>
      </w:pPr>
      <w:r w:rsidRPr="00E11B06">
        <w:rPr>
          <w:noProof/>
          <w:lang w:eastAsia="en-GB"/>
        </w:rPr>
        <w:drawing>
          <wp:inline distT="114300" distB="114300" distL="114300" distR="114300" wp14:anchorId="71FF51F2" wp14:editId="6AF79252">
            <wp:extent cx="5731200" cy="3352800"/>
            <wp:effectExtent l="25400" t="25400" r="25400" b="2540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731200" cy="3352800"/>
                    </a:xfrm>
                    <a:prstGeom prst="rect">
                      <a:avLst/>
                    </a:prstGeom>
                    <a:ln w="25400">
                      <a:solidFill>
                        <a:srgbClr val="000000"/>
                      </a:solidFill>
                      <a:prstDash val="solid"/>
                    </a:ln>
                  </pic:spPr>
                </pic:pic>
              </a:graphicData>
            </a:graphic>
          </wp:inline>
        </w:drawing>
      </w:r>
    </w:p>
    <w:p w14:paraId="0A32D6BB" w14:textId="77777777" w:rsidR="00527753" w:rsidRPr="00E11B06" w:rsidRDefault="003E4230" w:rsidP="00E11B06">
      <w:pPr>
        <w:jc w:val="center"/>
        <w:rPr>
          <w:b/>
          <w:bCs/>
        </w:rPr>
      </w:pPr>
      <w:r w:rsidRPr="00E11B06">
        <w:rPr>
          <w:b/>
          <w:bCs/>
        </w:rPr>
        <w:lastRenderedPageBreak/>
        <w:t>Figure 4: BYD’s record-breaking production EV in 2023</w:t>
      </w:r>
    </w:p>
    <w:p w14:paraId="5B648186" w14:textId="77777777" w:rsidR="00527753" w:rsidRPr="00E11B06" w:rsidRDefault="003E4230" w:rsidP="00E11B06">
      <w:pPr>
        <w:jc w:val="center"/>
      </w:pPr>
      <w:r w:rsidRPr="00E11B06">
        <w:t>(Source: Cheng, 2024)</w:t>
      </w:r>
    </w:p>
    <w:p w14:paraId="39C9D75C" w14:textId="77777777" w:rsidR="00527753" w:rsidRPr="00E11B06" w:rsidRDefault="003E4230" w:rsidP="00E11B06">
      <w:pPr>
        <w:rPr>
          <w:b/>
          <w:bCs/>
          <w:i/>
          <w:iCs/>
        </w:rPr>
      </w:pPr>
      <w:r w:rsidRPr="00E11B06">
        <w:rPr>
          <w:b/>
          <w:bCs/>
          <w:i/>
          <w:iCs/>
        </w:rPr>
        <w:t>Socio-cultural factor</w:t>
      </w:r>
    </w:p>
    <w:p w14:paraId="0F57AA8F" w14:textId="506E1D0F" w:rsidR="00527753" w:rsidRPr="00E11B06" w:rsidRDefault="003E4230" w:rsidP="00E11B06">
      <w:r w:rsidRPr="00E11B06">
        <w:t xml:space="preserve">Increasing awareness of the environment and the importance of being eco-friendly is seeking to push consumers towards EVs. Sustainability is important and currently influencing </w:t>
      </w:r>
      <w:r w:rsidR="009063FD" w:rsidRPr="00E11B06">
        <w:t xml:space="preserve">the </w:t>
      </w:r>
      <w:r w:rsidRPr="00E11B06">
        <w:t>purchasing decisions of more than 60% of consumers (McKinsey &amp; Company, 2023). Although the trend is in favour of BYD, there are some differences in the consumer perception. BYD has good brand equity in China</w:t>
      </w:r>
      <w:r w:rsidR="009063FD" w:rsidRPr="00E11B06">
        <w:t>;</w:t>
      </w:r>
      <w:r w:rsidRPr="00E11B06">
        <w:t xml:space="preserve"> </w:t>
      </w:r>
      <w:r w:rsidR="006307F8" w:rsidRPr="00E11B06">
        <w:t>nevertheless,</w:t>
      </w:r>
      <w:r w:rsidRPr="00E11B06">
        <w:t xml:space="preserve"> </w:t>
      </w:r>
      <w:r w:rsidR="00513D5D">
        <w:t xml:space="preserve">it </w:t>
      </w:r>
      <w:r w:rsidRPr="00E11B06">
        <w:t>struggles to develop brand reputation in the high-price market leadership as operated by Tesla and European market leaders.</w:t>
      </w:r>
    </w:p>
    <w:p w14:paraId="3136E407" w14:textId="77777777" w:rsidR="00527753" w:rsidRPr="00E11B06" w:rsidRDefault="003E4230" w:rsidP="00E11B06">
      <w:pPr>
        <w:rPr>
          <w:b/>
          <w:bCs/>
        </w:rPr>
      </w:pPr>
      <w:r w:rsidRPr="00E11B06">
        <w:rPr>
          <w:b/>
          <w:bCs/>
        </w:rPr>
        <w:t>Technological factor</w:t>
      </w:r>
    </w:p>
    <w:p w14:paraId="21D69D3D" w14:textId="5A4A2276" w:rsidR="00527753" w:rsidRPr="00E11B06" w:rsidRDefault="009063FD" w:rsidP="00E11B06">
      <w:r w:rsidRPr="00E11B06">
        <w:t xml:space="preserve">The EV battery market has been estimated to have hit 91.97billion and is expected to exceed by an approximated </w:t>
      </w:r>
      <w:r w:rsidR="00804442">
        <w:t>$</w:t>
      </w:r>
      <w:r w:rsidRPr="00E11B06">
        <w:t>251billion in 2035, with the CAGR standing at 9.6% (</w:t>
      </w:r>
      <w:proofErr w:type="spellStart"/>
      <w:r w:rsidRPr="00E11B06">
        <w:t>Marketsandmarkets</w:t>
      </w:r>
      <w:proofErr w:type="spellEnd"/>
      <w:r w:rsidRPr="00E11B06">
        <w:t>, 2025).</w:t>
      </w:r>
    </w:p>
    <w:p w14:paraId="415AE595" w14:textId="77777777" w:rsidR="00527753" w:rsidRPr="00E11B06" w:rsidRDefault="003E4230" w:rsidP="00E11B06">
      <w:pPr>
        <w:jc w:val="center"/>
      </w:pPr>
      <w:r w:rsidRPr="00E11B06">
        <w:rPr>
          <w:noProof/>
          <w:lang w:eastAsia="en-GB"/>
        </w:rPr>
        <w:drawing>
          <wp:inline distT="114300" distB="114300" distL="114300" distR="114300" wp14:anchorId="36B532B9" wp14:editId="6067C270">
            <wp:extent cx="5731200" cy="4025900"/>
            <wp:effectExtent l="25400" t="25400" r="25400" b="2540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731200" cy="4025900"/>
                    </a:xfrm>
                    <a:prstGeom prst="rect">
                      <a:avLst/>
                    </a:prstGeom>
                    <a:ln w="25400">
                      <a:solidFill>
                        <a:srgbClr val="000000"/>
                      </a:solidFill>
                      <a:prstDash val="solid"/>
                    </a:ln>
                  </pic:spPr>
                </pic:pic>
              </a:graphicData>
            </a:graphic>
          </wp:inline>
        </w:drawing>
      </w:r>
    </w:p>
    <w:p w14:paraId="5726565A" w14:textId="77777777" w:rsidR="00527753" w:rsidRPr="00E11B06" w:rsidRDefault="003E4230" w:rsidP="00E11B06">
      <w:pPr>
        <w:jc w:val="center"/>
        <w:rPr>
          <w:b/>
          <w:bCs/>
        </w:rPr>
      </w:pPr>
      <w:r w:rsidRPr="00E11B06">
        <w:rPr>
          <w:b/>
          <w:bCs/>
        </w:rPr>
        <w:t>Figure 5: Market growth of Blade Battery</w:t>
      </w:r>
    </w:p>
    <w:p w14:paraId="74CB90A3" w14:textId="77777777" w:rsidR="00527753" w:rsidRPr="00E11B06" w:rsidRDefault="003E4230" w:rsidP="00E11B06">
      <w:pPr>
        <w:jc w:val="center"/>
      </w:pPr>
      <w:r w:rsidRPr="00E11B06">
        <w:lastRenderedPageBreak/>
        <w:t xml:space="preserve">(Source: </w:t>
      </w:r>
      <w:proofErr w:type="spellStart"/>
      <w:r w:rsidRPr="00E11B06">
        <w:t>Marketsandmarkets</w:t>
      </w:r>
      <w:proofErr w:type="spellEnd"/>
      <w:r w:rsidRPr="00E11B06">
        <w:t>, 2025)</w:t>
      </w:r>
    </w:p>
    <w:p w14:paraId="4078A42B" w14:textId="64BE0B7F" w:rsidR="00527753" w:rsidRPr="00E11B06" w:rsidRDefault="003E4230" w:rsidP="00E11B06">
      <w:r w:rsidRPr="00E11B06">
        <w:t>In 20</w:t>
      </w:r>
      <w:r w:rsidR="006307F8" w:rsidRPr="00E11B06">
        <w:t>23, BYD demonstrated over RMB39</w:t>
      </w:r>
      <w:r w:rsidRPr="00E11B06">
        <w:t>billion of R&amp;D to fund its innovations</w:t>
      </w:r>
      <w:r w:rsidR="009063FD" w:rsidRPr="00E11B06">
        <w:t>,</w:t>
      </w:r>
      <w:r w:rsidRPr="00E11B06">
        <w:t xml:space="preserve"> including the Blade battery that improves the safety and cost-efficiency (BYD, 2024b). However, the acute technology shifts up competitive intensity, with companies like Tesla and Volkswagen doubling down on advanced battery technology and abbreviating innovation cycles.</w:t>
      </w:r>
    </w:p>
    <w:p w14:paraId="6F3ECF46" w14:textId="77777777" w:rsidR="00527753" w:rsidRPr="00E11B06" w:rsidRDefault="003E4230" w:rsidP="00E11B06">
      <w:pPr>
        <w:rPr>
          <w:b/>
          <w:bCs/>
        </w:rPr>
      </w:pPr>
      <w:r w:rsidRPr="00E11B06">
        <w:rPr>
          <w:b/>
          <w:bCs/>
        </w:rPr>
        <w:t>Environmental factor</w:t>
      </w:r>
    </w:p>
    <w:p w14:paraId="57A29F79" w14:textId="0DD03565" w:rsidR="00527753" w:rsidRPr="00E11B06" w:rsidRDefault="003E4230" w:rsidP="00E11B06">
      <w:r w:rsidRPr="00E11B06">
        <w:t xml:space="preserve">The decarbonisation movement, which is the global trend, intensifies the adoption of EVs, with transport contributing about 24% to global emissions of CO2 (World Trade </w:t>
      </w:r>
      <w:r w:rsidR="009063FD" w:rsidRPr="00E11B06">
        <w:t>Organisation</w:t>
      </w:r>
      <w:r w:rsidRPr="00E11B06">
        <w:t>, 2021). The net-zero targets set by governments mean even faster demand. However, environmental issues are changing to battery lifecycle effects, such as sourcing of raw materials and recycling, which means companies such as BYD will have to implement more sustainable practices through the value chain.</w:t>
      </w:r>
    </w:p>
    <w:p w14:paraId="14CCC64B" w14:textId="77777777" w:rsidR="00527753" w:rsidRPr="00E11B06" w:rsidRDefault="003E4230" w:rsidP="00E11B06">
      <w:r w:rsidRPr="00E11B06">
        <w:rPr>
          <w:noProof/>
          <w:lang w:eastAsia="en-GB"/>
        </w:rPr>
        <w:drawing>
          <wp:inline distT="114300" distB="114300" distL="114300" distR="114300" wp14:anchorId="079B3DB9" wp14:editId="699B9F6C">
            <wp:extent cx="5731200" cy="3492500"/>
            <wp:effectExtent l="25400" t="25400" r="25400" b="2540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5731200" cy="3492500"/>
                    </a:xfrm>
                    <a:prstGeom prst="rect">
                      <a:avLst/>
                    </a:prstGeom>
                    <a:ln w="25400">
                      <a:solidFill>
                        <a:srgbClr val="000000"/>
                      </a:solidFill>
                      <a:prstDash val="solid"/>
                    </a:ln>
                  </pic:spPr>
                </pic:pic>
              </a:graphicData>
            </a:graphic>
          </wp:inline>
        </w:drawing>
      </w:r>
    </w:p>
    <w:p w14:paraId="0EDFDCDA" w14:textId="77777777" w:rsidR="00527753" w:rsidRPr="00E11B06" w:rsidRDefault="003E4230" w:rsidP="00E11B06">
      <w:pPr>
        <w:jc w:val="center"/>
      </w:pPr>
      <w:r w:rsidRPr="00E11B06">
        <w:rPr>
          <w:b/>
          <w:bCs/>
        </w:rPr>
        <w:t>Figure 6: The share of Transport-related Carbon emissions</w:t>
      </w:r>
      <w:r w:rsidRPr="00E11B06">
        <w:t xml:space="preserve"> </w:t>
      </w:r>
    </w:p>
    <w:p w14:paraId="3D28541D" w14:textId="7D8A58DE" w:rsidR="00527753" w:rsidRPr="00E11B06" w:rsidRDefault="003E4230" w:rsidP="00E11B06">
      <w:pPr>
        <w:jc w:val="center"/>
      </w:pPr>
      <w:r w:rsidRPr="00E11B06">
        <w:t xml:space="preserve">(Source: World Trade </w:t>
      </w:r>
      <w:r w:rsidR="009063FD" w:rsidRPr="00E11B06">
        <w:t>Organisation</w:t>
      </w:r>
      <w:r w:rsidRPr="00E11B06">
        <w:t>, 2021)</w:t>
      </w:r>
    </w:p>
    <w:p w14:paraId="4F2FA9DC" w14:textId="77777777" w:rsidR="00527753" w:rsidRPr="00E11B06" w:rsidRDefault="003E4230" w:rsidP="00E11B06">
      <w:pPr>
        <w:rPr>
          <w:b/>
          <w:bCs/>
          <w:i/>
          <w:iCs/>
        </w:rPr>
      </w:pPr>
      <w:r w:rsidRPr="00E11B06">
        <w:rPr>
          <w:b/>
          <w:bCs/>
          <w:i/>
          <w:iCs/>
        </w:rPr>
        <w:t>Legal Factors</w:t>
      </w:r>
    </w:p>
    <w:p w14:paraId="72944824" w14:textId="549E5C17" w:rsidR="00527753" w:rsidRPr="00E11B06" w:rsidRDefault="003E4230" w:rsidP="00E11B06">
      <w:r w:rsidRPr="00E11B06">
        <w:lastRenderedPageBreak/>
        <w:t xml:space="preserve">Regulatory environments are becoming more pro-EV, with policies like the future ban on internal combustion engines proposed by the EU, favouring EVs. Nevertheless, there are tougher safety, data protection, and trade requirements </w:t>
      </w:r>
      <w:r w:rsidR="00513D5D">
        <w:t>that</w:t>
      </w:r>
      <w:r w:rsidRPr="00E11B06">
        <w:t xml:space="preserve"> make compliance more difficult and expensive to operate.</w:t>
      </w:r>
    </w:p>
    <w:p w14:paraId="3DA08A82" w14:textId="77777777" w:rsidR="00527753" w:rsidRPr="00E11B06" w:rsidRDefault="003E4230" w:rsidP="00E11B06">
      <w:pPr>
        <w:pStyle w:val="Heading3"/>
      </w:pPr>
      <w:bookmarkStart w:id="9" w:name="_b4gm5krrb6hz" w:colFirst="0" w:colLast="0"/>
      <w:bookmarkStart w:id="10" w:name="_Toc225332018"/>
      <w:bookmarkEnd w:id="9"/>
      <w:r w:rsidRPr="00E11B06">
        <w:t>2.2 Critical Analysis</w:t>
      </w:r>
      <w:bookmarkEnd w:id="10"/>
    </w:p>
    <w:p w14:paraId="52EE79C3" w14:textId="7726623C" w:rsidR="00527753" w:rsidRPr="0061109C" w:rsidRDefault="003E4230" w:rsidP="0061109C">
      <w:pPr>
        <w:spacing w:before="0" w:after="0"/>
        <w:rPr>
          <w:rFonts w:eastAsia="Times New Roman"/>
          <w:szCs w:val="24"/>
          <w:lang w:eastAsia="en-GB"/>
        </w:rPr>
      </w:pPr>
      <w:r w:rsidRPr="0061109C">
        <w:t xml:space="preserve">It is also observed that the external environment of BYD is defined by the presence of a sophisticated balance between the sources of opportunity and threat that need constant strategic change in response. </w:t>
      </w:r>
      <w:r w:rsidR="0061109C" w:rsidRPr="0061109C">
        <w:rPr>
          <w:rFonts w:eastAsia="Times New Roman"/>
          <w:szCs w:val="24"/>
          <w:lang w:eastAsia="en-GB"/>
        </w:rPr>
        <w:t xml:space="preserve">Kayikci </w:t>
      </w:r>
      <w:r w:rsidR="0061109C" w:rsidRPr="0061109C">
        <w:rPr>
          <w:rFonts w:eastAsia="Times New Roman"/>
          <w:i/>
          <w:iCs/>
          <w:szCs w:val="24"/>
          <w:lang w:eastAsia="en-GB"/>
        </w:rPr>
        <w:t>et al.</w:t>
      </w:r>
      <w:r w:rsidR="0061109C" w:rsidRPr="0061109C">
        <w:rPr>
          <w:rFonts w:eastAsia="Times New Roman"/>
          <w:szCs w:val="24"/>
          <w:lang w:eastAsia="en-GB"/>
        </w:rPr>
        <w:t xml:space="preserve"> (2022)</w:t>
      </w:r>
      <w:r w:rsidR="00A56CD6" w:rsidRPr="0061109C">
        <w:rPr>
          <w:color w:val="FF0000"/>
        </w:rPr>
        <w:t xml:space="preserve"> </w:t>
      </w:r>
      <w:r w:rsidR="00A56CD6" w:rsidRPr="00513D5D">
        <w:rPr>
          <w:color w:val="000000" w:themeColor="text1"/>
        </w:rPr>
        <w:t xml:space="preserve">noted that </w:t>
      </w:r>
      <w:r w:rsidR="00513D5D" w:rsidRPr="00513D5D">
        <w:rPr>
          <w:color w:val="000000" w:themeColor="text1"/>
        </w:rPr>
        <w:t xml:space="preserve">a </w:t>
      </w:r>
      <w:r w:rsidR="00A56CD6" w:rsidRPr="00513D5D">
        <w:rPr>
          <w:color w:val="000000" w:themeColor="text1"/>
        </w:rPr>
        <w:t>critical success factor</w:t>
      </w:r>
      <w:r w:rsidR="002F4AF6" w:rsidRPr="00513D5D">
        <w:rPr>
          <w:color w:val="000000" w:themeColor="text1"/>
        </w:rPr>
        <w:t xml:space="preserve"> stands for the aspects that </w:t>
      </w:r>
      <w:r w:rsidR="00513D5D" w:rsidRPr="00513D5D">
        <w:rPr>
          <w:color w:val="000000" w:themeColor="text1"/>
        </w:rPr>
        <w:t>are</w:t>
      </w:r>
      <w:r w:rsidR="00D832EB" w:rsidRPr="00513D5D">
        <w:rPr>
          <w:color w:val="000000" w:themeColor="text1"/>
        </w:rPr>
        <w:t xml:space="preserve"> significant in encouraging organis</w:t>
      </w:r>
      <w:r w:rsidR="00FB5372" w:rsidRPr="00513D5D">
        <w:rPr>
          <w:color w:val="000000" w:themeColor="text1"/>
        </w:rPr>
        <w:t>a</w:t>
      </w:r>
      <w:r w:rsidR="00D832EB" w:rsidRPr="00513D5D">
        <w:rPr>
          <w:color w:val="000000" w:themeColor="text1"/>
        </w:rPr>
        <w:t>tions to achieve strategic objectives.</w:t>
      </w:r>
      <w:r w:rsidR="00A56CD6" w:rsidRPr="00513D5D">
        <w:rPr>
          <w:color w:val="000000" w:themeColor="text1"/>
        </w:rPr>
        <w:t xml:space="preserve"> </w:t>
      </w:r>
      <w:r w:rsidRPr="0061109C">
        <w:t xml:space="preserve">The </w:t>
      </w:r>
      <w:r w:rsidR="00F47344" w:rsidRPr="0061109C">
        <w:t>CSFs</w:t>
      </w:r>
      <w:r w:rsidRPr="0061109C">
        <w:t xml:space="preserve"> </w:t>
      </w:r>
      <w:r w:rsidR="00513D5D">
        <w:t>are</w:t>
      </w:r>
      <w:r w:rsidRPr="0061109C">
        <w:t xml:space="preserve"> that BYD is moving </w:t>
      </w:r>
      <w:r w:rsidR="009063FD" w:rsidRPr="0061109C">
        <w:t>in</w:t>
      </w:r>
      <w:r w:rsidRPr="0061109C">
        <w:t xml:space="preserve"> the right global policy trends of decarbonisation. Regulatory assistants</w:t>
      </w:r>
      <w:r w:rsidR="009063FD" w:rsidRPr="0061109C">
        <w:t>,</w:t>
      </w:r>
      <w:r w:rsidRPr="0061109C">
        <w:t xml:space="preserve"> with the help of government incentives, </w:t>
      </w:r>
      <w:r w:rsidR="009063FD" w:rsidRPr="0061109C">
        <w:t>have</w:t>
      </w:r>
      <w:r w:rsidRPr="0061109C">
        <w:t xml:space="preserve"> been able to experience a rapid scale expansion, making BYD sell more than 3million vehicles in 2023. However, this reliance on policy support is also a strategic weakness. In argument with Yingjie (2022), overreliance on government incentives might lead to the exposure of firms to </w:t>
      </w:r>
      <w:r w:rsidR="00C2295A" w:rsidRPr="0061109C">
        <w:t>un</w:t>
      </w:r>
      <w:r w:rsidR="00022980" w:rsidRPr="0061109C">
        <w:t>certainty</w:t>
      </w:r>
      <w:r w:rsidRPr="0061109C">
        <w:t xml:space="preserve"> </w:t>
      </w:r>
      <w:r w:rsidR="00022980" w:rsidRPr="0061109C">
        <w:t>due to</w:t>
      </w:r>
      <w:r w:rsidRPr="0061109C">
        <w:t xml:space="preserve"> </w:t>
      </w:r>
      <w:r w:rsidR="00022980" w:rsidRPr="0061109C">
        <w:t xml:space="preserve">the </w:t>
      </w:r>
      <w:r w:rsidRPr="0061109C">
        <w:t>polic</w:t>
      </w:r>
      <w:r w:rsidR="00022980" w:rsidRPr="0061109C">
        <w:t xml:space="preserve">y changes </w:t>
      </w:r>
      <w:r w:rsidR="00513D5D">
        <w:t>occurring</w:t>
      </w:r>
      <w:r w:rsidRPr="0061109C">
        <w:t xml:space="preserve"> in cross-border markets. Another key success factor is that the high rate of growth of the EV market gives BYD a chance to capitalise on the economies of scale and consolidate its cost leadership status (Jones, Nguyen-Tien</w:t>
      </w:r>
      <w:r w:rsidR="00513D5D">
        <w:t>,</w:t>
      </w:r>
      <w:r w:rsidRPr="0061109C">
        <w:t xml:space="preserve"> and Elliott, 2022). This growth, however, has also increased competition as price wars have been experienced in important markets. Although the pricing approach adopted by BYD has helped the firm out</w:t>
      </w:r>
      <w:r w:rsidR="002C187C" w:rsidRPr="0061109C">
        <w:t>perform</w:t>
      </w:r>
      <w:r w:rsidRPr="0061109C">
        <w:t xml:space="preserve"> Tesla in terms of world sales volume, it casts doubts on long-term profitability. Tesla and other competitors are more concerned with differentiation, underscoring </w:t>
      </w:r>
      <w:r w:rsidR="009063FD" w:rsidRPr="0061109C">
        <w:t xml:space="preserve">a </w:t>
      </w:r>
      <w:r w:rsidRPr="0061109C">
        <w:t>strategic trade-off between prosperity and subsistence concerning their margins being driven by volume-based growth.</w:t>
      </w:r>
    </w:p>
    <w:p w14:paraId="21C21432" w14:textId="4C055057" w:rsidR="00527753" w:rsidRPr="00E11B06" w:rsidRDefault="003E4230" w:rsidP="00E11B06">
      <w:r w:rsidRPr="00E11B06">
        <w:t xml:space="preserve">Socially, the demand of consumers towards sustainable products is a supportive aspect </w:t>
      </w:r>
      <w:r w:rsidR="009063FD" w:rsidRPr="00E11B06">
        <w:t>of</w:t>
      </w:r>
      <w:r w:rsidRPr="00E11B06">
        <w:t xml:space="preserve"> the strategic positioning of BYD. However, consumer trust varies according to region, posing difficulties. As Rashid Dehkordi</w:t>
      </w:r>
      <w:r w:rsidR="002654B0">
        <w:t xml:space="preserve"> et al.</w:t>
      </w:r>
      <w:r w:rsidRPr="00E11B06">
        <w:t xml:space="preserve"> (2025)</w:t>
      </w:r>
      <w:r w:rsidR="002654B0">
        <w:t xml:space="preserve"> stated</w:t>
      </w:r>
      <w:r w:rsidRPr="00E11B06">
        <w:t xml:space="preserve">, in developed countries, the legitimacy of the brand, as well as the perceived quality of the EV, continues to be an essential prerequisite of EV adoption. This is an indication that macro-level social trends are beneficial, yet the global competitive ability of BYD at a micro-level may be restricted by some </w:t>
      </w:r>
      <w:r w:rsidR="009063FD" w:rsidRPr="00E11B06">
        <w:t>micro-level</w:t>
      </w:r>
      <w:r w:rsidRPr="00E11B06">
        <w:t xml:space="preserve"> perceptions.</w:t>
      </w:r>
    </w:p>
    <w:p w14:paraId="2D8D7A49" w14:textId="77777777" w:rsidR="00527753" w:rsidRPr="00E11B06" w:rsidRDefault="003E4230" w:rsidP="00E11B06">
      <w:r w:rsidRPr="00E11B06">
        <w:lastRenderedPageBreak/>
        <w:t>The battery innovation awarded BYD a competitive edge, yet the advantage that exists due to the innovation is short-lived as a consequence of the quick technological change. Thus, the chance of obsolescence exists. Yi et al. (2023) argue that technological leadership is temporary and thus the companies in the high-tech industries should constantly innovate to remain viable. This puts continued pressure on BYD to continue spending substantially on R&amp;D.</w:t>
      </w:r>
    </w:p>
    <w:p w14:paraId="27991E3C" w14:textId="3C09716B" w:rsidR="00527753" w:rsidRPr="00967269" w:rsidRDefault="003E4230" w:rsidP="00E11B06">
      <w:pPr>
        <w:rPr>
          <w:lang w:val="en-IN"/>
        </w:rPr>
      </w:pPr>
      <w:r w:rsidRPr="00E11B06">
        <w:t xml:space="preserve">Environmental factors also support the strategic relevance of BYD, yet also come with new challenges. Although EVs indeed help to reduce emissions, problems with battery production and recycling represent the necessity to implement a greater scope of sustainability. Legally, </w:t>
      </w:r>
      <w:r w:rsidR="009063FD" w:rsidRPr="00E11B06">
        <w:t>encouraging</w:t>
      </w:r>
      <w:r w:rsidRPr="00E11B06">
        <w:t xml:space="preserve"> laws like the EU internal combustion engine ban in 2035 have long-term prospects</w:t>
      </w:r>
      <w:r w:rsidR="00967269">
        <w:t xml:space="preserve"> due to </w:t>
      </w:r>
      <w:r w:rsidR="00513D5D">
        <w:t xml:space="preserve">the </w:t>
      </w:r>
      <w:r w:rsidR="00967269">
        <w:t xml:space="preserve">target of 90% CO2 emission reduction </w:t>
      </w:r>
      <w:r w:rsidR="00967269" w:rsidRPr="00967269">
        <w:rPr>
          <w:lang w:val="en-IN"/>
        </w:rPr>
        <w:t>(Blenkinsop, 2025)</w:t>
      </w:r>
      <w:r w:rsidR="00AA3B0B">
        <w:t>.</w:t>
      </w:r>
      <w:r w:rsidRPr="00E11B06">
        <w:t xml:space="preserve"> </w:t>
      </w:r>
      <w:r w:rsidR="00AA3B0B">
        <w:t>Y</w:t>
      </w:r>
      <w:r w:rsidRPr="00E11B06">
        <w:t>et growing trade barriers and compliance demands in the international process increase the complexity of international expansion.</w:t>
      </w:r>
    </w:p>
    <w:p w14:paraId="3829A3DD" w14:textId="0A1DB3B5" w:rsidR="00527753" w:rsidRPr="00E11B06" w:rsidRDefault="003E4230" w:rsidP="00E11B06">
      <w:pPr>
        <w:pStyle w:val="Heading3"/>
      </w:pPr>
      <w:bookmarkStart w:id="11" w:name="_8jzgvm82k9ra" w:colFirst="0" w:colLast="0"/>
      <w:bookmarkStart w:id="12" w:name="_Toc225332019"/>
      <w:bookmarkEnd w:id="11"/>
      <w:r w:rsidRPr="00E11B06">
        <w:t xml:space="preserve">2.3 Internal Environment analysis using VRIO </w:t>
      </w:r>
      <w:r w:rsidR="009063FD" w:rsidRPr="00E11B06">
        <w:t>Framework</w:t>
      </w:r>
      <w:bookmarkEnd w:id="12"/>
    </w:p>
    <w:tbl>
      <w:tblPr>
        <w:tblStyle w:val="a"/>
        <w:tblW w:w="5000" w:type="pct"/>
        <w:tblInd w:w="0" w:type="dxa"/>
        <w:tblBorders>
          <w:top w:val="nil"/>
          <w:left w:val="nil"/>
          <w:bottom w:val="nil"/>
          <w:right w:val="nil"/>
          <w:insideH w:val="nil"/>
          <w:insideV w:val="nil"/>
        </w:tblBorders>
        <w:tblLook w:val="0600" w:firstRow="0" w:lastRow="0" w:firstColumn="0" w:lastColumn="0" w:noHBand="1" w:noVBand="1"/>
      </w:tblPr>
      <w:tblGrid>
        <w:gridCol w:w="2168"/>
        <w:gridCol w:w="1188"/>
        <w:gridCol w:w="1214"/>
        <w:gridCol w:w="1321"/>
        <w:gridCol w:w="1387"/>
        <w:gridCol w:w="1731"/>
      </w:tblGrid>
      <w:tr w:rsidR="00527753" w:rsidRPr="00E11B06" w14:paraId="6651AB3B" w14:textId="77777777" w:rsidTr="009063FD">
        <w:trPr>
          <w:trHeight w:val="515"/>
        </w:trPr>
        <w:tc>
          <w:tcPr>
            <w:tcW w:w="1320" w:type="pct"/>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tcPr>
          <w:p w14:paraId="30801460" w14:textId="77777777" w:rsidR="00527753" w:rsidRPr="00E11B06" w:rsidRDefault="003E4230" w:rsidP="00E11B06">
            <w:pPr>
              <w:spacing w:before="240" w:after="240"/>
              <w:jc w:val="center"/>
            </w:pPr>
            <w:r w:rsidRPr="00E11B06">
              <w:rPr>
                <w:b/>
                <w:bCs/>
              </w:rPr>
              <w:t>Resource and Capability</w:t>
            </w:r>
          </w:p>
        </w:tc>
        <w:tc>
          <w:tcPr>
            <w:tcW w:w="605" w:type="pct"/>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tcPr>
          <w:p w14:paraId="3C9A7E77" w14:textId="77777777" w:rsidR="00527753" w:rsidRPr="00E11B06" w:rsidRDefault="003E4230" w:rsidP="00E11B06">
            <w:pPr>
              <w:spacing w:before="240" w:after="240"/>
              <w:jc w:val="center"/>
            </w:pPr>
            <w:r w:rsidRPr="00E11B06">
              <w:rPr>
                <w:b/>
                <w:bCs/>
              </w:rPr>
              <w:t>Valuable</w:t>
            </w:r>
          </w:p>
        </w:tc>
        <w:tc>
          <w:tcPr>
            <w:tcW w:w="634" w:type="pct"/>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tcPr>
          <w:p w14:paraId="0DF28209" w14:textId="77777777" w:rsidR="00527753" w:rsidRPr="00E11B06" w:rsidRDefault="003E4230" w:rsidP="00E11B06">
            <w:pPr>
              <w:spacing w:before="240" w:after="240"/>
              <w:jc w:val="center"/>
            </w:pPr>
            <w:r w:rsidRPr="00E11B06">
              <w:rPr>
                <w:b/>
                <w:bCs/>
              </w:rPr>
              <w:t>Rare</w:t>
            </w:r>
          </w:p>
        </w:tc>
        <w:tc>
          <w:tcPr>
            <w:tcW w:w="656" w:type="pct"/>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tcPr>
          <w:p w14:paraId="2B734ED7" w14:textId="77777777" w:rsidR="00527753" w:rsidRPr="00E11B06" w:rsidRDefault="003E4230" w:rsidP="00E11B06">
            <w:pPr>
              <w:spacing w:before="240" w:after="240"/>
              <w:jc w:val="center"/>
            </w:pPr>
            <w:r w:rsidRPr="00E11B06">
              <w:rPr>
                <w:b/>
                <w:bCs/>
              </w:rPr>
              <w:t>Inimitable</w:t>
            </w:r>
          </w:p>
        </w:tc>
        <w:tc>
          <w:tcPr>
            <w:tcW w:w="708" w:type="pct"/>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tcPr>
          <w:p w14:paraId="01A45118" w14:textId="77777777" w:rsidR="00527753" w:rsidRPr="00E11B06" w:rsidRDefault="003E4230" w:rsidP="00E11B06">
            <w:pPr>
              <w:spacing w:before="240" w:after="240"/>
              <w:jc w:val="center"/>
            </w:pPr>
            <w:r w:rsidRPr="00E11B06">
              <w:rPr>
                <w:b/>
                <w:bCs/>
              </w:rPr>
              <w:t>Organised</w:t>
            </w:r>
          </w:p>
        </w:tc>
        <w:tc>
          <w:tcPr>
            <w:tcW w:w="1077" w:type="pct"/>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tcPr>
          <w:p w14:paraId="17C7C808" w14:textId="77777777" w:rsidR="00527753" w:rsidRPr="00E11B06" w:rsidRDefault="003E4230" w:rsidP="00E11B06">
            <w:pPr>
              <w:spacing w:before="240" w:after="240"/>
              <w:jc w:val="center"/>
            </w:pPr>
            <w:r w:rsidRPr="00E11B06">
              <w:rPr>
                <w:b/>
                <w:bCs/>
              </w:rPr>
              <w:t>Outcome</w:t>
            </w:r>
          </w:p>
        </w:tc>
      </w:tr>
      <w:tr w:rsidR="00527753" w:rsidRPr="00E11B06" w14:paraId="20488201" w14:textId="77777777" w:rsidTr="009063FD">
        <w:trPr>
          <w:trHeight w:val="785"/>
        </w:trPr>
        <w:tc>
          <w:tcPr>
            <w:tcW w:w="1320" w:type="pct"/>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6622D0FC" w14:textId="77777777" w:rsidR="00527753" w:rsidRPr="00E11B06" w:rsidRDefault="003E4230" w:rsidP="00E11B06">
            <w:pPr>
              <w:spacing w:before="240" w:after="240"/>
              <w:rPr>
                <w:b/>
                <w:bCs/>
                <w:i/>
                <w:iCs/>
              </w:rPr>
            </w:pPr>
            <w:r w:rsidRPr="00E11B06">
              <w:rPr>
                <w:b/>
                <w:bCs/>
                <w:i/>
                <w:iCs/>
              </w:rPr>
              <w:t>Blade Battery Technology</w:t>
            </w:r>
          </w:p>
        </w:tc>
        <w:tc>
          <w:tcPr>
            <w:tcW w:w="605" w:type="pct"/>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60B82DE9" w14:textId="77777777" w:rsidR="00527753" w:rsidRPr="00E11B06" w:rsidRDefault="003E4230" w:rsidP="00E11B06">
            <w:pPr>
              <w:spacing w:before="240" w:after="240"/>
            </w:pPr>
            <w:r w:rsidRPr="00E11B06">
              <w:t>Yes</w:t>
            </w:r>
          </w:p>
        </w:tc>
        <w:tc>
          <w:tcPr>
            <w:tcW w:w="634" w:type="pct"/>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14C61FBC" w14:textId="77777777" w:rsidR="00527753" w:rsidRPr="00E11B06" w:rsidRDefault="003E4230" w:rsidP="00E11B06">
            <w:pPr>
              <w:spacing w:before="240" w:after="240"/>
            </w:pPr>
            <w:r w:rsidRPr="00E11B06">
              <w:t>Yes</w:t>
            </w:r>
          </w:p>
        </w:tc>
        <w:tc>
          <w:tcPr>
            <w:tcW w:w="656" w:type="pct"/>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0FBC2BD8" w14:textId="77777777" w:rsidR="00527753" w:rsidRPr="00E11B06" w:rsidRDefault="003E4230" w:rsidP="00E11B06">
            <w:pPr>
              <w:spacing w:before="240" w:after="240"/>
            </w:pPr>
            <w:r w:rsidRPr="00E11B06">
              <w:t>High</w:t>
            </w:r>
          </w:p>
        </w:tc>
        <w:tc>
          <w:tcPr>
            <w:tcW w:w="708" w:type="pct"/>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40EAA7F4" w14:textId="77777777" w:rsidR="00527753" w:rsidRPr="00E11B06" w:rsidRDefault="003E4230" w:rsidP="00E11B06">
            <w:pPr>
              <w:spacing w:before="240" w:after="240"/>
            </w:pPr>
            <w:r w:rsidRPr="00E11B06">
              <w:t>Yes</w:t>
            </w:r>
          </w:p>
        </w:tc>
        <w:tc>
          <w:tcPr>
            <w:tcW w:w="1077" w:type="pct"/>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053A151C" w14:textId="77777777" w:rsidR="00527753" w:rsidRPr="00E11B06" w:rsidRDefault="003E4230" w:rsidP="00E11B06">
            <w:pPr>
              <w:spacing w:before="240" w:after="240"/>
            </w:pPr>
            <w:r w:rsidRPr="00E11B06">
              <w:t>Sustained advantage</w:t>
            </w:r>
          </w:p>
        </w:tc>
      </w:tr>
      <w:tr w:rsidR="00527753" w:rsidRPr="00E11B06" w14:paraId="1CA491CB" w14:textId="77777777" w:rsidTr="009063FD">
        <w:trPr>
          <w:trHeight w:val="785"/>
        </w:trPr>
        <w:tc>
          <w:tcPr>
            <w:tcW w:w="1320" w:type="pct"/>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18B027FF" w14:textId="77777777" w:rsidR="00527753" w:rsidRPr="00E11B06" w:rsidRDefault="003E4230" w:rsidP="00E11B06">
            <w:pPr>
              <w:spacing w:before="240" w:after="240"/>
              <w:rPr>
                <w:b/>
                <w:bCs/>
                <w:i/>
                <w:iCs/>
              </w:rPr>
            </w:pPr>
            <w:r w:rsidRPr="00E11B06">
              <w:rPr>
                <w:b/>
                <w:bCs/>
                <w:i/>
                <w:iCs/>
              </w:rPr>
              <w:t>Vertical Integration</w:t>
            </w:r>
          </w:p>
        </w:tc>
        <w:tc>
          <w:tcPr>
            <w:tcW w:w="605" w:type="pct"/>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38FB2DFD" w14:textId="77777777" w:rsidR="00527753" w:rsidRPr="00E11B06" w:rsidRDefault="003E4230" w:rsidP="00E11B06">
            <w:pPr>
              <w:spacing w:before="240" w:after="240"/>
            </w:pPr>
            <w:r w:rsidRPr="00E11B06">
              <w:t>Yes</w:t>
            </w:r>
          </w:p>
        </w:tc>
        <w:tc>
          <w:tcPr>
            <w:tcW w:w="634" w:type="pct"/>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17202046" w14:textId="77777777" w:rsidR="00527753" w:rsidRPr="00E11B06" w:rsidRDefault="003E4230" w:rsidP="00E11B06">
            <w:pPr>
              <w:spacing w:before="240" w:after="240"/>
            </w:pPr>
            <w:r w:rsidRPr="00E11B06">
              <w:t>Yes</w:t>
            </w:r>
          </w:p>
        </w:tc>
        <w:tc>
          <w:tcPr>
            <w:tcW w:w="656" w:type="pct"/>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4682DD58" w14:textId="77777777" w:rsidR="00527753" w:rsidRPr="00E11B06" w:rsidRDefault="003E4230" w:rsidP="00E11B06">
            <w:pPr>
              <w:spacing w:before="240" w:after="240"/>
            </w:pPr>
            <w:r w:rsidRPr="00E11B06">
              <w:t>Moderate</w:t>
            </w:r>
          </w:p>
        </w:tc>
        <w:tc>
          <w:tcPr>
            <w:tcW w:w="708" w:type="pct"/>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2572507D" w14:textId="77777777" w:rsidR="00527753" w:rsidRPr="00E11B06" w:rsidRDefault="003E4230" w:rsidP="00E11B06">
            <w:pPr>
              <w:spacing w:before="240" w:after="240"/>
            </w:pPr>
            <w:r w:rsidRPr="00E11B06">
              <w:t>Yes</w:t>
            </w:r>
          </w:p>
        </w:tc>
        <w:tc>
          <w:tcPr>
            <w:tcW w:w="1077" w:type="pct"/>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2D8684E2" w14:textId="77777777" w:rsidR="00527753" w:rsidRPr="00E11B06" w:rsidRDefault="003E4230" w:rsidP="00E11B06">
            <w:pPr>
              <w:spacing w:before="240" w:after="240"/>
            </w:pPr>
            <w:r w:rsidRPr="00E11B06">
              <w:t>Competitive advantage</w:t>
            </w:r>
          </w:p>
        </w:tc>
      </w:tr>
      <w:tr w:rsidR="00527753" w:rsidRPr="00E11B06" w14:paraId="41A2E903" w14:textId="77777777" w:rsidTr="009063FD">
        <w:trPr>
          <w:trHeight w:val="515"/>
        </w:trPr>
        <w:tc>
          <w:tcPr>
            <w:tcW w:w="1320" w:type="pct"/>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7079DB5B" w14:textId="77777777" w:rsidR="00527753" w:rsidRPr="00E11B06" w:rsidRDefault="003E4230" w:rsidP="00E11B06">
            <w:pPr>
              <w:spacing w:before="240" w:after="240"/>
              <w:rPr>
                <w:b/>
                <w:bCs/>
                <w:i/>
                <w:iCs/>
              </w:rPr>
            </w:pPr>
            <w:r w:rsidRPr="00E11B06">
              <w:rPr>
                <w:b/>
                <w:bCs/>
                <w:i/>
                <w:iCs/>
              </w:rPr>
              <w:t>Cost Efficiency and Scale</w:t>
            </w:r>
          </w:p>
        </w:tc>
        <w:tc>
          <w:tcPr>
            <w:tcW w:w="605" w:type="pct"/>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0DE11E42" w14:textId="77777777" w:rsidR="00527753" w:rsidRPr="00E11B06" w:rsidRDefault="003E4230" w:rsidP="00E11B06">
            <w:pPr>
              <w:spacing w:before="240" w:after="240"/>
            </w:pPr>
            <w:r w:rsidRPr="00E11B06">
              <w:t>Yes</w:t>
            </w:r>
          </w:p>
        </w:tc>
        <w:tc>
          <w:tcPr>
            <w:tcW w:w="634" w:type="pct"/>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1052888C" w14:textId="77777777" w:rsidR="00527753" w:rsidRPr="00E11B06" w:rsidRDefault="003E4230" w:rsidP="00E11B06">
            <w:pPr>
              <w:spacing w:before="240" w:after="240"/>
            </w:pPr>
            <w:r w:rsidRPr="00E11B06">
              <w:t>Moderate</w:t>
            </w:r>
          </w:p>
        </w:tc>
        <w:tc>
          <w:tcPr>
            <w:tcW w:w="656" w:type="pct"/>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494D09AC" w14:textId="77777777" w:rsidR="00527753" w:rsidRPr="00E11B06" w:rsidRDefault="003E4230" w:rsidP="00E11B06">
            <w:pPr>
              <w:spacing w:before="240" w:after="240"/>
            </w:pPr>
            <w:r w:rsidRPr="00E11B06">
              <w:t>Moderate</w:t>
            </w:r>
          </w:p>
        </w:tc>
        <w:tc>
          <w:tcPr>
            <w:tcW w:w="708" w:type="pct"/>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2B78E8C6" w14:textId="77777777" w:rsidR="00527753" w:rsidRPr="00E11B06" w:rsidRDefault="003E4230" w:rsidP="00E11B06">
            <w:pPr>
              <w:spacing w:before="240" w:after="240"/>
            </w:pPr>
            <w:r w:rsidRPr="00E11B06">
              <w:t>Yes</w:t>
            </w:r>
          </w:p>
        </w:tc>
        <w:tc>
          <w:tcPr>
            <w:tcW w:w="1077" w:type="pct"/>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5886ACE0" w14:textId="77777777" w:rsidR="00527753" w:rsidRPr="00E11B06" w:rsidRDefault="003E4230" w:rsidP="00E11B06">
            <w:pPr>
              <w:spacing w:before="240" w:after="240"/>
            </w:pPr>
            <w:r w:rsidRPr="00E11B06">
              <w:t>Temporary advantage</w:t>
            </w:r>
          </w:p>
        </w:tc>
      </w:tr>
      <w:tr w:rsidR="00527753" w:rsidRPr="00E11B06" w14:paraId="759F5412" w14:textId="77777777" w:rsidTr="009063FD">
        <w:trPr>
          <w:trHeight w:val="515"/>
        </w:trPr>
        <w:tc>
          <w:tcPr>
            <w:tcW w:w="1320" w:type="pct"/>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21D1F78D" w14:textId="77777777" w:rsidR="00527753" w:rsidRPr="00E11B06" w:rsidRDefault="003E4230" w:rsidP="00E11B06">
            <w:pPr>
              <w:spacing w:before="240" w:after="240"/>
              <w:rPr>
                <w:b/>
                <w:bCs/>
                <w:i/>
                <w:iCs/>
              </w:rPr>
            </w:pPr>
            <w:r w:rsidRPr="00E11B06">
              <w:rPr>
                <w:b/>
                <w:bCs/>
                <w:i/>
                <w:iCs/>
              </w:rPr>
              <w:lastRenderedPageBreak/>
              <w:t>Brand positioning</w:t>
            </w:r>
          </w:p>
        </w:tc>
        <w:tc>
          <w:tcPr>
            <w:tcW w:w="605" w:type="pct"/>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0F129F70" w14:textId="77777777" w:rsidR="00527753" w:rsidRPr="00E11B06" w:rsidRDefault="003E4230" w:rsidP="00E11B06">
            <w:pPr>
              <w:spacing w:before="240" w:after="240"/>
            </w:pPr>
            <w:r w:rsidRPr="00E11B06">
              <w:t>Yes</w:t>
            </w:r>
          </w:p>
        </w:tc>
        <w:tc>
          <w:tcPr>
            <w:tcW w:w="634" w:type="pct"/>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587B3C8A" w14:textId="77777777" w:rsidR="00527753" w:rsidRPr="00E11B06" w:rsidRDefault="003E4230" w:rsidP="00E11B06">
            <w:pPr>
              <w:spacing w:before="240" w:after="240"/>
            </w:pPr>
            <w:r w:rsidRPr="00E11B06">
              <w:t>No</w:t>
            </w:r>
          </w:p>
        </w:tc>
        <w:tc>
          <w:tcPr>
            <w:tcW w:w="656" w:type="pct"/>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0ACE6476" w14:textId="77777777" w:rsidR="00527753" w:rsidRPr="00E11B06" w:rsidRDefault="003E4230" w:rsidP="00E11B06">
            <w:pPr>
              <w:spacing w:before="240" w:after="240"/>
            </w:pPr>
            <w:r w:rsidRPr="00E11B06">
              <w:t>Low</w:t>
            </w:r>
          </w:p>
        </w:tc>
        <w:tc>
          <w:tcPr>
            <w:tcW w:w="708" w:type="pct"/>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2AF0ACAE" w14:textId="77777777" w:rsidR="00527753" w:rsidRPr="00E11B06" w:rsidRDefault="003E4230" w:rsidP="00E11B06">
            <w:pPr>
              <w:spacing w:before="240" w:after="240"/>
            </w:pPr>
            <w:r w:rsidRPr="00E11B06">
              <w:t>Yes</w:t>
            </w:r>
          </w:p>
        </w:tc>
        <w:tc>
          <w:tcPr>
            <w:tcW w:w="1077" w:type="pct"/>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6E1D5052" w14:textId="77777777" w:rsidR="00527753" w:rsidRPr="00E11B06" w:rsidRDefault="003E4230" w:rsidP="00E11B06">
            <w:pPr>
              <w:spacing w:before="240" w:after="240"/>
            </w:pPr>
            <w:r w:rsidRPr="00E11B06">
              <w:t>Competitive parity</w:t>
            </w:r>
          </w:p>
        </w:tc>
      </w:tr>
    </w:tbl>
    <w:p w14:paraId="7C692129" w14:textId="0F846DD5" w:rsidR="00527753" w:rsidRPr="00AC3CC7" w:rsidRDefault="003E4230" w:rsidP="00AC3CC7">
      <w:pPr>
        <w:jc w:val="center"/>
        <w:rPr>
          <w:b/>
          <w:bCs/>
        </w:rPr>
      </w:pPr>
      <w:bookmarkStart w:id="13" w:name="_mv62v2ip5zo5" w:colFirst="0" w:colLast="0"/>
      <w:bookmarkEnd w:id="13"/>
      <w:r w:rsidRPr="00AC3CC7">
        <w:rPr>
          <w:b/>
          <w:bCs/>
        </w:rPr>
        <w:t xml:space="preserve">Table 1: BYD’s Internal </w:t>
      </w:r>
      <w:r w:rsidR="009063FD" w:rsidRPr="00AC3CC7">
        <w:rPr>
          <w:b/>
          <w:bCs/>
        </w:rPr>
        <w:t>Environment Analysis</w:t>
      </w:r>
    </w:p>
    <w:p w14:paraId="61AB2E52" w14:textId="67128384" w:rsidR="009063FD" w:rsidRPr="00E11B06" w:rsidRDefault="009063FD" w:rsidP="00E11B06">
      <w:pPr>
        <w:jc w:val="center"/>
      </w:pPr>
      <w:r w:rsidRPr="00E11B06">
        <w:t>(Source: Self-Developed)</w:t>
      </w:r>
    </w:p>
    <w:p w14:paraId="682A0E04" w14:textId="77777777" w:rsidR="00527753" w:rsidRPr="00E11B06" w:rsidRDefault="003E4230" w:rsidP="00E11B06">
      <w:pPr>
        <w:pStyle w:val="Heading3"/>
      </w:pPr>
      <w:bookmarkStart w:id="14" w:name="_ofhirkvmgs1f" w:colFirst="0" w:colLast="0"/>
      <w:bookmarkStart w:id="15" w:name="_Toc225332020"/>
      <w:bookmarkEnd w:id="14"/>
      <w:r w:rsidRPr="00E11B06">
        <w:t>2.4 Internal Strengths and Competitive Advantage</w:t>
      </w:r>
      <w:bookmarkEnd w:id="15"/>
    </w:p>
    <w:p w14:paraId="30688D7D" w14:textId="3688168A" w:rsidR="00527753" w:rsidRPr="00E11B06" w:rsidRDefault="003E4230" w:rsidP="00E11B06">
      <w:r w:rsidRPr="00E11B06">
        <w:t xml:space="preserve">The internal environment of BYD is defined </w:t>
      </w:r>
      <w:r w:rsidR="002519D4">
        <w:t xml:space="preserve">using </w:t>
      </w:r>
      <w:r w:rsidR="00513D5D">
        <w:t xml:space="preserve">the </w:t>
      </w:r>
      <w:r w:rsidR="002519D4">
        <w:t xml:space="preserve">VRIO framework </w:t>
      </w:r>
      <w:r w:rsidRPr="00E11B06">
        <w:t>as a proper balance of tangible resources, intangible resources, and organisational capabilities that have served as the foundation of its competitive advantage. One of the major strengths is the vertical integration strategy</w:t>
      </w:r>
      <w:r w:rsidR="009063FD" w:rsidRPr="00E11B06">
        <w:t>,</w:t>
      </w:r>
      <w:r w:rsidRPr="00E11B06">
        <w:t xml:space="preserve"> whereby it has integrated battery production, semiconductor production, and vehicle assembly. This would allow BYD to manage cost and decrease reliance on the supply chain, which is vital at a time of global upheaval. The in-house battery production enables BYD to produce them in large quantities, about 190-210 </w:t>
      </w:r>
      <w:proofErr w:type="spellStart"/>
      <w:r w:rsidRPr="00E11B06">
        <w:t>Wh</w:t>
      </w:r>
      <w:proofErr w:type="spellEnd"/>
      <w:r w:rsidRPr="00E11B06">
        <w:t>/kg, which adds to a larger improvement of approximately 40% over the last generation (</w:t>
      </w:r>
      <w:proofErr w:type="spellStart"/>
      <w:r w:rsidRPr="00E11B06">
        <w:t>Gasgoo</w:t>
      </w:r>
      <w:proofErr w:type="spellEnd"/>
      <w:r w:rsidRPr="00E11B06">
        <w:t xml:space="preserve">, 2026). Contrarily, Tesla uses external suppliers more regularly as sources of battery inputs, which puts them at a higher risk of supply chain issues (Nikkei Asia, 2023). Yet </w:t>
      </w:r>
      <w:proofErr w:type="spellStart"/>
      <w:r w:rsidRPr="00E11B06">
        <w:t>Alzoraiki</w:t>
      </w:r>
      <w:proofErr w:type="spellEnd"/>
      <w:r w:rsidRPr="00E11B06">
        <w:t xml:space="preserve"> et al. (2024) point out that, with a high degree of integration, it is possible to lessen flexibility in responding to technological changes. It implies that the power of BYD can both limit its ability and adaptability to quickly changing markets. </w:t>
      </w:r>
    </w:p>
    <w:p w14:paraId="3608CCAD" w14:textId="03F6D0C1" w:rsidR="00527753" w:rsidRPr="00E11B06" w:rsidRDefault="003E4230" w:rsidP="00E11B06">
      <w:r w:rsidRPr="00E11B06">
        <w:t>The other important resource is technological capability</w:t>
      </w:r>
      <w:r w:rsidR="009063FD" w:rsidRPr="00E11B06">
        <w:t>,</w:t>
      </w:r>
      <w:r w:rsidRPr="00E11B06">
        <w:t xml:space="preserve"> and especially </w:t>
      </w:r>
      <w:r w:rsidR="009063FD" w:rsidRPr="00E11B06">
        <w:t xml:space="preserve">the </w:t>
      </w:r>
      <w:r w:rsidRPr="00E11B06">
        <w:t xml:space="preserve">development of the Blade battery. With this innovation contributing to the differentiation strategy, as well as to both cost leadership and cost focus, this technology will increase safety, longevity, and cost efficiency. The reason that BYD has had a continued tendency to allocate adequate resources </w:t>
      </w:r>
      <w:r w:rsidR="009063FD" w:rsidRPr="00E11B06">
        <w:t>to</w:t>
      </w:r>
      <w:r w:rsidRPr="00E11B06">
        <w:t xml:space="preserve"> R&amp;D is an indicator of its sustained innovation. BYD has an early lead over its competitors</w:t>
      </w:r>
      <w:r w:rsidR="009063FD" w:rsidRPr="00E11B06">
        <w:t>,</w:t>
      </w:r>
      <w:r w:rsidRPr="00E11B06">
        <w:t xml:space="preserve"> like Volkswagen, which continues to build its battery potential on a large scale. However, with the opinion of Chen et al. (2024), technological advantages may become voluntary in high-innovation industries, and </w:t>
      </w:r>
      <w:r w:rsidR="009063FD" w:rsidRPr="00E11B06">
        <w:t>businesses are</w:t>
      </w:r>
      <w:r w:rsidRPr="00E11B06">
        <w:t xml:space="preserve"> forced to reinvest constantly to keep up with competition. Therefore, acquired technological power is of great importance, yet it will not provide BYD with wealth in the long run.</w:t>
      </w:r>
    </w:p>
    <w:p w14:paraId="0AA0E1A4" w14:textId="159F76D8" w:rsidR="00527753" w:rsidRPr="00E11B06" w:rsidRDefault="003E4230" w:rsidP="00E11B06">
      <w:r w:rsidRPr="00E11B06">
        <w:lastRenderedPageBreak/>
        <w:t xml:space="preserve">Competitiveness is further strengthened by </w:t>
      </w:r>
      <w:r w:rsidR="009063FD" w:rsidRPr="00E11B06">
        <w:t xml:space="preserve">the </w:t>
      </w:r>
      <w:r w:rsidRPr="00E11B06">
        <w:t xml:space="preserve">cost efficiency and economies of scale of BYD. With mass production, the company has managed to experiment with intense pricing strategies that </w:t>
      </w:r>
      <w:r w:rsidR="009063FD" w:rsidRPr="00E11B06">
        <w:t>have</w:t>
      </w:r>
      <w:r w:rsidRPr="00E11B06">
        <w:t xml:space="preserve"> allowed it to capture more EVs in markets than Tesla. According to Gonen, Tavor</w:t>
      </w:r>
      <w:r w:rsidR="00513D5D">
        <w:t>,</w:t>
      </w:r>
      <w:r w:rsidRPr="00E11B06">
        <w:t xml:space="preserve"> and Spiegel (2024), this mode of leading the market primarily increases penetration</w:t>
      </w:r>
      <w:r w:rsidR="009063FD" w:rsidRPr="00E11B06">
        <w:t>,</w:t>
      </w:r>
      <w:r w:rsidRPr="00E11B06">
        <w:t xml:space="preserve"> especially in market segments </w:t>
      </w:r>
      <w:r w:rsidR="00513D5D">
        <w:t>that</w:t>
      </w:r>
      <w:r w:rsidRPr="00E11B06">
        <w:t xml:space="preserve"> are price-sensitive. Nonetheless, this approach is in contrast to Tesla, </w:t>
      </w:r>
      <w:r w:rsidR="009063FD" w:rsidRPr="00E11B06">
        <w:t xml:space="preserve">which </w:t>
      </w:r>
      <w:r w:rsidRPr="00E11B06">
        <w:t>stresses brand differentiation and high positioning to explain the alternative ways of achieving competitive advantage. As the model makes BYD realise volume growth, it becomes a business that threatens to generate a loss in terms of profitability in the existing competitive markets over a long period.</w:t>
      </w:r>
    </w:p>
    <w:p w14:paraId="58FD0D6B" w14:textId="14137B2E" w:rsidR="00527753" w:rsidRPr="00E11B06" w:rsidRDefault="003E4230" w:rsidP="00E11B06">
      <w:r w:rsidRPr="00E11B06">
        <w:t xml:space="preserve">Brand capability is one more sophisticated aspect of the internal environment of BYD. Although the company has been striving with its brand recognition in China, it is </w:t>
      </w:r>
      <w:r w:rsidR="009063FD" w:rsidRPr="00E11B06">
        <w:t>a relatively</w:t>
      </w:r>
      <w:r w:rsidRPr="00E11B06">
        <w:t xml:space="preserve"> weak brand globally compared to its established </w:t>
      </w:r>
      <w:r w:rsidR="009063FD" w:rsidRPr="00E11B06">
        <w:t>Western</w:t>
      </w:r>
      <w:r w:rsidRPr="00E11B06">
        <w:t xml:space="preserve"> competitors. As pointed out by Boro Semiz and Paylan (2023), one of the essential success criteria with which a consumer can be adopted internationally is brand legitimacy. This implies that </w:t>
      </w:r>
      <w:r w:rsidR="009063FD" w:rsidRPr="00E11B06">
        <w:t>BYD's</w:t>
      </w:r>
      <w:r w:rsidRPr="00E11B06">
        <w:t xml:space="preserve"> internal strengths are not evenly distributed and that strong domestic capabilities are not completely distributed into the global competitive advantage.</w:t>
      </w:r>
    </w:p>
    <w:p w14:paraId="7EF8AE97" w14:textId="0ACCB13F" w:rsidR="00527753" w:rsidRPr="00E11B06" w:rsidRDefault="003E4230" w:rsidP="00AC3CC7">
      <w:pPr>
        <w:pStyle w:val="Heading2"/>
      </w:pPr>
      <w:bookmarkStart w:id="16" w:name="_e6cougzc8thw" w:colFirst="0" w:colLast="0"/>
      <w:bookmarkStart w:id="17" w:name="_Toc225332021"/>
      <w:bookmarkEnd w:id="16"/>
      <w:r w:rsidRPr="00E11B06">
        <w:t>3. CSR and Sustainability objectives</w:t>
      </w:r>
      <w:bookmarkEnd w:id="17"/>
    </w:p>
    <w:p w14:paraId="69B86F1D" w14:textId="56716F34" w:rsidR="006307F8" w:rsidRPr="00E11B06" w:rsidRDefault="006307F8" w:rsidP="00AC3CC7">
      <w:pPr>
        <w:pStyle w:val="Heading3"/>
      </w:pPr>
      <w:bookmarkStart w:id="18" w:name="_Toc225332022"/>
      <w:r w:rsidRPr="00E11B06">
        <w:t>3.1 Overview of CSR and Sustainability Strategy</w:t>
      </w:r>
      <w:bookmarkEnd w:id="18"/>
    </w:p>
    <w:p w14:paraId="254EC633" w14:textId="146D5D76" w:rsidR="00527753" w:rsidRPr="00341241" w:rsidRDefault="003E4230" w:rsidP="00E11B06">
      <w:pPr>
        <w:spacing w:before="0" w:after="0"/>
        <w:rPr>
          <w:lang w:val="en-IN"/>
        </w:rPr>
      </w:pPr>
      <w:r w:rsidRPr="00E11B06">
        <w:t>The CSR and sustainability strategy is deeply rooted in the business model of BYD</w:t>
      </w:r>
      <w:r w:rsidR="009063FD" w:rsidRPr="00E11B06">
        <w:t>,</w:t>
      </w:r>
      <w:r w:rsidRPr="00E11B06">
        <w:t xml:space="preserve"> with environmental responsibility being viewed not as an additional activity</w:t>
      </w:r>
      <w:r w:rsidR="00C65B91">
        <w:t>,</w:t>
      </w:r>
      <w:r w:rsidRPr="00E11B06">
        <w:t xml:space="preserve"> but as one of the central strategic forces of the company. </w:t>
      </w:r>
      <w:r w:rsidR="00F93D06">
        <w:t xml:space="preserve">BYD has set the target of reducing 50% of CO2 </w:t>
      </w:r>
      <w:r w:rsidR="00513D5D">
        <w:t>emissions</w:t>
      </w:r>
      <w:r w:rsidR="00F93D06">
        <w:t xml:space="preserve"> from its operations and strengthening carbon neutrality by 2045 </w:t>
      </w:r>
      <w:r w:rsidR="00341241" w:rsidRPr="00341241">
        <w:rPr>
          <w:lang w:val="en-IN"/>
        </w:rPr>
        <w:t>(Potter, 2025)</w:t>
      </w:r>
      <w:r w:rsidR="00F93D06">
        <w:t xml:space="preserve">. </w:t>
      </w:r>
      <w:r w:rsidRPr="00E11B06">
        <w:t>The concentration on electric cars and innovative batteries, as well as the renewable energy proposals offered by the company, is resonating with the worldwide decarbonisation goals</w:t>
      </w:r>
      <w:r w:rsidR="009063FD" w:rsidRPr="00E11B06">
        <w:t>,</w:t>
      </w:r>
      <w:r w:rsidRPr="00E11B06">
        <w:t xml:space="preserve"> which means that CSR and business strategies are highly integrated. Gomez-Trujillo, Gonzalez-Perez</w:t>
      </w:r>
      <w:r w:rsidR="00513D5D">
        <w:t>,</w:t>
      </w:r>
      <w:r w:rsidRPr="00E11B06">
        <w:t xml:space="preserve"> and Baena (2024) substantiate this claim by stating that sustainability will produce new market opportunities and reinforce the stakeholder legitimacy, ensuring their competitive advantage. Hence, the CSR approach of BYD can be viewed as substantively embedded because the creation of revenue directly correlates with environmentally sustainable products.</w:t>
      </w:r>
    </w:p>
    <w:p w14:paraId="2F528B7A" w14:textId="2293C23E" w:rsidR="006307F8" w:rsidRPr="00E11B06" w:rsidRDefault="006307F8" w:rsidP="00AC3CC7">
      <w:pPr>
        <w:pStyle w:val="Heading3"/>
      </w:pPr>
      <w:bookmarkStart w:id="19" w:name="_Toc225332023"/>
      <w:r w:rsidRPr="00E11B06">
        <w:lastRenderedPageBreak/>
        <w:t>3.2 Alignment Between CSR and Business Objectives</w:t>
      </w:r>
      <w:bookmarkEnd w:id="19"/>
    </w:p>
    <w:p w14:paraId="5A16695E" w14:textId="3A79F0B8" w:rsidR="00527753" w:rsidRPr="00E11B06" w:rsidRDefault="003E4230" w:rsidP="00E11B06">
      <w:pPr>
        <w:spacing w:before="0" w:after="0"/>
      </w:pPr>
      <w:r w:rsidRPr="00E11B06">
        <w:t>It is hinted that this alignment could actually be a result of strategic opportunism and not necessarily on the commitment basis of ethics. Ashurov, Musse</w:t>
      </w:r>
      <w:r w:rsidR="00513D5D">
        <w:t>,</w:t>
      </w:r>
      <w:r w:rsidRPr="00E11B06">
        <w:t xml:space="preserve"> and Abdelhak (2024) </w:t>
      </w:r>
      <w:r w:rsidR="00513D5D">
        <w:t>contend that</w:t>
      </w:r>
      <w:r w:rsidRPr="00E11B06">
        <w:t xml:space="preserve"> sustainable companies that are active in the realms of sustainability tend to have a supportive attitude towards CSR practices that support profitability, which casts doubts on the parity on whether such activities are more transformative or are simply a consequence of profit motives. The campaigns that helped BYD achieve its current rapid growth and cost leadership can result in strains with the larger sustainability aims, especially regarding battery sourcing systems and natural resources mining. This points to a likely incongruence between the assertions of the environment and the reality of the operation.</w:t>
      </w:r>
    </w:p>
    <w:p w14:paraId="5F825C50" w14:textId="0003D5C9" w:rsidR="006307F8" w:rsidRPr="00E11B06" w:rsidRDefault="006307F8" w:rsidP="00AC3CC7">
      <w:pPr>
        <w:pStyle w:val="Heading3"/>
      </w:pPr>
      <w:bookmarkStart w:id="20" w:name="_Toc225332024"/>
      <w:r w:rsidRPr="00E11B06">
        <w:t>3.3 Critical Evaluation of CSR Effectiveness and Strategic Value</w:t>
      </w:r>
      <w:bookmarkEnd w:id="20"/>
    </w:p>
    <w:p w14:paraId="28D528FF" w14:textId="1D643192" w:rsidR="00527753" w:rsidRPr="00E11B06" w:rsidRDefault="003E4230" w:rsidP="00E11B06">
      <w:pPr>
        <w:spacing w:before="0" w:after="0"/>
      </w:pPr>
      <w:r w:rsidRPr="00E11B06">
        <w:t xml:space="preserve">Although BYD is involved in a high level of regulation and environmental positioning, the current CSR policy should also be considered through global stakeholder expectations. Battaglia et al. (2025) provide that operational integration has been only one of the ingredients that make successful CSR, </w:t>
      </w:r>
      <w:r w:rsidR="009063FD" w:rsidRPr="00E11B06">
        <w:t xml:space="preserve">and </w:t>
      </w:r>
      <w:r w:rsidRPr="00E11B06">
        <w:t xml:space="preserve">that stakeholders must engage with and make disclosures with credibility. The CSR communication of BYD is not as eminent in the international arena as </w:t>
      </w:r>
      <w:r w:rsidR="009063FD" w:rsidRPr="00E11B06">
        <w:t>that</w:t>
      </w:r>
      <w:r w:rsidRPr="00E11B06">
        <w:t xml:space="preserve"> of its rivals, including Tesla</w:t>
      </w:r>
      <w:r w:rsidR="009063FD" w:rsidRPr="00E11B06">
        <w:t>, which</w:t>
      </w:r>
      <w:r w:rsidRPr="00E11B06">
        <w:t xml:space="preserve"> prioritise transparency and br</w:t>
      </w:r>
      <w:r w:rsidR="0045001B" w:rsidRPr="00E11B06">
        <w:t>and-based sustainability</w:t>
      </w:r>
      <w:r w:rsidRPr="00E11B06">
        <w:t xml:space="preserve">. </w:t>
      </w:r>
    </w:p>
    <w:p w14:paraId="14927D0E" w14:textId="57BDCAA0" w:rsidR="00527753" w:rsidRPr="00E11B06" w:rsidRDefault="003E4230" w:rsidP="00AC3CC7">
      <w:pPr>
        <w:pStyle w:val="Heading2"/>
      </w:pPr>
      <w:bookmarkStart w:id="21" w:name="_iuc2jr7gztre" w:colFirst="0" w:colLast="0"/>
      <w:bookmarkStart w:id="22" w:name="_Toc225332025"/>
      <w:bookmarkEnd w:id="21"/>
      <w:r w:rsidRPr="00E11B06">
        <w:t>4. Comprehensive and holistic view of the organisation</w:t>
      </w:r>
      <w:bookmarkEnd w:id="22"/>
    </w:p>
    <w:p w14:paraId="52D44153" w14:textId="73B74FE6" w:rsidR="00527753" w:rsidRPr="00E11B06" w:rsidRDefault="003E4230" w:rsidP="00E11B06">
      <w:pPr>
        <w:spacing w:before="0" w:after="0"/>
      </w:pPr>
      <w:r w:rsidRPr="00E11B06">
        <w:t>The Balanced Scorecard allows assessing the organisational performance of BYD</w:t>
      </w:r>
      <w:r w:rsidR="009063FD" w:rsidRPr="00E11B06">
        <w:t>,</w:t>
      </w:r>
      <w:r w:rsidRPr="00E11B06">
        <w:t xml:space="preserve"> offering a holistic method to consider both fiscal and non-financial indicators with attention to the efficiency of </w:t>
      </w:r>
      <w:r w:rsidR="009063FD" w:rsidRPr="00E11B06">
        <w:t xml:space="preserve">the </w:t>
      </w:r>
      <w:r w:rsidRPr="00E11B06">
        <w:t xml:space="preserve">organisation </w:t>
      </w:r>
      <w:r w:rsidR="009063FD" w:rsidRPr="00E11B06">
        <w:t xml:space="preserve">in relation </w:t>
      </w:r>
      <w:r w:rsidRPr="00E11B06">
        <w:t xml:space="preserve">to </w:t>
      </w:r>
      <w:r w:rsidR="009063FD" w:rsidRPr="00E11B06">
        <w:t xml:space="preserve">the </w:t>
      </w:r>
      <w:r w:rsidRPr="00E11B06">
        <w:t>strategic plan. Quesado, Oliveira</w:t>
      </w:r>
      <w:r w:rsidR="00513D5D">
        <w:t>,</w:t>
      </w:r>
      <w:r w:rsidRPr="00E11B06">
        <w:t xml:space="preserve"> and Silva (2025) argued that </w:t>
      </w:r>
      <w:r w:rsidR="009063FD" w:rsidRPr="00E11B06">
        <w:t>instead</w:t>
      </w:r>
      <w:r w:rsidRPr="00E11B06">
        <w:t xml:space="preserve"> of using the established financial metrics only, organisations need a mix of indicators that </w:t>
      </w:r>
      <w:r w:rsidR="009063FD" w:rsidRPr="00E11B06">
        <w:t>measure</w:t>
      </w:r>
      <w:r w:rsidRPr="00E11B06">
        <w:t xml:space="preserve"> both outcomes and performance drivers of future performance. The given approach is specifically applicable to BYD as the strategy is an amalgamation of cost leadership, technological innovations, and globalisation.</w:t>
      </w:r>
    </w:p>
    <w:p w14:paraId="597061D6" w14:textId="252D41F0" w:rsidR="00D16C8F" w:rsidRPr="00E11B06" w:rsidRDefault="00D16C8F" w:rsidP="00AC3CC7">
      <w:pPr>
        <w:pStyle w:val="Heading3"/>
      </w:pPr>
      <w:bookmarkStart w:id="23" w:name="_Toc225332026"/>
      <w:r w:rsidRPr="00E11B06">
        <w:t>4.1 Financial Perspective: Performance and Profitability Drivers</w:t>
      </w:r>
      <w:bookmarkEnd w:id="23"/>
    </w:p>
    <w:p w14:paraId="33DAF2AE" w14:textId="1D4E3224" w:rsidR="00527753" w:rsidRPr="00E11B06" w:rsidRDefault="003E4230" w:rsidP="00E11B06">
      <w:pPr>
        <w:spacing w:before="0" w:after="0"/>
      </w:pPr>
      <w:r w:rsidRPr="00E11B06">
        <w:t xml:space="preserve">Financially, BYD intends to ensure a long-term increase in revenue and profitability due to volume and dominance in the market. In 2025, the company registered close </w:t>
      </w:r>
      <w:r w:rsidRPr="00E11B06">
        <w:lastRenderedPageBreak/>
        <w:t>to 45.5 million sales of the new energy vehicles</w:t>
      </w:r>
      <w:r w:rsidR="009063FD" w:rsidRPr="00E11B06">
        <w:t>,</w:t>
      </w:r>
      <w:r w:rsidRPr="00E11B06">
        <w:t xml:space="preserve"> thus the company has a positive growth momentum (Jolly, 2026). Some of the key performance indicators are growth in revenue, operating margin</w:t>
      </w:r>
      <w:r w:rsidR="00513D5D">
        <w:t>,</w:t>
      </w:r>
      <w:r w:rsidRPr="00E11B06">
        <w:t xml:space="preserve"> and </w:t>
      </w:r>
      <w:r w:rsidR="00513D5D">
        <w:t xml:space="preserve">the </w:t>
      </w:r>
      <w:r w:rsidRPr="00E11B06">
        <w:t xml:space="preserve">ratio of what </w:t>
      </w:r>
      <w:r w:rsidR="009063FD" w:rsidRPr="00E11B06">
        <w:t>is utilised</w:t>
      </w:r>
      <w:r w:rsidRPr="00E11B06">
        <w:t xml:space="preserve"> in improving equity</w:t>
      </w:r>
      <w:r w:rsidR="009063FD" w:rsidRPr="00E11B06">
        <w:t>,</w:t>
      </w:r>
      <w:r w:rsidRPr="00E11B06">
        <w:t xml:space="preserve"> where the targets are aimed at ensuring a high level of sales with the objective of increasing its level of profitability amid price rivalry. In 2025</w:t>
      </w:r>
      <w:r w:rsidR="009063FD" w:rsidRPr="00E11B06">
        <w:t>,</w:t>
      </w:r>
      <w:r w:rsidRPr="00E11B06">
        <w:t xml:space="preserve"> the sales revenue of new energy vehicles </w:t>
      </w:r>
      <w:r w:rsidR="009063FD" w:rsidRPr="00E11B06">
        <w:t>was</w:t>
      </w:r>
      <w:r w:rsidRPr="00E11B06">
        <w:t xml:space="preserve"> more than 566 billion yuan, </w:t>
      </w:r>
      <w:r w:rsidR="009063FD" w:rsidRPr="00E11B06">
        <w:t xml:space="preserve">with </w:t>
      </w:r>
      <w:r w:rsidRPr="00E11B06">
        <w:t>BYD leading in the number of units sold in the world</w:t>
      </w:r>
      <w:r w:rsidR="009063FD" w:rsidRPr="00E11B06">
        <w:t>,</w:t>
      </w:r>
      <w:r w:rsidRPr="00E11B06">
        <w:t xml:space="preserve"> featuring as the first among the global NEV manufacturers (Leung, 2025). Vertical integration and international expansion are some of the strategies that contribute </w:t>
      </w:r>
      <w:r w:rsidR="00513D5D">
        <w:t>to</w:t>
      </w:r>
      <w:r w:rsidRPr="00E11B06">
        <w:t xml:space="preserve"> cost reduction and revenue diversification. But, as Kaplan and Norton point out, the financial metrics are lagging indicators; that is, good financial performance is a result of efficient operational drivers.</w:t>
      </w:r>
    </w:p>
    <w:p w14:paraId="06995FC0" w14:textId="59E6E7F5" w:rsidR="006307F8" w:rsidRPr="00E11B06" w:rsidRDefault="006307F8" w:rsidP="00AC3CC7">
      <w:pPr>
        <w:pStyle w:val="Heading3"/>
      </w:pPr>
      <w:bookmarkStart w:id="24" w:name="_Toc225332027"/>
      <w:r w:rsidRPr="00E11B06">
        <w:t>4.2 Customer Perspective: Value Creation and Market Positioning</w:t>
      </w:r>
      <w:bookmarkEnd w:id="24"/>
    </w:p>
    <w:p w14:paraId="719CDBC5" w14:textId="4768FA65" w:rsidR="00527753" w:rsidRPr="003D405E" w:rsidRDefault="003E4230" w:rsidP="00E11B06">
      <w:pPr>
        <w:spacing w:before="0"/>
        <w:rPr>
          <w:lang w:val="en-IN"/>
        </w:rPr>
      </w:pPr>
      <w:r w:rsidRPr="00E11B06">
        <w:t>The customer vision is based on value generation based on affordability, reliability</w:t>
      </w:r>
      <w:r w:rsidR="00513D5D">
        <w:t>,</w:t>
      </w:r>
      <w:r w:rsidRPr="00E11B06">
        <w:t xml:space="preserve"> and innovation. The mission of BYD is to increase market share on a worldwide level and build brand image. The KPIs involve some indicators such as the market share, customer satisfaction, and retention rates, where the targets are set on the growth of the penetration in Europe and emerging markets. By the end of </w:t>
      </w:r>
      <w:r w:rsidR="0006160B">
        <w:t>2025</w:t>
      </w:r>
      <w:r w:rsidRPr="00E11B06">
        <w:t xml:space="preserve">, BYD </w:t>
      </w:r>
      <w:r w:rsidR="00513D5D">
        <w:t>had</w:t>
      </w:r>
      <w:r w:rsidR="0006160B">
        <w:t xml:space="preserve"> accomplished</w:t>
      </w:r>
      <w:r w:rsidRPr="00E11B06">
        <w:t xml:space="preserve"> a 15.7</w:t>
      </w:r>
      <w:r w:rsidR="00D114B7">
        <w:t xml:space="preserve">% </w:t>
      </w:r>
      <w:r w:rsidRPr="00E11B06">
        <w:t>global market share</w:t>
      </w:r>
      <w:r w:rsidR="003D405E">
        <w:t xml:space="preserve"> </w:t>
      </w:r>
      <w:r w:rsidR="003D405E" w:rsidRPr="003D405E">
        <w:rPr>
          <w:lang w:val="en-IN"/>
        </w:rPr>
        <w:t>(Miao, 2025)</w:t>
      </w:r>
      <w:r w:rsidRPr="00E11B06">
        <w:t>. This will be spurred by size, innovation</w:t>
      </w:r>
      <w:r w:rsidR="00513D5D">
        <w:t>,</w:t>
      </w:r>
      <w:r w:rsidRPr="00E11B06">
        <w:t xml:space="preserve"> and immense support </w:t>
      </w:r>
      <w:r w:rsidR="00513D5D">
        <w:t>from</w:t>
      </w:r>
      <w:r w:rsidRPr="00E11B06">
        <w:t xml:space="preserve"> the Chinese government (Alvarez, 2025). Consenting to launch competitively priced models and improving after-sales service are some of the strategic initiatives. Even though </w:t>
      </w:r>
      <w:r w:rsidR="009063FD" w:rsidRPr="00E11B06">
        <w:t>BYD's</w:t>
      </w:r>
      <w:r w:rsidRPr="00E11B06">
        <w:t xml:space="preserve"> performance is high in the Chinese market, the company lacks recognition globally compared to its rivals like Tesla. </w:t>
      </w:r>
      <w:r w:rsidR="008D4598">
        <w:t>It is evident that while BYD has ranked 91</w:t>
      </w:r>
      <w:r w:rsidR="008D4598" w:rsidRPr="008D4598">
        <w:rPr>
          <w:vertAlign w:val="superscript"/>
        </w:rPr>
        <w:t>st</w:t>
      </w:r>
      <w:r w:rsidR="008D4598">
        <w:t xml:space="preserve">, Tesla has already ruled the EV market globally </w:t>
      </w:r>
      <w:r w:rsidR="0077022C" w:rsidRPr="0077022C">
        <w:rPr>
          <w:lang w:val="en-IN"/>
        </w:rPr>
        <w:t>(BYD, 2025)</w:t>
      </w:r>
      <w:r w:rsidR="008D4598">
        <w:t xml:space="preserve">. </w:t>
      </w:r>
      <w:r w:rsidRPr="00E11B06">
        <w:t>It means that there is a mismatch between the operational capability and the perception of its customers, which shows the significance of customer-related performance standards.</w:t>
      </w:r>
    </w:p>
    <w:p w14:paraId="4D17A01B" w14:textId="34304265" w:rsidR="00E318C7" w:rsidRPr="00E11B06" w:rsidRDefault="00E318C7" w:rsidP="00AC3CC7">
      <w:pPr>
        <w:pStyle w:val="Heading3"/>
      </w:pPr>
      <w:bookmarkStart w:id="25" w:name="_Toc225332028"/>
      <w:r w:rsidRPr="00E11B06">
        <w:t>4.3 Internal Business Processes: Operational Efficiency and Innovation</w:t>
      </w:r>
      <w:bookmarkEnd w:id="25"/>
    </w:p>
    <w:p w14:paraId="29A7F740" w14:textId="5CDFFE59" w:rsidR="00527753" w:rsidRPr="00E11B06" w:rsidRDefault="003E4230" w:rsidP="00E11B06">
      <w:pPr>
        <w:spacing w:before="0" w:after="0"/>
      </w:pPr>
      <w:r w:rsidRPr="00E11B06">
        <w:t>On the internal business process dimension, BYD is committed to cutting-edge technological advantage and production efficiency. The targets are low cost of production and fast product development cycles. The efficiency of production, cost of battery per unit</w:t>
      </w:r>
      <w:r w:rsidR="00513D5D">
        <w:t>,</w:t>
      </w:r>
      <w:r w:rsidRPr="00E11B06">
        <w:t xml:space="preserve"> and time-to-market are the KPIs that are important in performance measurement. The vertically integrated model of BYD strengthens control over the </w:t>
      </w:r>
      <w:r w:rsidRPr="00E11B06">
        <w:lastRenderedPageBreak/>
        <w:t xml:space="preserve">main processes, which facilitates cost leadership and innovation (Nogueira et al., 2023). The Balanced </w:t>
      </w:r>
      <w:r w:rsidR="009063FD" w:rsidRPr="00E11B06">
        <w:t>Scorecard,</w:t>
      </w:r>
      <w:r w:rsidRPr="00E11B06">
        <w:t xml:space="preserve"> however</w:t>
      </w:r>
      <w:r w:rsidR="009063FD" w:rsidRPr="00E11B06">
        <w:t>,</w:t>
      </w:r>
      <w:r w:rsidRPr="00E11B06">
        <w:t xml:space="preserve"> points out that enhancement of internal processes should deliver back to the customer value and financial results</w:t>
      </w:r>
      <w:r w:rsidR="009063FD" w:rsidRPr="00E11B06">
        <w:t>,</w:t>
      </w:r>
      <w:r w:rsidRPr="00E11B06">
        <w:t xml:space="preserve"> which is not automatic all the time.</w:t>
      </w:r>
    </w:p>
    <w:p w14:paraId="2AB88B33" w14:textId="7BE66D93" w:rsidR="00C43F09" w:rsidRPr="00E11B06" w:rsidRDefault="00C43F09" w:rsidP="00AC3CC7">
      <w:pPr>
        <w:pStyle w:val="Heading3"/>
      </w:pPr>
      <w:bookmarkStart w:id="26" w:name="_Toc225332029"/>
      <w:r w:rsidRPr="00E11B06">
        <w:t>4.4 Learning and Growth: Capability Development and Future Readiness</w:t>
      </w:r>
      <w:bookmarkEnd w:id="26"/>
    </w:p>
    <w:p w14:paraId="2BC50E45" w14:textId="52305E14" w:rsidR="00527753" w:rsidRPr="00E11B06" w:rsidRDefault="003E4230" w:rsidP="00E11B06">
      <w:pPr>
        <w:spacing w:before="0" w:after="0"/>
      </w:pPr>
      <w:r w:rsidRPr="00E11B06">
        <w:t xml:space="preserve">The learning and growth </w:t>
      </w:r>
      <w:r w:rsidR="008613FE" w:rsidRPr="00E11B06">
        <w:t>form</w:t>
      </w:r>
      <w:r w:rsidRPr="00E11B06">
        <w:t xml:space="preserve"> the foundation of the </w:t>
      </w:r>
      <w:r w:rsidR="009063FD" w:rsidRPr="00E11B06">
        <w:t>long-term</w:t>
      </w:r>
      <w:r w:rsidRPr="00E11B06">
        <w:t xml:space="preserve"> competitiveness of BYD through its details</w:t>
      </w:r>
      <w:r w:rsidR="009063FD" w:rsidRPr="00E11B06">
        <w:t>,</w:t>
      </w:r>
      <w:r w:rsidRPr="00E11B06">
        <w:t xml:space="preserve"> giving emphasis on innovation and organisational capability. Targets are to enhance R&amp;D and </w:t>
      </w:r>
      <w:r w:rsidR="009063FD" w:rsidRPr="00E11B06">
        <w:t xml:space="preserve">the </w:t>
      </w:r>
      <w:r w:rsidRPr="00E11B06">
        <w:t>development of manpower. KPIs cover R&amp;D spending, patents, and employee productivity</w:t>
      </w:r>
      <w:r w:rsidR="009063FD" w:rsidRPr="00E11B06">
        <w:t>,</w:t>
      </w:r>
      <w:r w:rsidRPr="00E11B06">
        <w:t xml:space="preserve"> where BYD is spending RMB43.75billion on the R</w:t>
      </w:r>
      <w:r w:rsidR="00942938">
        <w:t>&amp;</w:t>
      </w:r>
      <w:r w:rsidRPr="00E11B06">
        <w:t>D</w:t>
      </w:r>
      <w:r w:rsidR="009063FD" w:rsidRPr="00E11B06">
        <w:t>,</w:t>
      </w:r>
      <w:r w:rsidRPr="00E11B06">
        <w:t xml:space="preserve"> and its cumulative expenditure on </w:t>
      </w:r>
      <w:r w:rsidR="009063FD" w:rsidRPr="00E11B06">
        <w:t>R&amp;D</w:t>
      </w:r>
      <w:r w:rsidRPr="00E11B06">
        <w:t xml:space="preserve"> is more than </w:t>
      </w:r>
      <w:r w:rsidR="00D0417F" w:rsidRPr="00E11B06">
        <w:t>$220</w:t>
      </w:r>
      <w:r w:rsidRPr="00E11B06">
        <w:t>billion (</w:t>
      </w:r>
      <w:proofErr w:type="spellStart"/>
      <w:r w:rsidRPr="00E11B06">
        <w:t>Chinadaily</w:t>
      </w:r>
      <w:proofErr w:type="spellEnd"/>
      <w:r w:rsidRPr="00E11B06">
        <w:t xml:space="preserve">, 2025). The strategic proposals involve the development of battery technology and digital keys. This is in line with the perspective that innovation and learning </w:t>
      </w:r>
      <w:r w:rsidR="009063FD" w:rsidRPr="00E11B06">
        <w:t>are</w:t>
      </w:r>
      <w:r w:rsidRPr="00E11B06">
        <w:t xml:space="preserve"> major drivers of future performance and not immediate financial outcomes.</w:t>
      </w:r>
    </w:p>
    <w:p w14:paraId="41C13380" w14:textId="3E519C71" w:rsidR="00527753" w:rsidRPr="00E11B06" w:rsidRDefault="00EC3395" w:rsidP="00E11B06">
      <w:r w:rsidRPr="00E11B06">
        <w:t xml:space="preserve">Hence, </w:t>
      </w:r>
      <w:r w:rsidR="003E4230" w:rsidRPr="00E11B06">
        <w:t xml:space="preserve">it can be stated that a Balanced Scorecard shows that to achieve success, BYD needs to adequately </w:t>
      </w:r>
      <w:r w:rsidR="009063FD" w:rsidRPr="00E11B06">
        <w:t>synchronise</w:t>
      </w:r>
      <w:r w:rsidR="003E4230" w:rsidRPr="00E11B06">
        <w:t xml:space="preserve"> financial results with the way it brings value to its customers, its operations, and its ability to maintain consistent innovation, which guarantees a holistic and sustainable strategic progress.</w:t>
      </w:r>
    </w:p>
    <w:p w14:paraId="2BE18573" w14:textId="65E9DE74" w:rsidR="00527753" w:rsidRPr="00E11B06" w:rsidRDefault="003E4230" w:rsidP="00AC3CC7">
      <w:pPr>
        <w:pStyle w:val="Heading2"/>
      </w:pPr>
      <w:bookmarkStart w:id="27" w:name="_q16ow56e6lhm" w:colFirst="0" w:colLast="0"/>
      <w:bookmarkStart w:id="28" w:name="_Toc225332030"/>
      <w:bookmarkEnd w:id="27"/>
      <w:r w:rsidRPr="00E11B06">
        <w:t>5. Strategic Choices and Implementation</w:t>
      </w:r>
      <w:bookmarkEnd w:id="28"/>
    </w:p>
    <w:p w14:paraId="5807EC2B" w14:textId="22AD4A1B" w:rsidR="00011C78" w:rsidRPr="00E11B06" w:rsidRDefault="004A3613" w:rsidP="00AC3CC7">
      <w:pPr>
        <w:pStyle w:val="Heading3"/>
      </w:pPr>
      <w:bookmarkStart w:id="29" w:name="_Toc225332031"/>
      <w:r w:rsidRPr="00E11B06">
        <w:t>5.1 Business-Level Strategy: Cost Leadership and Differentiation</w:t>
      </w:r>
      <w:bookmarkEnd w:id="29"/>
    </w:p>
    <w:p w14:paraId="05C95F5A" w14:textId="584A2578" w:rsidR="00527753" w:rsidRPr="00E11B06" w:rsidRDefault="003E4230" w:rsidP="00E11B06">
      <w:r w:rsidRPr="00E11B06">
        <w:t xml:space="preserve">The business and </w:t>
      </w:r>
      <w:r w:rsidR="009063FD" w:rsidRPr="00E11B06">
        <w:t>corporation-level</w:t>
      </w:r>
      <w:r w:rsidRPr="00E11B06">
        <w:t xml:space="preserve"> strategic decisions supported </w:t>
      </w:r>
      <w:r w:rsidR="009063FD" w:rsidRPr="00E11B06">
        <w:t>by</w:t>
      </w:r>
      <w:r w:rsidRPr="00E11B06">
        <w:t xml:space="preserve"> the aggressive international expansion and diversification depict a hybrid strategy, which is a combination of focus on costs and selective differentiation. On the business level, BYD majorly competes based on cost leadership</w:t>
      </w:r>
      <w:r w:rsidR="009063FD" w:rsidRPr="00E11B06">
        <w:t>,</w:t>
      </w:r>
      <w:r w:rsidRPr="00E11B06">
        <w:t xml:space="preserve"> which is facilitated </w:t>
      </w:r>
      <w:r w:rsidR="009063FD" w:rsidRPr="00E11B06">
        <w:t>by</w:t>
      </w:r>
      <w:r w:rsidRPr="00E11B06">
        <w:t xml:space="preserve"> the vertically integrated format and economies of scale. This enables the company to provide electric vehicles at competitive prices, which is one of the factors that </w:t>
      </w:r>
      <w:r w:rsidR="009063FD" w:rsidRPr="00E11B06">
        <w:t>has enabled the firm to gain</w:t>
      </w:r>
      <w:r w:rsidRPr="00E11B06">
        <w:t xml:space="preserve"> competitiveness in sales magnitude</w:t>
      </w:r>
      <w:r w:rsidR="009063FD" w:rsidRPr="00E11B06">
        <w:t>,</w:t>
      </w:r>
      <w:r w:rsidRPr="00E11B06">
        <w:t xml:space="preserve"> surpassing Tesla. Nevertheless, differentiating, contrary to pure leaders of cost, has also been taken into consideration, though not to the fullest, by BYD, where its proprietary technologies like the Blade battery are expected to </w:t>
      </w:r>
      <w:r w:rsidR="009063FD" w:rsidRPr="00E11B06">
        <w:t>contribute to</w:t>
      </w:r>
      <w:r w:rsidRPr="00E11B06">
        <w:t xml:space="preserve"> its safety and efficiency. This middle ground is in line with </w:t>
      </w:r>
      <w:r w:rsidR="009063FD" w:rsidRPr="00E11B06">
        <w:t>Porter's</w:t>
      </w:r>
      <w:r w:rsidRPr="00E11B06">
        <w:t xml:space="preserve"> claim of firms gaining sustainable competitive advantage by </w:t>
      </w:r>
      <w:r w:rsidRPr="00E11B06">
        <w:lastRenderedPageBreak/>
        <w:t>integrated strategies</w:t>
      </w:r>
      <w:r w:rsidR="009063FD" w:rsidRPr="00E11B06">
        <w:t>,</w:t>
      </w:r>
      <w:r w:rsidRPr="00E11B06">
        <w:t xml:space="preserve"> although it exposes the firm to a lack of consistency in the strategy (Stefan, Popa and Taraban, 2023). However, a more aggressive differentiation plan, a la </w:t>
      </w:r>
      <w:r w:rsidR="009063FD" w:rsidRPr="00E11B06">
        <w:t>Tesla's</w:t>
      </w:r>
      <w:r w:rsidRPr="00E11B06">
        <w:t xml:space="preserve"> premium positioning</w:t>
      </w:r>
      <w:r w:rsidR="009063FD" w:rsidRPr="00E11B06">
        <w:t>,</w:t>
      </w:r>
      <w:r w:rsidRPr="00E11B06">
        <w:t xml:space="preserve"> might help in improving brand equity and profitability on a global scale. On the other hand, the persistent focus on cost leadership will enhance the market penetration in the price-sensitive places but put pressure on the margins. As </w:t>
      </w:r>
      <w:proofErr w:type="spellStart"/>
      <w:r w:rsidRPr="00E11B06">
        <w:t>Jerab</w:t>
      </w:r>
      <w:proofErr w:type="spellEnd"/>
      <w:r w:rsidRPr="00E11B06">
        <w:t xml:space="preserve"> and Mabrouk (2023) assert, companies that are trying to leverage measures of cost leadership within stiff market competition are oftentimes prone to diminishing returns that stem </w:t>
      </w:r>
      <w:r w:rsidR="009063FD" w:rsidRPr="00E11B06">
        <w:t>from</w:t>
      </w:r>
      <w:r w:rsidRPr="00E11B06">
        <w:t xml:space="preserve"> price wars. As such, though the current hybrid approach has seen BYD grow rapidly, it might need a re-arousal towards increased differentiation in order to achieve long term sustainability. In this regard, a midline situation, which would be </w:t>
      </w:r>
      <w:r w:rsidR="009063FD" w:rsidRPr="00E11B06">
        <w:t>cost-effective</w:t>
      </w:r>
      <w:r w:rsidRPr="00E11B06">
        <w:t xml:space="preserve"> and at the same time enhance technological and brand differences</w:t>
      </w:r>
      <w:r w:rsidR="004A3613" w:rsidRPr="00E11B06">
        <w:t>.</w:t>
      </w:r>
    </w:p>
    <w:p w14:paraId="2F8C648E" w14:textId="5C820D48" w:rsidR="00D0417F" w:rsidRPr="00E11B06" w:rsidRDefault="00D0417F" w:rsidP="00AC3CC7">
      <w:pPr>
        <w:pStyle w:val="Heading3"/>
      </w:pPr>
      <w:bookmarkStart w:id="30" w:name="_Toc225332032"/>
      <w:r w:rsidRPr="00E11B06">
        <w:t>5.2 Corporate-Level Strategy: Diversification and International Expansion</w:t>
      </w:r>
      <w:bookmarkEnd w:id="30"/>
    </w:p>
    <w:p w14:paraId="4FAFBAAA" w14:textId="12E157AD" w:rsidR="00AF2B93" w:rsidRPr="00E11B06" w:rsidRDefault="003E4230" w:rsidP="00E11B06">
      <w:r w:rsidRPr="00E11B06">
        <w:t>BYD has explored diversification and internationalisation at the corporate level as some of the most important strategic decisions. Its automobile activities are not limited to more than batteries, semiconductors and renewable energy solutions and have synergies across its value chain. This diversification boosts its core EV business and contributes to its resilience (</w:t>
      </w:r>
      <w:proofErr w:type="spellStart"/>
      <w:r w:rsidRPr="00E11B06">
        <w:t>Kurbatska</w:t>
      </w:r>
      <w:proofErr w:type="spellEnd"/>
      <w:r w:rsidRPr="00E11B06">
        <w:t xml:space="preserve">, </w:t>
      </w:r>
      <w:proofErr w:type="spellStart"/>
      <w:r w:rsidRPr="00E11B06">
        <w:t>Kvasova</w:t>
      </w:r>
      <w:proofErr w:type="spellEnd"/>
      <w:r w:rsidRPr="00E11B06">
        <w:t xml:space="preserve"> and </w:t>
      </w:r>
      <w:proofErr w:type="spellStart"/>
      <w:r w:rsidRPr="00E11B06">
        <w:t>Lozovyi</w:t>
      </w:r>
      <w:proofErr w:type="spellEnd"/>
      <w:r w:rsidRPr="00E11B06">
        <w:t>, 2024). Moreover, the geographic expansion of BYD towards the European and emerging markets implies a transnational approach in which the company plans to penetrate the global market. Nonetheless, there are serious problems with this strategy. According to Jain (2024), the maintenance of global efficiency versus local responsiveness is a complicated matter</w:t>
      </w:r>
      <w:r w:rsidR="009063FD" w:rsidRPr="00E11B06">
        <w:t>,</w:t>
      </w:r>
      <w:r w:rsidRPr="00E11B06">
        <w:t xml:space="preserve"> per se. The fact that BYD has little brand recognition and regulatory constraints in the Western markets means that the company's international strategy is not that clear yet. It might require a more localised approach to market adaptation, to complement its global scale benefits.</w:t>
      </w:r>
    </w:p>
    <w:p w14:paraId="69ED3F71" w14:textId="6E0CE688" w:rsidR="00AF2B93" w:rsidRPr="00E11B06" w:rsidRDefault="00AF2B93" w:rsidP="00AC3CC7">
      <w:pPr>
        <w:pStyle w:val="Heading3"/>
      </w:pPr>
      <w:bookmarkStart w:id="31" w:name="_Toc225332033"/>
      <w:r w:rsidRPr="00E11B06">
        <w:t>5.3 Strategic Implementation and Change Management Assessment</w:t>
      </w:r>
      <w:bookmarkEnd w:id="31"/>
    </w:p>
    <w:p w14:paraId="6EECA588" w14:textId="6D3CC71E" w:rsidR="00527753" w:rsidRPr="00E11B06" w:rsidRDefault="003E4230" w:rsidP="00E11B06">
      <w:pPr>
        <w:spacing w:before="0"/>
      </w:pPr>
      <w:r w:rsidRPr="00E11B06">
        <w:t xml:space="preserve">When it comes to strategic implementation, BYD has shown great effectiveness in how the organisation deals with change, especially when it comes to materialising the shifts moving towards </w:t>
      </w:r>
      <w:r w:rsidR="009063FD" w:rsidRPr="00E11B06">
        <w:t>becoming</w:t>
      </w:r>
      <w:r w:rsidRPr="00E11B06">
        <w:t xml:space="preserve"> the global leader in EV production. This change is </w:t>
      </w:r>
      <w:r w:rsidR="009063FD" w:rsidRPr="00E11B06">
        <w:t>an</w:t>
      </w:r>
      <w:r w:rsidRPr="00E11B06">
        <w:t xml:space="preserve"> indicator of good leadership and strategic alignment. But the pace of growth has posed implementation risks as well. According to Nagy et al. (2025), scaling fast within </w:t>
      </w:r>
      <w:r w:rsidRPr="00E11B06">
        <w:lastRenderedPageBreak/>
        <w:t xml:space="preserve">dynamic sectors may put organisational resources </w:t>
      </w:r>
      <w:r w:rsidR="009063FD" w:rsidRPr="00E11B06">
        <w:t>under</w:t>
      </w:r>
      <w:r w:rsidRPr="00E11B06">
        <w:t xml:space="preserve"> pressure and potentially prevent successful performance. The reason behind the change successfully initiated is that BYD is exposed to price wars and regulatory pressures.</w:t>
      </w:r>
    </w:p>
    <w:p w14:paraId="07974906" w14:textId="136DC5D8" w:rsidR="00527753" w:rsidRPr="00E11B06" w:rsidRDefault="003E4230" w:rsidP="00AC3CC7">
      <w:pPr>
        <w:pStyle w:val="Heading2"/>
      </w:pPr>
      <w:bookmarkStart w:id="32" w:name="_bk3o8vjqj14e" w:colFirst="0" w:colLast="0"/>
      <w:bookmarkStart w:id="33" w:name="_Toc225332034"/>
      <w:bookmarkEnd w:id="32"/>
      <w:r w:rsidRPr="00E11B06">
        <w:t>6. Strategic Evaluation and Recommendations</w:t>
      </w:r>
      <w:bookmarkEnd w:id="33"/>
    </w:p>
    <w:p w14:paraId="754BAF28" w14:textId="6F89A51D" w:rsidR="00AF2B93" w:rsidRPr="00E11B06" w:rsidRDefault="008F1997" w:rsidP="00AC3CC7">
      <w:pPr>
        <w:pStyle w:val="Heading3"/>
      </w:pPr>
      <w:bookmarkStart w:id="34" w:name="_Toc225332035"/>
      <w:r w:rsidRPr="00E11B06">
        <w:t>6.1 Evaluation of Current Strategy Using Ansoff Matrix</w:t>
      </w:r>
      <w:bookmarkEnd w:id="34"/>
    </w:p>
    <w:p w14:paraId="41DEFBB5" w14:textId="46371230" w:rsidR="008F1997" w:rsidRPr="00E11B06" w:rsidRDefault="003E4230" w:rsidP="00E11B06">
      <w:r w:rsidRPr="00E11B06">
        <w:t>Ansoff Matrix can be used in a critical analysis of the current strategy employed by BYD, making it clear that the company largely depends on market penetration, backed by its selective product and market development. Its approach to penetration can be illustrated in the example of China</w:t>
      </w:r>
      <w:r w:rsidR="009063FD" w:rsidRPr="00E11B06">
        <w:t>,</w:t>
      </w:r>
      <w:r w:rsidRPr="00E11B06">
        <w:t xml:space="preserve"> where BYD won the dominant market share in the new energy vehicles, having the advantage of </w:t>
      </w:r>
      <w:r w:rsidR="009063FD" w:rsidRPr="00E11B06">
        <w:t>large-scale</w:t>
      </w:r>
      <w:r w:rsidRPr="00E11B06">
        <w:t xml:space="preserve"> sales </w:t>
      </w:r>
      <w:r w:rsidR="009063FD" w:rsidRPr="00E11B06">
        <w:t>over</w:t>
      </w:r>
      <w:r w:rsidRPr="00E11B06">
        <w:t xml:space="preserve"> the last years. Nevertheless, </w:t>
      </w:r>
      <w:r w:rsidR="009063FD" w:rsidRPr="00E11B06">
        <w:t xml:space="preserve">the </w:t>
      </w:r>
      <w:r w:rsidRPr="00E11B06">
        <w:t>Ansoff matrix assumes that the returns to penetration in maturing markets are decreasing, especially when there is a significant level of rivalry (Samo et al., 2025). This is evident in the price battle</w:t>
      </w:r>
      <w:r w:rsidR="009063FD" w:rsidRPr="00E11B06">
        <w:t>,</w:t>
      </w:r>
      <w:r w:rsidRPr="00E11B06">
        <w:t xml:space="preserve"> where the overall decrease in prices throughout the industry diminished profitability among the key players. There is a contrast to Tesla and other firms that have been relatively better at the automotive gross margin due to differentiated positioning, though, and it is this that may limit long-term value creation of BYD in terms of its volume orientation.</w:t>
      </w:r>
    </w:p>
    <w:p w14:paraId="0ED3833A" w14:textId="41A572A7" w:rsidR="00527753" w:rsidRPr="00E11B06" w:rsidRDefault="003E4230" w:rsidP="00E11B06">
      <w:r w:rsidRPr="00E11B06">
        <w:t xml:space="preserve">BYD has intensified its technological competencies by </w:t>
      </w:r>
      <w:r w:rsidR="009063FD" w:rsidRPr="00E11B06">
        <w:t>constantly investing</w:t>
      </w:r>
      <w:r w:rsidRPr="00E11B06">
        <w:t xml:space="preserve"> in battery technologies and electrification systems in terms of product development. Although this corresponds to the growth logic formulated by Ansoff, the limitation in the strategic perspective is on value appropriation. By experimenting with novel products and services, de Oliveira Neto et al. (2025) demonstrate that the theoretical benefits of the innovation-driven firms only emerge in instances when technological progress is converted into differentiation experienced by the end-user. In comparison to the premium competitors, the innovation of BYD is more efficiency-driven than experience-oriented, which limits </w:t>
      </w:r>
      <w:r w:rsidR="009063FD" w:rsidRPr="00E11B06">
        <w:t>the</w:t>
      </w:r>
      <w:r w:rsidRPr="00E11B06">
        <w:t xml:space="preserve"> enterprise </w:t>
      </w:r>
      <w:r w:rsidR="009063FD" w:rsidRPr="00E11B06">
        <w:t>from achieving</w:t>
      </w:r>
      <w:r w:rsidRPr="00E11B06">
        <w:t xml:space="preserve"> a higher margin.</w:t>
      </w:r>
    </w:p>
    <w:p w14:paraId="635E0895" w14:textId="0DFCE70D" w:rsidR="00527753" w:rsidRPr="00E11B06" w:rsidRDefault="003E4230" w:rsidP="00E11B06">
      <w:r w:rsidRPr="00E11B06">
        <w:t>The growth of the market is addressed in the fast growth of BYD in Europe, Southeast Asia, and Latin America. The company has entered the European markets</w:t>
      </w:r>
      <w:r w:rsidR="009063FD" w:rsidRPr="00E11B06">
        <w:t>,</w:t>
      </w:r>
      <w:r w:rsidRPr="00E11B06">
        <w:t xml:space="preserve"> focusing on areas with strong policies of EV adoption. Nevertheless, this has been institutionalised with institutional opposition, with the anti-subsidy probe into Chinese EV-producing companies carried out by the European Union. Williamson, </w:t>
      </w:r>
      <w:proofErr w:type="spellStart"/>
      <w:r w:rsidRPr="00E11B06">
        <w:t>Symeou</w:t>
      </w:r>
      <w:proofErr w:type="spellEnd"/>
      <w:r w:rsidRPr="00E11B06">
        <w:t xml:space="preserve"> and </w:t>
      </w:r>
      <w:proofErr w:type="spellStart"/>
      <w:r w:rsidRPr="00E11B06">
        <w:t>Zyglidopoulos</w:t>
      </w:r>
      <w:proofErr w:type="spellEnd"/>
      <w:r w:rsidRPr="00E11B06">
        <w:t xml:space="preserve"> (2021) claim that emerging market multinational companies frequently </w:t>
      </w:r>
      <w:r w:rsidRPr="00E11B06">
        <w:lastRenderedPageBreak/>
        <w:t>experience issues with legitimacy in the developed economies, and it may subvert the approaches to enter the markets despite being competent in their operations. This implies that the global expansion plan of BYD is not localised enough and embedded in institutions.</w:t>
      </w:r>
    </w:p>
    <w:p w14:paraId="3A3895EB" w14:textId="35C69B71" w:rsidR="008F1997" w:rsidRPr="00E11B06" w:rsidRDefault="008F1997" w:rsidP="00AC3CC7">
      <w:pPr>
        <w:pStyle w:val="Heading3"/>
      </w:pPr>
      <w:bookmarkStart w:id="35" w:name="_Toc225332036"/>
      <w:r w:rsidRPr="00E11B06">
        <w:t>6.2 Gap identification and recommendations</w:t>
      </w:r>
      <w:bookmarkEnd w:id="35"/>
    </w:p>
    <w:p w14:paraId="297C2508" w14:textId="2CD790C6" w:rsidR="00527753" w:rsidRPr="00E11B06" w:rsidRDefault="003E4230" w:rsidP="00E11B06">
      <w:r w:rsidRPr="00E11B06">
        <w:t>There exists a strategic gap that is critical</w:t>
      </w:r>
      <w:r w:rsidR="009063FD" w:rsidRPr="00E11B06">
        <w:t>,</w:t>
      </w:r>
      <w:r w:rsidRPr="00E11B06">
        <w:t xml:space="preserve"> and the given one is the difference between size and value capture. Though BYD is </w:t>
      </w:r>
      <w:r w:rsidR="009063FD" w:rsidRPr="00E11B06">
        <w:t>cost-effective</w:t>
      </w:r>
      <w:r w:rsidRPr="00E11B06">
        <w:t xml:space="preserve"> and has </w:t>
      </w:r>
      <w:r w:rsidR="009063FD" w:rsidRPr="00E11B06">
        <w:t xml:space="preserve">a </w:t>
      </w:r>
      <w:r w:rsidRPr="00E11B06">
        <w:t>large volume, it scores poorly in premium positioning and brand equity. This is unlike the competitors like Tesla and BMW</w:t>
      </w:r>
      <w:r w:rsidR="009063FD" w:rsidRPr="00E11B06">
        <w:t>,</w:t>
      </w:r>
      <w:r w:rsidRPr="00E11B06">
        <w:t xml:space="preserve"> since they use differentiation to maintain their profitability. The premium segment is not robust enough to enable BYD to cushion against the price wars and economic fluctuations. Three pieces of evidence-based recommendations are suggested to address these gaps. First, BYD ought to introduce a high-end sub-brand or product line to improve the differentiation and profitability. Genesis by Hyundai reveals </w:t>
      </w:r>
      <w:r w:rsidR="007A4CAD">
        <w:t>the reasons that</w:t>
      </w:r>
      <w:r w:rsidRPr="00E11B06">
        <w:t xml:space="preserve"> companies have managed to shift up without losing their mass-market operations (Hyundai, 2026). Second, BYD needs to move to the next level of localisation </w:t>
      </w:r>
      <w:r w:rsidR="009063FD" w:rsidRPr="00E11B06">
        <w:t>in</w:t>
      </w:r>
      <w:r w:rsidRPr="00E11B06">
        <w:t xml:space="preserve"> foreign markets via joint venture or local production. As an illustration, the relationships with Volkswagen in China have allowed adjusting to the regulations and accepting the market, implying a similar approach that can be applied to BYD in Europe (</w:t>
      </w:r>
      <w:proofErr w:type="spellStart"/>
      <w:r w:rsidRPr="00E11B06">
        <w:t>Autonews</w:t>
      </w:r>
      <w:proofErr w:type="spellEnd"/>
      <w:r w:rsidRPr="00E11B06">
        <w:t xml:space="preserve">, 2025). Third, BYD needs to create value capture that is more brand-oriented, which means applying technology in combination with customer experience. </w:t>
      </w:r>
      <w:r w:rsidR="009063FD" w:rsidRPr="00E11B06">
        <w:t>Apple's</w:t>
      </w:r>
      <w:r w:rsidRPr="00E11B06">
        <w:t xml:space="preserve"> strategy describes how companies can transform technological capabilities into perceived value in terms of design, integration of ecosystems, and branding.</w:t>
      </w:r>
    </w:p>
    <w:p w14:paraId="1AA562C6" w14:textId="77777777" w:rsidR="00527753" w:rsidRPr="00E11B06" w:rsidRDefault="003E4230" w:rsidP="00E11B06">
      <w:pPr>
        <w:pStyle w:val="Heading1"/>
      </w:pPr>
      <w:bookmarkStart w:id="36" w:name="_c59q18tlas7h" w:colFirst="0" w:colLast="0"/>
      <w:bookmarkStart w:id="37" w:name="_Toc225332037"/>
      <w:bookmarkEnd w:id="36"/>
      <w:r w:rsidRPr="00E11B06">
        <w:t>Part B</w:t>
      </w:r>
      <w:bookmarkEnd w:id="37"/>
    </w:p>
    <w:p w14:paraId="55CB089D" w14:textId="77777777" w:rsidR="00527753" w:rsidRPr="00E11B06" w:rsidRDefault="003E4230" w:rsidP="00AC3CC7">
      <w:pPr>
        <w:pStyle w:val="Heading2"/>
      </w:pPr>
      <w:bookmarkStart w:id="38" w:name="_j3aabr6qb8d2" w:colFirst="0" w:colLast="0"/>
      <w:bookmarkStart w:id="39" w:name="_Toc225332038"/>
      <w:bookmarkEnd w:id="38"/>
      <w:r w:rsidRPr="00E11B06">
        <w:t>Reflection</w:t>
      </w:r>
      <w:bookmarkEnd w:id="39"/>
    </w:p>
    <w:p w14:paraId="69166233" w14:textId="668CCD32" w:rsidR="00527753" w:rsidRPr="00E11B06" w:rsidRDefault="003E4230" w:rsidP="00E11B06">
      <w:r w:rsidRPr="00E11B06">
        <w:t>This reflective report utilises the reflective cycle as developed by Gibbs to critically assess my research, analysis, and preparation of the strategic analysis of BYD. The steps involved in the cycle, such as description, feelings, evaluation, analysis, conclusion and action plan</w:t>
      </w:r>
      <w:r w:rsidR="009063FD" w:rsidRPr="00E11B06">
        <w:t>,</w:t>
      </w:r>
      <w:r w:rsidRPr="00E11B06">
        <w:t xml:space="preserve"> allow us to engage in structured reflection and deeper learning.</w:t>
      </w:r>
    </w:p>
    <w:p w14:paraId="1AC21F56" w14:textId="77777777" w:rsidR="00527753" w:rsidRPr="00E11B06" w:rsidRDefault="003E4230" w:rsidP="00E11B06">
      <w:pPr>
        <w:rPr>
          <w:b/>
          <w:bCs/>
          <w:i/>
          <w:iCs/>
        </w:rPr>
      </w:pPr>
      <w:r w:rsidRPr="00E11B06">
        <w:rPr>
          <w:b/>
          <w:bCs/>
          <w:i/>
          <w:iCs/>
        </w:rPr>
        <w:t>Description</w:t>
      </w:r>
    </w:p>
    <w:p w14:paraId="2438F3CC" w14:textId="1DE8C8FC" w:rsidR="00527753" w:rsidRPr="00E11B06" w:rsidRDefault="003E4230" w:rsidP="00E11B06">
      <w:r w:rsidRPr="00E11B06">
        <w:lastRenderedPageBreak/>
        <w:t xml:space="preserve">The description stage involved a systematic task in developing the assignment, which started </w:t>
      </w:r>
      <w:r w:rsidR="009063FD" w:rsidRPr="00E11B06">
        <w:t>with</w:t>
      </w:r>
      <w:r w:rsidRPr="00E11B06">
        <w:t xml:space="preserve"> the choice of BYD as a strategically relevant but not </w:t>
      </w:r>
      <w:r w:rsidR="009063FD" w:rsidRPr="00E11B06">
        <w:t>well-analysed</w:t>
      </w:r>
      <w:r w:rsidRPr="00E11B06">
        <w:t xml:space="preserve"> organisation. To make sure that </w:t>
      </w:r>
      <w:r w:rsidR="009063FD" w:rsidRPr="00E11B06">
        <w:t xml:space="preserve">the </w:t>
      </w:r>
      <w:r w:rsidRPr="00E11B06">
        <w:t>data gathered was credible, I used annual reports of companies, other sources of information within the industry</w:t>
      </w:r>
      <w:r w:rsidR="009063FD" w:rsidRPr="00E11B06">
        <w:t>,</w:t>
      </w:r>
      <w:r w:rsidRPr="00E11B06">
        <w:t xml:space="preserve"> including </w:t>
      </w:r>
      <w:r w:rsidR="009063FD" w:rsidRPr="00E11B06">
        <w:t xml:space="preserve">the </w:t>
      </w:r>
      <w:r w:rsidRPr="00E11B06">
        <w:t>International Energy Agency, and academic literature. To analyse both the internal and external environment, I used essential strategic models, such as PESTEL, VRIO, Balanced Scorecard, and Ansoff Matrix. Reflective practice also helps to engage theory with practice and to improve the level of analysis</w:t>
      </w:r>
      <w:r w:rsidR="009063FD" w:rsidRPr="00E11B06">
        <w:t>,</w:t>
      </w:r>
      <w:r w:rsidRPr="00E11B06">
        <w:t xml:space="preserve"> as </w:t>
      </w:r>
      <w:proofErr w:type="spellStart"/>
      <w:r w:rsidRPr="00E11B06">
        <w:t>Spaska</w:t>
      </w:r>
      <w:proofErr w:type="spellEnd"/>
      <w:r w:rsidRPr="00E11B06">
        <w:t xml:space="preserve"> points out (2025). I was trying to integrate theoretical models and empirical evidence as much as possible throughout the process to reach </w:t>
      </w:r>
      <w:r w:rsidR="009063FD" w:rsidRPr="00E11B06">
        <w:t>Level 7</w:t>
      </w:r>
      <w:r w:rsidRPr="00E11B06">
        <w:t xml:space="preserve"> expectations.</w:t>
      </w:r>
    </w:p>
    <w:p w14:paraId="37ED8C83" w14:textId="77777777" w:rsidR="00527753" w:rsidRPr="00E11B06" w:rsidRDefault="003E4230" w:rsidP="00E11B06">
      <w:pPr>
        <w:rPr>
          <w:b/>
          <w:bCs/>
          <w:i/>
          <w:iCs/>
        </w:rPr>
      </w:pPr>
      <w:r w:rsidRPr="00E11B06">
        <w:rPr>
          <w:b/>
          <w:bCs/>
          <w:i/>
          <w:iCs/>
        </w:rPr>
        <w:t>Feelings</w:t>
      </w:r>
    </w:p>
    <w:p w14:paraId="2F34484B" w14:textId="56DC8C70" w:rsidR="00527753" w:rsidRPr="00E11B06" w:rsidRDefault="003E4230" w:rsidP="00E11B06">
      <w:r w:rsidRPr="00E11B06">
        <w:t>Regarding emotions, I felt confident about the choice of a unique company at first because it would increase originality. I was</w:t>
      </w:r>
      <w:r w:rsidR="009063FD" w:rsidRPr="00E11B06">
        <w:t>,</w:t>
      </w:r>
      <w:r w:rsidRPr="00E11B06">
        <w:t xml:space="preserve"> however</w:t>
      </w:r>
      <w:r w:rsidR="009063FD" w:rsidRPr="00E11B06">
        <w:t>,</w:t>
      </w:r>
      <w:r w:rsidRPr="00E11B06">
        <w:t xml:space="preserve"> also in doubt </w:t>
      </w:r>
      <w:r w:rsidR="009063FD" w:rsidRPr="00E11B06">
        <w:t>about</w:t>
      </w:r>
      <w:r w:rsidRPr="00E11B06">
        <w:t xml:space="preserve"> incorporating more than one framework whilst keeping on having critical depth and avoiding descriptive writing. This was added pressure</w:t>
      </w:r>
      <w:r w:rsidR="009063FD" w:rsidRPr="00E11B06">
        <w:t>,</w:t>
      </w:r>
      <w:r w:rsidRPr="00E11B06">
        <w:t xml:space="preserve"> given the complexity of balancing word limits of analytical rigour. </w:t>
      </w:r>
      <w:proofErr w:type="spellStart"/>
      <w:r w:rsidRPr="00E11B06">
        <w:t>Koudsia</w:t>
      </w:r>
      <w:proofErr w:type="spellEnd"/>
      <w:r w:rsidRPr="00E11B06">
        <w:t xml:space="preserve"> and Kirchner (2024) claim that postgraduate learners usually have to perform multiple theoretical models at once, which causes cognitive overload, and I found that to be applicable to me during the process.</w:t>
      </w:r>
    </w:p>
    <w:p w14:paraId="03C642C3" w14:textId="77777777" w:rsidR="00527753" w:rsidRPr="00E11B06" w:rsidRDefault="003E4230" w:rsidP="00E11B06">
      <w:pPr>
        <w:rPr>
          <w:b/>
          <w:bCs/>
          <w:i/>
          <w:iCs/>
        </w:rPr>
      </w:pPr>
      <w:r w:rsidRPr="00E11B06">
        <w:rPr>
          <w:b/>
          <w:bCs/>
          <w:i/>
          <w:iCs/>
        </w:rPr>
        <w:t>Evaluation</w:t>
      </w:r>
    </w:p>
    <w:p w14:paraId="67FBDA53" w14:textId="67F24760" w:rsidR="00527753" w:rsidRPr="00E11B06" w:rsidRDefault="003E4230" w:rsidP="00E11B06">
      <w:r w:rsidRPr="00E11B06">
        <w:t xml:space="preserve">The assessment phase shows that there are some strong circumstances, as well as weaknesses, in my method. One of the essential strengths was the fact that </w:t>
      </w:r>
      <w:r w:rsidR="009063FD" w:rsidRPr="00E11B06">
        <w:t xml:space="preserve">the </w:t>
      </w:r>
      <w:r w:rsidRPr="00E11B06">
        <w:t>information used to prove the points was credible and recent, which contributed to the enhanced reliability of my analysis. Moreover, I was able to use various frameworks to give a comprehensive approach. But another important drawback was that key insights that were known were repeated in separate sections</w:t>
      </w:r>
      <w:r w:rsidR="009063FD" w:rsidRPr="00E11B06">
        <w:t>,</w:t>
      </w:r>
      <w:r w:rsidRPr="00E11B06">
        <w:t xml:space="preserve"> and this decreased the efficiency of </w:t>
      </w:r>
      <w:r w:rsidR="009063FD" w:rsidRPr="00E11B06">
        <w:t xml:space="preserve">the </w:t>
      </w:r>
      <w:r w:rsidRPr="00E11B06">
        <w:t>analysis. Synthesis instead of redundancy of ideas</w:t>
      </w:r>
      <w:r w:rsidR="009063FD" w:rsidRPr="00E11B06">
        <w:t>,</w:t>
      </w:r>
      <w:r w:rsidRPr="00E11B06">
        <w:t xml:space="preserve"> with highlighting the need to write critically</w:t>
      </w:r>
      <w:r w:rsidR="009063FD" w:rsidRPr="00E11B06">
        <w:t>;</w:t>
      </w:r>
      <w:r w:rsidRPr="00E11B06">
        <w:t xml:space="preserve"> however, </w:t>
      </w:r>
      <w:proofErr w:type="spellStart"/>
      <w:r w:rsidRPr="00E11B06">
        <w:t>Chukwuere</w:t>
      </w:r>
      <w:proofErr w:type="spellEnd"/>
      <w:r w:rsidRPr="00E11B06">
        <w:t xml:space="preserve"> (2024) notes that my work was not as concise and integrative as it could have been.</w:t>
      </w:r>
    </w:p>
    <w:p w14:paraId="43F397CA" w14:textId="77777777" w:rsidR="00527753" w:rsidRPr="00E11B06" w:rsidRDefault="003E4230" w:rsidP="00E11B06">
      <w:pPr>
        <w:rPr>
          <w:b/>
          <w:bCs/>
          <w:i/>
          <w:iCs/>
        </w:rPr>
      </w:pPr>
      <w:r w:rsidRPr="00E11B06">
        <w:rPr>
          <w:b/>
          <w:bCs/>
          <w:i/>
          <w:iCs/>
        </w:rPr>
        <w:t>Analysis</w:t>
      </w:r>
    </w:p>
    <w:p w14:paraId="731300F6" w14:textId="6346A9F0" w:rsidR="00527753" w:rsidRPr="00E11B06" w:rsidRDefault="003E4230" w:rsidP="00E11B06">
      <w:r w:rsidRPr="00E11B06">
        <w:t>The analysis step revealed to me that initially</w:t>
      </w:r>
      <w:r w:rsidR="009063FD" w:rsidRPr="00E11B06">
        <w:t>,</w:t>
      </w:r>
      <w:r w:rsidRPr="00E11B06">
        <w:t xml:space="preserve"> I concentrated on expressing knowledge of frameworks, as opposed to critically incorporating them into my practice. This led to </w:t>
      </w:r>
      <w:r w:rsidRPr="00E11B06">
        <w:lastRenderedPageBreak/>
        <w:t>redundancy when it comes to arguments, especially in the cost leadership and technological competency of BYD. Schuller-Zwierlein et al. (2022) imply that it is mandatory that higher-level academic work must not simply have its perspective, but comparatively and critically assess rival viewpoints. Another opportunity I got was the understanding that I was using a few main statistics</w:t>
      </w:r>
      <w:r w:rsidR="009063FD" w:rsidRPr="00E11B06">
        <w:t>,</w:t>
      </w:r>
      <w:r w:rsidRPr="00E11B06">
        <w:t xml:space="preserve"> leading to the lack of evidence diversification. </w:t>
      </w:r>
      <w:proofErr w:type="spellStart"/>
      <w:r w:rsidRPr="00E11B06">
        <w:t>Stremersch</w:t>
      </w:r>
      <w:proofErr w:type="spellEnd"/>
      <w:r w:rsidRPr="00E11B06">
        <w:t xml:space="preserve"> et al. (2022) state that the credibility and depth of strategic analysis </w:t>
      </w:r>
      <w:r w:rsidR="009063FD" w:rsidRPr="00E11B06">
        <w:t>are</w:t>
      </w:r>
      <w:r w:rsidRPr="00E11B06">
        <w:t xml:space="preserve"> promoted by the use of diverse and situation-specific data. Also, I discovered that I needed to refine my sample several times in order to combine theory with real-world examples</w:t>
      </w:r>
      <w:r w:rsidR="009063FD" w:rsidRPr="00E11B06">
        <w:t>,</w:t>
      </w:r>
      <w:r w:rsidRPr="00E11B06">
        <w:t xml:space="preserve"> since initial versions were more descriptive than analytical.</w:t>
      </w:r>
    </w:p>
    <w:p w14:paraId="3B18E2BD" w14:textId="77777777" w:rsidR="00527753" w:rsidRPr="00E11B06" w:rsidRDefault="003E4230" w:rsidP="00E11B06">
      <w:pPr>
        <w:rPr>
          <w:b/>
          <w:bCs/>
          <w:i/>
          <w:iCs/>
        </w:rPr>
      </w:pPr>
      <w:r w:rsidRPr="00E11B06">
        <w:rPr>
          <w:b/>
          <w:bCs/>
          <w:i/>
          <w:iCs/>
        </w:rPr>
        <w:t>Conclusion</w:t>
      </w:r>
    </w:p>
    <w:p w14:paraId="44BF52CA" w14:textId="04A0B32D" w:rsidR="00527753" w:rsidRPr="00E11B06" w:rsidRDefault="003E4230" w:rsidP="00E11B06">
      <w:r w:rsidRPr="00E11B06">
        <w:t xml:space="preserve">During the final process, I was able to learn that strategic analysis involves a combination of application, empirical analysis, </w:t>
      </w:r>
      <w:r w:rsidR="009063FD" w:rsidRPr="00E11B06">
        <w:t>and</w:t>
      </w:r>
      <w:r w:rsidRPr="00E11B06">
        <w:t xml:space="preserve"> critique of theories. I realised the need to organise the formulation of arguments into sections where one section adds some value to another. London, Sessa and Shelley (2023) also </w:t>
      </w:r>
      <w:r w:rsidR="009063FD" w:rsidRPr="00E11B06">
        <w:t>focus</w:t>
      </w:r>
      <w:r w:rsidRPr="00E11B06">
        <w:t xml:space="preserve"> on the idea that critical reflection will help increase self-awareness and future performance. This experience has strengthened my notion </w:t>
      </w:r>
      <w:r w:rsidR="009063FD" w:rsidRPr="00E11B06">
        <w:t>of</w:t>
      </w:r>
      <w:r w:rsidRPr="00E11B06">
        <w:t xml:space="preserve"> how to come up with more intricate and consistent arguments.</w:t>
      </w:r>
    </w:p>
    <w:p w14:paraId="7AD7D8F6" w14:textId="77777777" w:rsidR="00527753" w:rsidRPr="00E11B06" w:rsidRDefault="003E4230" w:rsidP="00E11B06">
      <w:r w:rsidRPr="00E11B06">
        <w:rPr>
          <w:b/>
          <w:bCs/>
        </w:rPr>
        <w:t>Action Plan</w:t>
      </w:r>
    </w:p>
    <w:tbl>
      <w:tblPr>
        <w:tblStyle w:val="a0"/>
        <w:tblW w:w="5000" w:type="pct"/>
        <w:tblInd w:w="0" w:type="dxa"/>
        <w:tblBorders>
          <w:top w:val="nil"/>
          <w:left w:val="nil"/>
          <w:bottom w:val="nil"/>
          <w:right w:val="nil"/>
          <w:insideH w:val="nil"/>
          <w:insideV w:val="nil"/>
        </w:tblBorders>
        <w:tblLook w:val="0600" w:firstRow="0" w:lastRow="0" w:firstColumn="0" w:lastColumn="0" w:noHBand="1" w:noVBand="1"/>
      </w:tblPr>
      <w:tblGrid>
        <w:gridCol w:w="998"/>
        <w:gridCol w:w="1187"/>
        <w:gridCol w:w="1197"/>
        <w:gridCol w:w="1075"/>
        <w:gridCol w:w="1488"/>
        <w:gridCol w:w="1037"/>
        <w:gridCol w:w="802"/>
        <w:gridCol w:w="1225"/>
      </w:tblGrid>
      <w:tr w:rsidR="00527753" w:rsidRPr="00E11B06" w14:paraId="62F76757" w14:textId="77777777" w:rsidTr="009063FD">
        <w:trPr>
          <w:trHeight w:val="1340"/>
        </w:trPr>
        <w:tc>
          <w:tcPr>
            <w:tcW w:w="616" w:type="pct"/>
            <w:tcBorders>
              <w:top w:val="single" w:sz="8" w:space="0" w:color="000000"/>
              <w:left w:val="single" w:sz="8" w:space="0" w:color="000000"/>
              <w:bottom w:val="single" w:sz="8" w:space="0" w:color="000000"/>
              <w:right w:val="single" w:sz="8" w:space="0" w:color="000000"/>
            </w:tcBorders>
            <w:shd w:val="clear" w:color="auto" w:fill="F6B26B"/>
            <w:tcMar>
              <w:top w:w="100" w:type="dxa"/>
              <w:left w:w="100" w:type="dxa"/>
              <w:bottom w:w="100" w:type="dxa"/>
              <w:right w:w="100" w:type="dxa"/>
            </w:tcMar>
          </w:tcPr>
          <w:p w14:paraId="45AB3D71" w14:textId="77777777" w:rsidR="00527753" w:rsidRPr="00E11B06" w:rsidRDefault="003E4230" w:rsidP="00E11B06">
            <w:pPr>
              <w:widowControl w:val="0"/>
              <w:spacing w:before="240" w:after="240"/>
              <w:jc w:val="center"/>
            </w:pPr>
            <w:r w:rsidRPr="00E11B06">
              <w:rPr>
                <w:b/>
                <w:bCs/>
              </w:rPr>
              <w:t>PRIORITY</w:t>
            </w:r>
          </w:p>
        </w:tc>
        <w:tc>
          <w:tcPr>
            <w:tcW w:w="575" w:type="pct"/>
            <w:tcBorders>
              <w:top w:val="single" w:sz="8" w:space="0" w:color="000000"/>
              <w:left w:val="single" w:sz="8" w:space="0" w:color="000000"/>
              <w:bottom w:val="single" w:sz="8" w:space="0" w:color="000000"/>
              <w:right w:val="single" w:sz="8" w:space="0" w:color="000000"/>
            </w:tcBorders>
            <w:shd w:val="clear" w:color="auto" w:fill="F6B26B"/>
            <w:tcMar>
              <w:top w:w="100" w:type="dxa"/>
              <w:left w:w="100" w:type="dxa"/>
              <w:bottom w:w="100" w:type="dxa"/>
              <w:right w:w="100" w:type="dxa"/>
            </w:tcMar>
          </w:tcPr>
          <w:p w14:paraId="5560FD6E" w14:textId="77777777" w:rsidR="00527753" w:rsidRPr="00E11B06" w:rsidRDefault="003E4230" w:rsidP="00E11B06">
            <w:pPr>
              <w:widowControl w:val="0"/>
              <w:spacing w:before="240" w:after="240"/>
              <w:jc w:val="center"/>
            </w:pPr>
            <w:r w:rsidRPr="00E11B06">
              <w:rPr>
                <w:b/>
                <w:bCs/>
              </w:rPr>
              <w:t>SKILL</w:t>
            </w:r>
          </w:p>
        </w:tc>
        <w:tc>
          <w:tcPr>
            <w:tcW w:w="595" w:type="pct"/>
            <w:tcBorders>
              <w:top w:val="single" w:sz="8" w:space="0" w:color="000000"/>
              <w:left w:val="single" w:sz="8" w:space="0" w:color="000000"/>
              <w:bottom w:val="single" w:sz="8" w:space="0" w:color="000000"/>
              <w:right w:val="single" w:sz="8" w:space="0" w:color="000000"/>
            </w:tcBorders>
            <w:shd w:val="clear" w:color="auto" w:fill="F6B26B"/>
            <w:tcMar>
              <w:top w:w="100" w:type="dxa"/>
              <w:left w:w="100" w:type="dxa"/>
              <w:bottom w:w="100" w:type="dxa"/>
              <w:right w:w="100" w:type="dxa"/>
            </w:tcMar>
          </w:tcPr>
          <w:p w14:paraId="04E73596" w14:textId="77777777" w:rsidR="00527753" w:rsidRPr="00E11B06" w:rsidRDefault="003E4230" w:rsidP="00E11B06">
            <w:pPr>
              <w:widowControl w:val="0"/>
              <w:spacing w:before="240" w:after="240"/>
              <w:jc w:val="center"/>
            </w:pPr>
            <w:r w:rsidRPr="00E11B06">
              <w:rPr>
                <w:b/>
                <w:bCs/>
              </w:rPr>
              <w:t>CURRENT ABILITY</w:t>
            </w:r>
          </w:p>
        </w:tc>
        <w:tc>
          <w:tcPr>
            <w:tcW w:w="582" w:type="pct"/>
            <w:tcBorders>
              <w:top w:val="single" w:sz="8" w:space="0" w:color="000000"/>
              <w:left w:val="single" w:sz="8" w:space="0" w:color="000000"/>
              <w:bottom w:val="single" w:sz="8" w:space="0" w:color="000000"/>
              <w:right w:val="single" w:sz="8" w:space="0" w:color="000000"/>
            </w:tcBorders>
            <w:shd w:val="clear" w:color="auto" w:fill="F6B26B"/>
            <w:tcMar>
              <w:top w:w="100" w:type="dxa"/>
              <w:left w:w="100" w:type="dxa"/>
              <w:bottom w:w="100" w:type="dxa"/>
              <w:right w:w="100" w:type="dxa"/>
            </w:tcMar>
          </w:tcPr>
          <w:p w14:paraId="34FF800D" w14:textId="77777777" w:rsidR="00527753" w:rsidRPr="00E11B06" w:rsidRDefault="003E4230" w:rsidP="00E11B06">
            <w:pPr>
              <w:widowControl w:val="0"/>
              <w:spacing w:before="240" w:after="240"/>
              <w:jc w:val="center"/>
            </w:pPr>
            <w:r w:rsidRPr="00E11B06">
              <w:rPr>
                <w:b/>
                <w:bCs/>
              </w:rPr>
              <w:t>TARGET ABILITY</w:t>
            </w:r>
          </w:p>
        </w:tc>
        <w:tc>
          <w:tcPr>
            <w:tcW w:w="907" w:type="pct"/>
            <w:tcBorders>
              <w:top w:val="single" w:sz="8" w:space="0" w:color="000000"/>
              <w:left w:val="single" w:sz="8" w:space="0" w:color="000000"/>
              <w:bottom w:val="single" w:sz="8" w:space="0" w:color="000000"/>
              <w:right w:val="single" w:sz="8" w:space="0" w:color="000000"/>
            </w:tcBorders>
            <w:shd w:val="clear" w:color="auto" w:fill="F6B26B"/>
            <w:tcMar>
              <w:top w:w="100" w:type="dxa"/>
              <w:left w:w="100" w:type="dxa"/>
              <w:bottom w:w="100" w:type="dxa"/>
              <w:right w:w="100" w:type="dxa"/>
            </w:tcMar>
          </w:tcPr>
          <w:p w14:paraId="48E05447" w14:textId="77777777" w:rsidR="00527753" w:rsidRPr="00E11B06" w:rsidRDefault="003E4230" w:rsidP="00E11B06">
            <w:pPr>
              <w:widowControl w:val="0"/>
              <w:spacing w:before="240" w:after="240"/>
              <w:jc w:val="center"/>
            </w:pPr>
            <w:r w:rsidRPr="00E11B06">
              <w:rPr>
                <w:b/>
                <w:bCs/>
              </w:rPr>
              <w:t>DEVELOPMENT OPPORTUNITY</w:t>
            </w:r>
          </w:p>
        </w:tc>
        <w:tc>
          <w:tcPr>
            <w:tcW w:w="595" w:type="pct"/>
            <w:tcBorders>
              <w:top w:val="single" w:sz="8" w:space="0" w:color="000000"/>
              <w:left w:val="single" w:sz="8" w:space="0" w:color="000000"/>
              <w:bottom w:val="single" w:sz="8" w:space="0" w:color="000000"/>
              <w:right w:val="single" w:sz="8" w:space="0" w:color="000000"/>
            </w:tcBorders>
            <w:shd w:val="clear" w:color="auto" w:fill="F6B26B"/>
            <w:tcMar>
              <w:top w:w="100" w:type="dxa"/>
              <w:left w:w="100" w:type="dxa"/>
              <w:bottom w:w="100" w:type="dxa"/>
              <w:right w:w="100" w:type="dxa"/>
            </w:tcMar>
          </w:tcPr>
          <w:p w14:paraId="610E14A9" w14:textId="77777777" w:rsidR="00527753" w:rsidRPr="00E11B06" w:rsidRDefault="003E4230" w:rsidP="00E11B06">
            <w:pPr>
              <w:widowControl w:val="0"/>
              <w:spacing w:before="240" w:after="240"/>
              <w:jc w:val="center"/>
            </w:pPr>
            <w:r w:rsidRPr="00E11B06">
              <w:rPr>
                <w:b/>
                <w:bCs/>
              </w:rPr>
              <w:t>CRITERIA TO JUDGE SUCCESS</w:t>
            </w:r>
          </w:p>
        </w:tc>
        <w:tc>
          <w:tcPr>
            <w:tcW w:w="507" w:type="pct"/>
            <w:tcBorders>
              <w:top w:val="single" w:sz="8" w:space="0" w:color="000000"/>
              <w:left w:val="single" w:sz="8" w:space="0" w:color="000000"/>
              <w:bottom w:val="single" w:sz="8" w:space="0" w:color="000000"/>
              <w:right w:val="single" w:sz="8" w:space="0" w:color="000000"/>
            </w:tcBorders>
            <w:shd w:val="clear" w:color="auto" w:fill="F6B26B"/>
            <w:tcMar>
              <w:top w:w="100" w:type="dxa"/>
              <w:left w:w="100" w:type="dxa"/>
              <w:bottom w:w="100" w:type="dxa"/>
              <w:right w:w="100" w:type="dxa"/>
            </w:tcMar>
          </w:tcPr>
          <w:p w14:paraId="743B94AC" w14:textId="77777777" w:rsidR="00527753" w:rsidRPr="00E11B06" w:rsidRDefault="003E4230" w:rsidP="00E11B06">
            <w:pPr>
              <w:widowControl w:val="0"/>
              <w:spacing w:before="240" w:after="240"/>
              <w:jc w:val="center"/>
            </w:pPr>
            <w:r w:rsidRPr="00E11B06">
              <w:rPr>
                <w:b/>
                <w:bCs/>
              </w:rPr>
              <w:t>TIME FRAME</w:t>
            </w:r>
          </w:p>
        </w:tc>
        <w:tc>
          <w:tcPr>
            <w:tcW w:w="622" w:type="pct"/>
            <w:tcBorders>
              <w:top w:val="single" w:sz="8" w:space="0" w:color="000000"/>
              <w:left w:val="single" w:sz="8" w:space="0" w:color="000000"/>
              <w:bottom w:val="single" w:sz="8" w:space="0" w:color="000000"/>
              <w:right w:val="single" w:sz="8" w:space="0" w:color="000000"/>
            </w:tcBorders>
            <w:shd w:val="clear" w:color="auto" w:fill="F6B26B"/>
            <w:tcMar>
              <w:top w:w="100" w:type="dxa"/>
              <w:left w:w="100" w:type="dxa"/>
              <w:bottom w:w="100" w:type="dxa"/>
              <w:right w:w="100" w:type="dxa"/>
            </w:tcMar>
          </w:tcPr>
          <w:p w14:paraId="2CC37F4D" w14:textId="77777777" w:rsidR="00527753" w:rsidRPr="00E11B06" w:rsidRDefault="003E4230" w:rsidP="00E11B06">
            <w:pPr>
              <w:widowControl w:val="0"/>
              <w:spacing w:before="240" w:after="240"/>
              <w:jc w:val="center"/>
            </w:pPr>
            <w:r w:rsidRPr="00E11B06">
              <w:rPr>
                <w:b/>
                <w:bCs/>
              </w:rPr>
              <w:t>EVIDENCE</w:t>
            </w:r>
          </w:p>
        </w:tc>
      </w:tr>
      <w:tr w:rsidR="00527753" w:rsidRPr="00E11B06" w14:paraId="4E3D76D9" w14:textId="77777777" w:rsidTr="009063FD">
        <w:trPr>
          <w:trHeight w:val="3005"/>
        </w:trPr>
        <w:tc>
          <w:tcPr>
            <w:tcW w:w="616" w:type="pct"/>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4844618D" w14:textId="77777777" w:rsidR="00527753" w:rsidRPr="00E11B06" w:rsidRDefault="003E4230" w:rsidP="00E11B06">
            <w:pPr>
              <w:widowControl w:val="0"/>
              <w:spacing w:before="240" w:after="240"/>
            </w:pPr>
            <w:r w:rsidRPr="00E11B06">
              <w:lastRenderedPageBreak/>
              <w:t>1</w:t>
            </w:r>
          </w:p>
        </w:tc>
        <w:tc>
          <w:tcPr>
            <w:tcW w:w="575" w:type="pct"/>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025F3C1D" w14:textId="77777777" w:rsidR="00527753" w:rsidRPr="00E11B06" w:rsidRDefault="003E4230" w:rsidP="00E11B06">
            <w:pPr>
              <w:widowControl w:val="0"/>
              <w:spacing w:before="240" w:after="240"/>
            </w:pPr>
            <w:r w:rsidRPr="00E11B06">
              <w:t>Critical Analysis and Avoiding Repetition</w:t>
            </w:r>
          </w:p>
        </w:tc>
        <w:tc>
          <w:tcPr>
            <w:tcW w:w="595" w:type="pct"/>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1A91C881" w14:textId="77777777" w:rsidR="00527753" w:rsidRPr="00E11B06" w:rsidRDefault="003E4230" w:rsidP="00E11B06">
            <w:pPr>
              <w:widowControl w:val="0"/>
              <w:spacing w:before="240" w:after="240"/>
            </w:pPr>
            <w:r w:rsidRPr="00E11B06">
              <w:t>Able to apply frameworks but tends to repeat similar insights across sections</w:t>
            </w:r>
          </w:p>
        </w:tc>
        <w:tc>
          <w:tcPr>
            <w:tcW w:w="582" w:type="pct"/>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65C5B788" w14:textId="77777777" w:rsidR="00527753" w:rsidRPr="00E11B06" w:rsidRDefault="003E4230" w:rsidP="00E11B06">
            <w:pPr>
              <w:widowControl w:val="0"/>
              <w:spacing w:before="240" w:after="240"/>
            </w:pPr>
            <w:r w:rsidRPr="00E11B06">
              <w:t>Ability to produce concise, non-repetitive, and progressive critical arguments</w:t>
            </w:r>
          </w:p>
        </w:tc>
        <w:tc>
          <w:tcPr>
            <w:tcW w:w="907" w:type="pct"/>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6D1ED5DD" w14:textId="63B9C006" w:rsidR="00527753" w:rsidRPr="00E11B06" w:rsidRDefault="003E4230" w:rsidP="00E11B06">
            <w:pPr>
              <w:widowControl w:val="0"/>
              <w:spacing w:before="240" w:after="240"/>
            </w:pPr>
            <w:r w:rsidRPr="00E11B06">
              <w:t xml:space="preserve">Practice critical writing using journal articles; engage with contrasting theories; rewrite sections with </w:t>
            </w:r>
            <w:r w:rsidR="009063FD" w:rsidRPr="00E11B06">
              <w:t xml:space="preserve">a </w:t>
            </w:r>
            <w:r w:rsidRPr="00E11B06">
              <w:t>focus on synthesis</w:t>
            </w:r>
          </w:p>
        </w:tc>
        <w:tc>
          <w:tcPr>
            <w:tcW w:w="595" w:type="pct"/>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52FF69FB" w14:textId="77777777" w:rsidR="00527753" w:rsidRPr="00E11B06" w:rsidRDefault="003E4230" w:rsidP="00E11B06">
            <w:pPr>
              <w:widowControl w:val="0"/>
              <w:spacing w:before="240" w:after="240"/>
            </w:pPr>
            <w:r w:rsidRPr="00E11B06">
              <w:t>Reduced repetition; each paragraph presents a unique argument; improved feedback from tutor</w:t>
            </w:r>
          </w:p>
        </w:tc>
        <w:tc>
          <w:tcPr>
            <w:tcW w:w="507" w:type="pct"/>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2B91B533" w14:textId="77777777" w:rsidR="00527753" w:rsidRPr="00E11B06" w:rsidRDefault="003E4230" w:rsidP="00E11B06">
            <w:pPr>
              <w:widowControl w:val="0"/>
              <w:spacing w:before="240" w:after="240"/>
            </w:pPr>
            <w:r w:rsidRPr="00E11B06">
              <w:t>4–6 weeks</w:t>
            </w:r>
          </w:p>
        </w:tc>
        <w:tc>
          <w:tcPr>
            <w:tcW w:w="622" w:type="pct"/>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0FE13867" w14:textId="3AB77376" w:rsidR="00527753" w:rsidRPr="00E11B06" w:rsidRDefault="003E4230" w:rsidP="00E11B06">
            <w:pPr>
              <w:widowControl w:val="0"/>
              <w:spacing w:before="240" w:after="240"/>
            </w:pPr>
            <w:r w:rsidRPr="00E11B06">
              <w:t>Improved assignment drafts</w:t>
            </w:r>
            <w:r w:rsidR="009063FD" w:rsidRPr="00E11B06">
              <w:t>,</w:t>
            </w:r>
            <w:r w:rsidRPr="00E11B06">
              <w:t xml:space="preserve"> tutor feedback</w:t>
            </w:r>
            <w:r w:rsidR="009063FD" w:rsidRPr="00E11B06">
              <w:t>, and</w:t>
            </w:r>
            <w:r w:rsidRPr="00E11B06">
              <w:t xml:space="preserve"> reduced redundancy in writing</w:t>
            </w:r>
          </w:p>
        </w:tc>
      </w:tr>
      <w:tr w:rsidR="00527753" w:rsidRPr="00E11B06" w14:paraId="43552CD2" w14:textId="77777777" w:rsidTr="009063FD">
        <w:trPr>
          <w:trHeight w:val="3005"/>
        </w:trPr>
        <w:tc>
          <w:tcPr>
            <w:tcW w:w="616" w:type="pct"/>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27053BD9" w14:textId="77777777" w:rsidR="00527753" w:rsidRPr="00E11B06" w:rsidRDefault="003E4230" w:rsidP="00E11B06">
            <w:pPr>
              <w:widowControl w:val="0"/>
              <w:spacing w:before="240" w:after="240"/>
            </w:pPr>
            <w:r w:rsidRPr="00E11B06">
              <w:t>2</w:t>
            </w:r>
          </w:p>
        </w:tc>
        <w:tc>
          <w:tcPr>
            <w:tcW w:w="575" w:type="pct"/>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0ED5C595" w14:textId="77777777" w:rsidR="00527753" w:rsidRPr="00E11B06" w:rsidRDefault="003E4230" w:rsidP="00E11B06">
            <w:pPr>
              <w:widowControl w:val="0"/>
              <w:spacing w:before="240" w:after="240"/>
            </w:pPr>
            <w:r w:rsidRPr="00E11B06">
              <w:t>Use of Diverse Evidence &amp; Data</w:t>
            </w:r>
          </w:p>
        </w:tc>
        <w:tc>
          <w:tcPr>
            <w:tcW w:w="595" w:type="pct"/>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3A099F20" w14:textId="77777777" w:rsidR="00527753" w:rsidRPr="00E11B06" w:rsidRDefault="003E4230" w:rsidP="00E11B06">
            <w:pPr>
              <w:widowControl w:val="0"/>
              <w:spacing w:before="240" w:after="240"/>
            </w:pPr>
            <w:r w:rsidRPr="00E11B06">
              <w:t>Relies on limited core statistics and sources</w:t>
            </w:r>
          </w:p>
        </w:tc>
        <w:tc>
          <w:tcPr>
            <w:tcW w:w="582" w:type="pct"/>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1E2A58BB" w14:textId="77777777" w:rsidR="00527753" w:rsidRPr="00E11B06" w:rsidRDefault="003E4230" w:rsidP="00E11B06">
            <w:pPr>
              <w:widowControl w:val="0"/>
              <w:spacing w:before="240" w:after="240"/>
            </w:pPr>
            <w:r w:rsidRPr="00E11B06">
              <w:t xml:space="preserve">Ability to integrate varied, high-quality, and relevant data from multiple </w:t>
            </w:r>
            <w:r w:rsidRPr="00E11B06">
              <w:lastRenderedPageBreak/>
              <w:t>sources</w:t>
            </w:r>
          </w:p>
        </w:tc>
        <w:tc>
          <w:tcPr>
            <w:tcW w:w="907" w:type="pct"/>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599ACA0F" w14:textId="77777777" w:rsidR="00527753" w:rsidRPr="00E11B06" w:rsidRDefault="003E4230" w:rsidP="00E11B06">
            <w:pPr>
              <w:widowControl w:val="0"/>
              <w:spacing w:before="240" w:after="240"/>
            </w:pPr>
            <w:r w:rsidRPr="00E11B06">
              <w:lastRenderedPageBreak/>
              <w:t xml:space="preserve">Use databases such as Statista, IEA, and peer-reviewed journals; compare competitor data; maintain research </w:t>
            </w:r>
            <w:r w:rsidRPr="00E11B06">
              <w:lastRenderedPageBreak/>
              <w:t>log</w:t>
            </w:r>
          </w:p>
        </w:tc>
        <w:tc>
          <w:tcPr>
            <w:tcW w:w="595" w:type="pct"/>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22469045" w14:textId="77777777" w:rsidR="00527753" w:rsidRPr="00E11B06" w:rsidRDefault="003E4230" w:rsidP="00E11B06">
            <w:pPr>
              <w:widowControl w:val="0"/>
              <w:spacing w:before="240" w:after="240"/>
            </w:pPr>
            <w:r w:rsidRPr="00E11B06">
              <w:lastRenderedPageBreak/>
              <w:t xml:space="preserve">Inclusion of diverse and relevant statistics; stronger evidence-based </w:t>
            </w:r>
            <w:r w:rsidRPr="00E11B06">
              <w:lastRenderedPageBreak/>
              <w:t>arguments</w:t>
            </w:r>
          </w:p>
        </w:tc>
        <w:tc>
          <w:tcPr>
            <w:tcW w:w="507" w:type="pct"/>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08197359" w14:textId="77777777" w:rsidR="00527753" w:rsidRPr="00E11B06" w:rsidRDefault="003E4230" w:rsidP="00E11B06">
            <w:pPr>
              <w:widowControl w:val="0"/>
              <w:spacing w:before="240" w:after="240"/>
            </w:pPr>
            <w:r w:rsidRPr="00E11B06">
              <w:lastRenderedPageBreak/>
              <w:t>3–5 weeks</w:t>
            </w:r>
          </w:p>
        </w:tc>
        <w:tc>
          <w:tcPr>
            <w:tcW w:w="622" w:type="pct"/>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536ACD5C" w14:textId="3BDD432C" w:rsidR="00527753" w:rsidRPr="00E11B06" w:rsidRDefault="003E4230" w:rsidP="00E11B06">
            <w:pPr>
              <w:widowControl w:val="0"/>
              <w:spacing w:before="240" w:after="240"/>
            </w:pPr>
            <w:r w:rsidRPr="00E11B06">
              <w:t xml:space="preserve">Reference list diversity; inclusion of multiple data points; improved academic </w:t>
            </w:r>
            <w:r w:rsidR="009063FD" w:rsidRPr="00E11B06">
              <w:t>rigour</w:t>
            </w:r>
          </w:p>
        </w:tc>
      </w:tr>
      <w:tr w:rsidR="00527753" w:rsidRPr="00E11B06" w14:paraId="0D0CD4C9" w14:textId="77777777" w:rsidTr="009063FD">
        <w:trPr>
          <w:trHeight w:val="2735"/>
        </w:trPr>
        <w:tc>
          <w:tcPr>
            <w:tcW w:w="616" w:type="pct"/>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35A54B6E" w14:textId="77777777" w:rsidR="00527753" w:rsidRPr="00E11B06" w:rsidRDefault="003E4230" w:rsidP="00E11B06">
            <w:pPr>
              <w:widowControl w:val="0"/>
              <w:spacing w:before="240" w:after="240"/>
            </w:pPr>
            <w:r w:rsidRPr="00E11B06">
              <w:t>3</w:t>
            </w:r>
          </w:p>
        </w:tc>
        <w:tc>
          <w:tcPr>
            <w:tcW w:w="575" w:type="pct"/>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214B9E51" w14:textId="77777777" w:rsidR="00527753" w:rsidRPr="00E11B06" w:rsidRDefault="003E4230" w:rsidP="00E11B06">
            <w:pPr>
              <w:widowControl w:val="0"/>
              <w:spacing w:before="240" w:after="240"/>
            </w:pPr>
            <w:r w:rsidRPr="00E11B06">
              <w:t>Structuring High-Level Academic Arguments</w:t>
            </w:r>
          </w:p>
        </w:tc>
        <w:tc>
          <w:tcPr>
            <w:tcW w:w="595" w:type="pct"/>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6D055DB8" w14:textId="77777777" w:rsidR="00527753" w:rsidRPr="00E11B06" w:rsidRDefault="003E4230" w:rsidP="00E11B06">
            <w:pPr>
              <w:widowControl w:val="0"/>
              <w:spacing w:before="240" w:after="240"/>
            </w:pPr>
            <w:r w:rsidRPr="00E11B06">
              <w:t>Understands theory but struggles with linking ideas progressively</w:t>
            </w:r>
          </w:p>
        </w:tc>
        <w:tc>
          <w:tcPr>
            <w:tcW w:w="582" w:type="pct"/>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01E942F3" w14:textId="77777777" w:rsidR="00527753" w:rsidRPr="00E11B06" w:rsidRDefault="003E4230" w:rsidP="00E11B06">
            <w:pPr>
              <w:widowControl w:val="0"/>
              <w:spacing w:before="240" w:after="240"/>
            </w:pPr>
            <w:r w:rsidRPr="00E11B06">
              <w:t>Ability to develop logically structured, coherent, and critically linked arguments</w:t>
            </w:r>
          </w:p>
        </w:tc>
        <w:tc>
          <w:tcPr>
            <w:tcW w:w="907" w:type="pct"/>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6CBA155A" w14:textId="77777777" w:rsidR="00527753" w:rsidRPr="00E11B06" w:rsidRDefault="003E4230" w:rsidP="00E11B06">
            <w:pPr>
              <w:widowControl w:val="0"/>
              <w:spacing w:before="240" w:after="240"/>
            </w:pPr>
            <w:r w:rsidRPr="00E11B06">
              <w:t>Practice structured writing (PEEL method); review high-quality journal articles; seek feedback</w:t>
            </w:r>
          </w:p>
        </w:tc>
        <w:tc>
          <w:tcPr>
            <w:tcW w:w="595" w:type="pct"/>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39D21CED" w14:textId="77777777" w:rsidR="00527753" w:rsidRPr="00E11B06" w:rsidRDefault="003E4230" w:rsidP="00E11B06">
            <w:pPr>
              <w:widowControl w:val="0"/>
              <w:spacing w:before="240" w:after="240"/>
            </w:pPr>
            <w:r w:rsidRPr="00E11B06">
              <w:t>Clear logical flow; improved coherence; better alignment between sections</w:t>
            </w:r>
          </w:p>
        </w:tc>
        <w:tc>
          <w:tcPr>
            <w:tcW w:w="507" w:type="pct"/>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4CAC8AFC" w14:textId="77777777" w:rsidR="00527753" w:rsidRPr="00E11B06" w:rsidRDefault="003E4230" w:rsidP="00E11B06">
            <w:pPr>
              <w:widowControl w:val="0"/>
              <w:spacing w:before="240" w:after="240"/>
            </w:pPr>
            <w:r w:rsidRPr="00E11B06">
              <w:t>4 weeks</w:t>
            </w:r>
          </w:p>
        </w:tc>
        <w:tc>
          <w:tcPr>
            <w:tcW w:w="622" w:type="pct"/>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125CCC0D" w14:textId="77777777" w:rsidR="00527753" w:rsidRPr="00E11B06" w:rsidRDefault="003E4230" w:rsidP="00E11B06">
            <w:pPr>
              <w:widowControl w:val="0"/>
              <w:spacing w:before="240" w:after="240"/>
            </w:pPr>
            <w:r w:rsidRPr="00E11B06">
              <w:t>More coherent assignments; positive tutor comments on structure</w:t>
            </w:r>
          </w:p>
        </w:tc>
      </w:tr>
      <w:tr w:rsidR="00527753" w:rsidRPr="00E11B06" w14:paraId="3D9F25E3" w14:textId="77777777" w:rsidTr="009063FD">
        <w:trPr>
          <w:trHeight w:val="1440"/>
        </w:trPr>
        <w:tc>
          <w:tcPr>
            <w:tcW w:w="616" w:type="pct"/>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404BD020" w14:textId="77777777" w:rsidR="00527753" w:rsidRPr="00E11B06" w:rsidRDefault="003E4230" w:rsidP="00E11B06">
            <w:pPr>
              <w:widowControl w:val="0"/>
              <w:spacing w:before="240" w:after="240"/>
            </w:pPr>
            <w:r w:rsidRPr="00E11B06">
              <w:t>4</w:t>
            </w:r>
          </w:p>
        </w:tc>
        <w:tc>
          <w:tcPr>
            <w:tcW w:w="575" w:type="pct"/>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377C42CD" w14:textId="77777777" w:rsidR="00527753" w:rsidRPr="00E11B06" w:rsidRDefault="003E4230" w:rsidP="00E11B06">
            <w:pPr>
              <w:widowControl w:val="0"/>
              <w:spacing w:before="240" w:after="240"/>
            </w:pPr>
            <w:r w:rsidRPr="00E11B06">
              <w:t>Time Management &amp; Editing Skills</w:t>
            </w:r>
          </w:p>
        </w:tc>
        <w:tc>
          <w:tcPr>
            <w:tcW w:w="595" w:type="pct"/>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351B90E2" w14:textId="2FA45D0D" w:rsidR="00527753" w:rsidRPr="00E11B06" w:rsidRDefault="003E4230" w:rsidP="00E11B06">
            <w:pPr>
              <w:widowControl w:val="0"/>
              <w:spacing w:before="240" w:after="240"/>
            </w:pPr>
            <w:r w:rsidRPr="00E11B06">
              <w:t>Limited time spent on revision</w:t>
            </w:r>
            <w:r w:rsidR="009063FD" w:rsidRPr="00E11B06">
              <w:t>,</w:t>
            </w:r>
            <w:r w:rsidRPr="00E11B06">
              <w:t xml:space="preserve"> leading to missed refineme</w:t>
            </w:r>
            <w:r w:rsidRPr="00E11B06">
              <w:lastRenderedPageBreak/>
              <w:t>nt opportunities</w:t>
            </w:r>
          </w:p>
        </w:tc>
        <w:tc>
          <w:tcPr>
            <w:tcW w:w="582" w:type="pct"/>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7D9202D8" w14:textId="77777777" w:rsidR="00527753" w:rsidRPr="00E11B06" w:rsidRDefault="003E4230" w:rsidP="00E11B06">
            <w:pPr>
              <w:widowControl w:val="0"/>
              <w:spacing w:before="240" w:after="240"/>
            </w:pPr>
            <w:r w:rsidRPr="00E11B06">
              <w:lastRenderedPageBreak/>
              <w:t xml:space="preserve">Ability to allocate time for drafting, reviewing, and refining </w:t>
            </w:r>
            <w:r w:rsidRPr="00E11B06">
              <w:lastRenderedPageBreak/>
              <w:t>work effectively</w:t>
            </w:r>
          </w:p>
        </w:tc>
        <w:tc>
          <w:tcPr>
            <w:tcW w:w="907" w:type="pct"/>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65840304" w14:textId="123EFC09" w:rsidR="00527753" w:rsidRPr="00E11B06" w:rsidRDefault="003E4230" w:rsidP="00E11B06">
            <w:pPr>
              <w:widowControl w:val="0"/>
              <w:spacing w:before="240" w:after="240"/>
            </w:pPr>
            <w:r w:rsidRPr="00E11B06">
              <w:lastRenderedPageBreak/>
              <w:t xml:space="preserve">Create </w:t>
            </w:r>
            <w:r w:rsidR="009063FD" w:rsidRPr="00E11B06">
              <w:t xml:space="preserve">a </w:t>
            </w:r>
            <w:r w:rsidRPr="00E11B06">
              <w:t xml:space="preserve">writing schedule; dedicate time for editing and proofreading; use </w:t>
            </w:r>
            <w:r w:rsidRPr="00E11B06">
              <w:lastRenderedPageBreak/>
              <w:t>revision checklists</w:t>
            </w:r>
          </w:p>
        </w:tc>
        <w:tc>
          <w:tcPr>
            <w:tcW w:w="595" w:type="pct"/>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147495AF" w14:textId="77777777" w:rsidR="00527753" w:rsidRPr="00E11B06" w:rsidRDefault="003E4230" w:rsidP="00E11B06">
            <w:pPr>
              <w:widowControl w:val="0"/>
              <w:spacing w:before="240" w:after="240"/>
            </w:pPr>
            <w:r w:rsidRPr="00E11B06">
              <w:lastRenderedPageBreak/>
              <w:t xml:space="preserve">Improved clarity and coherence; fewer errors; </w:t>
            </w:r>
            <w:r w:rsidRPr="00E11B06">
              <w:lastRenderedPageBreak/>
              <w:t>refined arguments</w:t>
            </w:r>
          </w:p>
        </w:tc>
        <w:tc>
          <w:tcPr>
            <w:tcW w:w="507" w:type="pct"/>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579F1D42" w14:textId="77777777" w:rsidR="00527753" w:rsidRPr="00E11B06" w:rsidRDefault="003E4230" w:rsidP="00E11B06">
            <w:pPr>
              <w:widowControl w:val="0"/>
              <w:spacing w:before="240" w:after="240"/>
            </w:pPr>
            <w:r w:rsidRPr="00E11B06">
              <w:lastRenderedPageBreak/>
              <w:t>2–3 weeks</w:t>
            </w:r>
          </w:p>
        </w:tc>
        <w:tc>
          <w:tcPr>
            <w:tcW w:w="622" w:type="pct"/>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0E326025" w14:textId="711A6C00" w:rsidR="00527753" w:rsidRPr="00E11B06" w:rsidRDefault="003E4230" w:rsidP="00E11B06">
            <w:pPr>
              <w:widowControl w:val="0"/>
              <w:spacing w:before="240" w:after="240"/>
            </w:pPr>
            <w:r w:rsidRPr="00E11B06">
              <w:t>Draft versions showing improvement</w:t>
            </w:r>
            <w:r w:rsidR="009063FD" w:rsidRPr="00E11B06">
              <w:t>,</w:t>
            </w:r>
            <w:r w:rsidRPr="00E11B06">
              <w:t xml:space="preserve"> reduced errors</w:t>
            </w:r>
            <w:r w:rsidR="009063FD" w:rsidRPr="00E11B06">
              <w:t>, and</w:t>
            </w:r>
            <w:r w:rsidRPr="00E11B06">
              <w:t xml:space="preserve"> </w:t>
            </w:r>
            <w:r w:rsidRPr="00E11B06">
              <w:lastRenderedPageBreak/>
              <w:t>timely submission</w:t>
            </w:r>
          </w:p>
        </w:tc>
      </w:tr>
    </w:tbl>
    <w:p w14:paraId="1D7D4305" w14:textId="77777777" w:rsidR="00527753" w:rsidRPr="00E11B06" w:rsidRDefault="003E4230" w:rsidP="00E11B06">
      <w:pPr>
        <w:widowControl w:val="0"/>
        <w:spacing w:before="240" w:after="240"/>
        <w:jc w:val="center"/>
        <w:rPr>
          <w:b/>
          <w:bCs/>
        </w:rPr>
      </w:pPr>
      <w:r w:rsidRPr="00E11B06">
        <w:rPr>
          <w:b/>
          <w:bCs/>
        </w:rPr>
        <w:lastRenderedPageBreak/>
        <w:t>Table 2: Action Plan for Personal Growth</w:t>
      </w:r>
    </w:p>
    <w:p w14:paraId="6980CA37" w14:textId="77777777" w:rsidR="00527753" w:rsidRPr="00E11B06" w:rsidRDefault="003E4230" w:rsidP="00E11B06">
      <w:pPr>
        <w:widowControl w:val="0"/>
        <w:spacing w:before="240" w:after="240"/>
      </w:pPr>
      <w:r w:rsidRPr="00E11B06">
        <w:br w:type="page"/>
      </w:r>
    </w:p>
    <w:p w14:paraId="0CDA910D" w14:textId="77777777" w:rsidR="00527753" w:rsidRPr="00E11B06" w:rsidRDefault="003E4230" w:rsidP="00E11B06">
      <w:pPr>
        <w:pStyle w:val="Heading1"/>
        <w:widowControl w:val="0"/>
      </w:pPr>
      <w:bookmarkStart w:id="40" w:name="_2uazv76nprie" w:colFirst="0" w:colLast="0"/>
      <w:bookmarkStart w:id="41" w:name="_Toc225332039"/>
      <w:bookmarkEnd w:id="40"/>
      <w:r w:rsidRPr="00E11B06">
        <w:lastRenderedPageBreak/>
        <w:t>References</w:t>
      </w:r>
      <w:bookmarkEnd w:id="41"/>
    </w:p>
    <w:p w14:paraId="37FB56DF" w14:textId="46640691" w:rsidR="00527753" w:rsidRPr="00A56CD6" w:rsidRDefault="003E4230" w:rsidP="00741673">
      <w:pPr>
        <w:widowControl w:val="0"/>
        <w:spacing w:after="240"/>
        <w:rPr>
          <w:szCs w:val="24"/>
        </w:rPr>
      </w:pPr>
      <w:proofErr w:type="spellStart"/>
      <w:r w:rsidRPr="00A56CD6">
        <w:rPr>
          <w:szCs w:val="24"/>
        </w:rPr>
        <w:t>AlHares</w:t>
      </w:r>
      <w:proofErr w:type="spellEnd"/>
      <w:r w:rsidRPr="00A56CD6">
        <w:rPr>
          <w:szCs w:val="24"/>
        </w:rPr>
        <w:t xml:space="preserve">, A. (2025) ‘Ethical Leadership and Its Impact on Corporate Sustainability and Financial Performance: The Role of Alignment with the Sustainable Development Goals’, </w:t>
      </w:r>
      <w:r w:rsidRPr="00A56CD6">
        <w:rPr>
          <w:i/>
          <w:iCs/>
          <w:szCs w:val="24"/>
        </w:rPr>
        <w:t>Sustainability</w:t>
      </w:r>
      <w:r w:rsidRPr="00A56CD6">
        <w:rPr>
          <w:szCs w:val="24"/>
        </w:rPr>
        <w:t xml:space="preserve">, 17(15), pp. 6682–6682. Available at: </w:t>
      </w:r>
      <w:hyperlink r:id="rId15" w:history="1">
        <w:r w:rsidR="0074056A" w:rsidRPr="00A56CD6">
          <w:rPr>
            <w:rStyle w:val="Hyperlink"/>
            <w:szCs w:val="24"/>
          </w:rPr>
          <w:t>https://doi.org/10.3390/su17156682</w:t>
        </w:r>
      </w:hyperlink>
      <w:r w:rsidRPr="00A56CD6">
        <w:rPr>
          <w:szCs w:val="24"/>
        </w:rPr>
        <w:t>.</w:t>
      </w:r>
      <w:r w:rsidR="0074056A" w:rsidRPr="00A56CD6">
        <w:rPr>
          <w:szCs w:val="24"/>
        </w:rPr>
        <w:t xml:space="preserve"> </w:t>
      </w:r>
    </w:p>
    <w:p w14:paraId="404076DD" w14:textId="4158B301" w:rsidR="00527753" w:rsidRPr="00A56CD6" w:rsidRDefault="003E4230" w:rsidP="00741673">
      <w:pPr>
        <w:widowControl w:val="0"/>
        <w:spacing w:after="240"/>
        <w:rPr>
          <w:szCs w:val="24"/>
        </w:rPr>
      </w:pPr>
      <w:r w:rsidRPr="00A56CD6">
        <w:rPr>
          <w:szCs w:val="24"/>
        </w:rPr>
        <w:t xml:space="preserve">Alvarez, S. (2025) </w:t>
      </w:r>
      <w:r w:rsidRPr="00A56CD6">
        <w:rPr>
          <w:i/>
          <w:iCs/>
          <w:szCs w:val="24"/>
        </w:rPr>
        <w:t>BYD to overtake Tesla in BEV sales this 2025: Counterpoint Research</w:t>
      </w:r>
      <w:r w:rsidRPr="00A56CD6">
        <w:rPr>
          <w:szCs w:val="24"/>
        </w:rPr>
        <w:t xml:space="preserve">, </w:t>
      </w:r>
      <w:r w:rsidRPr="00A56CD6">
        <w:rPr>
          <w:i/>
          <w:iCs/>
          <w:szCs w:val="24"/>
        </w:rPr>
        <w:t>TESLARATI</w:t>
      </w:r>
      <w:r w:rsidRPr="00A56CD6">
        <w:rPr>
          <w:szCs w:val="24"/>
        </w:rPr>
        <w:t xml:space="preserve">. Available at: </w:t>
      </w:r>
      <w:hyperlink r:id="rId16" w:anchor="google_vignette" w:history="1">
        <w:r w:rsidR="0074056A" w:rsidRPr="00A56CD6">
          <w:rPr>
            <w:rStyle w:val="Hyperlink"/>
            <w:szCs w:val="24"/>
          </w:rPr>
          <w:t>https://www.teslarati.com/byd-to-overtake-tesla-bev-sales-2025-counterpoint/#google_vignette</w:t>
        </w:r>
      </w:hyperlink>
      <w:r w:rsidR="0074056A" w:rsidRPr="00A56CD6">
        <w:rPr>
          <w:szCs w:val="24"/>
        </w:rPr>
        <w:t xml:space="preserve"> </w:t>
      </w:r>
      <w:r w:rsidRPr="00A56CD6">
        <w:rPr>
          <w:szCs w:val="24"/>
        </w:rPr>
        <w:t xml:space="preserve">(Accessed: </w:t>
      </w:r>
      <w:r w:rsidR="00AC3CC7" w:rsidRPr="00A56CD6">
        <w:rPr>
          <w:szCs w:val="24"/>
        </w:rPr>
        <w:t>17</w:t>
      </w:r>
      <w:r w:rsidRPr="00A56CD6">
        <w:rPr>
          <w:szCs w:val="24"/>
        </w:rPr>
        <w:t xml:space="preserve"> March 2026).</w:t>
      </w:r>
    </w:p>
    <w:p w14:paraId="041CCB90" w14:textId="22E0EC2A" w:rsidR="00527753" w:rsidRPr="00A56CD6" w:rsidRDefault="003E4230" w:rsidP="00741673">
      <w:pPr>
        <w:widowControl w:val="0"/>
        <w:spacing w:after="240"/>
        <w:rPr>
          <w:szCs w:val="24"/>
        </w:rPr>
      </w:pPr>
      <w:proofErr w:type="spellStart"/>
      <w:r w:rsidRPr="00A56CD6">
        <w:rPr>
          <w:szCs w:val="24"/>
        </w:rPr>
        <w:t>Alzoraiki</w:t>
      </w:r>
      <w:proofErr w:type="spellEnd"/>
      <w:r w:rsidRPr="00A56CD6">
        <w:rPr>
          <w:szCs w:val="24"/>
        </w:rPr>
        <w:t xml:space="preserve">, M., Marwan Milhem, Ateeq, A., Almeer, S. and Hussein, T.M. (2024) ‘Strategic Flexibility: An Essential Capability for Innovation and Sustainable Performance in Times of Technological Uncertainty’, </w:t>
      </w:r>
      <w:r w:rsidRPr="00A56CD6">
        <w:rPr>
          <w:i/>
          <w:iCs/>
          <w:szCs w:val="24"/>
        </w:rPr>
        <w:t xml:space="preserve">Studies in </w:t>
      </w:r>
      <w:r w:rsidR="009063FD" w:rsidRPr="00A56CD6">
        <w:rPr>
          <w:i/>
          <w:iCs/>
          <w:szCs w:val="24"/>
        </w:rPr>
        <w:t>Systems</w:t>
      </w:r>
      <w:r w:rsidRPr="00A56CD6">
        <w:rPr>
          <w:i/>
          <w:iCs/>
          <w:szCs w:val="24"/>
        </w:rPr>
        <w:t>, decision and control</w:t>
      </w:r>
      <w:r w:rsidRPr="00A56CD6">
        <w:rPr>
          <w:szCs w:val="24"/>
        </w:rPr>
        <w:t xml:space="preserve">, pp. 271–281. Available at: </w:t>
      </w:r>
      <w:hyperlink r:id="rId17" w:history="1">
        <w:r w:rsidR="0074056A" w:rsidRPr="00A56CD6">
          <w:rPr>
            <w:rStyle w:val="Hyperlink"/>
            <w:szCs w:val="24"/>
          </w:rPr>
          <w:t>https://doi.org/10.1007/978-3-031-62102-4_22</w:t>
        </w:r>
      </w:hyperlink>
      <w:r w:rsidRPr="00A56CD6">
        <w:rPr>
          <w:szCs w:val="24"/>
        </w:rPr>
        <w:t>.</w:t>
      </w:r>
      <w:r w:rsidR="0074056A" w:rsidRPr="00A56CD6">
        <w:rPr>
          <w:szCs w:val="24"/>
        </w:rPr>
        <w:t xml:space="preserve"> </w:t>
      </w:r>
    </w:p>
    <w:p w14:paraId="5FBA0D88" w14:textId="7A1F8435" w:rsidR="00527753" w:rsidRPr="00A56CD6" w:rsidRDefault="003E4230" w:rsidP="00741673">
      <w:pPr>
        <w:widowControl w:val="0"/>
        <w:spacing w:after="240"/>
        <w:rPr>
          <w:szCs w:val="24"/>
        </w:rPr>
      </w:pPr>
      <w:r w:rsidRPr="00A56CD6">
        <w:rPr>
          <w:szCs w:val="24"/>
        </w:rPr>
        <w:t xml:space="preserve">Ashurov, S., Musse, O.S.H. and Abdelhak, T. (2024) ‘Evaluating Corporate Social Responsibility in Achieving Sustainable Development and Social Welfare’, </w:t>
      </w:r>
      <w:r w:rsidRPr="00A56CD6">
        <w:rPr>
          <w:i/>
          <w:iCs/>
          <w:szCs w:val="24"/>
        </w:rPr>
        <w:t>BRICS Journal of Economics</w:t>
      </w:r>
      <w:r w:rsidRPr="00A56CD6">
        <w:rPr>
          <w:szCs w:val="24"/>
        </w:rPr>
        <w:t xml:space="preserve">, 5(2), pp. 77–102. Available at: </w:t>
      </w:r>
      <w:hyperlink r:id="rId18" w:history="1">
        <w:r w:rsidR="0074056A" w:rsidRPr="00A56CD6">
          <w:rPr>
            <w:rStyle w:val="Hyperlink"/>
            <w:szCs w:val="24"/>
          </w:rPr>
          <w:t>https://doi.org/10.3897/brics-econ.5.e121429</w:t>
        </w:r>
      </w:hyperlink>
      <w:r w:rsidRPr="00A56CD6">
        <w:rPr>
          <w:szCs w:val="24"/>
        </w:rPr>
        <w:t>.</w:t>
      </w:r>
      <w:r w:rsidR="0074056A" w:rsidRPr="00A56CD6">
        <w:rPr>
          <w:szCs w:val="24"/>
        </w:rPr>
        <w:t xml:space="preserve"> </w:t>
      </w:r>
    </w:p>
    <w:p w14:paraId="7FA5F969" w14:textId="36EBA2A2" w:rsidR="00527753" w:rsidRPr="00A56CD6" w:rsidRDefault="003E4230" w:rsidP="00741673">
      <w:pPr>
        <w:widowControl w:val="0"/>
        <w:spacing w:after="240"/>
        <w:rPr>
          <w:szCs w:val="24"/>
        </w:rPr>
      </w:pPr>
      <w:proofErr w:type="spellStart"/>
      <w:r w:rsidRPr="00A56CD6">
        <w:rPr>
          <w:szCs w:val="24"/>
        </w:rPr>
        <w:t>Autonews</w:t>
      </w:r>
      <w:proofErr w:type="spellEnd"/>
      <w:r w:rsidRPr="00A56CD6">
        <w:rPr>
          <w:szCs w:val="24"/>
        </w:rPr>
        <w:t xml:space="preserve"> (2025) </w:t>
      </w:r>
      <w:r w:rsidRPr="00A56CD6">
        <w:rPr>
          <w:i/>
          <w:iCs/>
          <w:szCs w:val="24"/>
        </w:rPr>
        <w:t>Software, China partnerships: How VW Group will become a global tech leader</w:t>
      </w:r>
      <w:r w:rsidRPr="00A56CD6">
        <w:rPr>
          <w:szCs w:val="24"/>
        </w:rPr>
        <w:t xml:space="preserve">, </w:t>
      </w:r>
      <w:r w:rsidRPr="00A56CD6">
        <w:rPr>
          <w:i/>
          <w:iCs/>
          <w:szCs w:val="24"/>
        </w:rPr>
        <w:t>Autonews.com</w:t>
      </w:r>
      <w:r w:rsidRPr="00A56CD6">
        <w:rPr>
          <w:szCs w:val="24"/>
        </w:rPr>
        <w:t xml:space="preserve">. Available at: </w:t>
      </w:r>
      <w:hyperlink r:id="rId19" w:history="1">
        <w:r w:rsidR="0074056A" w:rsidRPr="00A56CD6">
          <w:rPr>
            <w:rStyle w:val="Hyperlink"/>
            <w:szCs w:val="24"/>
          </w:rPr>
          <w:t>https://www.autonews.com/technology/ane-eu-vw-sdv-ev-china-0918/</w:t>
        </w:r>
      </w:hyperlink>
      <w:r w:rsidR="0074056A" w:rsidRPr="00A56CD6">
        <w:rPr>
          <w:szCs w:val="24"/>
        </w:rPr>
        <w:t xml:space="preserve"> </w:t>
      </w:r>
      <w:r w:rsidRPr="00A56CD6">
        <w:rPr>
          <w:szCs w:val="24"/>
        </w:rPr>
        <w:t xml:space="preserve">(Accessed: </w:t>
      </w:r>
      <w:r w:rsidR="00AC3CC7" w:rsidRPr="00A56CD6">
        <w:rPr>
          <w:szCs w:val="24"/>
        </w:rPr>
        <w:t>20</w:t>
      </w:r>
      <w:r w:rsidRPr="00A56CD6">
        <w:rPr>
          <w:szCs w:val="24"/>
        </w:rPr>
        <w:t xml:space="preserve"> March 2026).</w:t>
      </w:r>
    </w:p>
    <w:p w14:paraId="1D5E3DA3" w14:textId="614EFE26" w:rsidR="00527753" w:rsidRPr="00A56CD6" w:rsidRDefault="003E4230" w:rsidP="00741673">
      <w:pPr>
        <w:widowControl w:val="0"/>
        <w:spacing w:after="240"/>
        <w:rPr>
          <w:szCs w:val="24"/>
        </w:rPr>
      </w:pPr>
      <w:r w:rsidRPr="00A56CD6">
        <w:rPr>
          <w:szCs w:val="24"/>
        </w:rPr>
        <w:t xml:space="preserve">Battaglia, M., Ceglia, I., Calabrese, M. and Iandolo, F. (2025) ‘Systemic Risk Management and Stakeholder Engagement: Insights </w:t>
      </w:r>
      <w:proofErr w:type="gramStart"/>
      <w:r w:rsidRPr="00A56CD6">
        <w:rPr>
          <w:szCs w:val="24"/>
        </w:rPr>
        <w:t>From</w:t>
      </w:r>
      <w:proofErr w:type="gramEnd"/>
      <w:r w:rsidRPr="00A56CD6">
        <w:rPr>
          <w:szCs w:val="24"/>
        </w:rPr>
        <w:t xml:space="preserve"> Business CSR Disclosure’, </w:t>
      </w:r>
      <w:r w:rsidRPr="00A56CD6">
        <w:rPr>
          <w:i/>
          <w:iCs/>
          <w:szCs w:val="24"/>
        </w:rPr>
        <w:t>Corporate Social Responsibility and Environmental Management</w:t>
      </w:r>
      <w:r w:rsidRPr="00A56CD6">
        <w:rPr>
          <w:szCs w:val="24"/>
        </w:rPr>
        <w:t xml:space="preserve"> [Preprint]. Available at: </w:t>
      </w:r>
      <w:hyperlink r:id="rId20" w:history="1">
        <w:r w:rsidR="0074056A" w:rsidRPr="00A56CD6">
          <w:rPr>
            <w:rStyle w:val="Hyperlink"/>
            <w:szCs w:val="24"/>
          </w:rPr>
          <w:t>https://doi.org/10.1002/csr.3186</w:t>
        </w:r>
      </w:hyperlink>
      <w:r w:rsidRPr="00A56CD6">
        <w:rPr>
          <w:szCs w:val="24"/>
        </w:rPr>
        <w:t>.</w:t>
      </w:r>
      <w:r w:rsidR="0074056A" w:rsidRPr="00A56CD6">
        <w:rPr>
          <w:szCs w:val="24"/>
        </w:rPr>
        <w:t xml:space="preserve"> </w:t>
      </w:r>
    </w:p>
    <w:p w14:paraId="0D55DAA5" w14:textId="3EF4254A" w:rsidR="00E2218A" w:rsidRPr="00A56CD6" w:rsidRDefault="00E2218A" w:rsidP="00741673">
      <w:pPr>
        <w:widowControl w:val="0"/>
        <w:spacing w:after="240"/>
        <w:rPr>
          <w:szCs w:val="24"/>
          <w:lang w:val="en-IN"/>
        </w:rPr>
      </w:pPr>
      <w:r w:rsidRPr="00A56CD6">
        <w:rPr>
          <w:szCs w:val="24"/>
          <w:lang w:val="en-IN"/>
        </w:rPr>
        <w:t xml:space="preserve">Blenkinsop, P. (2025) ‘EU drops 2035 combustion engine ban as global EV shift faces reset’, </w:t>
      </w:r>
      <w:r w:rsidRPr="00A56CD6">
        <w:rPr>
          <w:i/>
          <w:iCs/>
          <w:szCs w:val="24"/>
          <w:lang w:val="en-IN"/>
        </w:rPr>
        <w:t>Reuters</w:t>
      </w:r>
      <w:r w:rsidRPr="00A56CD6">
        <w:rPr>
          <w:szCs w:val="24"/>
          <w:lang w:val="en-IN"/>
        </w:rPr>
        <w:t>, 16 December. Available at: https://www.reuters.com/business/autos-transportation/eu-relent-combustion-engines-ban-after-auto-industry-pressure-2025-12-16/ (Accessed: 25 April 2026).</w:t>
      </w:r>
    </w:p>
    <w:p w14:paraId="436F5FDF" w14:textId="3344D086" w:rsidR="00527753" w:rsidRPr="00A56CD6" w:rsidRDefault="003E4230" w:rsidP="00741673">
      <w:pPr>
        <w:widowControl w:val="0"/>
        <w:spacing w:after="240"/>
        <w:rPr>
          <w:szCs w:val="24"/>
        </w:rPr>
      </w:pPr>
      <w:r w:rsidRPr="00A56CD6">
        <w:rPr>
          <w:szCs w:val="24"/>
        </w:rPr>
        <w:t xml:space="preserve">Bloomberg (2023) ‘China Extends Tax Breaks for New Energy Vehicles Until 2027’, </w:t>
      </w:r>
      <w:r w:rsidRPr="00A56CD6">
        <w:rPr>
          <w:i/>
          <w:iCs/>
          <w:szCs w:val="24"/>
        </w:rPr>
        <w:t>Bloomberg.com</w:t>
      </w:r>
      <w:r w:rsidRPr="00A56CD6">
        <w:rPr>
          <w:szCs w:val="24"/>
        </w:rPr>
        <w:t xml:space="preserve">, 21 June. Available at: </w:t>
      </w:r>
      <w:hyperlink r:id="rId21" w:history="1">
        <w:r w:rsidR="0074056A" w:rsidRPr="00A56CD6">
          <w:rPr>
            <w:rStyle w:val="Hyperlink"/>
            <w:szCs w:val="24"/>
          </w:rPr>
          <w:t>https://www.bloomberg.com/news/articles/2023-06-21/china-extends-tax-breaks-for-new-energy-vehicles-until-2027</w:t>
        </w:r>
      </w:hyperlink>
      <w:r w:rsidR="0074056A" w:rsidRPr="00A56CD6">
        <w:rPr>
          <w:szCs w:val="24"/>
        </w:rPr>
        <w:t xml:space="preserve"> </w:t>
      </w:r>
      <w:r w:rsidRPr="00A56CD6">
        <w:rPr>
          <w:szCs w:val="24"/>
        </w:rPr>
        <w:t xml:space="preserve">(Accessed: </w:t>
      </w:r>
      <w:r w:rsidR="00AC3CC7" w:rsidRPr="00A56CD6">
        <w:rPr>
          <w:szCs w:val="24"/>
        </w:rPr>
        <w:t>19</w:t>
      </w:r>
      <w:r w:rsidRPr="00A56CD6">
        <w:rPr>
          <w:szCs w:val="24"/>
        </w:rPr>
        <w:t xml:space="preserve"> March 2026).</w:t>
      </w:r>
    </w:p>
    <w:p w14:paraId="22BDB6B2" w14:textId="7566BCB4" w:rsidR="00527753" w:rsidRPr="00A56CD6" w:rsidRDefault="003E4230" w:rsidP="00741673">
      <w:pPr>
        <w:widowControl w:val="0"/>
        <w:spacing w:after="240"/>
        <w:rPr>
          <w:szCs w:val="24"/>
        </w:rPr>
      </w:pPr>
      <w:r w:rsidRPr="00A56CD6">
        <w:rPr>
          <w:szCs w:val="24"/>
        </w:rPr>
        <w:t xml:space="preserve">Bora Semiz, B. and Paylan, M. </w:t>
      </w:r>
      <w:proofErr w:type="spellStart"/>
      <w:r w:rsidRPr="00A56CD6">
        <w:rPr>
          <w:szCs w:val="24"/>
        </w:rPr>
        <w:t>ali</w:t>
      </w:r>
      <w:proofErr w:type="spellEnd"/>
      <w:r w:rsidRPr="00A56CD6">
        <w:rPr>
          <w:szCs w:val="24"/>
        </w:rPr>
        <w:t xml:space="preserve"> (2023) ‘A study on the mediating effect of brand trust between perceived legitimacy of influencers and attitude toward brand: evidence from Turkey’, </w:t>
      </w:r>
      <w:r w:rsidRPr="00A56CD6">
        <w:rPr>
          <w:i/>
          <w:iCs/>
          <w:szCs w:val="24"/>
        </w:rPr>
        <w:t>Asia Pacific Journal of Marketing and Logistics</w:t>
      </w:r>
      <w:r w:rsidRPr="00A56CD6">
        <w:rPr>
          <w:szCs w:val="24"/>
        </w:rPr>
        <w:t xml:space="preserve"> [Preprint]. Available at: </w:t>
      </w:r>
      <w:hyperlink r:id="rId22" w:history="1">
        <w:r w:rsidR="0074056A" w:rsidRPr="00A56CD6">
          <w:rPr>
            <w:rStyle w:val="Hyperlink"/>
            <w:szCs w:val="24"/>
          </w:rPr>
          <w:t>https://doi.org/10.1108/apjml-08-2022-0702</w:t>
        </w:r>
      </w:hyperlink>
      <w:r w:rsidRPr="00A56CD6">
        <w:rPr>
          <w:szCs w:val="24"/>
        </w:rPr>
        <w:t>.</w:t>
      </w:r>
      <w:r w:rsidR="0074056A" w:rsidRPr="00A56CD6">
        <w:rPr>
          <w:szCs w:val="24"/>
        </w:rPr>
        <w:t xml:space="preserve"> </w:t>
      </w:r>
    </w:p>
    <w:p w14:paraId="6316857B" w14:textId="64D8D818" w:rsidR="00527753" w:rsidRPr="00A56CD6" w:rsidRDefault="003E4230" w:rsidP="00741673">
      <w:pPr>
        <w:widowControl w:val="0"/>
        <w:spacing w:after="240"/>
        <w:rPr>
          <w:szCs w:val="24"/>
        </w:rPr>
      </w:pPr>
      <w:r w:rsidRPr="00A56CD6">
        <w:rPr>
          <w:szCs w:val="24"/>
        </w:rPr>
        <w:t xml:space="preserve">BYD (2024a) </w:t>
      </w:r>
      <w:r w:rsidRPr="00A56CD6">
        <w:rPr>
          <w:i/>
          <w:iCs/>
          <w:szCs w:val="24"/>
        </w:rPr>
        <w:t>BYD Ascends to No. 143 in the 2024 Fortune Global 500</w:t>
      </w:r>
      <w:r w:rsidRPr="00A56CD6">
        <w:rPr>
          <w:szCs w:val="24"/>
        </w:rPr>
        <w:t xml:space="preserve">, </w:t>
      </w:r>
      <w:r w:rsidRPr="00A56CD6">
        <w:rPr>
          <w:i/>
          <w:iCs/>
          <w:szCs w:val="24"/>
        </w:rPr>
        <w:t>BYD</w:t>
      </w:r>
      <w:r w:rsidRPr="00A56CD6">
        <w:rPr>
          <w:szCs w:val="24"/>
        </w:rPr>
        <w:t xml:space="preserve">. Available at: </w:t>
      </w:r>
      <w:hyperlink r:id="rId23" w:history="1">
        <w:r w:rsidR="0074056A" w:rsidRPr="00A56CD6">
          <w:rPr>
            <w:rStyle w:val="Hyperlink"/>
            <w:szCs w:val="24"/>
          </w:rPr>
          <w:t>https://www.byd.com/us/news-list/BYD-Ascends-to-No-143-in-the-2024-Fortune-Global-500</w:t>
        </w:r>
      </w:hyperlink>
      <w:r w:rsidR="0074056A" w:rsidRPr="00A56CD6">
        <w:rPr>
          <w:szCs w:val="24"/>
        </w:rPr>
        <w:t xml:space="preserve"> </w:t>
      </w:r>
      <w:r w:rsidRPr="00A56CD6">
        <w:rPr>
          <w:szCs w:val="24"/>
        </w:rPr>
        <w:t xml:space="preserve">(Accessed: </w:t>
      </w:r>
      <w:r w:rsidR="00AC3CC7" w:rsidRPr="00A56CD6">
        <w:rPr>
          <w:szCs w:val="24"/>
        </w:rPr>
        <w:t>17</w:t>
      </w:r>
      <w:r w:rsidRPr="00A56CD6">
        <w:rPr>
          <w:szCs w:val="24"/>
        </w:rPr>
        <w:t xml:space="preserve"> March 2026).</w:t>
      </w:r>
    </w:p>
    <w:p w14:paraId="720BB013" w14:textId="7880FFD0" w:rsidR="00527753" w:rsidRPr="00A56CD6" w:rsidRDefault="003E4230" w:rsidP="00741673">
      <w:pPr>
        <w:widowControl w:val="0"/>
        <w:spacing w:after="240"/>
        <w:rPr>
          <w:szCs w:val="24"/>
        </w:rPr>
      </w:pPr>
      <w:r w:rsidRPr="00A56CD6">
        <w:rPr>
          <w:szCs w:val="24"/>
        </w:rPr>
        <w:t xml:space="preserve">BYD (2024b) </w:t>
      </w:r>
      <w:r w:rsidRPr="00A56CD6">
        <w:rPr>
          <w:i/>
          <w:iCs/>
          <w:szCs w:val="24"/>
        </w:rPr>
        <w:t>BYD Europe</w:t>
      </w:r>
      <w:r w:rsidRPr="00A56CD6">
        <w:rPr>
          <w:szCs w:val="24"/>
        </w:rPr>
        <w:t xml:space="preserve">, </w:t>
      </w:r>
      <w:r w:rsidRPr="00A56CD6">
        <w:rPr>
          <w:i/>
          <w:iCs/>
          <w:szCs w:val="24"/>
        </w:rPr>
        <w:t>www.bydeurope.com</w:t>
      </w:r>
      <w:r w:rsidRPr="00A56CD6">
        <w:rPr>
          <w:szCs w:val="24"/>
        </w:rPr>
        <w:t xml:space="preserve">. Available at: https://www.bydeurope.com/about (Accessed: </w:t>
      </w:r>
      <w:r w:rsidR="00AC3CC7" w:rsidRPr="00A56CD6">
        <w:rPr>
          <w:szCs w:val="24"/>
        </w:rPr>
        <w:t>18</w:t>
      </w:r>
      <w:r w:rsidRPr="00A56CD6">
        <w:rPr>
          <w:szCs w:val="24"/>
        </w:rPr>
        <w:t xml:space="preserve"> March 2026).</w:t>
      </w:r>
    </w:p>
    <w:p w14:paraId="456EB46D" w14:textId="7933A58C" w:rsidR="00527753" w:rsidRPr="00A56CD6" w:rsidRDefault="003E4230" w:rsidP="00741673">
      <w:pPr>
        <w:widowControl w:val="0"/>
        <w:spacing w:after="240"/>
        <w:rPr>
          <w:szCs w:val="24"/>
        </w:rPr>
      </w:pPr>
      <w:proofErr w:type="spellStart"/>
      <w:r w:rsidRPr="00A56CD6">
        <w:rPr>
          <w:szCs w:val="24"/>
        </w:rPr>
        <w:t>BYDGlobal</w:t>
      </w:r>
      <w:proofErr w:type="spellEnd"/>
      <w:r w:rsidRPr="00A56CD6">
        <w:rPr>
          <w:szCs w:val="24"/>
        </w:rPr>
        <w:t xml:space="preserve"> (2025) </w:t>
      </w:r>
      <w:r w:rsidRPr="00A56CD6">
        <w:rPr>
          <w:i/>
          <w:iCs/>
          <w:szCs w:val="24"/>
        </w:rPr>
        <w:t>BYD and Black Myth: Wukong Forge Global Strategic Partnership</w:t>
      </w:r>
      <w:r w:rsidRPr="00A56CD6">
        <w:rPr>
          <w:szCs w:val="24"/>
        </w:rPr>
        <w:t xml:space="preserve">, </w:t>
      </w:r>
      <w:r w:rsidRPr="00A56CD6">
        <w:rPr>
          <w:i/>
          <w:iCs/>
          <w:szCs w:val="24"/>
        </w:rPr>
        <w:t>Bydglobal.com</w:t>
      </w:r>
      <w:r w:rsidRPr="00A56CD6">
        <w:rPr>
          <w:szCs w:val="24"/>
        </w:rPr>
        <w:t xml:space="preserve">. Available at: </w:t>
      </w:r>
      <w:hyperlink r:id="rId24" w:history="1">
        <w:r w:rsidR="0074056A" w:rsidRPr="00A56CD6">
          <w:rPr>
            <w:rStyle w:val="Hyperlink"/>
            <w:szCs w:val="24"/>
          </w:rPr>
          <w:t>https://www.bydglobal.com/en/news/2024-10-21/BYD-and-Black-Myth%3A-Wukong-Forge-Global-Strategic-Partnership</w:t>
        </w:r>
      </w:hyperlink>
      <w:r w:rsidR="0074056A" w:rsidRPr="00A56CD6">
        <w:rPr>
          <w:szCs w:val="24"/>
        </w:rPr>
        <w:t xml:space="preserve"> </w:t>
      </w:r>
      <w:r w:rsidRPr="00A56CD6">
        <w:rPr>
          <w:szCs w:val="24"/>
        </w:rPr>
        <w:t>(Accessed: 23 March 2026).</w:t>
      </w:r>
    </w:p>
    <w:p w14:paraId="1CBC7E36" w14:textId="2C9AC486" w:rsidR="00DB4E20" w:rsidRPr="00A56CD6" w:rsidRDefault="00DB4E20" w:rsidP="00741673">
      <w:pPr>
        <w:widowControl w:val="0"/>
        <w:spacing w:after="240"/>
        <w:rPr>
          <w:szCs w:val="24"/>
          <w:lang w:val="en-IN"/>
        </w:rPr>
      </w:pPr>
      <w:r w:rsidRPr="00A56CD6">
        <w:rPr>
          <w:szCs w:val="24"/>
          <w:lang w:val="en-IN"/>
        </w:rPr>
        <w:t xml:space="preserve">BYD (2025) </w:t>
      </w:r>
      <w:r w:rsidRPr="00A56CD6">
        <w:rPr>
          <w:i/>
          <w:iCs/>
          <w:szCs w:val="24"/>
          <w:lang w:val="en-IN"/>
        </w:rPr>
        <w:t>BYD Ranks 91st in 2025 Fortune Global 500</w:t>
      </w:r>
      <w:r w:rsidRPr="00A56CD6">
        <w:rPr>
          <w:szCs w:val="24"/>
          <w:lang w:val="en-IN"/>
        </w:rPr>
        <w:t xml:space="preserve">, </w:t>
      </w:r>
      <w:r w:rsidRPr="00A56CD6">
        <w:rPr>
          <w:i/>
          <w:iCs/>
          <w:szCs w:val="24"/>
          <w:lang w:val="en-IN"/>
        </w:rPr>
        <w:t>BYD</w:t>
      </w:r>
      <w:r w:rsidRPr="00A56CD6">
        <w:rPr>
          <w:szCs w:val="24"/>
          <w:lang w:val="en-IN"/>
        </w:rPr>
        <w:t>. Available at: https://www.byd.com/us/news-list/BYD-Ranks-91st-in-2025-Fortune-Global-500 (Accessed: 25 April 2026).</w:t>
      </w:r>
    </w:p>
    <w:p w14:paraId="430C8640" w14:textId="557C39BD" w:rsidR="00527753" w:rsidRPr="00A56CD6" w:rsidRDefault="003E4230" w:rsidP="00741673">
      <w:pPr>
        <w:widowControl w:val="0"/>
        <w:spacing w:after="240"/>
        <w:rPr>
          <w:szCs w:val="24"/>
        </w:rPr>
      </w:pPr>
      <w:r w:rsidRPr="00A56CD6">
        <w:rPr>
          <w:szCs w:val="24"/>
        </w:rPr>
        <w:t xml:space="preserve">Chen, J., Li, Q., Zhang, P. and Wang, X. (2024) ‘Does Technological Innovation Efficiency Improve the Growth of New Energy Enterprises? Evidence from Listed Companies in China’, </w:t>
      </w:r>
      <w:r w:rsidRPr="00A56CD6">
        <w:rPr>
          <w:i/>
          <w:iCs/>
          <w:szCs w:val="24"/>
        </w:rPr>
        <w:t>Sustainability</w:t>
      </w:r>
      <w:r w:rsidRPr="00A56CD6">
        <w:rPr>
          <w:szCs w:val="24"/>
        </w:rPr>
        <w:t xml:space="preserve">, 16(4), p. 1573. Available at: </w:t>
      </w:r>
      <w:hyperlink r:id="rId25" w:history="1">
        <w:r w:rsidR="0074056A" w:rsidRPr="00A56CD6">
          <w:rPr>
            <w:rStyle w:val="Hyperlink"/>
            <w:szCs w:val="24"/>
          </w:rPr>
          <w:t>https://doi.org/10.3390/su16041573</w:t>
        </w:r>
      </w:hyperlink>
      <w:r w:rsidRPr="00A56CD6">
        <w:rPr>
          <w:szCs w:val="24"/>
        </w:rPr>
        <w:t>.</w:t>
      </w:r>
      <w:r w:rsidR="0074056A" w:rsidRPr="00A56CD6">
        <w:rPr>
          <w:szCs w:val="24"/>
        </w:rPr>
        <w:t xml:space="preserve"> </w:t>
      </w:r>
    </w:p>
    <w:p w14:paraId="5287181F" w14:textId="578C7AE1" w:rsidR="00527753" w:rsidRPr="00A56CD6" w:rsidRDefault="003E4230" w:rsidP="00741673">
      <w:pPr>
        <w:widowControl w:val="0"/>
        <w:spacing w:after="240"/>
        <w:rPr>
          <w:szCs w:val="24"/>
        </w:rPr>
      </w:pPr>
      <w:r w:rsidRPr="00A56CD6">
        <w:rPr>
          <w:szCs w:val="24"/>
        </w:rPr>
        <w:t xml:space="preserve">Cheng, E. (2024) </w:t>
      </w:r>
      <w:r w:rsidRPr="00A56CD6">
        <w:rPr>
          <w:i/>
          <w:iCs/>
          <w:szCs w:val="24"/>
        </w:rPr>
        <w:t>BYD beats Tesla for a second straight year after producing more than 3 million cars in 2023</w:t>
      </w:r>
      <w:r w:rsidRPr="00A56CD6">
        <w:rPr>
          <w:szCs w:val="24"/>
        </w:rPr>
        <w:t xml:space="preserve">, </w:t>
      </w:r>
      <w:r w:rsidRPr="00A56CD6">
        <w:rPr>
          <w:i/>
          <w:iCs/>
          <w:szCs w:val="24"/>
        </w:rPr>
        <w:t>CNBC</w:t>
      </w:r>
      <w:r w:rsidRPr="00A56CD6">
        <w:rPr>
          <w:szCs w:val="24"/>
        </w:rPr>
        <w:t xml:space="preserve">. Available at: </w:t>
      </w:r>
      <w:hyperlink r:id="rId26" w:history="1">
        <w:r w:rsidR="0074056A" w:rsidRPr="00A56CD6">
          <w:rPr>
            <w:rStyle w:val="Hyperlink"/>
            <w:szCs w:val="24"/>
          </w:rPr>
          <w:t>https://www.cnbc.com/2024/01/02/byd-produced-more-than-3-million-cars-in-2023-set-to-beat-tesla.html</w:t>
        </w:r>
      </w:hyperlink>
      <w:r w:rsidR="0074056A" w:rsidRPr="00A56CD6">
        <w:rPr>
          <w:szCs w:val="24"/>
        </w:rPr>
        <w:t xml:space="preserve"> </w:t>
      </w:r>
      <w:r w:rsidRPr="00A56CD6">
        <w:rPr>
          <w:szCs w:val="24"/>
        </w:rPr>
        <w:t xml:space="preserve">(Accessed: </w:t>
      </w:r>
      <w:r w:rsidR="00AC3CC7" w:rsidRPr="00A56CD6">
        <w:rPr>
          <w:szCs w:val="24"/>
        </w:rPr>
        <w:t>21</w:t>
      </w:r>
      <w:r w:rsidRPr="00A56CD6">
        <w:rPr>
          <w:szCs w:val="24"/>
        </w:rPr>
        <w:t xml:space="preserve"> March 2026).</w:t>
      </w:r>
    </w:p>
    <w:p w14:paraId="23B5330F" w14:textId="02A95924" w:rsidR="00527753" w:rsidRPr="00A56CD6" w:rsidRDefault="003E4230" w:rsidP="00741673">
      <w:pPr>
        <w:widowControl w:val="0"/>
        <w:spacing w:after="240"/>
        <w:rPr>
          <w:szCs w:val="24"/>
        </w:rPr>
      </w:pPr>
      <w:proofErr w:type="spellStart"/>
      <w:r w:rsidRPr="00A56CD6">
        <w:rPr>
          <w:szCs w:val="24"/>
        </w:rPr>
        <w:t>Chinadaily</w:t>
      </w:r>
      <w:proofErr w:type="spellEnd"/>
      <w:r w:rsidRPr="00A56CD6">
        <w:rPr>
          <w:szCs w:val="24"/>
        </w:rPr>
        <w:t xml:space="preserve"> (2025) </w:t>
      </w:r>
      <w:r w:rsidRPr="00A56CD6">
        <w:rPr>
          <w:i/>
          <w:iCs/>
          <w:szCs w:val="24"/>
        </w:rPr>
        <w:t>New technology aids BYD expansion</w:t>
      </w:r>
      <w:r w:rsidRPr="00A56CD6">
        <w:rPr>
          <w:szCs w:val="24"/>
        </w:rPr>
        <w:t xml:space="preserve">, </w:t>
      </w:r>
      <w:r w:rsidRPr="00A56CD6">
        <w:rPr>
          <w:i/>
          <w:iCs/>
          <w:szCs w:val="24"/>
        </w:rPr>
        <w:t>Chinadaily.com.cn</w:t>
      </w:r>
      <w:r w:rsidRPr="00A56CD6">
        <w:rPr>
          <w:szCs w:val="24"/>
        </w:rPr>
        <w:t xml:space="preserve">. Available at: </w:t>
      </w:r>
      <w:hyperlink r:id="rId27" w:history="1">
        <w:r w:rsidR="0074056A" w:rsidRPr="00A56CD6">
          <w:rPr>
            <w:rStyle w:val="Hyperlink"/>
            <w:szCs w:val="24"/>
          </w:rPr>
          <w:t>https://www.chinadaily.com.cn/a/202509/12/WS68c3c3d6a3108622abca078e.html</w:t>
        </w:r>
      </w:hyperlink>
      <w:r w:rsidR="0074056A" w:rsidRPr="00A56CD6">
        <w:rPr>
          <w:szCs w:val="24"/>
        </w:rPr>
        <w:t xml:space="preserve"> </w:t>
      </w:r>
      <w:r w:rsidRPr="00A56CD6">
        <w:rPr>
          <w:szCs w:val="24"/>
        </w:rPr>
        <w:lastRenderedPageBreak/>
        <w:t>(Accessed: 24 March 2026).</w:t>
      </w:r>
    </w:p>
    <w:p w14:paraId="79747919" w14:textId="3EC599C1" w:rsidR="00527753" w:rsidRPr="00A56CD6" w:rsidRDefault="003E4230" w:rsidP="00741673">
      <w:pPr>
        <w:widowControl w:val="0"/>
        <w:spacing w:after="240"/>
        <w:rPr>
          <w:szCs w:val="24"/>
        </w:rPr>
      </w:pPr>
      <w:proofErr w:type="spellStart"/>
      <w:r w:rsidRPr="00A56CD6">
        <w:rPr>
          <w:szCs w:val="24"/>
        </w:rPr>
        <w:t>Chukwuere</w:t>
      </w:r>
      <w:proofErr w:type="spellEnd"/>
      <w:r w:rsidRPr="00A56CD6">
        <w:rPr>
          <w:szCs w:val="24"/>
        </w:rPr>
        <w:t xml:space="preserve">, J.E. (2024) ‘Critical research thinking: A recipe for academic writing success and publications’, </w:t>
      </w:r>
      <w:r w:rsidRPr="00A56CD6">
        <w:rPr>
          <w:i/>
          <w:iCs/>
          <w:szCs w:val="24"/>
        </w:rPr>
        <w:t>International Conference on Emerging Technology and Interdisciplinary Sciences</w:t>
      </w:r>
      <w:r w:rsidRPr="00A56CD6">
        <w:rPr>
          <w:szCs w:val="24"/>
        </w:rPr>
        <w:t xml:space="preserve">, pp. 91–96. Available at: </w:t>
      </w:r>
      <w:hyperlink r:id="rId28" w:history="1">
        <w:r w:rsidR="0074056A" w:rsidRPr="00A56CD6">
          <w:rPr>
            <w:rStyle w:val="Hyperlink"/>
            <w:szCs w:val="24"/>
          </w:rPr>
          <w:t>https://conferences.jozacpublishers.com/index.php/icetis/article/view/57</w:t>
        </w:r>
      </w:hyperlink>
      <w:r w:rsidRPr="00A56CD6">
        <w:rPr>
          <w:szCs w:val="24"/>
        </w:rPr>
        <w:t>.</w:t>
      </w:r>
      <w:r w:rsidR="0074056A" w:rsidRPr="00A56CD6">
        <w:rPr>
          <w:szCs w:val="24"/>
        </w:rPr>
        <w:t xml:space="preserve"> </w:t>
      </w:r>
    </w:p>
    <w:p w14:paraId="0456AC32" w14:textId="23EF2782" w:rsidR="00527753" w:rsidRPr="00A56CD6" w:rsidRDefault="003E4230" w:rsidP="00741673">
      <w:pPr>
        <w:widowControl w:val="0"/>
        <w:spacing w:after="240"/>
        <w:rPr>
          <w:szCs w:val="24"/>
        </w:rPr>
      </w:pPr>
      <w:r w:rsidRPr="00A56CD6">
        <w:rPr>
          <w:szCs w:val="24"/>
        </w:rPr>
        <w:t xml:space="preserve">de Oliveira Neto, G.C., do Prado Soares, O., Costa, B.K., da Silva, R.N.B., da Costa, P.R., Bernardes, R., Rodrigues, F.L., de Carvalho, A.S. and da Silva, D. (2025) ‘Impact Measuring the of Technological Innovation Driven by Co-creation of value on the Performance of Multinationals in Emerging Markets’, </w:t>
      </w:r>
      <w:r w:rsidRPr="00A56CD6">
        <w:rPr>
          <w:i/>
          <w:iCs/>
          <w:szCs w:val="24"/>
        </w:rPr>
        <w:t>Journal of Open Innovation: Technology, Market, and Complexity</w:t>
      </w:r>
      <w:r w:rsidRPr="00A56CD6">
        <w:rPr>
          <w:szCs w:val="24"/>
        </w:rPr>
        <w:t xml:space="preserve">, p. 100511. Available at: </w:t>
      </w:r>
      <w:hyperlink r:id="rId29" w:history="1">
        <w:r w:rsidR="0074056A" w:rsidRPr="00A56CD6">
          <w:rPr>
            <w:rStyle w:val="Hyperlink"/>
            <w:szCs w:val="24"/>
          </w:rPr>
          <w:t>https://doi.org/10.1016/j.joitmc.2025.100511</w:t>
        </w:r>
      </w:hyperlink>
      <w:r w:rsidRPr="00A56CD6">
        <w:rPr>
          <w:szCs w:val="24"/>
        </w:rPr>
        <w:t>.</w:t>
      </w:r>
      <w:r w:rsidR="0074056A" w:rsidRPr="00A56CD6">
        <w:rPr>
          <w:szCs w:val="24"/>
        </w:rPr>
        <w:t xml:space="preserve"> </w:t>
      </w:r>
    </w:p>
    <w:p w14:paraId="0C18B43D" w14:textId="72882B3E" w:rsidR="00527753" w:rsidRPr="00A56CD6" w:rsidRDefault="003E4230" w:rsidP="00741673">
      <w:pPr>
        <w:widowControl w:val="0"/>
        <w:spacing w:after="240"/>
        <w:rPr>
          <w:szCs w:val="24"/>
        </w:rPr>
      </w:pPr>
      <w:proofErr w:type="spellStart"/>
      <w:r w:rsidRPr="00A56CD6">
        <w:rPr>
          <w:szCs w:val="24"/>
        </w:rPr>
        <w:t>Gasgoo</w:t>
      </w:r>
      <w:proofErr w:type="spellEnd"/>
      <w:r w:rsidRPr="00A56CD6">
        <w:rPr>
          <w:szCs w:val="24"/>
        </w:rPr>
        <w:t xml:space="preserve"> (2026) ‘BYD raises the ceiling for EV batteries—and signals new phase of competition’, </w:t>
      </w:r>
      <w:proofErr w:type="spellStart"/>
      <w:r w:rsidRPr="00A56CD6">
        <w:rPr>
          <w:i/>
          <w:iCs/>
          <w:szCs w:val="24"/>
        </w:rPr>
        <w:t>Gasgoo</w:t>
      </w:r>
      <w:proofErr w:type="spellEnd"/>
      <w:r w:rsidRPr="00A56CD6">
        <w:rPr>
          <w:szCs w:val="24"/>
        </w:rPr>
        <w:t xml:space="preserve">. Available at: </w:t>
      </w:r>
      <w:hyperlink r:id="rId30" w:history="1">
        <w:r w:rsidR="0074056A" w:rsidRPr="00A56CD6">
          <w:rPr>
            <w:rStyle w:val="Hyperlink"/>
            <w:szCs w:val="24"/>
          </w:rPr>
          <w:t>https://autonews.gasgoo.com/articles/news/byd-raises-the-ceiling-for-ev-batteriesand-signals-new-phase-of-competition-2029908364610355200</w:t>
        </w:r>
      </w:hyperlink>
      <w:r w:rsidR="0074056A" w:rsidRPr="00A56CD6">
        <w:rPr>
          <w:szCs w:val="24"/>
        </w:rPr>
        <w:t xml:space="preserve"> </w:t>
      </w:r>
      <w:r w:rsidRPr="00A56CD6">
        <w:rPr>
          <w:szCs w:val="24"/>
        </w:rPr>
        <w:t>(Accessed: 24 March 2026).</w:t>
      </w:r>
    </w:p>
    <w:p w14:paraId="2AC732DF" w14:textId="681E0AB8" w:rsidR="00527753" w:rsidRPr="00A56CD6" w:rsidRDefault="003E4230" w:rsidP="00741673">
      <w:pPr>
        <w:widowControl w:val="0"/>
        <w:spacing w:after="240"/>
        <w:rPr>
          <w:szCs w:val="24"/>
        </w:rPr>
      </w:pPr>
      <w:r w:rsidRPr="00A56CD6">
        <w:rPr>
          <w:szCs w:val="24"/>
        </w:rPr>
        <w:t xml:space="preserve">Gómez-Trujillo, A.M., Gonzalez-Perez, M.A. and Baena, J. (2024) ‘Sustainable strategy as a lever for corporate legitimacy and long-term competitive advantage: an examination of an emerging market multinational’, </w:t>
      </w:r>
      <w:r w:rsidRPr="00A56CD6">
        <w:rPr>
          <w:i/>
          <w:iCs/>
          <w:szCs w:val="24"/>
        </w:rPr>
        <w:t>European Business Review</w:t>
      </w:r>
      <w:r w:rsidRPr="00A56CD6">
        <w:rPr>
          <w:szCs w:val="24"/>
        </w:rPr>
        <w:t xml:space="preserve">, 36(1). Available at: </w:t>
      </w:r>
      <w:hyperlink r:id="rId31" w:history="1">
        <w:r w:rsidR="009063FD" w:rsidRPr="00A56CD6">
          <w:rPr>
            <w:rStyle w:val="Hyperlink"/>
            <w:szCs w:val="24"/>
          </w:rPr>
          <w:t>https://doi.org/10.1108/ebr-01-2023-0003</w:t>
        </w:r>
      </w:hyperlink>
      <w:r w:rsidR="009063FD" w:rsidRPr="00A56CD6">
        <w:rPr>
          <w:szCs w:val="24"/>
        </w:rPr>
        <w:t xml:space="preserve">. </w:t>
      </w:r>
    </w:p>
    <w:p w14:paraId="36F75D05" w14:textId="39FEE2E4" w:rsidR="00527753" w:rsidRPr="00A56CD6" w:rsidRDefault="003E4230" w:rsidP="00741673">
      <w:pPr>
        <w:widowControl w:val="0"/>
        <w:spacing w:after="240"/>
        <w:rPr>
          <w:szCs w:val="24"/>
        </w:rPr>
      </w:pPr>
      <w:r w:rsidRPr="00A56CD6">
        <w:rPr>
          <w:szCs w:val="24"/>
        </w:rPr>
        <w:t xml:space="preserve">Gonen, L.D., Tavor, T. and Spiegel, U. (2024) ‘Unlocking Market Potential: Strategic Consumer Segmentation and Dynamic Pricing for Balancing Loyalty and Deal Seeking’, </w:t>
      </w:r>
      <w:r w:rsidRPr="00A56CD6">
        <w:rPr>
          <w:i/>
          <w:iCs/>
          <w:szCs w:val="24"/>
        </w:rPr>
        <w:t>Mathematics</w:t>
      </w:r>
      <w:r w:rsidRPr="00A56CD6">
        <w:rPr>
          <w:szCs w:val="24"/>
        </w:rPr>
        <w:t xml:space="preserve">, 12(21), p. 3364. Available at: </w:t>
      </w:r>
      <w:hyperlink r:id="rId32" w:history="1">
        <w:r w:rsidR="009063FD" w:rsidRPr="00A56CD6">
          <w:rPr>
            <w:rStyle w:val="Hyperlink"/>
            <w:szCs w:val="24"/>
          </w:rPr>
          <w:t>https://www.mdpi.com/2227-7390/12/21/3364</w:t>
        </w:r>
      </w:hyperlink>
      <w:r w:rsidR="009063FD" w:rsidRPr="00A56CD6">
        <w:rPr>
          <w:szCs w:val="24"/>
        </w:rPr>
        <w:t xml:space="preserve"> </w:t>
      </w:r>
      <w:r w:rsidRPr="00A56CD6">
        <w:rPr>
          <w:szCs w:val="24"/>
        </w:rPr>
        <w:t xml:space="preserve">(Accessed: </w:t>
      </w:r>
      <w:r w:rsidR="00AC3CC7" w:rsidRPr="00A56CD6">
        <w:rPr>
          <w:szCs w:val="24"/>
        </w:rPr>
        <w:t>22</w:t>
      </w:r>
      <w:r w:rsidRPr="00A56CD6">
        <w:rPr>
          <w:szCs w:val="24"/>
        </w:rPr>
        <w:t xml:space="preserve"> March 2026).</w:t>
      </w:r>
    </w:p>
    <w:p w14:paraId="4AB851A5" w14:textId="77777777" w:rsidR="00527753" w:rsidRPr="00A56CD6" w:rsidRDefault="003E4230" w:rsidP="00741673">
      <w:pPr>
        <w:widowControl w:val="0"/>
        <w:spacing w:after="240"/>
        <w:rPr>
          <w:szCs w:val="24"/>
        </w:rPr>
      </w:pPr>
      <w:r w:rsidRPr="00A56CD6">
        <w:rPr>
          <w:szCs w:val="24"/>
        </w:rPr>
        <w:t xml:space="preserve">Hyundai (2026) </w:t>
      </w:r>
      <w:r w:rsidRPr="00A56CD6">
        <w:rPr>
          <w:i/>
          <w:iCs/>
          <w:szCs w:val="24"/>
        </w:rPr>
        <w:t>Hyundai</w:t>
      </w:r>
      <w:r w:rsidRPr="00A56CD6">
        <w:rPr>
          <w:szCs w:val="24"/>
        </w:rPr>
        <w:t xml:space="preserve">, </w:t>
      </w:r>
      <w:r w:rsidRPr="00A56CD6">
        <w:rPr>
          <w:i/>
          <w:iCs/>
          <w:szCs w:val="24"/>
        </w:rPr>
        <w:t>Hyundainews.com</w:t>
      </w:r>
      <w:r w:rsidRPr="00A56CD6">
        <w:rPr>
          <w:szCs w:val="24"/>
        </w:rPr>
        <w:t>. Available at: https://www.hyundainews.com/releases/1239 (Accessed: 24 March 2026).</w:t>
      </w:r>
    </w:p>
    <w:p w14:paraId="1C211610" w14:textId="7C75139B" w:rsidR="00527753" w:rsidRPr="00A56CD6" w:rsidRDefault="003E4230" w:rsidP="00741673">
      <w:pPr>
        <w:widowControl w:val="0"/>
        <w:spacing w:after="240"/>
        <w:rPr>
          <w:szCs w:val="24"/>
        </w:rPr>
      </w:pPr>
      <w:r w:rsidRPr="00A56CD6">
        <w:rPr>
          <w:szCs w:val="24"/>
        </w:rPr>
        <w:t xml:space="preserve">IEA (2025) </w:t>
      </w:r>
      <w:r w:rsidRPr="00A56CD6">
        <w:rPr>
          <w:i/>
          <w:iCs/>
          <w:szCs w:val="24"/>
        </w:rPr>
        <w:t>Trends in electric car markets – Global EV Outlook 2025</w:t>
      </w:r>
      <w:r w:rsidRPr="00A56CD6">
        <w:rPr>
          <w:szCs w:val="24"/>
        </w:rPr>
        <w:t xml:space="preserve">, </w:t>
      </w:r>
      <w:r w:rsidRPr="00A56CD6">
        <w:rPr>
          <w:i/>
          <w:iCs/>
          <w:szCs w:val="24"/>
        </w:rPr>
        <w:t>IEA</w:t>
      </w:r>
      <w:r w:rsidRPr="00A56CD6">
        <w:rPr>
          <w:szCs w:val="24"/>
        </w:rPr>
        <w:t xml:space="preserve">. Available at: </w:t>
      </w:r>
      <w:hyperlink r:id="rId33" w:history="1">
        <w:r w:rsidR="009063FD" w:rsidRPr="00A56CD6">
          <w:rPr>
            <w:rStyle w:val="Hyperlink"/>
            <w:szCs w:val="24"/>
          </w:rPr>
          <w:t>https://www.iea.org/reports/global-ev-outlook-2025/trends-in-electric-car-markets-2</w:t>
        </w:r>
      </w:hyperlink>
      <w:r w:rsidR="009063FD" w:rsidRPr="00A56CD6">
        <w:rPr>
          <w:szCs w:val="24"/>
        </w:rPr>
        <w:t xml:space="preserve"> </w:t>
      </w:r>
      <w:r w:rsidRPr="00A56CD6">
        <w:rPr>
          <w:szCs w:val="24"/>
        </w:rPr>
        <w:t>(Accessed: 23 March 2026).</w:t>
      </w:r>
    </w:p>
    <w:p w14:paraId="3C58259A" w14:textId="4BB23C83" w:rsidR="00527753" w:rsidRPr="00A56CD6" w:rsidRDefault="003E4230" w:rsidP="00741673">
      <w:pPr>
        <w:widowControl w:val="0"/>
        <w:spacing w:after="240"/>
        <w:rPr>
          <w:szCs w:val="24"/>
        </w:rPr>
      </w:pPr>
      <w:r w:rsidRPr="00A56CD6">
        <w:rPr>
          <w:szCs w:val="24"/>
        </w:rPr>
        <w:t xml:space="preserve">Jain, N.P.K. (2024) ‘Global Integration vs. Local Responsiveness: Managing Strategic </w:t>
      </w:r>
      <w:r w:rsidRPr="00A56CD6">
        <w:rPr>
          <w:szCs w:val="24"/>
        </w:rPr>
        <w:lastRenderedPageBreak/>
        <w:t xml:space="preserve">Dilemmas in Multinational Corporations’, </w:t>
      </w:r>
      <w:r w:rsidRPr="00A56CD6">
        <w:rPr>
          <w:i/>
          <w:iCs/>
          <w:szCs w:val="24"/>
        </w:rPr>
        <w:t>Journal of Advanced Management Studies</w:t>
      </w:r>
      <w:r w:rsidRPr="00A56CD6">
        <w:rPr>
          <w:szCs w:val="24"/>
        </w:rPr>
        <w:t xml:space="preserve">, 1(3), pp. 27–31. Available at: </w:t>
      </w:r>
      <w:hyperlink r:id="rId34" w:history="1">
        <w:r w:rsidR="009063FD" w:rsidRPr="00A56CD6">
          <w:rPr>
            <w:rStyle w:val="Hyperlink"/>
            <w:szCs w:val="24"/>
          </w:rPr>
          <w:t>https://doi.org/10.36676/jams.v1.i3.16</w:t>
        </w:r>
      </w:hyperlink>
      <w:r w:rsidRPr="00A56CD6">
        <w:rPr>
          <w:szCs w:val="24"/>
        </w:rPr>
        <w:t>.</w:t>
      </w:r>
      <w:r w:rsidR="009063FD" w:rsidRPr="00A56CD6">
        <w:rPr>
          <w:szCs w:val="24"/>
        </w:rPr>
        <w:t xml:space="preserve"> </w:t>
      </w:r>
    </w:p>
    <w:p w14:paraId="1CA74ADB" w14:textId="3FAFED10" w:rsidR="00527753" w:rsidRPr="00A56CD6" w:rsidRDefault="003E4230" w:rsidP="00741673">
      <w:pPr>
        <w:widowControl w:val="0"/>
        <w:spacing w:after="240"/>
        <w:rPr>
          <w:szCs w:val="24"/>
        </w:rPr>
      </w:pPr>
      <w:proofErr w:type="spellStart"/>
      <w:r w:rsidRPr="00A56CD6">
        <w:rPr>
          <w:szCs w:val="24"/>
        </w:rPr>
        <w:t>Jerab</w:t>
      </w:r>
      <w:proofErr w:type="spellEnd"/>
      <w:r w:rsidRPr="00A56CD6">
        <w:rPr>
          <w:szCs w:val="24"/>
        </w:rPr>
        <w:t xml:space="preserve">, D. and Mabrouk, T. (2023) </w:t>
      </w:r>
      <w:r w:rsidRPr="00A56CD6">
        <w:rPr>
          <w:i/>
          <w:iCs/>
          <w:szCs w:val="24"/>
        </w:rPr>
        <w:t>Achieving competitive advantage through cost leadership strategy: Strategies for sustainable success</w:t>
      </w:r>
      <w:r w:rsidRPr="00A56CD6">
        <w:rPr>
          <w:szCs w:val="24"/>
        </w:rPr>
        <w:t xml:space="preserve">, </w:t>
      </w:r>
      <w:r w:rsidRPr="00A56CD6">
        <w:rPr>
          <w:i/>
          <w:iCs/>
          <w:szCs w:val="24"/>
        </w:rPr>
        <w:t>Social Science Research Network</w:t>
      </w:r>
      <w:r w:rsidRPr="00A56CD6">
        <w:rPr>
          <w:szCs w:val="24"/>
        </w:rPr>
        <w:t xml:space="preserve">. Rochester, NY. Available at: </w:t>
      </w:r>
      <w:hyperlink r:id="rId35" w:history="1">
        <w:r w:rsidR="009063FD" w:rsidRPr="00A56CD6">
          <w:rPr>
            <w:rStyle w:val="Hyperlink"/>
            <w:szCs w:val="24"/>
          </w:rPr>
          <w:t>https://doi.org/10.2139/ssrn.4574945</w:t>
        </w:r>
      </w:hyperlink>
      <w:r w:rsidRPr="00A56CD6">
        <w:rPr>
          <w:szCs w:val="24"/>
        </w:rPr>
        <w:t>.</w:t>
      </w:r>
      <w:r w:rsidR="009063FD" w:rsidRPr="00A56CD6">
        <w:rPr>
          <w:szCs w:val="24"/>
        </w:rPr>
        <w:t xml:space="preserve"> </w:t>
      </w:r>
    </w:p>
    <w:p w14:paraId="58EF7917" w14:textId="089A9112" w:rsidR="00527753" w:rsidRPr="00A56CD6" w:rsidRDefault="003E4230" w:rsidP="00741673">
      <w:pPr>
        <w:widowControl w:val="0"/>
        <w:spacing w:after="240"/>
        <w:rPr>
          <w:szCs w:val="24"/>
        </w:rPr>
      </w:pPr>
      <w:r w:rsidRPr="00A56CD6">
        <w:rPr>
          <w:szCs w:val="24"/>
        </w:rPr>
        <w:t xml:space="preserve">Jolly, J. (2026) </w:t>
      </w:r>
      <w:r w:rsidRPr="00A56CD6">
        <w:rPr>
          <w:i/>
          <w:iCs/>
          <w:szCs w:val="24"/>
        </w:rPr>
        <w:t>China’s BYD overtakes Tesla as world’s biggest electric car seller</w:t>
      </w:r>
      <w:r w:rsidRPr="00A56CD6">
        <w:rPr>
          <w:szCs w:val="24"/>
        </w:rPr>
        <w:t xml:space="preserve">, </w:t>
      </w:r>
      <w:r w:rsidRPr="00A56CD6">
        <w:rPr>
          <w:i/>
          <w:iCs/>
          <w:szCs w:val="24"/>
        </w:rPr>
        <w:t>the Guardian</w:t>
      </w:r>
      <w:r w:rsidRPr="00A56CD6">
        <w:rPr>
          <w:szCs w:val="24"/>
        </w:rPr>
        <w:t xml:space="preserve">. The Guardian. Available at: </w:t>
      </w:r>
      <w:hyperlink r:id="rId36" w:history="1">
        <w:r w:rsidR="009063FD" w:rsidRPr="00A56CD6">
          <w:rPr>
            <w:rStyle w:val="Hyperlink"/>
            <w:szCs w:val="24"/>
          </w:rPr>
          <w:t>https://www.theguardian.com/business/2026/jan/02/china-byd-tesla-worlds-biggest-electric-car-seller-elon-musk-donald-trump-ev</w:t>
        </w:r>
      </w:hyperlink>
      <w:r w:rsidR="009063FD" w:rsidRPr="00A56CD6">
        <w:rPr>
          <w:szCs w:val="24"/>
        </w:rPr>
        <w:t xml:space="preserve"> </w:t>
      </w:r>
      <w:r w:rsidRPr="00A56CD6">
        <w:rPr>
          <w:szCs w:val="24"/>
        </w:rPr>
        <w:t xml:space="preserve">(Accessed: </w:t>
      </w:r>
      <w:r w:rsidR="00AC3CC7" w:rsidRPr="00A56CD6">
        <w:rPr>
          <w:szCs w:val="24"/>
        </w:rPr>
        <w:t>19</w:t>
      </w:r>
      <w:r w:rsidRPr="00A56CD6">
        <w:rPr>
          <w:szCs w:val="24"/>
        </w:rPr>
        <w:t xml:space="preserve"> March 2026).</w:t>
      </w:r>
    </w:p>
    <w:p w14:paraId="760556C5" w14:textId="07460AA9" w:rsidR="00527753" w:rsidRPr="00A56CD6" w:rsidRDefault="003E4230" w:rsidP="00741673">
      <w:pPr>
        <w:widowControl w:val="0"/>
        <w:spacing w:after="240"/>
        <w:rPr>
          <w:szCs w:val="24"/>
        </w:rPr>
      </w:pPr>
      <w:r w:rsidRPr="00A56CD6">
        <w:rPr>
          <w:szCs w:val="24"/>
        </w:rPr>
        <w:t>Jones, B., Nguyen</w:t>
      </w:r>
      <w:r w:rsidRPr="00A56CD6">
        <w:rPr>
          <w:rFonts w:ascii="Cambria Math" w:hAnsi="Cambria Math" w:cs="Cambria Math"/>
          <w:szCs w:val="24"/>
        </w:rPr>
        <w:t>‐</w:t>
      </w:r>
      <w:r w:rsidRPr="00A56CD6">
        <w:rPr>
          <w:szCs w:val="24"/>
        </w:rPr>
        <w:t xml:space="preserve">Tien, V. and Elliott, R.J.R. (2022) ‘The electric vehicle revolution: Critical material supply chains, trade and development’, </w:t>
      </w:r>
      <w:r w:rsidRPr="00A56CD6">
        <w:rPr>
          <w:i/>
          <w:iCs/>
          <w:szCs w:val="24"/>
        </w:rPr>
        <w:t>The World Economy</w:t>
      </w:r>
      <w:r w:rsidRPr="00A56CD6">
        <w:rPr>
          <w:szCs w:val="24"/>
        </w:rPr>
        <w:t xml:space="preserve">, 46(1). Available at: </w:t>
      </w:r>
      <w:hyperlink r:id="rId37" w:history="1">
        <w:r w:rsidR="009063FD" w:rsidRPr="00A56CD6">
          <w:rPr>
            <w:rStyle w:val="Hyperlink"/>
            <w:szCs w:val="24"/>
          </w:rPr>
          <w:t>https://doi.org/10.1111/twec.13345</w:t>
        </w:r>
      </w:hyperlink>
      <w:r w:rsidRPr="00A56CD6">
        <w:rPr>
          <w:szCs w:val="24"/>
        </w:rPr>
        <w:t>.</w:t>
      </w:r>
      <w:r w:rsidR="009063FD" w:rsidRPr="00A56CD6">
        <w:rPr>
          <w:szCs w:val="24"/>
        </w:rPr>
        <w:t xml:space="preserve"> </w:t>
      </w:r>
    </w:p>
    <w:p w14:paraId="45DEC797" w14:textId="73E1760F" w:rsidR="00527753" w:rsidRPr="00A56CD6" w:rsidRDefault="003E4230" w:rsidP="00741673">
      <w:pPr>
        <w:widowControl w:val="0"/>
        <w:spacing w:after="240"/>
        <w:rPr>
          <w:szCs w:val="24"/>
        </w:rPr>
      </w:pPr>
      <w:r w:rsidRPr="00A56CD6">
        <w:rPr>
          <w:szCs w:val="24"/>
        </w:rPr>
        <w:t>Keenan, R. (2025)</w:t>
      </w:r>
      <w:r w:rsidR="00AC3CC7" w:rsidRPr="00A56CD6">
        <w:rPr>
          <w:szCs w:val="24"/>
        </w:rPr>
        <w:t>.</w:t>
      </w:r>
      <w:r w:rsidRPr="00A56CD6">
        <w:rPr>
          <w:szCs w:val="24"/>
        </w:rPr>
        <w:t xml:space="preserve"> </w:t>
      </w:r>
      <w:r w:rsidRPr="00A56CD6">
        <w:rPr>
          <w:i/>
          <w:iCs/>
          <w:szCs w:val="24"/>
        </w:rPr>
        <w:t>Clean energy contributed 10% to China’s GDP in 2024, analysis shows</w:t>
      </w:r>
      <w:r w:rsidRPr="00A56CD6">
        <w:rPr>
          <w:szCs w:val="24"/>
        </w:rPr>
        <w:t xml:space="preserve">, </w:t>
      </w:r>
      <w:r w:rsidR="00AC3CC7" w:rsidRPr="00A56CD6">
        <w:rPr>
          <w:i/>
          <w:iCs/>
          <w:szCs w:val="24"/>
        </w:rPr>
        <w:t>The</w:t>
      </w:r>
      <w:r w:rsidRPr="00A56CD6">
        <w:rPr>
          <w:i/>
          <w:iCs/>
          <w:szCs w:val="24"/>
        </w:rPr>
        <w:t xml:space="preserve"> Guardian</w:t>
      </w:r>
      <w:r w:rsidRPr="00A56CD6">
        <w:rPr>
          <w:szCs w:val="24"/>
        </w:rPr>
        <w:t xml:space="preserve">. The Guardian. Available at: </w:t>
      </w:r>
      <w:hyperlink r:id="rId38" w:history="1">
        <w:r w:rsidR="009063FD" w:rsidRPr="00A56CD6">
          <w:rPr>
            <w:rStyle w:val="Hyperlink"/>
            <w:szCs w:val="24"/>
          </w:rPr>
          <w:t>https://www.theguardian.com/world/2025/feb/19/clean-energy-contributed-10-to-chinas-gdp-in-2024-analysis-shows</w:t>
        </w:r>
      </w:hyperlink>
      <w:r w:rsidR="009063FD" w:rsidRPr="00A56CD6">
        <w:rPr>
          <w:szCs w:val="24"/>
        </w:rPr>
        <w:t xml:space="preserve"> </w:t>
      </w:r>
      <w:r w:rsidRPr="00A56CD6">
        <w:rPr>
          <w:szCs w:val="24"/>
        </w:rPr>
        <w:t xml:space="preserve">(Accessed: </w:t>
      </w:r>
      <w:r w:rsidR="00AC3CC7" w:rsidRPr="00A56CD6">
        <w:rPr>
          <w:szCs w:val="24"/>
        </w:rPr>
        <w:t>17</w:t>
      </w:r>
      <w:r w:rsidRPr="00A56CD6">
        <w:rPr>
          <w:szCs w:val="24"/>
        </w:rPr>
        <w:t xml:space="preserve"> March 2026).</w:t>
      </w:r>
    </w:p>
    <w:p w14:paraId="0E9BC7CC" w14:textId="4885C174" w:rsidR="00527753" w:rsidRPr="00A56CD6" w:rsidRDefault="003E4230" w:rsidP="00741673">
      <w:pPr>
        <w:widowControl w:val="0"/>
        <w:spacing w:after="240"/>
        <w:rPr>
          <w:szCs w:val="24"/>
        </w:rPr>
      </w:pPr>
      <w:proofErr w:type="spellStart"/>
      <w:r w:rsidRPr="00A56CD6">
        <w:rPr>
          <w:szCs w:val="24"/>
        </w:rPr>
        <w:t>Koudsia</w:t>
      </w:r>
      <w:proofErr w:type="spellEnd"/>
      <w:r w:rsidRPr="00A56CD6">
        <w:rPr>
          <w:szCs w:val="24"/>
        </w:rPr>
        <w:t xml:space="preserve">, S. and Kirchner, M. (2024) ‘Reducing Cognitive Overload for Students in Higher Education: A Course Design Case Study’, </w:t>
      </w:r>
      <w:proofErr w:type="spellStart"/>
      <w:r w:rsidRPr="00A56CD6">
        <w:rPr>
          <w:i/>
          <w:iCs/>
          <w:szCs w:val="24"/>
        </w:rPr>
        <w:t>heory</w:t>
      </w:r>
      <w:proofErr w:type="spellEnd"/>
      <w:r w:rsidRPr="00A56CD6">
        <w:rPr>
          <w:i/>
          <w:iCs/>
          <w:szCs w:val="24"/>
        </w:rPr>
        <w:t xml:space="preserve"> and Practice</w:t>
      </w:r>
      <w:r w:rsidRPr="00A56CD6">
        <w:rPr>
          <w:szCs w:val="24"/>
        </w:rPr>
        <w:t xml:space="preserve">, 24(10), pp. 97–124. Available at: </w:t>
      </w:r>
      <w:hyperlink r:id="rId39" w:history="1">
        <w:r w:rsidR="009063FD" w:rsidRPr="00A56CD6">
          <w:rPr>
            <w:rStyle w:val="Hyperlink"/>
            <w:szCs w:val="24"/>
          </w:rPr>
          <w:t>https://www.researchgate.net/profile/Michael-Kirchner/publication/386057003_Reducing_Cognitive_Overload_for_Students_in_Higher_Education_A_Course_Design_Case_Study/links/67508766876bd177783bfd5f/Reducing-Cognitive-Overload-for-Students-in-Higher-Education-A-Course-Design-Case-Study.pdf</w:t>
        </w:r>
      </w:hyperlink>
      <w:r w:rsidR="009063FD" w:rsidRPr="00A56CD6">
        <w:rPr>
          <w:szCs w:val="24"/>
        </w:rPr>
        <w:t xml:space="preserve"> </w:t>
      </w:r>
      <w:r w:rsidRPr="00A56CD6">
        <w:rPr>
          <w:szCs w:val="24"/>
        </w:rPr>
        <w:t>(Accessed: 24 March 2026).</w:t>
      </w:r>
    </w:p>
    <w:p w14:paraId="094C8BB8" w14:textId="5021AEA5" w:rsidR="00527753" w:rsidRPr="00A56CD6" w:rsidRDefault="003E4230" w:rsidP="00741673">
      <w:pPr>
        <w:widowControl w:val="0"/>
        <w:spacing w:after="240"/>
        <w:rPr>
          <w:szCs w:val="24"/>
        </w:rPr>
      </w:pPr>
      <w:proofErr w:type="spellStart"/>
      <w:r w:rsidRPr="00A56CD6">
        <w:rPr>
          <w:szCs w:val="24"/>
        </w:rPr>
        <w:t>Kurbatska</w:t>
      </w:r>
      <w:proofErr w:type="spellEnd"/>
      <w:r w:rsidRPr="00A56CD6">
        <w:rPr>
          <w:szCs w:val="24"/>
        </w:rPr>
        <w:t xml:space="preserve">, L., </w:t>
      </w:r>
      <w:proofErr w:type="spellStart"/>
      <w:r w:rsidRPr="00A56CD6">
        <w:rPr>
          <w:szCs w:val="24"/>
        </w:rPr>
        <w:t>Kvasova</w:t>
      </w:r>
      <w:proofErr w:type="spellEnd"/>
      <w:r w:rsidRPr="00A56CD6">
        <w:rPr>
          <w:szCs w:val="24"/>
        </w:rPr>
        <w:t xml:space="preserve">, L. and </w:t>
      </w:r>
      <w:proofErr w:type="spellStart"/>
      <w:r w:rsidRPr="00A56CD6">
        <w:rPr>
          <w:szCs w:val="24"/>
        </w:rPr>
        <w:t>Lozovyi</w:t>
      </w:r>
      <w:proofErr w:type="spellEnd"/>
      <w:r w:rsidRPr="00A56CD6">
        <w:rPr>
          <w:szCs w:val="24"/>
        </w:rPr>
        <w:t xml:space="preserve">, D. (2024) ‘IMPLEMENTATION OF THE DIVERSIFICATION STRATEGY FOR THE FORMATION OF THE ADAPTABILITY OF THE ENTERPRISE’, </w:t>
      </w:r>
      <w:r w:rsidRPr="00A56CD6">
        <w:rPr>
          <w:i/>
          <w:iCs/>
          <w:szCs w:val="24"/>
        </w:rPr>
        <w:t>Green, Blue and Digital Economy Journal</w:t>
      </w:r>
      <w:r w:rsidRPr="00A56CD6">
        <w:rPr>
          <w:szCs w:val="24"/>
        </w:rPr>
        <w:t xml:space="preserve">, 5(3), pp. 14–20. Available at: </w:t>
      </w:r>
      <w:hyperlink r:id="rId40" w:history="1">
        <w:r w:rsidR="009063FD" w:rsidRPr="00A56CD6">
          <w:rPr>
            <w:rStyle w:val="Hyperlink"/>
            <w:szCs w:val="24"/>
          </w:rPr>
          <w:t>https://doi.org/10.30525/2661-5169/2024-3-3</w:t>
        </w:r>
      </w:hyperlink>
      <w:r w:rsidRPr="00A56CD6">
        <w:rPr>
          <w:szCs w:val="24"/>
        </w:rPr>
        <w:t>.</w:t>
      </w:r>
      <w:r w:rsidR="009063FD" w:rsidRPr="00A56CD6">
        <w:rPr>
          <w:szCs w:val="24"/>
        </w:rPr>
        <w:t xml:space="preserve"> </w:t>
      </w:r>
    </w:p>
    <w:p w14:paraId="5898C492" w14:textId="03B61677" w:rsidR="00527753" w:rsidRPr="00A56CD6" w:rsidRDefault="003E4230" w:rsidP="00741673">
      <w:pPr>
        <w:widowControl w:val="0"/>
        <w:spacing w:after="240"/>
        <w:rPr>
          <w:szCs w:val="24"/>
        </w:rPr>
      </w:pPr>
      <w:r w:rsidRPr="00A56CD6">
        <w:rPr>
          <w:szCs w:val="24"/>
        </w:rPr>
        <w:t xml:space="preserve">Leung, A. (2025) </w:t>
      </w:r>
      <w:r w:rsidRPr="00A56CD6">
        <w:rPr>
          <w:i/>
          <w:iCs/>
          <w:szCs w:val="24"/>
        </w:rPr>
        <w:t>BYD Q1–Q3 revenue hits 79.5 billion USD, R&amp;D spending exceeds net profit as global EV sales surge</w:t>
      </w:r>
      <w:r w:rsidRPr="00A56CD6">
        <w:rPr>
          <w:szCs w:val="24"/>
        </w:rPr>
        <w:t xml:space="preserve">, </w:t>
      </w:r>
      <w:r w:rsidRPr="00A56CD6">
        <w:rPr>
          <w:i/>
          <w:iCs/>
          <w:szCs w:val="24"/>
        </w:rPr>
        <w:t>CarNewsChina.com</w:t>
      </w:r>
      <w:r w:rsidRPr="00A56CD6">
        <w:rPr>
          <w:szCs w:val="24"/>
        </w:rPr>
        <w:t xml:space="preserve">. Available at: </w:t>
      </w:r>
      <w:hyperlink r:id="rId41" w:history="1">
        <w:r w:rsidR="009063FD" w:rsidRPr="00A56CD6">
          <w:rPr>
            <w:rStyle w:val="Hyperlink"/>
            <w:szCs w:val="24"/>
          </w:rPr>
          <w:t>https://carnewschina.com/2025/10/31/byd-q1-q3-revenue-hits-79-5-billion-usd-rd-spending-exceeds-net-profit-as-global-ev-sales-surge/</w:t>
        </w:r>
      </w:hyperlink>
      <w:r w:rsidR="009063FD" w:rsidRPr="00A56CD6">
        <w:rPr>
          <w:szCs w:val="24"/>
        </w:rPr>
        <w:t xml:space="preserve"> </w:t>
      </w:r>
      <w:r w:rsidRPr="00A56CD6">
        <w:rPr>
          <w:szCs w:val="24"/>
        </w:rPr>
        <w:t>(Accessed: 24 March 2026).</w:t>
      </w:r>
    </w:p>
    <w:p w14:paraId="77B9EDC0" w14:textId="77777777" w:rsidR="00527753" w:rsidRPr="00A56CD6" w:rsidRDefault="003E4230" w:rsidP="00741673">
      <w:pPr>
        <w:widowControl w:val="0"/>
        <w:spacing w:after="240"/>
        <w:rPr>
          <w:szCs w:val="24"/>
        </w:rPr>
      </w:pPr>
      <w:r w:rsidRPr="00A56CD6">
        <w:rPr>
          <w:szCs w:val="24"/>
        </w:rPr>
        <w:t xml:space="preserve">London, M., Sessa, V.I. and Shelley, L.A. (2023) ‘Developing self-awareness: Learning processes for self- and interpersonal growth’, </w:t>
      </w:r>
      <w:r w:rsidRPr="00A56CD6">
        <w:rPr>
          <w:i/>
          <w:iCs/>
          <w:szCs w:val="24"/>
        </w:rPr>
        <w:t>Annual Review of Organizational Psychology and Organizational Behavior</w:t>
      </w:r>
      <w:r w:rsidRPr="00A56CD6">
        <w:rPr>
          <w:szCs w:val="24"/>
        </w:rPr>
        <w:t>, 10(1), pp. 261–288.</w:t>
      </w:r>
    </w:p>
    <w:p w14:paraId="32E2E15A" w14:textId="5D8D1024" w:rsidR="00527753" w:rsidRPr="00A56CD6" w:rsidRDefault="003E4230" w:rsidP="00741673">
      <w:pPr>
        <w:widowControl w:val="0"/>
        <w:spacing w:after="240"/>
        <w:rPr>
          <w:szCs w:val="24"/>
        </w:rPr>
      </w:pPr>
      <w:r w:rsidRPr="00A56CD6">
        <w:rPr>
          <w:szCs w:val="24"/>
        </w:rPr>
        <w:t xml:space="preserve">Madaan, A., Tandon, N., Gupta, P., Hallinan, S., Gao, L., </w:t>
      </w:r>
      <w:proofErr w:type="spellStart"/>
      <w:r w:rsidRPr="00A56CD6">
        <w:rPr>
          <w:szCs w:val="24"/>
        </w:rPr>
        <w:t>Wiegreffe</w:t>
      </w:r>
      <w:proofErr w:type="spellEnd"/>
      <w:r w:rsidRPr="00A56CD6">
        <w:rPr>
          <w:szCs w:val="24"/>
        </w:rPr>
        <w:t xml:space="preserve">, S., Alon, U., </w:t>
      </w:r>
      <w:proofErr w:type="spellStart"/>
      <w:r w:rsidRPr="00A56CD6">
        <w:rPr>
          <w:szCs w:val="24"/>
        </w:rPr>
        <w:t>Dziri</w:t>
      </w:r>
      <w:proofErr w:type="spellEnd"/>
      <w:r w:rsidRPr="00A56CD6">
        <w:rPr>
          <w:szCs w:val="24"/>
        </w:rPr>
        <w:t xml:space="preserve">, N., </w:t>
      </w:r>
      <w:proofErr w:type="spellStart"/>
      <w:r w:rsidRPr="00A56CD6">
        <w:rPr>
          <w:szCs w:val="24"/>
        </w:rPr>
        <w:t>Prabhumoye</w:t>
      </w:r>
      <w:proofErr w:type="spellEnd"/>
      <w:r w:rsidRPr="00A56CD6">
        <w:rPr>
          <w:szCs w:val="24"/>
        </w:rPr>
        <w:t xml:space="preserve">, S., Yang, Y., Gupta, S., Majumder, B.P., Hermann, K., </w:t>
      </w:r>
      <w:proofErr w:type="spellStart"/>
      <w:r w:rsidRPr="00A56CD6">
        <w:rPr>
          <w:szCs w:val="24"/>
        </w:rPr>
        <w:t>Welleck</w:t>
      </w:r>
      <w:proofErr w:type="spellEnd"/>
      <w:r w:rsidRPr="00A56CD6">
        <w:rPr>
          <w:szCs w:val="24"/>
        </w:rPr>
        <w:t xml:space="preserve">, S., </w:t>
      </w:r>
      <w:proofErr w:type="spellStart"/>
      <w:r w:rsidRPr="00A56CD6">
        <w:rPr>
          <w:szCs w:val="24"/>
        </w:rPr>
        <w:t>Yazdanbakhsh</w:t>
      </w:r>
      <w:proofErr w:type="spellEnd"/>
      <w:r w:rsidRPr="00A56CD6">
        <w:rPr>
          <w:szCs w:val="24"/>
        </w:rPr>
        <w:t xml:space="preserve">, A. and Clark, P. (2023) ‘Self-Refine: Iterative Refinement with Self-Feedback’, </w:t>
      </w:r>
      <w:r w:rsidRPr="00A56CD6">
        <w:rPr>
          <w:i/>
          <w:iCs/>
          <w:szCs w:val="24"/>
        </w:rPr>
        <w:t>Advances in Neural Information Processing Systems</w:t>
      </w:r>
      <w:r w:rsidRPr="00A56CD6">
        <w:rPr>
          <w:szCs w:val="24"/>
        </w:rPr>
        <w:t xml:space="preserve">, 36, pp. 46534–46594. Available at: </w:t>
      </w:r>
      <w:hyperlink r:id="rId42" w:history="1">
        <w:r w:rsidR="009063FD" w:rsidRPr="00A56CD6">
          <w:rPr>
            <w:rStyle w:val="Hyperlink"/>
            <w:szCs w:val="24"/>
          </w:rPr>
          <w:t>https://proceedings.neurips.cc/paper_files/paper/2023/hash/91edff07232fb1b55a505a9e9f6c0ff3-Abstract-Conference.html</w:t>
        </w:r>
      </w:hyperlink>
      <w:r w:rsidR="009063FD" w:rsidRPr="00A56CD6">
        <w:rPr>
          <w:szCs w:val="24"/>
        </w:rPr>
        <w:t xml:space="preserve"> </w:t>
      </w:r>
      <w:r w:rsidRPr="00A56CD6">
        <w:rPr>
          <w:szCs w:val="24"/>
        </w:rPr>
        <w:t xml:space="preserve">(Accessed: </w:t>
      </w:r>
      <w:r w:rsidR="009063FD" w:rsidRPr="00A56CD6">
        <w:rPr>
          <w:szCs w:val="24"/>
        </w:rPr>
        <w:t>20</w:t>
      </w:r>
      <w:r w:rsidRPr="00A56CD6">
        <w:rPr>
          <w:szCs w:val="24"/>
        </w:rPr>
        <w:t xml:space="preserve"> March 2026).</w:t>
      </w:r>
    </w:p>
    <w:p w14:paraId="44EC0440" w14:textId="7DB42FE8" w:rsidR="00527753" w:rsidRPr="00A56CD6" w:rsidRDefault="003E4230" w:rsidP="00741673">
      <w:pPr>
        <w:widowControl w:val="0"/>
        <w:spacing w:after="240"/>
        <w:rPr>
          <w:szCs w:val="24"/>
        </w:rPr>
      </w:pPr>
      <w:r w:rsidRPr="00A56CD6">
        <w:rPr>
          <w:szCs w:val="24"/>
        </w:rPr>
        <w:t>Markets</w:t>
      </w:r>
      <w:r w:rsidR="009063FD" w:rsidRPr="00A56CD6">
        <w:rPr>
          <w:szCs w:val="24"/>
        </w:rPr>
        <w:t xml:space="preserve"> </w:t>
      </w:r>
      <w:r w:rsidRPr="00A56CD6">
        <w:rPr>
          <w:szCs w:val="24"/>
        </w:rPr>
        <w:t>and</w:t>
      </w:r>
      <w:r w:rsidR="009063FD" w:rsidRPr="00A56CD6">
        <w:rPr>
          <w:szCs w:val="24"/>
        </w:rPr>
        <w:t xml:space="preserve"> M</w:t>
      </w:r>
      <w:r w:rsidRPr="00A56CD6">
        <w:rPr>
          <w:szCs w:val="24"/>
        </w:rPr>
        <w:t xml:space="preserve">arkets (2025) </w:t>
      </w:r>
      <w:r w:rsidRPr="00A56CD6">
        <w:rPr>
          <w:i/>
          <w:iCs/>
          <w:szCs w:val="24"/>
        </w:rPr>
        <w:t>Electric Vehicle Battery Market Analysis | Industry Forecast 2021-2025</w:t>
      </w:r>
      <w:r w:rsidRPr="00A56CD6">
        <w:rPr>
          <w:szCs w:val="24"/>
        </w:rPr>
        <w:t xml:space="preserve">, </w:t>
      </w:r>
      <w:r w:rsidRPr="00A56CD6">
        <w:rPr>
          <w:i/>
          <w:iCs/>
          <w:szCs w:val="24"/>
        </w:rPr>
        <w:t>www.marketsandmarkets.com</w:t>
      </w:r>
      <w:r w:rsidRPr="00A56CD6">
        <w:rPr>
          <w:szCs w:val="24"/>
        </w:rPr>
        <w:t xml:space="preserve">. Available at: </w:t>
      </w:r>
      <w:hyperlink r:id="rId43" w:history="1">
        <w:r w:rsidR="009063FD" w:rsidRPr="00A56CD6">
          <w:rPr>
            <w:rStyle w:val="Hyperlink"/>
            <w:szCs w:val="24"/>
          </w:rPr>
          <w:t>https://www.marketsandmarkets.com/Market-Reports/electric-vehicle-battery-market-100188347.html</w:t>
        </w:r>
      </w:hyperlink>
      <w:r w:rsidR="009063FD" w:rsidRPr="00A56CD6">
        <w:rPr>
          <w:szCs w:val="24"/>
        </w:rPr>
        <w:t xml:space="preserve"> </w:t>
      </w:r>
      <w:r w:rsidRPr="00A56CD6">
        <w:rPr>
          <w:szCs w:val="24"/>
        </w:rPr>
        <w:t xml:space="preserve">(Accessed: </w:t>
      </w:r>
      <w:r w:rsidR="009063FD" w:rsidRPr="00A56CD6">
        <w:rPr>
          <w:szCs w:val="24"/>
        </w:rPr>
        <w:t>19</w:t>
      </w:r>
      <w:r w:rsidRPr="00A56CD6">
        <w:rPr>
          <w:szCs w:val="24"/>
        </w:rPr>
        <w:t xml:space="preserve"> March 2026).</w:t>
      </w:r>
    </w:p>
    <w:p w14:paraId="2D6BDAD3" w14:textId="3D356239" w:rsidR="00527753" w:rsidRPr="00A56CD6" w:rsidRDefault="003E4230" w:rsidP="00741673">
      <w:pPr>
        <w:widowControl w:val="0"/>
        <w:spacing w:after="240"/>
        <w:rPr>
          <w:szCs w:val="24"/>
        </w:rPr>
      </w:pPr>
      <w:r w:rsidRPr="00A56CD6">
        <w:rPr>
          <w:szCs w:val="24"/>
        </w:rPr>
        <w:t>Markets</w:t>
      </w:r>
      <w:r w:rsidR="009063FD" w:rsidRPr="00A56CD6">
        <w:rPr>
          <w:szCs w:val="24"/>
        </w:rPr>
        <w:t xml:space="preserve"> </w:t>
      </w:r>
      <w:r w:rsidRPr="00A56CD6">
        <w:rPr>
          <w:szCs w:val="24"/>
        </w:rPr>
        <w:t>and</w:t>
      </w:r>
      <w:r w:rsidR="009063FD" w:rsidRPr="00A56CD6">
        <w:rPr>
          <w:szCs w:val="24"/>
        </w:rPr>
        <w:t xml:space="preserve"> M</w:t>
      </w:r>
      <w:r w:rsidRPr="00A56CD6">
        <w:rPr>
          <w:szCs w:val="24"/>
        </w:rPr>
        <w:t xml:space="preserve">arkets (2026) </w:t>
      </w:r>
      <w:r w:rsidRPr="00A56CD6">
        <w:rPr>
          <w:i/>
          <w:iCs/>
          <w:szCs w:val="24"/>
        </w:rPr>
        <w:t>EV Market Share Analysis: Key Trends, Segment Insights &amp; Competitive Landscape to 2032</w:t>
      </w:r>
      <w:r w:rsidRPr="00A56CD6">
        <w:rPr>
          <w:szCs w:val="24"/>
        </w:rPr>
        <w:t xml:space="preserve">, </w:t>
      </w:r>
      <w:r w:rsidRPr="00A56CD6">
        <w:rPr>
          <w:i/>
          <w:iCs/>
          <w:szCs w:val="24"/>
        </w:rPr>
        <w:t>Marketsandmarkets.com</w:t>
      </w:r>
      <w:r w:rsidRPr="00A56CD6">
        <w:rPr>
          <w:szCs w:val="24"/>
        </w:rPr>
        <w:t xml:space="preserve">. Available at: </w:t>
      </w:r>
      <w:hyperlink r:id="rId44" w:history="1">
        <w:r w:rsidR="009063FD" w:rsidRPr="00A56CD6">
          <w:rPr>
            <w:rStyle w:val="Hyperlink"/>
            <w:szCs w:val="24"/>
          </w:rPr>
          <w:t>https://www.marketsandmarkets.com/blog/AT/ev-market-share-analysis</w:t>
        </w:r>
      </w:hyperlink>
      <w:r w:rsidR="009063FD" w:rsidRPr="00A56CD6">
        <w:rPr>
          <w:szCs w:val="24"/>
        </w:rPr>
        <w:t xml:space="preserve"> </w:t>
      </w:r>
      <w:r w:rsidRPr="00A56CD6">
        <w:rPr>
          <w:szCs w:val="24"/>
        </w:rPr>
        <w:t xml:space="preserve">(Accessed: </w:t>
      </w:r>
      <w:r w:rsidR="009063FD" w:rsidRPr="00A56CD6">
        <w:rPr>
          <w:szCs w:val="24"/>
        </w:rPr>
        <w:t>20</w:t>
      </w:r>
      <w:r w:rsidRPr="00A56CD6">
        <w:rPr>
          <w:szCs w:val="24"/>
        </w:rPr>
        <w:t xml:space="preserve"> March 2026).</w:t>
      </w:r>
    </w:p>
    <w:p w14:paraId="1DB6A6BF" w14:textId="53BD78DB" w:rsidR="00527753" w:rsidRPr="00A56CD6" w:rsidRDefault="003E4230" w:rsidP="00741673">
      <w:pPr>
        <w:widowControl w:val="0"/>
        <w:spacing w:after="240"/>
        <w:rPr>
          <w:szCs w:val="24"/>
        </w:rPr>
      </w:pPr>
      <w:r w:rsidRPr="00A56CD6">
        <w:rPr>
          <w:szCs w:val="24"/>
        </w:rPr>
        <w:t xml:space="preserve">McKinsey &amp; Company (2023) </w:t>
      </w:r>
      <w:r w:rsidRPr="00A56CD6">
        <w:rPr>
          <w:i/>
          <w:iCs/>
          <w:szCs w:val="24"/>
        </w:rPr>
        <w:t>Consumers Care about Sustainability—and Back It up with Their Wallets</w:t>
      </w:r>
      <w:r w:rsidRPr="00A56CD6">
        <w:rPr>
          <w:szCs w:val="24"/>
        </w:rPr>
        <w:t xml:space="preserve">, </w:t>
      </w:r>
      <w:r w:rsidRPr="00A56CD6">
        <w:rPr>
          <w:i/>
          <w:iCs/>
          <w:szCs w:val="24"/>
        </w:rPr>
        <w:t>McKinsey &amp; Company</w:t>
      </w:r>
      <w:r w:rsidRPr="00A56CD6">
        <w:rPr>
          <w:szCs w:val="24"/>
        </w:rPr>
        <w:t xml:space="preserve">. Available at: </w:t>
      </w:r>
      <w:hyperlink r:id="rId45" w:history="1">
        <w:r w:rsidR="009063FD" w:rsidRPr="00A56CD6">
          <w:rPr>
            <w:rStyle w:val="Hyperlink"/>
            <w:szCs w:val="24"/>
          </w:rPr>
          <w:t>https://www.mckinsey.com/industries/consumer-packaged-goods/our-insights/consumers-care-about-sustainability-and-back-it-up-with-their-wallets</w:t>
        </w:r>
      </w:hyperlink>
      <w:r w:rsidR="009063FD" w:rsidRPr="00A56CD6">
        <w:rPr>
          <w:szCs w:val="24"/>
        </w:rPr>
        <w:t xml:space="preserve"> </w:t>
      </w:r>
      <w:r w:rsidRPr="00A56CD6">
        <w:rPr>
          <w:szCs w:val="24"/>
        </w:rPr>
        <w:t xml:space="preserve">(Accessed: </w:t>
      </w:r>
      <w:r w:rsidR="009063FD" w:rsidRPr="00A56CD6">
        <w:rPr>
          <w:szCs w:val="24"/>
        </w:rPr>
        <w:t>18</w:t>
      </w:r>
      <w:r w:rsidRPr="00A56CD6">
        <w:rPr>
          <w:szCs w:val="24"/>
        </w:rPr>
        <w:t xml:space="preserve"> March 2026).</w:t>
      </w:r>
    </w:p>
    <w:p w14:paraId="3B7BB6DF" w14:textId="6360C258" w:rsidR="009E3674" w:rsidRPr="00A56CD6" w:rsidRDefault="009E3674" w:rsidP="00741673">
      <w:pPr>
        <w:widowControl w:val="0"/>
        <w:spacing w:after="240"/>
        <w:rPr>
          <w:szCs w:val="24"/>
          <w:lang w:val="en-IN"/>
        </w:rPr>
      </w:pPr>
      <w:r w:rsidRPr="00A56CD6">
        <w:rPr>
          <w:szCs w:val="24"/>
          <w:lang w:val="en-IN"/>
        </w:rPr>
        <w:t xml:space="preserve">Miao, L. (2025) </w:t>
      </w:r>
      <w:r w:rsidRPr="00A56CD6">
        <w:rPr>
          <w:i/>
          <w:iCs/>
          <w:szCs w:val="24"/>
          <w:lang w:val="en-IN"/>
        </w:rPr>
        <w:t xml:space="preserve">BYD surpasses Tesla in global pure-electric vehicle sales with already nearly </w:t>
      </w:r>
      <w:proofErr w:type="gramStart"/>
      <w:r w:rsidRPr="00A56CD6">
        <w:rPr>
          <w:i/>
          <w:iCs/>
          <w:szCs w:val="24"/>
          <w:lang w:val="en-IN"/>
        </w:rPr>
        <w:t>400,000 unit</w:t>
      </w:r>
      <w:proofErr w:type="gramEnd"/>
      <w:r w:rsidRPr="00A56CD6">
        <w:rPr>
          <w:i/>
          <w:iCs/>
          <w:szCs w:val="24"/>
          <w:lang w:val="en-IN"/>
        </w:rPr>
        <w:t xml:space="preserve"> lead in 2025</w:t>
      </w:r>
      <w:r w:rsidRPr="00A56CD6">
        <w:rPr>
          <w:szCs w:val="24"/>
          <w:lang w:val="en-IN"/>
        </w:rPr>
        <w:t xml:space="preserve">, </w:t>
      </w:r>
      <w:r w:rsidRPr="00A56CD6">
        <w:rPr>
          <w:i/>
          <w:iCs/>
          <w:szCs w:val="24"/>
          <w:lang w:val="en-IN"/>
        </w:rPr>
        <w:t>CarNewsChina.com</w:t>
      </w:r>
      <w:r w:rsidRPr="00A56CD6">
        <w:rPr>
          <w:szCs w:val="24"/>
          <w:lang w:val="en-IN"/>
        </w:rPr>
        <w:t>. Available at: https://carnewschina.com/2025/10/03/byd-surpasses-tesla-in-global-pure-electric-vehicle-sales-with-already-nearly-400000-unit-lead-in-2025/ (Accessed: 25 April 2026).</w:t>
      </w:r>
    </w:p>
    <w:p w14:paraId="0327BBEA" w14:textId="2B1C2B55" w:rsidR="00527753" w:rsidRPr="00A56CD6" w:rsidRDefault="003E4230" w:rsidP="00741673">
      <w:pPr>
        <w:widowControl w:val="0"/>
        <w:spacing w:after="240"/>
        <w:rPr>
          <w:szCs w:val="24"/>
        </w:rPr>
      </w:pPr>
      <w:r w:rsidRPr="00A56CD6">
        <w:rPr>
          <w:szCs w:val="24"/>
        </w:rPr>
        <w:lastRenderedPageBreak/>
        <w:t xml:space="preserve">Nagy, N., </w:t>
      </w:r>
      <w:proofErr w:type="spellStart"/>
      <w:r w:rsidRPr="00A56CD6">
        <w:rPr>
          <w:szCs w:val="24"/>
        </w:rPr>
        <w:t>Bläse</w:t>
      </w:r>
      <w:proofErr w:type="spellEnd"/>
      <w:r w:rsidRPr="00A56CD6">
        <w:rPr>
          <w:szCs w:val="24"/>
        </w:rPr>
        <w:t xml:space="preserve">, R., Matthias Filser, Appenzeller, J. and Kaisu Puumalainen (2025) ‘Platform dynamics and rapid scaling: an empirical examination of growth drivers in platform-based start-ups’, </w:t>
      </w:r>
      <w:r w:rsidRPr="00A56CD6">
        <w:rPr>
          <w:i/>
          <w:iCs/>
          <w:szCs w:val="24"/>
        </w:rPr>
        <w:t>Review of Managerial Science</w:t>
      </w:r>
      <w:r w:rsidRPr="00A56CD6">
        <w:rPr>
          <w:szCs w:val="24"/>
        </w:rPr>
        <w:t xml:space="preserve"> [Preprint]. Available at: </w:t>
      </w:r>
      <w:hyperlink r:id="rId46" w:history="1">
        <w:r w:rsidR="009063FD" w:rsidRPr="00A56CD6">
          <w:rPr>
            <w:rStyle w:val="Hyperlink"/>
            <w:szCs w:val="24"/>
          </w:rPr>
          <w:t>https://doi.org/10.1007/s11846-025-00918-6</w:t>
        </w:r>
      </w:hyperlink>
      <w:r w:rsidRPr="00A56CD6">
        <w:rPr>
          <w:szCs w:val="24"/>
        </w:rPr>
        <w:t>.</w:t>
      </w:r>
      <w:r w:rsidR="009063FD" w:rsidRPr="00A56CD6">
        <w:rPr>
          <w:szCs w:val="24"/>
        </w:rPr>
        <w:t xml:space="preserve"> </w:t>
      </w:r>
    </w:p>
    <w:p w14:paraId="2660C146" w14:textId="56D8C895" w:rsidR="00527753" w:rsidRPr="00A56CD6" w:rsidRDefault="003E4230" w:rsidP="00741673">
      <w:pPr>
        <w:widowControl w:val="0"/>
        <w:spacing w:after="240"/>
        <w:rPr>
          <w:szCs w:val="24"/>
        </w:rPr>
      </w:pPr>
      <w:r w:rsidRPr="00A56CD6">
        <w:rPr>
          <w:szCs w:val="24"/>
        </w:rPr>
        <w:t xml:space="preserve">Nikkei Asia (2023) </w:t>
      </w:r>
      <w:r w:rsidRPr="00A56CD6">
        <w:rPr>
          <w:i/>
          <w:iCs/>
          <w:szCs w:val="24"/>
        </w:rPr>
        <w:t>Tesla Relies on China for 40% of Battery Supply chain: Analysis</w:t>
      </w:r>
      <w:r w:rsidRPr="00A56CD6">
        <w:rPr>
          <w:szCs w:val="24"/>
        </w:rPr>
        <w:t xml:space="preserve">, </w:t>
      </w:r>
      <w:proofErr w:type="spellStart"/>
      <w:r w:rsidRPr="00A56CD6">
        <w:rPr>
          <w:i/>
          <w:iCs/>
          <w:szCs w:val="24"/>
        </w:rPr>
        <w:t>nikkei</w:t>
      </w:r>
      <w:proofErr w:type="spellEnd"/>
      <w:r w:rsidRPr="00A56CD6">
        <w:rPr>
          <w:i/>
          <w:iCs/>
          <w:szCs w:val="24"/>
        </w:rPr>
        <w:t xml:space="preserve"> </w:t>
      </w:r>
      <w:proofErr w:type="spellStart"/>
      <w:r w:rsidRPr="00A56CD6">
        <w:rPr>
          <w:i/>
          <w:iCs/>
          <w:szCs w:val="24"/>
        </w:rPr>
        <w:t>asia</w:t>
      </w:r>
      <w:proofErr w:type="spellEnd"/>
      <w:r w:rsidRPr="00A56CD6">
        <w:rPr>
          <w:szCs w:val="24"/>
        </w:rPr>
        <w:t xml:space="preserve">. Available at: </w:t>
      </w:r>
      <w:hyperlink r:id="rId47" w:history="1">
        <w:r w:rsidR="009063FD" w:rsidRPr="00A56CD6">
          <w:rPr>
            <w:rStyle w:val="Hyperlink"/>
            <w:szCs w:val="24"/>
          </w:rPr>
          <w:t>https://asia.nikkei.com/Business/Automobiles/Tesla-relies-on-China-for-40-of-battery-supply-chain-analysis</w:t>
        </w:r>
      </w:hyperlink>
      <w:r w:rsidR="009063FD" w:rsidRPr="00A56CD6">
        <w:rPr>
          <w:szCs w:val="24"/>
        </w:rPr>
        <w:t xml:space="preserve"> </w:t>
      </w:r>
      <w:r w:rsidRPr="00A56CD6">
        <w:rPr>
          <w:szCs w:val="24"/>
        </w:rPr>
        <w:t xml:space="preserve">(Accessed: </w:t>
      </w:r>
      <w:r w:rsidR="009063FD" w:rsidRPr="00A56CD6">
        <w:rPr>
          <w:szCs w:val="24"/>
        </w:rPr>
        <w:t>20</w:t>
      </w:r>
      <w:r w:rsidRPr="00A56CD6">
        <w:rPr>
          <w:szCs w:val="24"/>
        </w:rPr>
        <w:t xml:space="preserve"> March 2026).</w:t>
      </w:r>
    </w:p>
    <w:p w14:paraId="68E355EC" w14:textId="06818BAA" w:rsidR="00527753" w:rsidRPr="00A56CD6" w:rsidRDefault="003E4230" w:rsidP="00741673">
      <w:pPr>
        <w:widowControl w:val="0"/>
        <w:spacing w:after="240"/>
        <w:rPr>
          <w:szCs w:val="24"/>
        </w:rPr>
      </w:pPr>
      <w:r w:rsidRPr="00A56CD6">
        <w:rPr>
          <w:szCs w:val="24"/>
        </w:rPr>
        <w:t xml:space="preserve">Nogueira, P., Pereira, L., Simões, A., Dias, A. and Lopes da Costa, R. (2023) ‘Vertical Integration Dynamics to Innovate in Technology Business’, </w:t>
      </w:r>
      <w:r w:rsidRPr="00A56CD6">
        <w:rPr>
          <w:i/>
          <w:iCs/>
          <w:szCs w:val="24"/>
        </w:rPr>
        <w:t>Informatics</w:t>
      </w:r>
      <w:r w:rsidRPr="00A56CD6">
        <w:rPr>
          <w:szCs w:val="24"/>
        </w:rPr>
        <w:t xml:space="preserve">, 10(1), p. 25. Available at: </w:t>
      </w:r>
      <w:hyperlink r:id="rId48" w:history="1">
        <w:r w:rsidR="009063FD" w:rsidRPr="00A56CD6">
          <w:rPr>
            <w:rStyle w:val="Hyperlink"/>
            <w:szCs w:val="24"/>
          </w:rPr>
          <w:t>https://doi.org/10.3390/informatics10010025</w:t>
        </w:r>
      </w:hyperlink>
      <w:r w:rsidRPr="00A56CD6">
        <w:rPr>
          <w:szCs w:val="24"/>
        </w:rPr>
        <w:t>.</w:t>
      </w:r>
      <w:r w:rsidR="009063FD" w:rsidRPr="00A56CD6">
        <w:rPr>
          <w:szCs w:val="24"/>
        </w:rPr>
        <w:t xml:space="preserve"> </w:t>
      </w:r>
    </w:p>
    <w:p w14:paraId="52515B31" w14:textId="051D9AE6" w:rsidR="001F13B1" w:rsidRPr="00A56CD6" w:rsidRDefault="001F13B1" w:rsidP="00741673">
      <w:pPr>
        <w:widowControl w:val="0"/>
        <w:spacing w:after="240"/>
        <w:rPr>
          <w:szCs w:val="24"/>
          <w:lang w:val="en-IN"/>
        </w:rPr>
      </w:pPr>
      <w:r w:rsidRPr="00A56CD6">
        <w:rPr>
          <w:szCs w:val="24"/>
          <w:lang w:val="en-IN"/>
        </w:rPr>
        <w:t xml:space="preserve">Potter, L. (2025) </w:t>
      </w:r>
      <w:r w:rsidRPr="00A56CD6">
        <w:rPr>
          <w:i/>
          <w:iCs/>
          <w:szCs w:val="24"/>
          <w:lang w:val="en-IN"/>
        </w:rPr>
        <w:t xml:space="preserve">What is the Sustainability Strategy of Chinese EV Giant </w:t>
      </w:r>
      <w:proofErr w:type="gramStart"/>
      <w:r w:rsidRPr="00A56CD6">
        <w:rPr>
          <w:i/>
          <w:iCs/>
          <w:szCs w:val="24"/>
          <w:lang w:val="en-IN"/>
        </w:rPr>
        <w:t>BYD?</w:t>
      </w:r>
      <w:r w:rsidRPr="00A56CD6">
        <w:rPr>
          <w:szCs w:val="24"/>
          <w:lang w:val="en-IN"/>
        </w:rPr>
        <w:t>,</w:t>
      </w:r>
      <w:proofErr w:type="gramEnd"/>
      <w:r w:rsidRPr="00A56CD6">
        <w:rPr>
          <w:szCs w:val="24"/>
          <w:lang w:val="en-IN"/>
        </w:rPr>
        <w:t xml:space="preserve"> </w:t>
      </w:r>
      <w:r w:rsidRPr="00A56CD6">
        <w:rPr>
          <w:i/>
          <w:iCs/>
          <w:szCs w:val="24"/>
          <w:lang w:val="en-IN"/>
        </w:rPr>
        <w:t>Sustainabilitymag.com</w:t>
      </w:r>
      <w:r w:rsidRPr="00A56CD6">
        <w:rPr>
          <w:szCs w:val="24"/>
          <w:lang w:val="en-IN"/>
        </w:rPr>
        <w:t xml:space="preserve">. </w:t>
      </w:r>
      <w:proofErr w:type="spellStart"/>
      <w:r w:rsidRPr="00A56CD6">
        <w:rPr>
          <w:szCs w:val="24"/>
          <w:lang w:val="en-IN"/>
        </w:rPr>
        <w:t>Bizclik</w:t>
      </w:r>
      <w:proofErr w:type="spellEnd"/>
      <w:r w:rsidRPr="00A56CD6">
        <w:rPr>
          <w:szCs w:val="24"/>
          <w:lang w:val="en-IN"/>
        </w:rPr>
        <w:t xml:space="preserve"> Media Ltd. Available at: https://sustainabilitymag.com/news/what-is-the-sustainability-strategy-of-chinese-ev-giant-byd (Accessed: 25 April 2026).</w:t>
      </w:r>
    </w:p>
    <w:p w14:paraId="7464381E" w14:textId="32F9945E" w:rsidR="00527753" w:rsidRPr="00A56CD6" w:rsidRDefault="003E4230" w:rsidP="00741673">
      <w:pPr>
        <w:widowControl w:val="0"/>
        <w:spacing w:after="240"/>
        <w:rPr>
          <w:szCs w:val="24"/>
        </w:rPr>
      </w:pPr>
      <w:r w:rsidRPr="00A56CD6">
        <w:rPr>
          <w:szCs w:val="24"/>
        </w:rPr>
        <w:t xml:space="preserve">Quesado, P., Costa Oliveira, H. and Silva, R. (2025) ‘Integrating sustainability goals into the balanced scorecard: a bibliometric analysis of the sustainability balanced scorecard’, </w:t>
      </w:r>
      <w:r w:rsidRPr="00A56CD6">
        <w:rPr>
          <w:i/>
          <w:iCs/>
          <w:szCs w:val="24"/>
        </w:rPr>
        <w:t>Measuring Business Excellence</w:t>
      </w:r>
      <w:r w:rsidRPr="00A56CD6">
        <w:rPr>
          <w:szCs w:val="24"/>
        </w:rPr>
        <w:t xml:space="preserve"> [Preprint]. Available at: </w:t>
      </w:r>
      <w:hyperlink r:id="rId49" w:history="1">
        <w:r w:rsidR="009063FD" w:rsidRPr="00A56CD6">
          <w:rPr>
            <w:rStyle w:val="Hyperlink"/>
            <w:szCs w:val="24"/>
          </w:rPr>
          <w:t>https://doi.org/10.1108/mbe-09-2024-0139</w:t>
        </w:r>
      </w:hyperlink>
      <w:r w:rsidRPr="00A56CD6">
        <w:rPr>
          <w:szCs w:val="24"/>
        </w:rPr>
        <w:t>.</w:t>
      </w:r>
      <w:r w:rsidR="009063FD" w:rsidRPr="00A56CD6">
        <w:rPr>
          <w:szCs w:val="24"/>
        </w:rPr>
        <w:t xml:space="preserve"> </w:t>
      </w:r>
    </w:p>
    <w:p w14:paraId="43C9BAA1" w14:textId="4840F685" w:rsidR="00527753" w:rsidRPr="00A56CD6" w:rsidRDefault="003E4230" w:rsidP="00741673">
      <w:pPr>
        <w:widowControl w:val="0"/>
        <w:spacing w:after="240"/>
        <w:rPr>
          <w:szCs w:val="24"/>
        </w:rPr>
      </w:pPr>
      <w:r w:rsidRPr="00A56CD6">
        <w:rPr>
          <w:szCs w:val="24"/>
        </w:rPr>
        <w:t xml:space="preserve">Rashid Dehkordi, Petri Ahokangas, Evers, N. and </w:t>
      </w:r>
      <w:proofErr w:type="spellStart"/>
      <w:r w:rsidRPr="00A56CD6">
        <w:rPr>
          <w:szCs w:val="24"/>
        </w:rPr>
        <w:t>Sorvisto</w:t>
      </w:r>
      <w:proofErr w:type="spellEnd"/>
      <w:r w:rsidRPr="00A56CD6">
        <w:rPr>
          <w:szCs w:val="24"/>
        </w:rPr>
        <w:t xml:space="preserve">, M. (2025) ‘Legitimacy Challenges in Emerging Electric Commercial Vehicle (ECV) Ecosystem’, </w:t>
      </w:r>
      <w:r w:rsidRPr="00A56CD6">
        <w:rPr>
          <w:i/>
          <w:iCs/>
          <w:szCs w:val="24"/>
        </w:rPr>
        <w:t>Energy</w:t>
      </w:r>
      <w:r w:rsidRPr="00A56CD6">
        <w:rPr>
          <w:szCs w:val="24"/>
        </w:rPr>
        <w:t xml:space="preserve">, 322(1), p. 135626. Available at: </w:t>
      </w:r>
      <w:hyperlink r:id="rId50" w:history="1">
        <w:r w:rsidR="009063FD" w:rsidRPr="00A56CD6">
          <w:rPr>
            <w:rStyle w:val="Hyperlink"/>
            <w:szCs w:val="24"/>
          </w:rPr>
          <w:t>https://doi.org/10.1016/j.energy.2025.135626</w:t>
        </w:r>
      </w:hyperlink>
      <w:r w:rsidRPr="00A56CD6">
        <w:rPr>
          <w:szCs w:val="24"/>
        </w:rPr>
        <w:t>.</w:t>
      </w:r>
      <w:r w:rsidR="009063FD" w:rsidRPr="00A56CD6">
        <w:rPr>
          <w:szCs w:val="24"/>
        </w:rPr>
        <w:t xml:space="preserve"> </w:t>
      </w:r>
    </w:p>
    <w:p w14:paraId="2D098356" w14:textId="469C45E1" w:rsidR="00527753" w:rsidRPr="00A56CD6" w:rsidRDefault="003E4230" w:rsidP="00741673">
      <w:pPr>
        <w:widowControl w:val="0"/>
        <w:spacing w:after="240"/>
        <w:rPr>
          <w:szCs w:val="24"/>
        </w:rPr>
      </w:pPr>
      <w:r w:rsidRPr="00A56CD6">
        <w:rPr>
          <w:szCs w:val="24"/>
        </w:rPr>
        <w:t xml:space="preserve">Rehman, A. </w:t>
      </w:r>
      <w:proofErr w:type="spellStart"/>
      <w:r w:rsidRPr="00A56CD6">
        <w:rPr>
          <w:szCs w:val="24"/>
        </w:rPr>
        <w:t>ur</w:t>
      </w:r>
      <w:proofErr w:type="spellEnd"/>
      <w:r w:rsidRPr="00A56CD6">
        <w:rPr>
          <w:szCs w:val="24"/>
        </w:rPr>
        <w:t xml:space="preserve"> and </w:t>
      </w:r>
      <w:proofErr w:type="spellStart"/>
      <w:r w:rsidRPr="00A56CD6">
        <w:rPr>
          <w:szCs w:val="24"/>
        </w:rPr>
        <w:t>Jajja</w:t>
      </w:r>
      <w:proofErr w:type="spellEnd"/>
      <w:r w:rsidRPr="00A56CD6">
        <w:rPr>
          <w:szCs w:val="24"/>
        </w:rPr>
        <w:t xml:space="preserve">, M.S.S. (2025) ‘Strategic adaptation in the electric vehicle supply chain: navigating transformative trends in the automobile industry’, </w:t>
      </w:r>
      <w:r w:rsidRPr="00A56CD6">
        <w:rPr>
          <w:i/>
          <w:iCs/>
          <w:szCs w:val="24"/>
        </w:rPr>
        <w:t>Journal of Enterprise Information Management</w:t>
      </w:r>
      <w:r w:rsidRPr="00A56CD6">
        <w:rPr>
          <w:szCs w:val="24"/>
        </w:rPr>
        <w:t xml:space="preserve">, 38(3). Available at: </w:t>
      </w:r>
      <w:hyperlink r:id="rId51" w:history="1">
        <w:r w:rsidR="009063FD" w:rsidRPr="00A56CD6">
          <w:rPr>
            <w:rStyle w:val="Hyperlink"/>
            <w:szCs w:val="24"/>
          </w:rPr>
          <w:t>https://doi.org/10.1108/jeim-10-2024-0554</w:t>
        </w:r>
      </w:hyperlink>
      <w:r w:rsidRPr="00A56CD6">
        <w:rPr>
          <w:szCs w:val="24"/>
        </w:rPr>
        <w:t>.</w:t>
      </w:r>
      <w:r w:rsidR="009063FD" w:rsidRPr="00A56CD6">
        <w:rPr>
          <w:szCs w:val="24"/>
        </w:rPr>
        <w:t xml:space="preserve"> </w:t>
      </w:r>
    </w:p>
    <w:p w14:paraId="610053B4" w14:textId="4A57FE4D" w:rsidR="00527753" w:rsidRPr="00A56CD6" w:rsidRDefault="003E4230" w:rsidP="00741673">
      <w:pPr>
        <w:widowControl w:val="0"/>
        <w:spacing w:after="240"/>
        <w:rPr>
          <w:szCs w:val="24"/>
        </w:rPr>
      </w:pPr>
      <w:r w:rsidRPr="00A56CD6">
        <w:rPr>
          <w:szCs w:val="24"/>
        </w:rPr>
        <w:t xml:space="preserve">Richter, F. (2026) </w:t>
      </w:r>
      <w:r w:rsidRPr="00A56CD6">
        <w:rPr>
          <w:i/>
          <w:iCs/>
          <w:szCs w:val="24"/>
        </w:rPr>
        <w:t>Infographic: BYD Surges Past Tesla to Become World’s Leading EV Brand</w:t>
      </w:r>
      <w:r w:rsidRPr="00A56CD6">
        <w:rPr>
          <w:szCs w:val="24"/>
        </w:rPr>
        <w:t xml:space="preserve">, </w:t>
      </w:r>
      <w:r w:rsidRPr="00A56CD6">
        <w:rPr>
          <w:i/>
          <w:iCs/>
          <w:szCs w:val="24"/>
        </w:rPr>
        <w:t>Statista Daily Data</w:t>
      </w:r>
      <w:r w:rsidRPr="00A56CD6">
        <w:rPr>
          <w:szCs w:val="24"/>
        </w:rPr>
        <w:t xml:space="preserve">. Statista. Available at: </w:t>
      </w:r>
      <w:hyperlink r:id="rId52" w:history="1">
        <w:r w:rsidR="009063FD" w:rsidRPr="00A56CD6">
          <w:rPr>
            <w:rStyle w:val="Hyperlink"/>
            <w:szCs w:val="24"/>
          </w:rPr>
          <w:t>https://www.statista.com/chart/33709/tesla-byd-electric-vehicle-production/?srsltid=AfmBOopmpAiGpxtI8LSKmz3N1MKKq-</w:t>
        </w:r>
        <w:r w:rsidR="009063FD" w:rsidRPr="00A56CD6">
          <w:rPr>
            <w:rStyle w:val="Hyperlink"/>
            <w:szCs w:val="24"/>
          </w:rPr>
          <w:lastRenderedPageBreak/>
          <w:t>lKcSU4oH89j9rrgHETQap-jZ2d</w:t>
        </w:r>
      </w:hyperlink>
      <w:r w:rsidR="009063FD" w:rsidRPr="00A56CD6">
        <w:rPr>
          <w:szCs w:val="24"/>
        </w:rPr>
        <w:t xml:space="preserve"> </w:t>
      </w:r>
      <w:r w:rsidRPr="00A56CD6">
        <w:rPr>
          <w:szCs w:val="24"/>
        </w:rPr>
        <w:t xml:space="preserve">(Accessed: </w:t>
      </w:r>
      <w:r w:rsidR="009063FD" w:rsidRPr="00A56CD6">
        <w:rPr>
          <w:szCs w:val="24"/>
        </w:rPr>
        <w:t>19</w:t>
      </w:r>
      <w:r w:rsidRPr="00A56CD6">
        <w:rPr>
          <w:szCs w:val="24"/>
        </w:rPr>
        <w:t xml:space="preserve"> March 2026).</w:t>
      </w:r>
    </w:p>
    <w:p w14:paraId="64981BF2" w14:textId="0374A825" w:rsidR="00527753" w:rsidRPr="00A56CD6" w:rsidRDefault="003E4230" w:rsidP="00741673">
      <w:pPr>
        <w:widowControl w:val="0"/>
        <w:spacing w:after="240"/>
        <w:rPr>
          <w:szCs w:val="24"/>
        </w:rPr>
      </w:pPr>
      <w:r w:rsidRPr="00A56CD6">
        <w:rPr>
          <w:szCs w:val="24"/>
        </w:rPr>
        <w:t xml:space="preserve">Samo, Y.I., Gitonga, G.M., Chief, L.K., Mulumbi, A. and James, J. (2025) </w:t>
      </w:r>
      <w:r w:rsidRPr="00A56CD6">
        <w:rPr>
          <w:i/>
          <w:iCs/>
          <w:szCs w:val="24"/>
        </w:rPr>
        <w:t>Strategic Agility for Sustainable Competitive Advantage</w:t>
      </w:r>
      <w:r w:rsidRPr="00A56CD6">
        <w:rPr>
          <w:szCs w:val="24"/>
        </w:rPr>
        <w:t xml:space="preserve">, </w:t>
      </w:r>
      <w:r w:rsidRPr="00A56CD6">
        <w:rPr>
          <w:i/>
          <w:iCs/>
          <w:szCs w:val="24"/>
        </w:rPr>
        <w:t>Google Books</w:t>
      </w:r>
      <w:r w:rsidRPr="00A56CD6">
        <w:rPr>
          <w:szCs w:val="24"/>
        </w:rPr>
        <w:t xml:space="preserve">. Available at: </w:t>
      </w:r>
      <w:hyperlink r:id="rId53" w:history="1">
        <w:r w:rsidR="009063FD" w:rsidRPr="00A56CD6">
          <w:rPr>
            <w:rStyle w:val="Hyperlink"/>
            <w:szCs w:val="24"/>
          </w:rPr>
          <w:t>https://books.google.com/books?hl=en&amp;lr=&amp;id=tgJvEQAAQBAJ&amp;oi=fnd&amp;pg=PA4&amp;dq=Ansoff+posits+that+penetration+in+maturing+markets+yields+diminishing+returns</w:t>
        </w:r>
      </w:hyperlink>
      <w:r w:rsidR="009063FD" w:rsidRPr="00A56CD6">
        <w:rPr>
          <w:szCs w:val="24"/>
        </w:rPr>
        <w:t xml:space="preserve"> </w:t>
      </w:r>
      <w:r w:rsidRPr="00A56CD6">
        <w:rPr>
          <w:szCs w:val="24"/>
        </w:rPr>
        <w:t xml:space="preserve">(Accessed: </w:t>
      </w:r>
      <w:r w:rsidR="009063FD" w:rsidRPr="00A56CD6">
        <w:rPr>
          <w:szCs w:val="24"/>
        </w:rPr>
        <w:t>22</w:t>
      </w:r>
      <w:r w:rsidRPr="00A56CD6">
        <w:rPr>
          <w:szCs w:val="24"/>
        </w:rPr>
        <w:t xml:space="preserve"> March 2026).</w:t>
      </w:r>
    </w:p>
    <w:p w14:paraId="3A7500E9" w14:textId="74E6911F" w:rsidR="00527753" w:rsidRPr="00A56CD6" w:rsidRDefault="003E4230" w:rsidP="00741673">
      <w:pPr>
        <w:widowControl w:val="0"/>
        <w:spacing w:after="240"/>
        <w:rPr>
          <w:szCs w:val="24"/>
        </w:rPr>
      </w:pPr>
      <w:r w:rsidRPr="00A56CD6">
        <w:rPr>
          <w:szCs w:val="24"/>
        </w:rPr>
        <w:t xml:space="preserve">Schüller-Zwierlein, A., Mangen, A., Kovač, M. and Van der </w:t>
      </w:r>
      <w:proofErr w:type="spellStart"/>
      <w:r w:rsidRPr="00A56CD6">
        <w:rPr>
          <w:szCs w:val="24"/>
        </w:rPr>
        <w:t>Weel</w:t>
      </w:r>
      <w:proofErr w:type="spellEnd"/>
      <w:r w:rsidRPr="00A56CD6">
        <w:rPr>
          <w:szCs w:val="24"/>
        </w:rPr>
        <w:t xml:space="preserve">, A. (2022) ‘Why higher-level reading is important’, </w:t>
      </w:r>
      <w:r w:rsidRPr="00A56CD6">
        <w:rPr>
          <w:i/>
          <w:iCs/>
          <w:szCs w:val="24"/>
        </w:rPr>
        <w:t>First Monday</w:t>
      </w:r>
      <w:r w:rsidRPr="00A56CD6">
        <w:rPr>
          <w:szCs w:val="24"/>
        </w:rPr>
        <w:t xml:space="preserve">, 27(9). Available at: </w:t>
      </w:r>
      <w:hyperlink r:id="rId54" w:history="1">
        <w:r w:rsidR="009063FD" w:rsidRPr="00A56CD6">
          <w:rPr>
            <w:rStyle w:val="Hyperlink"/>
            <w:szCs w:val="24"/>
          </w:rPr>
          <w:t>https://doi.org/10.5210/fm.v27i5.12770</w:t>
        </w:r>
      </w:hyperlink>
      <w:r w:rsidRPr="00A56CD6">
        <w:rPr>
          <w:szCs w:val="24"/>
        </w:rPr>
        <w:t>.</w:t>
      </w:r>
      <w:r w:rsidR="009063FD" w:rsidRPr="00A56CD6">
        <w:rPr>
          <w:szCs w:val="24"/>
        </w:rPr>
        <w:t xml:space="preserve"> </w:t>
      </w:r>
    </w:p>
    <w:p w14:paraId="35B0B6FF" w14:textId="6F06D57B" w:rsidR="00527753" w:rsidRPr="00A56CD6" w:rsidRDefault="003E4230" w:rsidP="00741673">
      <w:pPr>
        <w:widowControl w:val="0"/>
        <w:spacing w:after="240"/>
        <w:rPr>
          <w:szCs w:val="24"/>
        </w:rPr>
      </w:pPr>
      <w:proofErr w:type="spellStart"/>
      <w:r w:rsidRPr="00A56CD6">
        <w:rPr>
          <w:szCs w:val="24"/>
        </w:rPr>
        <w:t>Spaska</w:t>
      </w:r>
      <w:proofErr w:type="spellEnd"/>
      <w:r w:rsidRPr="00A56CD6">
        <w:rPr>
          <w:szCs w:val="24"/>
        </w:rPr>
        <w:t xml:space="preserve">, A. (2025) ‘Systematic theoretical study on the application of reflective practice in enhancing medical students’ learning experience’, </w:t>
      </w:r>
      <w:proofErr w:type="spellStart"/>
      <w:r w:rsidRPr="00A56CD6">
        <w:rPr>
          <w:i/>
          <w:iCs/>
          <w:szCs w:val="24"/>
        </w:rPr>
        <w:t>Educación</w:t>
      </w:r>
      <w:proofErr w:type="spellEnd"/>
      <w:r w:rsidRPr="00A56CD6">
        <w:rPr>
          <w:i/>
          <w:iCs/>
          <w:szCs w:val="24"/>
        </w:rPr>
        <w:t xml:space="preserve"> </w:t>
      </w:r>
      <w:proofErr w:type="spellStart"/>
      <w:r w:rsidRPr="00A56CD6">
        <w:rPr>
          <w:i/>
          <w:iCs/>
          <w:szCs w:val="24"/>
        </w:rPr>
        <w:t>Médica</w:t>
      </w:r>
      <w:proofErr w:type="spellEnd"/>
      <w:r w:rsidRPr="00A56CD6">
        <w:rPr>
          <w:szCs w:val="24"/>
        </w:rPr>
        <w:t xml:space="preserve">, 26(6), p. 101088. Available at: </w:t>
      </w:r>
      <w:hyperlink r:id="rId55" w:history="1">
        <w:r w:rsidR="009063FD" w:rsidRPr="00A56CD6">
          <w:rPr>
            <w:rStyle w:val="Hyperlink"/>
            <w:szCs w:val="24"/>
          </w:rPr>
          <w:t>https://doi.org/10.1016/j.edumed.2025.101088</w:t>
        </w:r>
      </w:hyperlink>
      <w:r w:rsidRPr="00A56CD6">
        <w:rPr>
          <w:szCs w:val="24"/>
        </w:rPr>
        <w:t>.</w:t>
      </w:r>
      <w:r w:rsidR="009063FD" w:rsidRPr="00A56CD6">
        <w:rPr>
          <w:szCs w:val="24"/>
        </w:rPr>
        <w:t xml:space="preserve"> </w:t>
      </w:r>
    </w:p>
    <w:p w14:paraId="576931FF" w14:textId="0CF3FA68" w:rsidR="00527753" w:rsidRPr="00A56CD6" w:rsidRDefault="003E4230" w:rsidP="00741673">
      <w:pPr>
        <w:widowControl w:val="0"/>
        <w:spacing w:after="240"/>
        <w:rPr>
          <w:szCs w:val="24"/>
        </w:rPr>
      </w:pPr>
      <w:r w:rsidRPr="00A56CD6">
        <w:rPr>
          <w:szCs w:val="24"/>
        </w:rPr>
        <w:t xml:space="preserve">Ștefan, S.C., Popa, I. and </w:t>
      </w:r>
      <w:proofErr w:type="spellStart"/>
      <w:r w:rsidRPr="00A56CD6">
        <w:rPr>
          <w:szCs w:val="24"/>
        </w:rPr>
        <w:t>Tărăban</w:t>
      </w:r>
      <w:proofErr w:type="spellEnd"/>
      <w:r w:rsidRPr="00A56CD6">
        <w:rPr>
          <w:szCs w:val="24"/>
        </w:rPr>
        <w:t xml:space="preserve">, I. (2023) ‘Strategic Orientation of Romanian Healthcare Organizations from a Contingency Theory Perspective Based on Porter’s Generic Strategy Model’, </w:t>
      </w:r>
      <w:r w:rsidRPr="00A56CD6">
        <w:rPr>
          <w:i/>
          <w:iCs/>
          <w:szCs w:val="24"/>
        </w:rPr>
        <w:t>Systems</w:t>
      </w:r>
      <w:r w:rsidRPr="00A56CD6">
        <w:rPr>
          <w:szCs w:val="24"/>
        </w:rPr>
        <w:t xml:space="preserve">, 11(10), pp. 488–488. Available at: </w:t>
      </w:r>
      <w:hyperlink r:id="rId56" w:history="1">
        <w:r w:rsidR="009063FD" w:rsidRPr="00A56CD6">
          <w:rPr>
            <w:rStyle w:val="Hyperlink"/>
            <w:szCs w:val="24"/>
          </w:rPr>
          <w:t>https://doi.org/10.3390/systems11100488</w:t>
        </w:r>
      </w:hyperlink>
      <w:r w:rsidRPr="00A56CD6">
        <w:rPr>
          <w:szCs w:val="24"/>
        </w:rPr>
        <w:t>.</w:t>
      </w:r>
      <w:r w:rsidR="009063FD" w:rsidRPr="00A56CD6">
        <w:rPr>
          <w:szCs w:val="24"/>
        </w:rPr>
        <w:t xml:space="preserve"> </w:t>
      </w:r>
    </w:p>
    <w:p w14:paraId="79AFE9E9" w14:textId="4F598F22" w:rsidR="00527753" w:rsidRPr="00A56CD6" w:rsidRDefault="003E4230" w:rsidP="00741673">
      <w:pPr>
        <w:widowControl w:val="0"/>
        <w:spacing w:after="240"/>
        <w:rPr>
          <w:szCs w:val="24"/>
        </w:rPr>
      </w:pPr>
      <w:proofErr w:type="spellStart"/>
      <w:r w:rsidRPr="00A56CD6">
        <w:rPr>
          <w:szCs w:val="24"/>
        </w:rPr>
        <w:t>Stremersch</w:t>
      </w:r>
      <w:proofErr w:type="spellEnd"/>
      <w:r w:rsidRPr="00A56CD6">
        <w:rPr>
          <w:szCs w:val="24"/>
        </w:rPr>
        <w:t xml:space="preserve">, S., Gonzalez, J., Valenti, A. and Villanueva, J. (2022) ‘The value of context-specific studies for marketing’, </w:t>
      </w:r>
      <w:r w:rsidRPr="00A56CD6">
        <w:rPr>
          <w:i/>
          <w:iCs/>
          <w:szCs w:val="24"/>
        </w:rPr>
        <w:t>Journal of the Academy of Marketing Science</w:t>
      </w:r>
      <w:r w:rsidRPr="00A56CD6">
        <w:rPr>
          <w:szCs w:val="24"/>
        </w:rPr>
        <w:t xml:space="preserve">, 51. Available at: </w:t>
      </w:r>
      <w:hyperlink r:id="rId57" w:history="1">
        <w:r w:rsidR="009063FD" w:rsidRPr="00A56CD6">
          <w:rPr>
            <w:rStyle w:val="Hyperlink"/>
            <w:szCs w:val="24"/>
          </w:rPr>
          <w:t>https://doi.org/10.1007/s11747-022-00872-9</w:t>
        </w:r>
      </w:hyperlink>
      <w:r w:rsidRPr="00A56CD6">
        <w:rPr>
          <w:szCs w:val="24"/>
        </w:rPr>
        <w:t>.</w:t>
      </w:r>
      <w:r w:rsidR="009063FD" w:rsidRPr="00A56CD6">
        <w:rPr>
          <w:szCs w:val="24"/>
        </w:rPr>
        <w:t xml:space="preserve"> </w:t>
      </w:r>
    </w:p>
    <w:p w14:paraId="6CAD8D86" w14:textId="0E80E323" w:rsidR="00527753" w:rsidRPr="00A56CD6" w:rsidRDefault="003E4230" w:rsidP="00741673">
      <w:pPr>
        <w:widowControl w:val="0"/>
        <w:spacing w:after="240"/>
        <w:rPr>
          <w:szCs w:val="24"/>
        </w:rPr>
      </w:pPr>
      <w:r w:rsidRPr="00A56CD6">
        <w:rPr>
          <w:szCs w:val="24"/>
        </w:rPr>
        <w:t xml:space="preserve">Williamson, P.J., </w:t>
      </w:r>
      <w:proofErr w:type="spellStart"/>
      <w:r w:rsidRPr="00A56CD6">
        <w:rPr>
          <w:szCs w:val="24"/>
        </w:rPr>
        <w:t>Symeou</w:t>
      </w:r>
      <w:proofErr w:type="spellEnd"/>
      <w:r w:rsidRPr="00A56CD6">
        <w:rPr>
          <w:szCs w:val="24"/>
        </w:rPr>
        <w:t xml:space="preserve">, P.C. and </w:t>
      </w:r>
      <w:proofErr w:type="spellStart"/>
      <w:r w:rsidRPr="00A56CD6">
        <w:rPr>
          <w:szCs w:val="24"/>
        </w:rPr>
        <w:t>Zyglidopoulos</w:t>
      </w:r>
      <w:proofErr w:type="spellEnd"/>
      <w:r w:rsidRPr="00A56CD6">
        <w:rPr>
          <w:szCs w:val="24"/>
        </w:rPr>
        <w:t xml:space="preserve">, S. (2021) ‘International diversification, legitimacy, and corporate social performance of extractive industry multinationals’, </w:t>
      </w:r>
      <w:r w:rsidRPr="00A56CD6">
        <w:rPr>
          <w:i/>
          <w:iCs/>
          <w:szCs w:val="24"/>
        </w:rPr>
        <w:t>Global Strategy Journal</w:t>
      </w:r>
      <w:r w:rsidRPr="00A56CD6">
        <w:rPr>
          <w:szCs w:val="24"/>
        </w:rPr>
        <w:t xml:space="preserve"> [Preprint]. Available at: </w:t>
      </w:r>
      <w:hyperlink r:id="rId58" w:history="1">
        <w:r w:rsidR="009063FD" w:rsidRPr="00A56CD6">
          <w:rPr>
            <w:rStyle w:val="Hyperlink"/>
            <w:szCs w:val="24"/>
          </w:rPr>
          <w:t>https://doi.org/10.1002/gsj.1405</w:t>
        </w:r>
      </w:hyperlink>
      <w:r w:rsidRPr="00A56CD6">
        <w:rPr>
          <w:szCs w:val="24"/>
        </w:rPr>
        <w:t>.</w:t>
      </w:r>
      <w:r w:rsidR="009063FD" w:rsidRPr="00A56CD6">
        <w:rPr>
          <w:szCs w:val="24"/>
        </w:rPr>
        <w:t xml:space="preserve"> </w:t>
      </w:r>
    </w:p>
    <w:p w14:paraId="591B2D83" w14:textId="023213A2" w:rsidR="00527753" w:rsidRPr="00A56CD6" w:rsidRDefault="003E4230" w:rsidP="00741673">
      <w:pPr>
        <w:widowControl w:val="0"/>
        <w:spacing w:after="240"/>
        <w:rPr>
          <w:szCs w:val="24"/>
        </w:rPr>
      </w:pPr>
      <w:r w:rsidRPr="00A56CD6">
        <w:rPr>
          <w:szCs w:val="24"/>
        </w:rPr>
        <w:t xml:space="preserve">World Trade Organization (2021) </w:t>
      </w:r>
      <w:r w:rsidRPr="00A56CD6">
        <w:rPr>
          <w:i/>
          <w:iCs/>
          <w:szCs w:val="24"/>
        </w:rPr>
        <w:t>Trade and Climate Change Information Brief N°4 Carbon Content of International Trade 1</w:t>
      </w:r>
      <w:r w:rsidRPr="00A56CD6">
        <w:rPr>
          <w:szCs w:val="24"/>
        </w:rPr>
        <w:t xml:space="preserve">. World Trade Organization. Available at: </w:t>
      </w:r>
      <w:hyperlink r:id="rId59" w:history="1">
        <w:r w:rsidR="009063FD" w:rsidRPr="00A56CD6">
          <w:rPr>
            <w:rStyle w:val="Hyperlink"/>
            <w:szCs w:val="24"/>
          </w:rPr>
          <w:t>https://www.wto.org/english/news_e/news21_e/clim_03nov21-4_e.pdf</w:t>
        </w:r>
      </w:hyperlink>
      <w:r w:rsidR="009063FD" w:rsidRPr="00A56CD6">
        <w:rPr>
          <w:szCs w:val="24"/>
        </w:rPr>
        <w:t xml:space="preserve"> </w:t>
      </w:r>
      <w:r w:rsidRPr="00A56CD6">
        <w:rPr>
          <w:szCs w:val="24"/>
        </w:rPr>
        <w:t>(Accessed: 24 March 2026).</w:t>
      </w:r>
    </w:p>
    <w:p w14:paraId="02ADE0B9" w14:textId="4522CAB0" w:rsidR="00527753" w:rsidRPr="00A56CD6" w:rsidRDefault="003E4230" w:rsidP="00741673">
      <w:pPr>
        <w:widowControl w:val="0"/>
        <w:spacing w:after="240"/>
        <w:rPr>
          <w:szCs w:val="24"/>
        </w:rPr>
      </w:pPr>
      <w:r w:rsidRPr="00A56CD6">
        <w:rPr>
          <w:szCs w:val="24"/>
        </w:rPr>
        <w:t xml:space="preserve">Yi, S., Rabnawaz, M., Jalal, W. and Zeb, A. (2023) ‘The Nexus between Foreign Competition and Buying Innovation: Evidence from China’s High-Technology </w:t>
      </w:r>
      <w:r w:rsidRPr="00A56CD6">
        <w:rPr>
          <w:szCs w:val="24"/>
        </w:rPr>
        <w:lastRenderedPageBreak/>
        <w:t xml:space="preserve">Industry’, </w:t>
      </w:r>
      <w:r w:rsidRPr="00A56CD6">
        <w:rPr>
          <w:i/>
          <w:iCs/>
          <w:szCs w:val="24"/>
        </w:rPr>
        <w:t>Sustainability</w:t>
      </w:r>
      <w:r w:rsidRPr="00A56CD6">
        <w:rPr>
          <w:szCs w:val="24"/>
        </w:rPr>
        <w:t xml:space="preserve">, 15(15), p. 11756. Available at: </w:t>
      </w:r>
      <w:hyperlink r:id="rId60" w:history="1">
        <w:r w:rsidR="009063FD" w:rsidRPr="00A56CD6">
          <w:rPr>
            <w:rStyle w:val="Hyperlink"/>
            <w:szCs w:val="24"/>
          </w:rPr>
          <w:t>https://doi.org/10.3390/su151511756</w:t>
        </w:r>
      </w:hyperlink>
      <w:r w:rsidRPr="00A56CD6">
        <w:rPr>
          <w:szCs w:val="24"/>
        </w:rPr>
        <w:t>.</w:t>
      </w:r>
      <w:r w:rsidR="009063FD" w:rsidRPr="00A56CD6">
        <w:rPr>
          <w:szCs w:val="24"/>
        </w:rPr>
        <w:t xml:space="preserve"> </w:t>
      </w:r>
    </w:p>
    <w:p w14:paraId="6392BC6C" w14:textId="7A53686D" w:rsidR="00527753" w:rsidRDefault="003E4230" w:rsidP="00741673">
      <w:pPr>
        <w:widowControl w:val="0"/>
        <w:spacing w:after="240"/>
        <w:rPr>
          <w:szCs w:val="24"/>
        </w:rPr>
      </w:pPr>
      <w:r w:rsidRPr="00A56CD6">
        <w:rPr>
          <w:szCs w:val="24"/>
        </w:rPr>
        <w:t xml:space="preserve">Yingjie, W. (2022) ‘An Inverted U-shaped Relationship? The Impact of Government Subsidies on the R&amp;D Investment of New Energy Companies: Economic Policy Uncertainty and Enterprise Heterogeneity Perspectives’, </w:t>
      </w:r>
      <w:r w:rsidRPr="00A56CD6">
        <w:rPr>
          <w:i/>
          <w:iCs/>
          <w:szCs w:val="24"/>
        </w:rPr>
        <w:t>Frontiers in Energy Research</w:t>
      </w:r>
      <w:r w:rsidRPr="00A56CD6">
        <w:rPr>
          <w:szCs w:val="24"/>
        </w:rPr>
        <w:t xml:space="preserve">, 10, p. -. Available at: </w:t>
      </w:r>
      <w:hyperlink r:id="rId61" w:history="1">
        <w:r w:rsidR="009063FD" w:rsidRPr="00A56CD6">
          <w:rPr>
            <w:rStyle w:val="Hyperlink"/>
            <w:szCs w:val="24"/>
          </w:rPr>
          <w:t>https://doi.org/10.3389/fenrg.2022.887108</w:t>
        </w:r>
      </w:hyperlink>
      <w:r w:rsidRPr="00A56CD6">
        <w:rPr>
          <w:szCs w:val="24"/>
        </w:rPr>
        <w:t>.</w:t>
      </w:r>
      <w:r w:rsidR="009063FD" w:rsidRPr="00A56CD6">
        <w:rPr>
          <w:szCs w:val="24"/>
        </w:rPr>
        <w:t xml:space="preserve"> </w:t>
      </w:r>
    </w:p>
    <w:p w14:paraId="5DE7220C" w14:textId="77777777" w:rsidR="00741673" w:rsidRPr="00741673" w:rsidRDefault="00741673" w:rsidP="00741673">
      <w:pPr>
        <w:pStyle w:val="NormalWeb"/>
        <w:spacing w:before="0" w:beforeAutospacing="0" w:after="240" w:afterAutospacing="0" w:line="360" w:lineRule="auto"/>
        <w:jc w:val="both"/>
        <w:rPr>
          <w:rFonts w:ascii="Arial" w:hAnsi="Arial" w:cs="Arial"/>
        </w:rPr>
      </w:pPr>
      <w:r w:rsidRPr="00741673">
        <w:rPr>
          <w:rFonts w:ascii="Arial" w:hAnsi="Arial" w:cs="Arial"/>
        </w:rPr>
        <w:t xml:space="preserve">Kayikci, Y., </w:t>
      </w:r>
      <w:proofErr w:type="spellStart"/>
      <w:r w:rsidRPr="00741673">
        <w:rPr>
          <w:rFonts w:ascii="Arial" w:hAnsi="Arial" w:cs="Arial"/>
        </w:rPr>
        <w:t>Gozacan</w:t>
      </w:r>
      <w:proofErr w:type="spellEnd"/>
      <w:r w:rsidRPr="00741673">
        <w:rPr>
          <w:rFonts w:ascii="Cambria Math" w:hAnsi="Cambria Math" w:cs="Cambria Math"/>
        </w:rPr>
        <w:t>‐</w:t>
      </w:r>
      <w:r w:rsidRPr="00741673">
        <w:rPr>
          <w:rFonts w:ascii="Arial" w:hAnsi="Arial" w:cs="Arial"/>
        </w:rPr>
        <w:t xml:space="preserve">Chase, N., </w:t>
      </w:r>
      <w:proofErr w:type="spellStart"/>
      <w:r w:rsidRPr="00741673">
        <w:rPr>
          <w:rFonts w:ascii="Arial" w:hAnsi="Arial" w:cs="Arial"/>
        </w:rPr>
        <w:t>Rejeb</w:t>
      </w:r>
      <w:proofErr w:type="spellEnd"/>
      <w:r w:rsidRPr="00741673">
        <w:rPr>
          <w:rFonts w:ascii="Arial" w:hAnsi="Arial" w:cs="Arial"/>
        </w:rPr>
        <w:t xml:space="preserve">, A. and </w:t>
      </w:r>
      <w:proofErr w:type="spellStart"/>
      <w:r w:rsidRPr="00741673">
        <w:rPr>
          <w:rFonts w:ascii="Arial" w:hAnsi="Arial" w:cs="Arial"/>
        </w:rPr>
        <w:t>Mathiyazhagan</w:t>
      </w:r>
      <w:proofErr w:type="spellEnd"/>
      <w:r w:rsidRPr="00741673">
        <w:rPr>
          <w:rFonts w:ascii="Arial" w:hAnsi="Arial" w:cs="Arial"/>
        </w:rPr>
        <w:t>, K. (2022) ‘Critical success factors for implementing blockchain</w:t>
      </w:r>
      <w:r w:rsidRPr="00741673">
        <w:rPr>
          <w:rFonts w:ascii="Cambria Math" w:hAnsi="Cambria Math" w:cs="Cambria Math"/>
        </w:rPr>
        <w:t>‐</w:t>
      </w:r>
      <w:r w:rsidRPr="00741673">
        <w:rPr>
          <w:rFonts w:ascii="Arial" w:hAnsi="Arial" w:cs="Arial"/>
        </w:rPr>
        <w:t xml:space="preserve">based circular supply chain’, </w:t>
      </w:r>
      <w:r w:rsidRPr="00741673">
        <w:rPr>
          <w:rFonts w:ascii="Arial" w:hAnsi="Arial" w:cs="Arial"/>
          <w:i/>
          <w:iCs/>
        </w:rPr>
        <w:t>Business Strategy and the Environment</w:t>
      </w:r>
      <w:r w:rsidRPr="00741673">
        <w:rPr>
          <w:rFonts w:ascii="Arial" w:hAnsi="Arial" w:cs="Arial"/>
        </w:rPr>
        <w:t>, 31(7). Available at: https://doi.org/10.1002/bse.3110.</w:t>
      </w:r>
    </w:p>
    <w:p w14:paraId="6CDA19FA" w14:textId="77777777" w:rsidR="00741673" w:rsidRPr="00E11B06" w:rsidRDefault="00741673" w:rsidP="00A56CD6">
      <w:pPr>
        <w:widowControl w:val="0"/>
        <w:spacing w:after="240"/>
        <w:ind w:left="360"/>
      </w:pPr>
    </w:p>
    <w:p w14:paraId="0F536351" w14:textId="77777777" w:rsidR="00527753" w:rsidRPr="00E11B06" w:rsidRDefault="00527753" w:rsidP="00E11B06">
      <w:pPr>
        <w:widowControl w:val="0"/>
        <w:spacing w:before="240" w:after="240"/>
      </w:pPr>
    </w:p>
    <w:p w14:paraId="0D15CA02" w14:textId="77777777" w:rsidR="00527753" w:rsidRPr="00E11B06" w:rsidRDefault="00527753" w:rsidP="00E11B06"/>
    <w:p w14:paraId="17F36F51" w14:textId="77777777" w:rsidR="00527753" w:rsidRPr="00E11B06" w:rsidRDefault="00527753" w:rsidP="00E11B06"/>
    <w:p w14:paraId="71023FEE" w14:textId="77777777" w:rsidR="00527753" w:rsidRPr="00E11B06" w:rsidRDefault="00527753" w:rsidP="00E11B06"/>
    <w:p w14:paraId="7E5B6E91" w14:textId="77777777" w:rsidR="00527753" w:rsidRPr="00E11B06" w:rsidRDefault="00527753" w:rsidP="00E11B06"/>
    <w:p w14:paraId="14AD9A1A" w14:textId="77777777" w:rsidR="00527753" w:rsidRPr="00E11B06" w:rsidRDefault="00527753" w:rsidP="00E11B06"/>
    <w:p w14:paraId="62FDA0CC" w14:textId="77777777" w:rsidR="00527753" w:rsidRPr="00E11B06" w:rsidRDefault="00527753" w:rsidP="00E11B06"/>
    <w:p w14:paraId="370EABA5" w14:textId="77777777" w:rsidR="00527753" w:rsidRPr="00E11B06" w:rsidRDefault="00527753" w:rsidP="00E11B06"/>
    <w:sectPr w:rsidR="00527753" w:rsidRPr="00E11B06" w:rsidSect="00AC3CC7">
      <w:footerReference w:type="default" r:id="rId62"/>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1B9C8A" w14:textId="77777777" w:rsidR="00032D55" w:rsidRDefault="00032D55" w:rsidP="00E83F3E">
      <w:pPr>
        <w:spacing w:line="240" w:lineRule="auto"/>
      </w:pPr>
      <w:r>
        <w:separator/>
      </w:r>
    </w:p>
  </w:endnote>
  <w:endnote w:type="continuationSeparator" w:id="0">
    <w:p w14:paraId="5126937A" w14:textId="77777777" w:rsidR="00032D55" w:rsidRDefault="00032D55" w:rsidP="00E83F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E0220BB-902D-4B48-B896-7C3C72AA6331}"/>
  </w:font>
  <w:font w:name="Segoe UI">
    <w:panose1 w:val="020B0502040204020203"/>
    <w:charset w:val="00"/>
    <w:family w:val="swiss"/>
    <w:pitch w:val="variable"/>
    <w:sig w:usb0="E4002EFF" w:usb1="C000E47F" w:usb2="00000009" w:usb3="00000000" w:csb0="000001FF" w:csb1="00000000"/>
    <w:embedRegular r:id="rId2" w:fontKey="{8670A286-25F8-4F17-85B7-12F37AED0F2E}"/>
  </w:font>
  <w:font w:name="Cambria">
    <w:panose1 w:val="02040503050406030204"/>
    <w:charset w:val="00"/>
    <w:family w:val="roman"/>
    <w:pitch w:val="variable"/>
    <w:sig w:usb0="E00006FF" w:usb1="420024FF" w:usb2="02000000" w:usb3="00000000" w:csb0="0000019F" w:csb1="00000000"/>
    <w:embedRegular r:id="rId3" w:fontKey="{38D24B3D-097F-450A-AC92-EA5EFB5EA333}"/>
  </w:font>
  <w:font w:name="Cambria Math">
    <w:panose1 w:val="02040503050406030204"/>
    <w:charset w:val="00"/>
    <w:family w:val="roman"/>
    <w:pitch w:val="variable"/>
    <w:sig w:usb0="E00006FF" w:usb1="420024FF" w:usb2="02000000" w:usb3="00000000" w:csb0="0000019F" w:csb1="00000000"/>
    <w:embedRegular r:id="rId4" w:fontKey="{26CEC89B-11CE-4361-946E-67F8889C283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18"/>
      </w:rPr>
      <w:id w:val="-2110419878"/>
      <w:docPartObj>
        <w:docPartGallery w:val="Page Numbers (Bottom of Page)"/>
        <w:docPartUnique/>
      </w:docPartObj>
    </w:sdtPr>
    <w:sdtContent>
      <w:p w14:paraId="48226292" w14:textId="65AB9DF3" w:rsidR="00AC3CC7" w:rsidRPr="00BA5309" w:rsidRDefault="00AC3CC7">
        <w:pPr>
          <w:pStyle w:val="Footer"/>
          <w:jc w:val="right"/>
          <w:rPr>
            <w:sz w:val="20"/>
            <w:szCs w:val="18"/>
          </w:rPr>
        </w:pPr>
        <w:r w:rsidRPr="00BA5309">
          <w:rPr>
            <w:sz w:val="20"/>
            <w:szCs w:val="18"/>
          </w:rPr>
          <w:t xml:space="preserve">Page | </w:t>
        </w:r>
        <w:r w:rsidRPr="00BA5309">
          <w:rPr>
            <w:sz w:val="20"/>
            <w:szCs w:val="18"/>
          </w:rPr>
          <w:fldChar w:fldCharType="begin"/>
        </w:r>
        <w:r w:rsidRPr="00BA5309">
          <w:rPr>
            <w:sz w:val="20"/>
            <w:szCs w:val="18"/>
          </w:rPr>
          <w:instrText xml:space="preserve"> PAGE   \* MERGEFORMAT </w:instrText>
        </w:r>
        <w:r w:rsidRPr="00BA5309">
          <w:rPr>
            <w:sz w:val="20"/>
            <w:szCs w:val="18"/>
          </w:rPr>
          <w:fldChar w:fldCharType="separate"/>
        </w:r>
        <w:r w:rsidR="00741673">
          <w:rPr>
            <w:noProof/>
            <w:sz w:val="20"/>
            <w:szCs w:val="18"/>
          </w:rPr>
          <w:t>26</w:t>
        </w:r>
        <w:r w:rsidRPr="00BA5309">
          <w:rPr>
            <w:noProof/>
            <w:sz w:val="20"/>
            <w:szCs w:val="18"/>
          </w:rPr>
          <w:fldChar w:fldCharType="end"/>
        </w:r>
        <w:r w:rsidRPr="00BA5309">
          <w:rPr>
            <w:sz w:val="20"/>
            <w:szCs w:val="18"/>
          </w:rPr>
          <w:t xml:space="preserve"> </w:t>
        </w:r>
      </w:p>
    </w:sdtContent>
  </w:sdt>
  <w:p w14:paraId="3566EA61" w14:textId="77777777" w:rsidR="00E83F3E" w:rsidRDefault="00E83F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13AF18" w14:textId="77777777" w:rsidR="00032D55" w:rsidRDefault="00032D55" w:rsidP="00E83F3E">
      <w:pPr>
        <w:spacing w:line="240" w:lineRule="auto"/>
      </w:pPr>
      <w:r>
        <w:separator/>
      </w:r>
    </w:p>
  </w:footnote>
  <w:footnote w:type="continuationSeparator" w:id="0">
    <w:p w14:paraId="13E69B89" w14:textId="77777777" w:rsidR="00032D55" w:rsidRDefault="00032D55" w:rsidP="00E83F3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D11031"/>
    <w:multiLevelType w:val="hybridMultilevel"/>
    <w:tmpl w:val="D504A9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9057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7753"/>
    <w:rsid w:val="00011C78"/>
    <w:rsid w:val="00016D20"/>
    <w:rsid w:val="00022603"/>
    <w:rsid w:val="00022980"/>
    <w:rsid w:val="00032D55"/>
    <w:rsid w:val="0006160B"/>
    <w:rsid w:val="00086B7C"/>
    <w:rsid w:val="000F6665"/>
    <w:rsid w:val="00107F07"/>
    <w:rsid w:val="001439A9"/>
    <w:rsid w:val="001F13B1"/>
    <w:rsid w:val="001F1A46"/>
    <w:rsid w:val="002519D4"/>
    <w:rsid w:val="002654B0"/>
    <w:rsid w:val="00271245"/>
    <w:rsid w:val="00283BBA"/>
    <w:rsid w:val="002C187C"/>
    <w:rsid w:val="002C6792"/>
    <w:rsid w:val="002F4AF6"/>
    <w:rsid w:val="003046E1"/>
    <w:rsid w:val="00305128"/>
    <w:rsid w:val="0032450F"/>
    <w:rsid w:val="00341241"/>
    <w:rsid w:val="00341ADA"/>
    <w:rsid w:val="003D405E"/>
    <w:rsid w:val="003E4230"/>
    <w:rsid w:val="0045001B"/>
    <w:rsid w:val="004920DF"/>
    <w:rsid w:val="004A3613"/>
    <w:rsid w:val="004B0321"/>
    <w:rsid w:val="004B4CB5"/>
    <w:rsid w:val="004F6026"/>
    <w:rsid w:val="004F7945"/>
    <w:rsid w:val="00513D5D"/>
    <w:rsid w:val="00527753"/>
    <w:rsid w:val="00564BEF"/>
    <w:rsid w:val="0061109C"/>
    <w:rsid w:val="006307F8"/>
    <w:rsid w:val="007121F5"/>
    <w:rsid w:val="0074056A"/>
    <w:rsid w:val="00741673"/>
    <w:rsid w:val="0077022C"/>
    <w:rsid w:val="007A426C"/>
    <w:rsid w:val="007A4CAD"/>
    <w:rsid w:val="007C305E"/>
    <w:rsid w:val="00804442"/>
    <w:rsid w:val="00805406"/>
    <w:rsid w:val="008613FE"/>
    <w:rsid w:val="008B675F"/>
    <w:rsid w:val="008D4598"/>
    <w:rsid w:val="008F1997"/>
    <w:rsid w:val="0090186A"/>
    <w:rsid w:val="009063FD"/>
    <w:rsid w:val="00925BEC"/>
    <w:rsid w:val="00927F69"/>
    <w:rsid w:val="00942938"/>
    <w:rsid w:val="00966DCA"/>
    <w:rsid w:val="00967269"/>
    <w:rsid w:val="009E3674"/>
    <w:rsid w:val="009F4598"/>
    <w:rsid w:val="00A17382"/>
    <w:rsid w:val="00A56CD6"/>
    <w:rsid w:val="00AA2009"/>
    <w:rsid w:val="00AA3B0B"/>
    <w:rsid w:val="00AC3CC7"/>
    <w:rsid w:val="00AD7542"/>
    <w:rsid w:val="00AF2B93"/>
    <w:rsid w:val="00AF3133"/>
    <w:rsid w:val="00AF5526"/>
    <w:rsid w:val="00B8172C"/>
    <w:rsid w:val="00BA5309"/>
    <w:rsid w:val="00BB39E8"/>
    <w:rsid w:val="00C02E6E"/>
    <w:rsid w:val="00C2295A"/>
    <w:rsid w:val="00C43F09"/>
    <w:rsid w:val="00C51F88"/>
    <w:rsid w:val="00C65B91"/>
    <w:rsid w:val="00C84F7D"/>
    <w:rsid w:val="00CB724A"/>
    <w:rsid w:val="00D0417F"/>
    <w:rsid w:val="00D1052D"/>
    <w:rsid w:val="00D114B7"/>
    <w:rsid w:val="00D16C8F"/>
    <w:rsid w:val="00D42029"/>
    <w:rsid w:val="00D7614C"/>
    <w:rsid w:val="00D832EB"/>
    <w:rsid w:val="00DA1AB1"/>
    <w:rsid w:val="00DB4E20"/>
    <w:rsid w:val="00DF0435"/>
    <w:rsid w:val="00E11B06"/>
    <w:rsid w:val="00E2218A"/>
    <w:rsid w:val="00E318C7"/>
    <w:rsid w:val="00E80F53"/>
    <w:rsid w:val="00E83F3E"/>
    <w:rsid w:val="00EC3395"/>
    <w:rsid w:val="00EC3506"/>
    <w:rsid w:val="00ED717B"/>
    <w:rsid w:val="00F47344"/>
    <w:rsid w:val="00F908F7"/>
    <w:rsid w:val="00F93D06"/>
    <w:rsid w:val="00FB5372"/>
    <w:rsid w:val="00FD3BE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0498A"/>
  <w15:docId w15:val="{D03AC4AF-B1EE-4866-AB37-71008AB456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1ADA"/>
    <w:pPr>
      <w:spacing w:before="120" w:after="120" w:line="360" w:lineRule="auto"/>
      <w:jc w:val="both"/>
    </w:pPr>
    <w:rPr>
      <w:sz w:val="24"/>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rsid w:val="0045001B"/>
    <w:pPr>
      <w:spacing w:after="0"/>
      <w:outlineLvl w:val="1"/>
    </w:pPr>
    <w:rPr>
      <w:b/>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Header">
    <w:name w:val="header"/>
    <w:basedOn w:val="Normal"/>
    <w:link w:val="HeaderChar"/>
    <w:uiPriority w:val="99"/>
    <w:unhideWhenUsed/>
    <w:rsid w:val="00E83F3E"/>
    <w:pPr>
      <w:tabs>
        <w:tab w:val="center" w:pos="4513"/>
        <w:tab w:val="right" w:pos="9026"/>
      </w:tabs>
      <w:spacing w:line="240" w:lineRule="auto"/>
    </w:pPr>
  </w:style>
  <w:style w:type="character" w:customStyle="1" w:styleId="HeaderChar">
    <w:name w:val="Header Char"/>
    <w:basedOn w:val="DefaultParagraphFont"/>
    <w:link w:val="Header"/>
    <w:uiPriority w:val="99"/>
    <w:rsid w:val="00E83F3E"/>
  </w:style>
  <w:style w:type="paragraph" w:styleId="Footer">
    <w:name w:val="footer"/>
    <w:basedOn w:val="Normal"/>
    <w:link w:val="FooterChar"/>
    <w:uiPriority w:val="99"/>
    <w:unhideWhenUsed/>
    <w:rsid w:val="00E83F3E"/>
    <w:pPr>
      <w:tabs>
        <w:tab w:val="center" w:pos="4513"/>
        <w:tab w:val="right" w:pos="9026"/>
      </w:tabs>
      <w:spacing w:line="240" w:lineRule="auto"/>
    </w:pPr>
  </w:style>
  <w:style w:type="character" w:customStyle="1" w:styleId="FooterChar">
    <w:name w:val="Footer Char"/>
    <w:basedOn w:val="DefaultParagraphFont"/>
    <w:link w:val="Footer"/>
    <w:uiPriority w:val="99"/>
    <w:rsid w:val="00E83F3E"/>
  </w:style>
  <w:style w:type="paragraph" w:styleId="TOCHeading">
    <w:name w:val="TOC Heading"/>
    <w:basedOn w:val="Heading1"/>
    <w:next w:val="Normal"/>
    <w:uiPriority w:val="39"/>
    <w:unhideWhenUsed/>
    <w:qFormat/>
    <w:rsid w:val="00E83F3E"/>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E83F3E"/>
    <w:pPr>
      <w:spacing w:after="100"/>
    </w:pPr>
  </w:style>
  <w:style w:type="paragraph" w:styleId="TOC2">
    <w:name w:val="toc 2"/>
    <w:basedOn w:val="Normal"/>
    <w:next w:val="Normal"/>
    <w:autoRedefine/>
    <w:uiPriority w:val="39"/>
    <w:unhideWhenUsed/>
    <w:rsid w:val="00E83F3E"/>
    <w:pPr>
      <w:spacing w:after="100"/>
      <w:ind w:left="220"/>
    </w:pPr>
  </w:style>
  <w:style w:type="paragraph" w:styleId="TOC3">
    <w:name w:val="toc 3"/>
    <w:basedOn w:val="Normal"/>
    <w:next w:val="Normal"/>
    <w:autoRedefine/>
    <w:uiPriority w:val="39"/>
    <w:unhideWhenUsed/>
    <w:rsid w:val="00E83F3E"/>
    <w:pPr>
      <w:spacing w:after="100"/>
      <w:ind w:left="440"/>
    </w:pPr>
  </w:style>
  <w:style w:type="character" w:styleId="Hyperlink">
    <w:name w:val="Hyperlink"/>
    <w:basedOn w:val="DefaultParagraphFont"/>
    <w:uiPriority w:val="99"/>
    <w:unhideWhenUsed/>
    <w:rsid w:val="00E83F3E"/>
    <w:rPr>
      <w:color w:val="0000FF" w:themeColor="hyperlink"/>
      <w:u w:val="single"/>
    </w:rPr>
  </w:style>
  <w:style w:type="character" w:customStyle="1" w:styleId="UnresolvedMention1">
    <w:name w:val="Unresolved Mention1"/>
    <w:basedOn w:val="DefaultParagraphFont"/>
    <w:uiPriority w:val="99"/>
    <w:semiHidden/>
    <w:unhideWhenUsed/>
    <w:rsid w:val="009063FD"/>
    <w:rPr>
      <w:color w:val="605E5C"/>
      <w:shd w:val="clear" w:color="auto" w:fill="E1DFDD"/>
    </w:rPr>
  </w:style>
  <w:style w:type="character" w:styleId="CommentReference">
    <w:name w:val="annotation reference"/>
    <w:basedOn w:val="DefaultParagraphFont"/>
    <w:uiPriority w:val="99"/>
    <w:semiHidden/>
    <w:unhideWhenUsed/>
    <w:rsid w:val="00341ADA"/>
    <w:rPr>
      <w:sz w:val="16"/>
      <w:szCs w:val="16"/>
    </w:rPr>
  </w:style>
  <w:style w:type="paragraph" w:styleId="CommentText">
    <w:name w:val="annotation text"/>
    <w:basedOn w:val="Normal"/>
    <w:link w:val="CommentTextChar"/>
    <w:uiPriority w:val="99"/>
    <w:semiHidden/>
    <w:unhideWhenUsed/>
    <w:rsid w:val="00341ADA"/>
    <w:pPr>
      <w:spacing w:line="240" w:lineRule="auto"/>
    </w:pPr>
    <w:rPr>
      <w:sz w:val="20"/>
      <w:szCs w:val="20"/>
    </w:rPr>
  </w:style>
  <w:style w:type="character" w:customStyle="1" w:styleId="CommentTextChar">
    <w:name w:val="Comment Text Char"/>
    <w:basedOn w:val="DefaultParagraphFont"/>
    <w:link w:val="CommentText"/>
    <w:uiPriority w:val="99"/>
    <w:semiHidden/>
    <w:rsid w:val="00341ADA"/>
    <w:rPr>
      <w:sz w:val="20"/>
      <w:szCs w:val="20"/>
    </w:rPr>
  </w:style>
  <w:style w:type="paragraph" w:styleId="CommentSubject">
    <w:name w:val="annotation subject"/>
    <w:basedOn w:val="CommentText"/>
    <w:next w:val="CommentText"/>
    <w:link w:val="CommentSubjectChar"/>
    <w:uiPriority w:val="99"/>
    <w:semiHidden/>
    <w:unhideWhenUsed/>
    <w:rsid w:val="00341ADA"/>
    <w:rPr>
      <w:b/>
      <w:bCs/>
    </w:rPr>
  </w:style>
  <w:style w:type="character" w:customStyle="1" w:styleId="CommentSubjectChar">
    <w:name w:val="Comment Subject Char"/>
    <w:basedOn w:val="CommentTextChar"/>
    <w:link w:val="CommentSubject"/>
    <w:uiPriority w:val="99"/>
    <w:semiHidden/>
    <w:rsid w:val="00341ADA"/>
    <w:rPr>
      <w:b/>
      <w:bCs/>
      <w:sz w:val="20"/>
      <w:szCs w:val="20"/>
    </w:rPr>
  </w:style>
  <w:style w:type="paragraph" w:styleId="BalloonText">
    <w:name w:val="Balloon Text"/>
    <w:basedOn w:val="Normal"/>
    <w:link w:val="BalloonTextChar"/>
    <w:uiPriority w:val="99"/>
    <w:semiHidden/>
    <w:unhideWhenUsed/>
    <w:rsid w:val="006307F8"/>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07F8"/>
    <w:rPr>
      <w:rFonts w:ascii="Segoe UI" w:hAnsi="Segoe UI" w:cs="Segoe UI"/>
      <w:sz w:val="18"/>
      <w:szCs w:val="18"/>
    </w:rPr>
  </w:style>
  <w:style w:type="paragraph" w:styleId="ListParagraph">
    <w:name w:val="List Paragraph"/>
    <w:basedOn w:val="Normal"/>
    <w:uiPriority w:val="34"/>
    <w:qFormat/>
    <w:rsid w:val="00A56CD6"/>
    <w:pPr>
      <w:ind w:left="720"/>
      <w:contextualSpacing/>
    </w:pPr>
  </w:style>
  <w:style w:type="paragraph" w:styleId="NormalWeb">
    <w:name w:val="Normal (Web)"/>
    <w:basedOn w:val="Normal"/>
    <w:uiPriority w:val="99"/>
    <w:semiHidden/>
    <w:unhideWhenUsed/>
    <w:rsid w:val="00741673"/>
    <w:pPr>
      <w:spacing w:before="100" w:beforeAutospacing="1" w:after="100" w:afterAutospacing="1" w:line="240" w:lineRule="auto"/>
      <w:jc w:val="left"/>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0621378">
      <w:bodyDiv w:val="1"/>
      <w:marLeft w:val="0"/>
      <w:marRight w:val="0"/>
      <w:marTop w:val="0"/>
      <w:marBottom w:val="0"/>
      <w:divBdr>
        <w:top w:val="none" w:sz="0" w:space="0" w:color="auto"/>
        <w:left w:val="none" w:sz="0" w:space="0" w:color="auto"/>
        <w:bottom w:val="none" w:sz="0" w:space="0" w:color="auto"/>
        <w:right w:val="none" w:sz="0" w:space="0" w:color="auto"/>
      </w:divBdr>
    </w:div>
    <w:div w:id="1610044967">
      <w:bodyDiv w:val="1"/>
      <w:marLeft w:val="0"/>
      <w:marRight w:val="0"/>
      <w:marTop w:val="0"/>
      <w:marBottom w:val="0"/>
      <w:divBdr>
        <w:top w:val="none" w:sz="0" w:space="0" w:color="auto"/>
        <w:left w:val="none" w:sz="0" w:space="0" w:color="auto"/>
        <w:bottom w:val="none" w:sz="0" w:space="0" w:color="auto"/>
        <w:right w:val="none" w:sz="0" w:space="0" w:color="auto"/>
      </w:divBdr>
      <w:divsChild>
        <w:div w:id="91836733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3897/brics-econ.5.e121429" TargetMode="External"/><Relationship Id="rId26" Type="http://schemas.openxmlformats.org/officeDocument/2006/relationships/hyperlink" Target="https://www.cnbc.com/2024/01/02/byd-produced-more-than-3-million-cars-in-2023-set-to-beat-tesla.html" TargetMode="External"/><Relationship Id="rId39" Type="http://schemas.openxmlformats.org/officeDocument/2006/relationships/hyperlink" Target="https://www.researchgate.net/profile/Michael-Kirchner/publication/386057003_Reducing_Cognitive_Overload_for_Students_in_Higher_Education_A_Course_Design_Case_Study/links/67508766876bd177783bfd5f/Reducing-Cognitive-Overload-for-Students-in-Higher-Education-A-Course-Design-Case-Study.pdf" TargetMode="External"/><Relationship Id="rId21" Type="http://schemas.openxmlformats.org/officeDocument/2006/relationships/hyperlink" Target="https://www.bloomberg.com/news/articles/2023-06-21/china-extends-tax-breaks-for-new-energy-vehicles-until-2027" TargetMode="External"/><Relationship Id="rId34" Type="http://schemas.openxmlformats.org/officeDocument/2006/relationships/hyperlink" Target="https://doi.org/10.36676/jams.v1.i3.16" TargetMode="External"/><Relationship Id="rId42" Type="http://schemas.openxmlformats.org/officeDocument/2006/relationships/hyperlink" Target="https://proceedings.neurips.cc/paper_files/paper/2023/hash/91edff07232fb1b55a505a9e9f6c0ff3-Abstract-Conference.html" TargetMode="External"/><Relationship Id="rId47" Type="http://schemas.openxmlformats.org/officeDocument/2006/relationships/hyperlink" Target="https://asia.nikkei.com/Business/Automobiles/Tesla-relies-on-China-for-40-of-battery-supply-chain-analysis" TargetMode="External"/><Relationship Id="rId50" Type="http://schemas.openxmlformats.org/officeDocument/2006/relationships/hyperlink" Target="https://doi.org/10.1016/j.energy.2025.135626" TargetMode="External"/><Relationship Id="rId55" Type="http://schemas.openxmlformats.org/officeDocument/2006/relationships/hyperlink" Target="https://doi.org/10.1016/j.edumed.2025.101088"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teslarati.com/byd-to-overtake-tesla-bev-sales-2025-counterpoint/" TargetMode="External"/><Relationship Id="rId29" Type="http://schemas.openxmlformats.org/officeDocument/2006/relationships/hyperlink" Target="https://doi.org/10.1016/j.joitmc.2025.100511" TargetMode="External"/><Relationship Id="rId11" Type="http://schemas.openxmlformats.org/officeDocument/2006/relationships/image" Target="media/image4.png"/><Relationship Id="rId24" Type="http://schemas.openxmlformats.org/officeDocument/2006/relationships/hyperlink" Target="https://www.bydglobal.com/en/news/2024-10-21/BYD-and-Black-Myth%3A-Wukong-Forge-Global-Strategic-Partnership" TargetMode="External"/><Relationship Id="rId32" Type="http://schemas.openxmlformats.org/officeDocument/2006/relationships/hyperlink" Target="https://www.mdpi.com/2227-7390/12/21/3364" TargetMode="External"/><Relationship Id="rId37" Type="http://schemas.openxmlformats.org/officeDocument/2006/relationships/hyperlink" Target="https://doi.org/10.1111/twec.13345" TargetMode="External"/><Relationship Id="rId40" Type="http://schemas.openxmlformats.org/officeDocument/2006/relationships/hyperlink" Target="https://doi.org/10.30525/2661-5169/2024-3-3" TargetMode="External"/><Relationship Id="rId45" Type="http://schemas.openxmlformats.org/officeDocument/2006/relationships/hyperlink" Target="https://www.mckinsey.com/industries/consumer-packaged-goods/our-insights/consumers-care-about-sustainability-and-back-it-up-with-their-wallets" TargetMode="External"/><Relationship Id="rId53" Type="http://schemas.openxmlformats.org/officeDocument/2006/relationships/hyperlink" Target="https://books.google.com/books?hl=en&amp;lr=&amp;id=tgJvEQAAQBAJ&amp;oi=fnd&amp;pg=PA4&amp;dq=Ansoff+posits+that+penetration+in+maturing+markets+yields+diminishing+returns" TargetMode="External"/><Relationship Id="rId58" Type="http://schemas.openxmlformats.org/officeDocument/2006/relationships/hyperlink" Target="https://doi.org/10.1002/gsj.1405" TargetMode="External"/><Relationship Id="rId5" Type="http://schemas.openxmlformats.org/officeDocument/2006/relationships/webSettings" Target="webSettings.xml"/><Relationship Id="rId61" Type="http://schemas.openxmlformats.org/officeDocument/2006/relationships/hyperlink" Target="https://doi.org/10.3389/fenrg.2022.887108" TargetMode="External"/><Relationship Id="rId19" Type="http://schemas.openxmlformats.org/officeDocument/2006/relationships/hyperlink" Target="https://www.autonews.com/technology/ane-eu-vw-sdv-ev-china-0918/" TargetMode="External"/><Relationship Id="rId14" Type="http://schemas.openxmlformats.org/officeDocument/2006/relationships/image" Target="media/image7.png"/><Relationship Id="rId22" Type="http://schemas.openxmlformats.org/officeDocument/2006/relationships/hyperlink" Target="https://doi.org/10.1108/apjml-08-2022-0702" TargetMode="External"/><Relationship Id="rId27" Type="http://schemas.openxmlformats.org/officeDocument/2006/relationships/hyperlink" Target="https://www.chinadaily.com.cn/a/202509/12/WS68c3c3d6a3108622abca078e.html" TargetMode="External"/><Relationship Id="rId30" Type="http://schemas.openxmlformats.org/officeDocument/2006/relationships/hyperlink" Target="https://autonews.gasgoo.com/articles/news/byd-raises-the-ceiling-for-ev-batteriesand-signals-new-phase-of-competition-2029908364610355200" TargetMode="External"/><Relationship Id="rId35" Type="http://schemas.openxmlformats.org/officeDocument/2006/relationships/hyperlink" Target="https://doi.org/10.2139/ssrn.4574945" TargetMode="External"/><Relationship Id="rId43" Type="http://schemas.openxmlformats.org/officeDocument/2006/relationships/hyperlink" Target="https://www.marketsandmarkets.com/Market-Reports/electric-vehicle-battery-market-100188347.html" TargetMode="External"/><Relationship Id="rId48" Type="http://schemas.openxmlformats.org/officeDocument/2006/relationships/hyperlink" Target="https://doi.org/10.3390/informatics10010025" TargetMode="External"/><Relationship Id="rId56" Type="http://schemas.openxmlformats.org/officeDocument/2006/relationships/hyperlink" Target="https://doi.org/10.3390/systems11100488" TargetMode="External"/><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doi.org/10.1108/jeim-10-2024-0554"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007/978-3-031-62102-4_22" TargetMode="External"/><Relationship Id="rId25" Type="http://schemas.openxmlformats.org/officeDocument/2006/relationships/hyperlink" Target="https://doi.org/10.3390/su16041573" TargetMode="External"/><Relationship Id="rId33" Type="http://schemas.openxmlformats.org/officeDocument/2006/relationships/hyperlink" Target="https://www.iea.org/reports/global-ev-outlook-2025/trends-in-electric-car-markets-2" TargetMode="External"/><Relationship Id="rId38" Type="http://schemas.openxmlformats.org/officeDocument/2006/relationships/hyperlink" Target="https://www.theguardian.com/world/2025/feb/19/clean-energy-contributed-10-to-chinas-gdp-in-2024-analysis-shows" TargetMode="External"/><Relationship Id="rId46" Type="http://schemas.openxmlformats.org/officeDocument/2006/relationships/hyperlink" Target="https://doi.org/10.1007/s11846-025-00918-6" TargetMode="External"/><Relationship Id="rId59" Type="http://schemas.openxmlformats.org/officeDocument/2006/relationships/hyperlink" Target="https://www.wto.org/english/news_e/news21_e/clim_03nov21-4_e.pdf" TargetMode="External"/><Relationship Id="rId20" Type="http://schemas.openxmlformats.org/officeDocument/2006/relationships/hyperlink" Target="https://doi.org/10.1002/csr.3186" TargetMode="External"/><Relationship Id="rId41" Type="http://schemas.openxmlformats.org/officeDocument/2006/relationships/hyperlink" Target="https://carnewschina.com/2025/10/31/byd-q1-q3-revenue-hits-79-5-billion-usd-rd-spending-exceeds-net-profit-as-global-ev-sales-surge/" TargetMode="External"/><Relationship Id="rId54" Type="http://schemas.openxmlformats.org/officeDocument/2006/relationships/hyperlink" Target="https://doi.org/10.5210/fm.v27i5.12770"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3390/su17156682" TargetMode="External"/><Relationship Id="rId23" Type="http://schemas.openxmlformats.org/officeDocument/2006/relationships/hyperlink" Target="https://www.byd.com/us/news-list/BYD-Ascends-to-No-143-in-the-2024-Fortune-Global-500" TargetMode="External"/><Relationship Id="rId28" Type="http://schemas.openxmlformats.org/officeDocument/2006/relationships/hyperlink" Target="https://conferences.jozacpublishers.com/index.php/icetis/article/view/57" TargetMode="External"/><Relationship Id="rId36" Type="http://schemas.openxmlformats.org/officeDocument/2006/relationships/hyperlink" Target="https://www.theguardian.com/business/2026/jan/02/china-byd-tesla-worlds-biggest-electric-car-seller-elon-musk-donald-trump-ev" TargetMode="External"/><Relationship Id="rId49" Type="http://schemas.openxmlformats.org/officeDocument/2006/relationships/hyperlink" Target="https://doi.org/10.1108/mbe-09-2024-0139" TargetMode="External"/><Relationship Id="rId57" Type="http://schemas.openxmlformats.org/officeDocument/2006/relationships/hyperlink" Target="https://doi.org/10.1007/s11747-022-00872-9" TargetMode="External"/><Relationship Id="rId10" Type="http://schemas.openxmlformats.org/officeDocument/2006/relationships/image" Target="media/image3.png"/><Relationship Id="rId31" Type="http://schemas.openxmlformats.org/officeDocument/2006/relationships/hyperlink" Target="https://doi.org/10.1108/ebr-01-2023-0003" TargetMode="External"/><Relationship Id="rId44" Type="http://schemas.openxmlformats.org/officeDocument/2006/relationships/hyperlink" Target="https://www.marketsandmarkets.com/blog/AT/ev-market-share-analysis" TargetMode="External"/><Relationship Id="rId52" Type="http://schemas.openxmlformats.org/officeDocument/2006/relationships/hyperlink" Target="https://www.statista.com/chart/33709/tesla-byd-electric-vehicle-production/?srsltid=AfmBOopmpAiGpxtI8LSKmz3N1MKKq-lKcSU4oH89j9rrgHETQap-jZ2d" TargetMode="External"/><Relationship Id="rId60" Type="http://schemas.openxmlformats.org/officeDocument/2006/relationships/hyperlink" Target="https://doi.org/10.3390/su151511756" TargetMode="Externa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12E2A8-7F79-4C7B-A84C-7A2F049924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TotalTime>
  <Pages>33</Pages>
  <Words>8614</Words>
  <Characters>49102</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Mohan raj Sharma</cp:lastModifiedBy>
  <cp:revision>96</cp:revision>
  <dcterms:created xsi:type="dcterms:W3CDTF">2026-03-24T20:05:00Z</dcterms:created>
  <dcterms:modified xsi:type="dcterms:W3CDTF">2026-05-01T12:14:00Z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1e925d5a-f18d-4a4e-945a-a088a7c08b54</vt:lpwstr>
  </property>
</Properties>
</file>