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i w:val="1"/>
          <w:highlight w:val="white"/>
        </w:rPr>
      </w:pPr>
      <w:r w:rsidDel="00000000" w:rsidR="00000000" w:rsidRPr="00000000">
        <w:rPr>
          <w:rtl w:val="0"/>
        </w:rPr>
      </w:r>
    </w:p>
    <w:p w:rsidR="00000000" w:rsidDel="00000000" w:rsidP="00000000" w:rsidRDefault="00000000" w:rsidRPr="00000000" w14:paraId="00000002">
      <w:pPr>
        <w:rPr>
          <w:highlight w:val="white"/>
        </w:rPr>
      </w:pPr>
      <w:r w:rsidDel="00000000" w:rsidR="00000000" w:rsidRPr="00000000">
        <w:rPr>
          <w:highlight w:val="white"/>
          <w:rtl w:val="0"/>
        </w:rPr>
        <w:t xml:space="preserve">If someone asked me years ago whether I would have ever applied to study at a university at the age of 44, I would have never imagined that to be true. And yet this year, that opportunity came along and I just couldn’t resist. My initial thoughts upon applying were ecstatic knowing very well that by studying Health and Social Care it would enable me to pursue my dream of being a teacher. </w:t>
      </w:r>
    </w:p>
    <w:p w:rsidR="00000000" w:rsidDel="00000000" w:rsidP="00000000" w:rsidRDefault="00000000" w:rsidRPr="00000000" w14:paraId="00000003">
      <w:pPr>
        <w:rPr>
          <w:highlight w:val="white"/>
        </w:rPr>
      </w:pPr>
      <w:r w:rsidDel="00000000" w:rsidR="00000000" w:rsidRPr="00000000">
        <w:rPr>
          <w:rtl w:val="0"/>
        </w:rPr>
      </w:r>
    </w:p>
    <w:p w:rsidR="00000000" w:rsidDel="00000000" w:rsidP="00000000" w:rsidRDefault="00000000" w:rsidRPr="00000000" w14:paraId="00000004">
      <w:pPr>
        <w:rPr>
          <w:highlight w:val="white"/>
        </w:rPr>
      </w:pPr>
      <w:r w:rsidDel="00000000" w:rsidR="00000000" w:rsidRPr="00000000">
        <w:rPr>
          <w:highlight w:val="white"/>
          <w:rtl w:val="0"/>
        </w:rPr>
        <w:t xml:space="preserve">My introduction of the course started off with some Personal and Professional Development, in which it presented the understanding on how to identify skills. In relation to that topic, I was introduced with a form of analysis named SWOT. With this form of analysis, I was able to identify what strengths, weaknesses, opportunities and threats that oneself can possess. I was able to implement these values not only into my job as a teacher assistant, but also to day-to-day life. One can have many strengths and weaknesses, however struggle reflecting on how to improve them. A weakness of mine being my English, I was able to instigate what I had learnt from this topic and reflect on it by using the Gibbs Reflective Model (1988), and work on what needed to be improved on, in order to have a better understanding and knowledge of the English language.  At first, when I received feedback from the teacher, I had been told that my english was good, but needed some practicing. So, with that feedback it made me determined to keep that as a focus and use it as motivation to improve. As Gibbs once quoted: “</w:t>
      </w:r>
      <w:r w:rsidDel="00000000" w:rsidR="00000000" w:rsidRPr="00000000">
        <w:rPr>
          <w:highlight w:val="white"/>
          <w:rtl w:val="0"/>
        </w:rPr>
        <w:t xml:space="preserve">Without reflecting upon this experience it may quickly be forgotten, or its learning potential lost.”, definitely highlighting how one needs to give consideration to one’s learning experiences in order to progress in life.  As far as my english, I was ready to improve it by writing essays, communicating more in english and by practicing. Knowing very well that was a weakness that I needed to work on, I was able to reflect on it and work hard in order to turn it into a strength. </w:t>
      </w:r>
    </w:p>
    <w:p w:rsidR="00000000" w:rsidDel="00000000" w:rsidP="00000000" w:rsidRDefault="00000000" w:rsidRPr="00000000" w14:paraId="00000005">
      <w:pPr>
        <w:rPr>
          <w:highlight w:val="white"/>
        </w:rPr>
      </w:pPr>
      <w:r w:rsidDel="00000000" w:rsidR="00000000" w:rsidRPr="00000000">
        <w:rPr>
          <w:rtl w:val="0"/>
        </w:rPr>
      </w:r>
    </w:p>
    <w:p w:rsidR="00000000" w:rsidDel="00000000" w:rsidP="00000000" w:rsidRDefault="00000000" w:rsidRPr="00000000" w14:paraId="00000006">
      <w:pPr>
        <w:rPr>
          <w:i w:val="1"/>
          <w:color w:val="121212"/>
          <w:highlight w:val="white"/>
        </w:rPr>
      </w:pPr>
      <w:r w:rsidDel="00000000" w:rsidR="00000000" w:rsidRPr="00000000">
        <w:rPr>
          <w:highlight w:val="white"/>
          <w:rtl w:val="0"/>
        </w:rPr>
        <w:t xml:space="preserve">Further into the first term, I was taught how to reference. In all my life, referencing was something I had never come across or even heard of, so this was a first for me. In his (1984) ‘Experiential Learning Cycle’ Kolb unveils the idea of a concrete experience- </w:t>
      </w:r>
      <w:r w:rsidDel="00000000" w:rsidR="00000000" w:rsidRPr="00000000">
        <w:rPr>
          <w:i w:val="1"/>
          <w:highlight w:val="white"/>
          <w:rtl w:val="0"/>
        </w:rPr>
        <w:t xml:space="preserve">“a reinterpretation of an existing experience or a new experience of a situation which is encountered”</w:t>
      </w:r>
      <w:r w:rsidDel="00000000" w:rsidR="00000000" w:rsidRPr="00000000">
        <w:rPr>
          <w:highlight w:val="white"/>
          <w:rtl w:val="0"/>
        </w:rPr>
        <w:t xml:space="preserve">, mine in this case referring to the referencing. Having had no previous experience in referencing I was very concerned when taught this in class. Being that this was my very first time at university and I had no prior experience in using such skill before, as well as the fact that my english wasn’t so good, this referencing was proving to be a very hard challenge for me. As Kolb (1984) points out, “</w:t>
      </w:r>
      <w:r w:rsidDel="00000000" w:rsidR="00000000" w:rsidRPr="00000000">
        <w:rPr>
          <w:i w:val="1"/>
          <w:highlight w:val="white"/>
          <w:rtl w:val="0"/>
        </w:rPr>
        <w:t xml:space="preserve">Life is full of experiences we can learn from. Whether at home or at work or out and about, there are countless opportunities for us to 'kick-start' the learning cycle.”  </w:t>
      </w:r>
      <w:r w:rsidDel="00000000" w:rsidR="00000000" w:rsidRPr="00000000">
        <w:rPr>
          <w:highlight w:val="white"/>
          <w:rtl w:val="0"/>
        </w:rPr>
        <w:t xml:space="preserve">Just as stated by Kolb himself, this referencing was an opportunity for me to learn how to improve my writing skills by acknowledging other people’s work. During the course of that topic I was presented with Kolb’s reflective observation, where I was able to put that into context with what I had learnt from my referencing and reflect on what needed to be improved on. Before I was taught this in class, I never had applied references into my work and would typically copy and paste, as I did not know that was wrong. The topic taught me the difference between plagiarism and the importance of appreciating other people’s effort and work and how to reference work in a recognised and consistent format. This form of reflection can be shown through Kolb’s </w:t>
      </w:r>
      <w:r w:rsidDel="00000000" w:rsidR="00000000" w:rsidRPr="00000000">
        <w:rPr>
          <w:color w:val="121212"/>
          <w:highlight w:val="white"/>
          <w:rtl w:val="0"/>
        </w:rPr>
        <w:t xml:space="preserve">(1976) “</w:t>
      </w:r>
      <w:r w:rsidDel="00000000" w:rsidR="00000000" w:rsidRPr="00000000">
        <w:rPr>
          <w:i w:val="1"/>
          <w:color w:val="121212"/>
          <w:highlight w:val="white"/>
          <w:rtl w:val="0"/>
        </w:rPr>
        <w:t xml:space="preserve">The Learning Style Inventory: Technical Manual</w:t>
      </w:r>
      <w:r w:rsidDel="00000000" w:rsidR="00000000" w:rsidRPr="00000000">
        <w:rPr>
          <w:color w:val="121212"/>
          <w:highlight w:val="white"/>
          <w:rtl w:val="0"/>
        </w:rPr>
        <w:t xml:space="preserve">” where the abstract conceptualisation is made known- “</w:t>
      </w:r>
      <w:r w:rsidDel="00000000" w:rsidR="00000000" w:rsidRPr="00000000">
        <w:rPr>
          <w:i w:val="1"/>
          <w:color w:val="121212"/>
          <w:highlight w:val="white"/>
          <w:rtl w:val="0"/>
        </w:rPr>
        <w:t xml:space="preserve">When we pass from thinking about our experiences to interpreting them we enter into the realm of what Kolb termed 'conceptualization'.” </w:t>
      </w:r>
    </w:p>
    <w:p w:rsidR="00000000" w:rsidDel="00000000" w:rsidP="00000000" w:rsidRDefault="00000000" w:rsidRPr="00000000" w14:paraId="00000007">
      <w:pPr>
        <w:rPr>
          <w:i w:val="1"/>
          <w:color w:val="121212"/>
          <w:highlight w:val="white"/>
        </w:rPr>
      </w:pPr>
      <w:r w:rsidDel="00000000" w:rsidR="00000000" w:rsidRPr="00000000">
        <w:rPr>
          <w:rtl w:val="0"/>
        </w:rPr>
      </w:r>
    </w:p>
    <w:p w:rsidR="00000000" w:rsidDel="00000000" w:rsidP="00000000" w:rsidRDefault="00000000" w:rsidRPr="00000000" w14:paraId="00000008">
      <w:pPr>
        <w:rPr>
          <w:i w:val="1"/>
        </w:rPr>
      </w:pPr>
      <w:r w:rsidDel="00000000" w:rsidR="00000000" w:rsidRPr="00000000">
        <w:rPr>
          <w:color w:val="121212"/>
          <w:highlight w:val="white"/>
          <w:rtl w:val="0"/>
        </w:rPr>
        <w:t xml:space="preserve">Onto my second term, I was presented with the task of writing up a CV. I was familiar with this as I had possession of one which I had written years ago upon applying for jobs when I arrived in the UK. Although I was in possession of one which I didn’t think needed much work on, the class had taught me otherwise. </w:t>
      </w:r>
      <w:r w:rsidDel="00000000" w:rsidR="00000000" w:rsidRPr="00000000">
        <w:rPr>
          <w:rtl w:val="0"/>
        </w:rPr>
        <w:t xml:space="preserve">During that class, I learnt how to use what I already had on my CV and alter it in order to make it a much stronger and better CV. As quoted once by Friere (1973), </w:t>
      </w:r>
      <w:r w:rsidDel="00000000" w:rsidR="00000000" w:rsidRPr="00000000">
        <w:rPr>
          <w:i w:val="1"/>
          <w:rtl w:val="0"/>
        </w:rPr>
        <w:t xml:space="preserve">“Knowledge only emerges through invention and reinvention”. </w:t>
      </w:r>
    </w:p>
    <w:p w:rsidR="00000000" w:rsidDel="00000000" w:rsidP="00000000" w:rsidRDefault="00000000" w:rsidRPr="00000000" w14:paraId="00000009">
      <w:pPr>
        <w:ind w:left="0" w:firstLine="0"/>
        <w:rPr/>
      </w:pPr>
      <w:r w:rsidDel="00000000" w:rsidR="00000000" w:rsidRPr="00000000">
        <w:rPr>
          <w:rtl w:val="0"/>
        </w:rPr>
        <w:t xml:space="preserve">By the end of the class, I was able to look back on my CV, and see what I could reflect from it. This was very new to me, as I didn’t know how I could incorporate new skills that I had encountered over the years and how to make the CV more polished. So, upon learning from that class, I was able to go back to my old CV and reflect on what I already had and add the points that I had learnt from the class and combine them with my current CV. This enabled me to have a clear mindset of what sort of CV I would like to have, and possibly give out in the future, if the opportunity comes through. With all this, I was able to understand Kolb’s (1984) 'Experiential Learning Cycle’ and put that into place via the active experimentation. In the end, I now have a CV which I am more content with and I am able to use the reflection points that were given in that class as well as the help and guidance from the professors, and not only apply that to CV’s but also in life. By looking at something that I already had, I was able to review it and work on it, in order to make the final product or outcome even better than it originally was. </w:t>
      </w:r>
    </w:p>
    <w:p w:rsidR="00000000" w:rsidDel="00000000" w:rsidP="00000000" w:rsidRDefault="00000000" w:rsidRPr="00000000" w14:paraId="0000000A">
      <w:pPr>
        <w:rPr>
          <w:color w:val="121212"/>
          <w:highlight w:val="white"/>
        </w:rPr>
      </w:pPr>
      <w:r w:rsidDel="00000000" w:rsidR="00000000" w:rsidRPr="00000000">
        <w:rPr>
          <w:rtl w:val="0"/>
        </w:rPr>
      </w:r>
    </w:p>
    <w:p w:rsidR="00000000" w:rsidDel="00000000" w:rsidP="00000000" w:rsidRDefault="00000000" w:rsidRPr="00000000" w14:paraId="0000000B">
      <w:pPr>
        <w:rPr>
          <w:color w:val="202124"/>
          <w:highlight w:val="white"/>
        </w:rPr>
      </w:pPr>
      <w:r w:rsidDel="00000000" w:rsidR="00000000" w:rsidRPr="00000000">
        <w:rPr>
          <w:color w:val="121212"/>
          <w:highlight w:val="white"/>
          <w:rtl w:val="0"/>
        </w:rPr>
        <w:t xml:space="preserve">In the midst of the second term, I was then introduced to the idea of writing a cover letter. I had some conception of this as I had been asked this before for some job interviews, nonetheless I still had no clue in how to write one adequately. In the process of writing one, I was taught on the different styles there are to a cover letter, such as t</w:t>
      </w:r>
      <w:r w:rsidDel="00000000" w:rsidR="00000000" w:rsidRPr="00000000">
        <w:rPr>
          <w:color w:val="202124"/>
          <w:highlight w:val="white"/>
          <w:rtl w:val="0"/>
        </w:rPr>
        <w:t xml:space="preserve">he application cover letter, the prospecting cover letter, and the networking cover letter. I learnt that a cover letter </w:t>
      </w:r>
      <w:r w:rsidDel="00000000" w:rsidR="00000000" w:rsidRPr="00000000">
        <w:rPr>
          <w:i w:val="1"/>
          <w:color w:val="202124"/>
          <w:highlight w:val="white"/>
          <w:rtl w:val="0"/>
        </w:rPr>
        <w:t xml:space="preserve">“...</w:t>
      </w:r>
      <w:r w:rsidDel="00000000" w:rsidR="00000000" w:rsidRPr="00000000">
        <w:rPr>
          <w:i w:val="1"/>
          <w:color w:val="202124"/>
          <w:highlight w:val="white"/>
          <w:rtl w:val="0"/>
        </w:rPr>
        <w:t xml:space="preserve">is a professional business letter which provides an employer with an introduction to an accompanying CV.” </w:t>
      </w:r>
      <w:r w:rsidDel="00000000" w:rsidR="00000000" w:rsidRPr="00000000">
        <w:rPr>
          <w:color w:val="202124"/>
          <w:highlight w:val="white"/>
          <w:rtl w:val="0"/>
        </w:rPr>
        <w:t xml:space="preserve">which was once said by Morgan P (2017). Learning that there is more than one way of writing a cover letter and the different assets needed to write a good one, I was astonished. I knew that this would prove to be difficult for me, as it involved coming up with ways to deem worthy to others and this was something that I struggled with. Writing a good cover letter would enable not only jobs or companies but also myself to see my values and see me in a different light. Having to write about what I am good at and why companies or jobs would want to hire me was something that made me nervous. I was concerned whether or not whatever I was writing about was even good enough to be seen by such important people and if I would even be hired in the future. As seen in </w:t>
      </w:r>
      <w:r w:rsidDel="00000000" w:rsidR="00000000" w:rsidRPr="00000000">
        <w:rPr>
          <w:highlight w:val="white"/>
          <w:rtl w:val="0"/>
        </w:rPr>
        <w:t xml:space="preserve">Schön’s (1991) “</w:t>
      </w:r>
      <w:r w:rsidDel="00000000" w:rsidR="00000000" w:rsidRPr="00000000">
        <w:rPr>
          <w:i w:val="1"/>
          <w:highlight w:val="white"/>
          <w:rtl w:val="0"/>
        </w:rPr>
        <w:t xml:space="preserve">Reflection in Action/Reflection on Action”, </w:t>
      </w:r>
      <w:r w:rsidDel="00000000" w:rsidR="00000000" w:rsidRPr="00000000">
        <w:rPr>
          <w:highlight w:val="white"/>
          <w:rtl w:val="0"/>
        </w:rPr>
        <w:t xml:space="preserve">I had to reflect on those concerns and think about the future, in which I have a good CV accompanied by a well written cover letter. I decided to bullet point out some qualities that I felt were worth mentioning in my cover letter. Having some experience working at a school as teacher assistant, my aim was to highlight that in my cover letter, and speak about the different tasks and challenges I have faced during my position in this role. I included what I had learnt from the classes, one in particular was STAR (Situation, Task, Action, Result), and combined that within the cover letter. I had written drafts after drafts of cover letters, until I was content with how to finally write one to my liking. Upon reflecting and practicing over and over I was able to learn from the classes that expand my knowledge on how to succeed better in both the professional and personal world. </w:t>
      </w:r>
      <w:r w:rsidDel="00000000" w:rsidR="00000000" w:rsidRPr="00000000">
        <w:rPr>
          <w:rtl w:val="0"/>
        </w:rPr>
      </w:r>
    </w:p>
    <w:p w:rsidR="00000000" w:rsidDel="00000000" w:rsidP="00000000" w:rsidRDefault="00000000" w:rsidRPr="00000000" w14:paraId="0000000C">
      <w:pPr>
        <w:rPr>
          <w:color w:val="121212"/>
          <w:highlight w:val="white"/>
        </w:rPr>
      </w:pPr>
      <w:r w:rsidDel="00000000" w:rsidR="00000000" w:rsidRPr="00000000">
        <w:rPr>
          <w:rtl w:val="0"/>
        </w:rPr>
      </w:r>
    </w:p>
    <w:p w:rsidR="00000000" w:rsidDel="00000000" w:rsidP="00000000" w:rsidRDefault="00000000" w:rsidRPr="00000000" w14:paraId="0000000D">
      <w:pPr>
        <w:rPr>
          <w:highlight w:val="white"/>
        </w:rPr>
      </w:pPr>
      <w:r w:rsidDel="00000000" w:rsidR="00000000" w:rsidRPr="00000000">
        <w:rPr>
          <w:highlight w:val="white"/>
          <w:rtl w:val="0"/>
        </w:rPr>
        <w:t xml:space="preserve">Like I said before, I would have never expected myself at this age being a student again and having the privilege to study for a much better work life in the future. But, I proved myself wrong. The experience I have had so far, with everything that I have learnt from the first and second terms, have opened my way to a new meaningful path. From the introduction all the way through to tasks such as rewriting my CV or writing your own cover letter, were such tasks I hadn’t considered very important. Having said that, my views have changed. I have spent the past months learning on how to benefit myself in a much better way, by writing essays, communicating in presentations and with my classmates, and so many more. I learnt to combine what I had learnt from my previous experiences in life with those that I had learnt in my classes and use them for experiences in which I didn't think were possible. With the help of the teachers and the many activities and exercises that were put in place, it has helped me to achieve better not only academically but also in life. </w:t>
      </w:r>
      <w:r w:rsidDel="00000000" w:rsidR="00000000" w:rsidRPr="00000000">
        <w:rPr>
          <w:rtl w:val="0"/>
        </w:rPr>
      </w:r>
    </w:p>
    <w:p w:rsidR="00000000" w:rsidDel="00000000" w:rsidP="00000000" w:rsidRDefault="00000000" w:rsidRPr="00000000" w14:paraId="0000000E">
      <w:pPr>
        <w:rPr>
          <w:color w:val="121212"/>
          <w:highlight w:val="white"/>
        </w:rPr>
      </w:pPr>
      <w:r w:rsidDel="00000000" w:rsidR="00000000" w:rsidRPr="00000000">
        <w:rPr>
          <w:rtl w:val="0"/>
        </w:rPr>
      </w:r>
    </w:p>
    <w:p w:rsidR="00000000" w:rsidDel="00000000" w:rsidP="00000000" w:rsidRDefault="00000000" w:rsidRPr="00000000" w14:paraId="0000000F">
      <w:pPr>
        <w:rPr>
          <w:b w:val="1"/>
          <w:highlight w:val="white"/>
        </w:rPr>
      </w:pPr>
      <w:r w:rsidDel="00000000" w:rsidR="00000000" w:rsidRPr="00000000">
        <w:rPr>
          <w:b w:val="1"/>
          <w:highlight w:val="white"/>
          <w:rtl w:val="0"/>
        </w:rPr>
        <w:t xml:space="preserve">References:</w:t>
      </w:r>
    </w:p>
    <w:p w:rsidR="00000000" w:rsidDel="00000000" w:rsidP="00000000" w:rsidRDefault="00000000" w:rsidRPr="00000000" w14:paraId="00000010">
      <w:pPr>
        <w:rPr>
          <w:highlight w:val="white"/>
        </w:rPr>
      </w:pPr>
      <w:r w:rsidDel="00000000" w:rsidR="00000000" w:rsidRPr="00000000">
        <w:rPr>
          <w:rtl w:val="0"/>
        </w:rPr>
      </w:r>
    </w:p>
    <w:p w:rsidR="00000000" w:rsidDel="00000000" w:rsidP="00000000" w:rsidRDefault="00000000" w:rsidRPr="00000000" w14:paraId="00000011">
      <w:pPr>
        <w:spacing w:before="60" w:lineRule="auto"/>
        <w:ind w:left="0" w:firstLine="0"/>
        <w:rPr>
          <w:highlight w:val="white"/>
        </w:rPr>
      </w:pPr>
      <w:r w:rsidDel="00000000" w:rsidR="00000000" w:rsidRPr="00000000">
        <w:rPr>
          <w:highlight w:val="white"/>
          <w:rtl w:val="0"/>
        </w:rPr>
        <w:t xml:space="preserve">Gaynor, A. (2013) </w:t>
      </w:r>
      <w:r w:rsidDel="00000000" w:rsidR="00000000" w:rsidRPr="00000000">
        <w:rPr>
          <w:i w:val="1"/>
          <w:highlight w:val="white"/>
          <w:rtl w:val="0"/>
        </w:rPr>
        <w:t xml:space="preserve">Schön’s (1983) Reflection-in-action and reflection-on-action</w:t>
      </w:r>
      <w:r w:rsidDel="00000000" w:rsidR="00000000" w:rsidRPr="00000000">
        <w:rPr>
          <w:highlight w:val="white"/>
          <w:rtl w:val="0"/>
        </w:rPr>
        <w:t xml:space="preserve">. </w:t>
      </w:r>
    </w:p>
    <w:p w:rsidR="00000000" w:rsidDel="00000000" w:rsidP="00000000" w:rsidRDefault="00000000" w:rsidRPr="00000000" w14:paraId="00000012">
      <w:pPr>
        <w:spacing w:before="60" w:lineRule="auto"/>
        <w:ind w:left="0" w:firstLine="0"/>
        <w:rPr>
          <w:highlight w:val="white"/>
        </w:rPr>
      </w:pPr>
      <w:r w:rsidDel="00000000" w:rsidR="00000000" w:rsidRPr="00000000">
        <w:rPr>
          <w:highlight w:val="white"/>
          <w:rtl w:val="0"/>
        </w:rPr>
        <w:t xml:space="preserve">Available at:</w:t>
      </w:r>
      <w:hyperlink r:id="rId6">
        <w:r w:rsidDel="00000000" w:rsidR="00000000" w:rsidRPr="00000000">
          <w:rPr>
            <w:highlight w:val="white"/>
            <w:rtl w:val="0"/>
          </w:rPr>
          <w:t xml:space="preserve"> </w:t>
        </w:r>
      </w:hyperlink>
      <w:hyperlink r:id="rId7">
        <w:r w:rsidDel="00000000" w:rsidR="00000000" w:rsidRPr="00000000">
          <w:rPr>
            <w:color w:val="1155cc"/>
            <w:highlight w:val="white"/>
            <w:u w:val="single"/>
            <w:rtl w:val="0"/>
          </w:rPr>
          <w:t xml:space="preserve">https://hhs.hud.ac.uk/lqsu/Sessionsforall/supp/Sch%C3%B6n%20reflection-in%20and%20-on%20action.pdf</w:t>
        </w:r>
      </w:hyperlink>
      <w:r w:rsidDel="00000000" w:rsidR="00000000" w:rsidRPr="00000000">
        <w:rPr>
          <w:highlight w:val="white"/>
          <w:rtl w:val="0"/>
        </w:rPr>
        <w:t xml:space="preserve"> </w:t>
      </w:r>
    </w:p>
    <w:p w:rsidR="00000000" w:rsidDel="00000000" w:rsidP="00000000" w:rsidRDefault="00000000" w:rsidRPr="00000000" w14:paraId="00000013">
      <w:pPr>
        <w:rPr>
          <w:highlight w:val="white"/>
        </w:rPr>
      </w:pPr>
      <w:r w:rsidDel="00000000" w:rsidR="00000000" w:rsidRPr="00000000">
        <w:rPr>
          <w:rtl w:val="0"/>
        </w:rPr>
      </w:r>
    </w:p>
    <w:p w:rsidR="00000000" w:rsidDel="00000000" w:rsidP="00000000" w:rsidRDefault="00000000" w:rsidRPr="00000000" w14:paraId="00000014">
      <w:pPr>
        <w:spacing w:before="60" w:lineRule="auto"/>
        <w:rPr>
          <w:highlight w:val="white"/>
        </w:rPr>
      </w:pPr>
      <w:r w:rsidDel="00000000" w:rsidR="00000000" w:rsidRPr="00000000">
        <w:rPr>
          <w:highlight w:val="white"/>
          <w:rtl w:val="0"/>
        </w:rPr>
        <w:t xml:space="preserve">Gibbs, G. (1988) </w:t>
      </w:r>
      <w:r w:rsidDel="00000000" w:rsidR="00000000" w:rsidRPr="00000000">
        <w:rPr>
          <w:i w:val="1"/>
          <w:highlight w:val="white"/>
          <w:rtl w:val="0"/>
        </w:rPr>
        <w:t xml:space="preserve">Learning by doing: a guide to teaching and learning methods</w:t>
      </w:r>
      <w:r w:rsidDel="00000000" w:rsidR="00000000" w:rsidRPr="00000000">
        <w:rPr>
          <w:highlight w:val="white"/>
          <w:rtl w:val="0"/>
        </w:rPr>
        <w:t xml:space="preserve">. [London]: FEU.</w:t>
      </w:r>
    </w:p>
    <w:p w:rsidR="00000000" w:rsidDel="00000000" w:rsidP="00000000" w:rsidRDefault="00000000" w:rsidRPr="00000000" w14:paraId="00000015">
      <w:pPr>
        <w:spacing w:before="60" w:lineRule="auto"/>
        <w:ind w:left="0" w:firstLine="0"/>
        <w:rPr>
          <w:highlight w:val="white"/>
        </w:rPr>
      </w:pPr>
      <w:r w:rsidDel="00000000" w:rsidR="00000000" w:rsidRPr="00000000">
        <w:rPr>
          <w:rtl w:val="0"/>
        </w:rPr>
      </w:r>
    </w:p>
    <w:p w:rsidR="00000000" w:rsidDel="00000000" w:rsidP="00000000" w:rsidRDefault="00000000" w:rsidRPr="00000000" w14:paraId="00000016">
      <w:pPr>
        <w:spacing w:before="60" w:lineRule="auto"/>
        <w:ind w:left="0" w:firstLine="0"/>
        <w:rPr>
          <w:highlight w:val="white"/>
        </w:rPr>
      </w:pPr>
      <w:r w:rsidDel="00000000" w:rsidR="00000000" w:rsidRPr="00000000">
        <w:rPr>
          <w:highlight w:val="white"/>
          <w:rtl w:val="0"/>
        </w:rPr>
        <w:t xml:space="preserve">Kolb, D. A. (1976) </w:t>
      </w:r>
      <w:r w:rsidDel="00000000" w:rsidR="00000000" w:rsidRPr="00000000">
        <w:rPr>
          <w:i w:val="1"/>
          <w:highlight w:val="white"/>
          <w:rtl w:val="0"/>
        </w:rPr>
        <w:t xml:space="preserve">The Learning style Inventory:Technical Manual</w:t>
      </w:r>
      <w:r w:rsidDel="00000000" w:rsidR="00000000" w:rsidRPr="00000000">
        <w:rPr>
          <w:highlight w:val="white"/>
          <w:rtl w:val="0"/>
        </w:rPr>
        <w:t xml:space="preserve">, Boston, Ma.: McBer. </w:t>
      </w:r>
    </w:p>
    <w:p w:rsidR="00000000" w:rsidDel="00000000" w:rsidP="00000000" w:rsidRDefault="00000000" w:rsidRPr="00000000" w14:paraId="00000017">
      <w:pPr>
        <w:spacing w:before="60" w:lineRule="auto"/>
        <w:ind w:left="0" w:firstLine="0"/>
        <w:rPr>
          <w:highlight w:val="white"/>
        </w:rPr>
      </w:pPr>
      <w:r w:rsidDel="00000000" w:rsidR="00000000" w:rsidRPr="00000000">
        <w:rPr>
          <w:rtl w:val="0"/>
        </w:rPr>
      </w:r>
    </w:p>
    <w:p w:rsidR="00000000" w:rsidDel="00000000" w:rsidP="00000000" w:rsidRDefault="00000000" w:rsidRPr="00000000" w14:paraId="00000018">
      <w:pPr>
        <w:spacing w:before="60" w:lineRule="auto"/>
        <w:rPr>
          <w:highlight w:val="white"/>
        </w:rPr>
      </w:pPr>
      <w:r w:rsidDel="00000000" w:rsidR="00000000" w:rsidRPr="00000000">
        <w:rPr>
          <w:highlight w:val="white"/>
          <w:rtl w:val="0"/>
        </w:rPr>
        <w:t xml:space="preserve">Kolb, D. A. (1984) </w:t>
      </w:r>
      <w:r w:rsidDel="00000000" w:rsidR="00000000" w:rsidRPr="00000000">
        <w:rPr>
          <w:i w:val="1"/>
          <w:highlight w:val="white"/>
          <w:rtl w:val="0"/>
        </w:rPr>
        <w:t xml:space="preserve">Experiential learning: experience as the source of learning and development</w:t>
      </w:r>
      <w:r w:rsidDel="00000000" w:rsidR="00000000" w:rsidRPr="00000000">
        <w:rPr>
          <w:highlight w:val="white"/>
          <w:rtl w:val="0"/>
        </w:rPr>
        <w:t xml:space="preserve">. Englewood Cliffs; London: Prentice-Hall.</w:t>
      </w:r>
    </w:p>
    <w:p w:rsidR="00000000" w:rsidDel="00000000" w:rsidP="00000000" w:rsidRDefault="00000000" w:rsidRPr="00000000" w14:paraId="00000019">
      <w:pPr>
        <w:spacing w:before="60" w:lineRule="auto"/>
        <w:rPr>
          <w:highlight w:val="white"/>
        </w:rPr>
      </w:pPr>
      <w:r w:rsidDel="00000000" w:rsidR="00000000" w:rsidRPr="00000000">
        <w:rPr>
          <w:rtl w:val="0"/>
        </w:rPr>
      </w:r>
    </w:p>
    <w:p w:rsidR="00000000" w:rsidDel="00000000" w:rsidP="00000000" w:rsidRDefault="00000000" w:rsidRPr="00000000" w14:paraId="0000001A">
      <w:pPr>
        <w:spacing w:before="60" w:lineRule="auto"/>
        <w:rPr>
          <w:highlight w:val="white"/>
        </w:rPr>
      </w:pPr>
      <w:r w:rsidDel="00000000" w:rsidR="00000000" w:rsidRPr="00000000">
        <w:rPr>
          <w:highlight w:val="white"/>
          <w:rtl w:val="0"/>
        </w:rPr>
        <w:t xml:space="preserve">LibGuides University of Hull (2020) </w:t>
      </w:r>
      <w:r w:rsidDel="00000000" w:rsidR="00000000" w:rsidRPr="00000000">
        <w:rPr>
          <w:i w:val="1"/>
          <w:highlight w:val="white"/>
          <w:rtl w:val="0"/>
        </w:rPr>
        <w:t xml:space="preserve">Schön’s (1991) Reflection-in-action and reflection-on-action</w:t>
      </w:r>
      <w:r w:rsidDel="00000000" w:rsidR="00000000" w:rsidRPr="00000000">
        <w:rPr>
          <w:highlight w:val="white"/>
          <w:rtl w:val="0"/>
        </w:rPr>
        <w:t xml:space="preserve">.</w:t>
      </w:r>
    </w:p>
    <w:p w:rsidR="00000000" w:rsidDel="00000000" w:rsidP="00000000" w:rsidRDefault="00000000" w:rsidRPr="00000000" w14:paraId="0000001B">
      <w:pPr>
        <w:spacing w:before="60" w:lineRule="auto"/>
        <w:rPr>
          <w:highlight w:val="white"/>
        </w:rPr>
      </w:pPr>
      <w:r w:rsidDel="00000000" w:rsidR="00000000" w:rsidRPr="00000000">
        <w:rPr>
          <w:highlight w:val="white"/>
          <w:rtl w:val="0"/>
        </w:rPr>
        <w:t xml:space="preserve">Available at:</w:t>
      </w:r>
    </w:p>
    <w:p w:rsidR="00000000" w:rsidDel="00000000" w:rsidP="00000000" w:rsidRDefault="00000000" w:rsidRPr="00000000" w14:paraId="0000001C">
      <w:pPr>
        <w:spacing w:before="60" w:lineRule="auto"/>
        <w:rPr>
          <w:highlight w:val="white"/>
        </w:rPr>
      </w:pPr>
      <w:hyperlink r:id="rId8">
        <w:r w:rsidDel="00000000" w:rsidR="00000000" w:rsidRPr="00000000">
          <w:rPr>
            <w:color w:val="1155cc"/>
            <w:highlight w:val="white"/>
            <w:u w:val="single"/>
            <w:rtl w:val="0"/>
          </w:rPr>
          <w:t xml:space="preserve">https://libguides.hull.ac.uk/reflectivewriting/schon</w:t>
        </w:r>
      </w:hyperlink>
      <w:r w:rsidDel="00000000" w:rsidR="00000000" w:rsidRPr="00000000">
        <w:rPr>
          <w:highlight w:val="white"/>
          <w:rtl w:val="0"/>
        </w:rPr>
        <w:t xml:space="preserve"> </w:t>
      </w:r>
    </w:p>
    <w:p w:rsidR="00000000" w:rsidDel="00000000" w:rsidP="00000000" w:rsidRDefault="00000000" w:rsidRPr="00000000" w14:paraId="0000001D">
      <w:pPr>
        <w:spacing w:before="60" w:lineRule="auto"/>
        <w:rPr>
          <w:highlight w:val="white"/>
        </w:rPr>
      </w:pPr>
      <w:r w:rsidDel="00000000" w:rsidR="00000000" w:rsidRPr="00000000">
        <w:rPr>
          <w:rtl w:val="0"/>
        </w:rPr>
      </w:r>
    </w:p>
    <w:p w:rsidR="00000000" w:rsidDel="00000000" w:rsidP="00000000" w:rsidRDefault="00000000" w:rsidRPr="00000000" w14:paraId="0000001E">
      <w:pPr>
        <w:spacing w:before="60" w:lineRule="auto"/>
        <w:rPr>
          <w:highlight w:val="white"/>
        </w:rPr>
      </w:pPr>
      <w:r w:rsidDel="00000000" w:rsidR="00000000" w:rsidRPr="00000000">
        <w:rPr>
          <w:highlight w:val="white"/>
          <w:rtl w:val="0"/>
        </w:rPr>
        <w:t xml:space="preserve">Mark Smith (1996) Kolb, D. A. (1976) </w:t>
      </w:r>
      <w:r w:rsidDel="00000000" w:rsidR="00000000" w:rsidRPr="00000000">
        <w:rPr>
          <w:i w:val="1"/>
          <w:highlight w:val="white"/>
          <w:rtl w:val="0"/>
        </w:rPr>
        <w:t xml:space="preserve">The Learning style Inventory:Technical Manual</w:t>
      </w:r>
      <w:r w:rsidDel="00000000" w:rsidR="00000000" w:rsidRPr="00000000">
        <w:rPr>
          <w:highlight w:val="white"/>
          <w:rtl w:val="0"/>
        </w:rPr>
        <w:t xml:space="preserve">, Boston, Ma.: McBer. </w:t>
      </w:r>
    </w:p>
    <w:p w:rsidR="00000000" w:rsidDel="00000000" w:rsidP="00000000" w:rsidRDefault="00000000" w:rsidRPr="00000000" w14:paraId="0000001F">
      <w:pPr>
        <w:spacing w:before="60" w:lineRule="auto"/>
        <w:rPr>
          <w:highlight w:val="white"/>
        </w:rPr>
      </w:pPr>
      <w:r w:rsidDel="00000000" w:rsidR="00000000" w:rsidRPr="00000000">
        <w:rPr>
          <w:highlight w:val="white"/>
          <w:rtl w:val="0"/>
        </w:rPr>
        <w:t xml:space="preserve">Available at:</w:t>
      </w:r>
    </w:p>
    <w:p w:rsidR="00000000" w:rsidDel="00000000" w:rsidP="00000000" w:rsidRDefault="00000000" w:rsidRPr="00000000" w14:paraId="00000020">
      <w:pPr>
        <w:spacing w:before="60" w:lineRule="auto"/>
        <w:rPr>
          <w:highlight w:val="white"/>
        </w:rPr>
      </w:pPr>
      <w:hyperlink r:id="rId9">
        <w:r w:rsidDel="00000000" w:rsidR="00000000" w:rsidRPr="00000000">
          <w:rPr>
            <w:color w:val="1155cc"/>
            <w:highlight w:val="white"/>
            <w:u w:val="single"/>
            <w:rtl w:val="0"/>
          </w:rPr>
          <w:t xml:space="preserve">http://faculty.uml.edu/cryan/48.404/Documents/Readings%20by%20week/Week%201/kolb_on_experiential_learning.doc</w:t>
        </w:r>
      </w:hyperlink>
      <w:r w:rsidDel="00000000" w:rsidR="00000000" w:rsidRPr="00000000">
        <w:rPr>
          <w:highlight w:val="white"/>
          <w:rtl w:val="0"/>
        </w:rPr>
        <w:t xml:space="preserve"> </w:t>
      </w:r>
    </w:p>
    <w:p w:rsidR="00000000" w:rsidDel="00000000" w:rsidP="00000000" w:rsidRDefault="00000000" w:rsidRPr="00000000" w14:paraId="00000021">
      <w:pPr>
        <w:spacing w:before="60" w:lineRule="auto"/>
        <w:rPr>
          <w:highlight w:val="white"/>
        </w:rPr>
      </w:pPr>
      <w:r w:rsidDel="00000000" w:rsidR="00000000" w:rsidRPr="00000000">
        <w:rPr>
          <w:rtl w:val="0"/>
        </w:rPr>
      </w:r>
    </w:p>
    <w:p w:rsidR="00000000" w:rsidDel="00000000" w:rsidP="00000000" w:rsidRDefault="00000000" w:rsidRPr="00000000" w14:paraId="00000022">
      <w:pPr>
        <w:spacing w:before="60" w:lineRule="auto"/>
        <w:rPr>
          <w:highlight w:val="white"/>
        </w:rPr>
      </w:pPr>
      <w:r w:rsidDel="00000000" w:rsidR="00000000" w:rsidRPr="00000000">
        <w:rPr>
          <w:highlight w:val="white"/>
          <w:rtl w:val="0"/>
        </w:rPr>
        <w:t xml:space="preserve">Morgan, P. (2017) </w:t>
      </w:r>
      <w:r w:rsidDel="00000000" w:rsidR="00000000" w:rsidRPr="00000000">
        <w:rPr>
          <w:i w:val="1"/>
          <w:highlight w:val="white"/>
          <w:rtl w:val="0"/>
        </w:rPr>
        <w:t xml:space="preserve">The Business Students’ Guide to Study and Employability</w:t>
      </w:r>
      <w:r w:rsidDel="00000000" w:rsidR="00000000" w:rsidRPr="00000000">
        <w:rPr>
          <w:highlight w:val="white"/>
          <w:rtl w:val="0"/>
        </w:rPr>
        <w:t xml:space="preserve">. London: Sage. </w:t>
      </w:r>
    </w:p>
    <w:p w:rsidR="00000000" w:rsidDel="00000000" w:rsidP="00000000" w:rsidRDefault="00000000" w:rsidRPr="00000000" w14:paraId="00000023">
      <w:pPr>
        <w:spacing w:before="60" w:lineRule="auto"/>
        <w:rPr>
          <w:highlight w:val="white"/>
        </w:rPr>
      </w:pPr>
      <w:r w:rsidDel="00000000" w:rsidR="00000000" w:rsidRPr="00000000">
        <w:rPr>
          <w:rtl w:val="0"/>
        </w:rPr>
      </w:r>
    </w:p>
    <w:p w:rsidR="00000000" w:rsidDel="00000000" w:rsidP="00000000" w:rsidRDefault="00000000" w:rsidRPr="00000000" w14:paraId="00000024">
      <w:pPr>
        <w:spacing w:before="60" w:lineRule="auto"/>
        <w:rPr>
          <w:sz w:val="20"/>
          <w:szCs w:val="20"/>
        </w:rPr>
      </w:pPr>
      <w:r w:rsidDel="00000000" w:rsidR="00000000" w:rsidRPr="00000000">
        <w:rPr>
          <w:rtl w:val="0"/>
        </w:rPr>
      </w:r>
    </w:p>
    <w:p w:rsidR="00000000" w:rsidDel="00000000" w:rsidP="00000000" w:rsidRDefault="00000000" w:rsidRPr="00000000" w14:paraId="00000025">
      <w:pPr>
        <w:spacing w:before="60" w:lineRule="auto"/>
        <w:rPr>
          <w:highlight w:val="white"/>
        </w:rPr>
      </w:pPr>
      <w:r w:rsidDel="00000000" w:rsidR="00000000" w:rsidRPr="00000000">
        <w:rPr>
          <w:rtl w:val="0"/>
        </w:rPr>
      </w:r>
    </w:p>
    <w:p w:rsidR="00000000" w:rsidDel="00000000" w:rsidP="00000000" w:rsidRDefault="00000000" w:rsidRPr="00000000" w14:paraId="00000026">
      <w:pPr>
        <w:spacing w:before="60" w:lineRule="auto"/>
        <w:rPr>
          <w:highlight w:val="white"/>
        </w:rPr>
      </w:pPr>
      <w:r w:rsidDel="00000000" w:rsidR="00000000" w:rsidRPr="00000000">
        <w:rPr>
          <w:rtl w:val="0"/>
        </w:rPr>
      </w:r>
    </w:p>
    <w:p w:rsidR="00000000" w:rsidDel="00000000" w:rsidP="00000000" w:rsidRDefault="00000000" w:rsidRPr="00000000" w14:paraId="00000027">
      <w:pPr>
        <w:ind w:left="0" w:firstLine="0"/>
        <w:rPr>
          <w:highlight w:val="white"/>
        </w:rPr>
      </w:pPr>
      <w:r w:rsidDel="00000000" w:rsidR="00000000" w:rsidRPr="00000000">
        <w:rPr>
          <w:rtl w:val="0"/>
        </w:rPr>
      </w:r>
    </w:p>
    <w:p w:rsidR="00000000" w:rsidDel="00000000" w:rsidP="00000000" w:rsidRDefault="00000000" w:rsidRPr="00000000" w14:paraId="00000028">
      <w:pPr>
        <w:rPr>
          <w:highlight w:val="white"/>
        </w:rPr>
      </w:pPr>
      <w:r w:rsidDel="00000000" w:rsidR="00000000" w:rsidRPr="00000000">
        <w:rPr>
          <w:rtl w:val="0"/>
        </w:rPr>
      </w:r>
    </w:p>
    <w:p w:rsidR="00000000" w:rsidDel="00000000" w:rsidP="00000000" w:rsidRDefault="00000000" w:rsidRPr="00000000" w14:paraId="00000029">
      <w:pPr>
        <w:rPr>
          <w:highlight w:val="white"/>
        </w:rPr>
      </w:pPr>
      <w:r w:rsidDel="00000000" w:rsidR="00000000" w:rsidRPr="00000000">
        <w:rPr>
          <w:rtl w:val="0"/>
        </w:rPr>
      </w:r>
    </w:p>
    <w:p w:rsidR="00000000" w:rsidDel="00000000" w:rsidP="00000000" w:rsidRDefault="00000000" w:rsidRPr="00000000" w14:paraId="0000002A">
      <w:pPr>
        <w:rPr>
          <w:highlight w:val="white"/>
        </w:rPr>
      </w:pPr>
      <w:r w:rsidDel="00000000" w:rsidR="00000000" w:rsidRPr="00000000">
        <w:rPr>
          <w:rtl w:val="0"/>
        </w:rPr>
      </w:r>
    </w:p>
    <w:p w:rsidR="00000000" w:rsidDel="00000000" w:rsidP="00000000" w:rsidRDefault="00000000" w:rsidRPr="00000000" w14:paraId="0000002B">
      <w:pPr>
        <w:rPr>
          <w:highlight w:val="white"/>
        </w:rPr>
      </w:pPr>
      <w:r w:rsidDel="00000000" w:rsidR="00000000" w:rsidRPr="00000000">
        <w:rPr>
          <w:rtl w:val="0"/>
        </w:rPr>
      </w:r>
    </w:p>
    <w:p w:rsidR="00000000" w:rsidDel="00000000" w:rsidP="00000000" w:rsidRDefault="00000000" w:rsidRPr="00000000" w14:paraId="0000002C">
      <w:pPr>
        <w:rPr>
          <w:highlight w:val="white"/>
        </w:rPr>
      </w:pPr>
      <w:r w:rsidDel="00000000" w:rsidR="00000000" w:rsidRPr="00000000">
        <w:rPr>
          <w:rtl w:val="0"/>
        </w:rPr>
      </w:r>
    </w:p>
    <w:p w:rsidR="00000000" w:rsidDel="00000000" w:rsidP="00000000" w:rsidRDefault="00000000" w:rsidRPr="00000000" w14:paraId="0000002D">
      <w:pPr>
        <w:rPr>
          <w:highlight w:val="white"/>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faculty.uml.edu/cryan/48.404/Documents/Readings%20by%20week/Week%201/kolb_on_experiential_learning.doc" TargetMode="External"/><Relationship Id="rId5" Type="http://schemas.openxmlformats.org/officeDocument/2006/relationships/styles" Target="styles.xml"/><Relationship Id="rId6" Type="http://schemas.openxmlformats.org/officeDocument/2006/relationships/hyperlink" Target="https://hhs.hud.ac.uk/lqsu/Sessionsforall/supp/Sch%C3%B6n%20reflection-in%20and%20-on%20action.pdf" TargetMode="External"/><Relationship Id="rId7" Type="http://schemas.openxmlformats.org/officeDocument/2006/relationships/hyperlink" Target="https://hhs.hud.ac.uk/lqsu/Sessionsforall/supp/Sch%C3%B6n%20reflection-in%20and%20-on%20action.pdf" TargetMode="External"/><Relationship Id="rId8" Type="http://schemas.openxmlformats.org/officeDocument/2006/relationships/hyperlink" Target="https://libguides.hull.ac.uk/reflectivewriting/sch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