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rPr>
      </w:pPr>
      <w:bookmarkStart w:id="0" w:name="_heading=h.46y89go1xele" w:colFirst="0" w:colLast="0"/>
      <w:bookmarkEnd w:id="0"/>
    </w:p>
    <w:p>
      <w:pPr>
        <w:pStyle w:val="style0"/>
        <w:jc w:val="center"/>
        <w:rPr/>
      </w:pPr>
    </w:p>
    <w:p>
      <w:pPr>
        <w:pStyle w:val="style0"/>
        <w:jc w:val="center"/>
        <w:rPr/>
      </w:pPr>
      <w:r>
        <w:rPr>
          <w:noProof/>
          <w:lang w:val="en-US" w:eastAsia="en-US"/>
        </w:rPr>
        <w:drawing>
          <wp:anchor distT="0" distB="0" distL="114300" distR="114300" simplePos="false" relativeHeight="2" behindDoc="false" locked="false" layoutInCell="true" allowOverlap="true">
            <wp:simplePos x="0" y="0"/>
            <wp:positionH relativeFrom="column">
              <wp:posOffset>1306195</wp:posOffset>
            </wp:positionH>
            <wp:positionV relativeFrom="paragraph">
              <wp:posOffset>-499745</wp:posOffset>
            </wp:positionV>
            <wp:extent cx="4823460" cy="1328420"/>
            <wp:effectExtent l="0" t="0" r="0" b="0"/>
            <wp:wrapSquare wrapText="bothSides"/>
            <wp:docPr id="1026" name="image1.png" descr="SCVO | Sandwell Council of Voluntary Organisation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4823460" cy="1328420"/>
                    </a:xfrm>
                    <a:prstGeom prst="rect"/>
                  </pic:spPr>
                </pic:pic>
              </a:graphicData>
            </a:graphic>
          </wp:anchor>
        </w:drawing>
      </w:r>
    </w:p>
    <w:p>
      <w:pPr>
        <w:pStyle w:val="style0"/>
        <w:jc w:val="center"/>
        <w:rPr/>
      </w:pPr>
    </w:p>
    <w:p>
      <w:pPr>
        <w:pStyle w:val="style0"/>
        <w:jc w:val="center"/>
        <w:rPr>
          <w:b/>
          <w:bCs/>
        </w:rPr>
      </w:pPr>
    </w:p>
    <w:p>
      <w:pPr>
        <w:pStyle w:val="style0"/>
        <w:spacing w:lineRule="auto" w:line="259"/>
        <w:jc w:val="left"/>
        <w:rPr>
          <w:b/>
          <w:bCs/>
          <w:sz w:val="56"/>
          <w:szCs w:val="56"/>
        </w:rPr>
      </w:pPr>
    </w:p>
    <w:p>
      <w:pPr>
        <w:pStyle w:val="style0"/>
        <w:widowControl w:val="false"/>
        <w:spacing w:lineRule="auto" w:line="692"/>
        <w:jc w:val="center"/>
        <w:rPr>
          <w:sz w:val="58"/>
          <w:szCs w:val="58"/>
        </w:rPr>
      </w:pPr>
      <w:r>
        <w:rPr>
          <w:sz w:val="58"/>
          <w:szCs w:val="58"/>
        </w:rPr>
        <w:t>SefydliadDysguCanolDinas</w:t>
      </w:r>
      <w:r>
        <w:rPr>
          <w:sz w:val="58"/>
          <w:szCs w:val="58"/>
        </w:rPr>
        <w:t xml:space="preserve"> /</w:t>
      </w:r>
    </w:p>
    <w:p>
      <w:pPr>
        <w:pStyle w:val="style0"/>
        <w:widowControl w:val="false"/>
        <w:spacing w:lineRule="auto" w:line="692"/>
        <w:jc w:val="center"/>
        <w:rPr>
          <w:sz w:val="58"/>
          <w:szCs w:val="58"/>
        </w:rPr>
      </w:pPr>
      <w:r>
        <w:rPr>
          <w:sz w:val="58"/>
          <w:szCs w:val="58"/>
        </w:rPr>
        <w:t>Institute of Inner-City Learning</w:t>
      </w:r>
    </w:p>
    <w:p>
      <w:pPr>
        <w:pStyle w:val="style0"/>
        <w:widowControl w:val="false"/>
        <w:spacing w:lineRule="auto" w:line="692"/>
        <w:jc w:val="center"/>
        <w:rPr>
          <w:sz w:val="58"/>
          <w:szCs w:val="58"/>
        </w:rPr>
      </w:pPr>
    </w:p>
    <w:p>
      <w:pPr>
        <w:pStyle w:val="style0"/>
        <w:widowControl w:val="false"/>
        <w:spacing w:lineRule="auto" w:line="692"/>
        <w:jc w:val="center"/>
        <w:rPr>
          <w:sz w:val="56"/>
          <w:szCs w:val="56"/>
        </w:rPr>
      </w:pPr>
      <w:r>
        <w:rPr>
          <w:sz w:val="56"/>
          <w:szCs w:val="56"/>
        </w:rPr>
        <w:t>MSc Public Health and</w:t>
      </w:r>
    </w:p>
    <w:p>
      <w:pPr>
        <w:pStyle w:val="style0"/>
        <w:widowControl w:val="false"/>
        <w:spacing w:lineRule="auto" w:line="692"/>
        <w:jc w:val="center"/>
        <w:rPr>
          <w:sz w:val="58"/>
          <w:szCs w:val="58"/>
        </w:rPr>
      </w:pPr>
      <w:r>
        <w:rPr>
          <w:sz w:val="56"/>
          <w:szCs w:val="56"/>
        </w:rPr>
        <w:t>Social Care in Practice</w:t>
      </w:r>
    </w:p>
    <w:p>
      <w:pPr>
        <w:pStyle w:val="style0"/>
        <w:widowControl w:val="false"/>
        <w:spacing w:lineRule="auto" w:line="692"/>
        <w:jc w:val="center"/>
        <w:rPr>
          <w:sz w:val="58"/>
          <w:szCs w:val="58"/>
        </w:rPr>
      </w:pP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b/>
          <w:bCs/>
          <w:sz w:val="40"/>
          <w:szCs w:val="40"/>
        </w:rPr>
      </w:pPr>
      <w:r>
        <w:rPr>
          <w:b/>
          <w:bCs/>
          <w:sz w:val="48"/>
          <w:szCs w:val="48"/>
        </w:rPr>
        <w:t xml:space="preserve">The Impact of Community-Based </w:t>
      </w:r>
      <w:r>
        <w:rPr>
          <w:b/>
          <w:bCs/>
          <w:sz w:val="40"/>
          <w:szCs w:val="40"/>
        </w:rPr>
        <w:t>Mental Health Awareness Programmes on Reducing</w:t>
      </w: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b/>
          <w:bCs/>
          <w:sz w:val="40"/>
          <w:szCs w:val="40"/>
        </w:rPr>
      </w:pPr>
      <w:r>
        <w:rPr>
          <w:b/>
          <w:bCs/>
          <w:sz w:val="40"/>
          <w:szCs w:val="40"/>
        </w:rPr>
        <w:t>Stigma Among Young Adults in the United Kingdom: A Systematic Literature Review</w:t>
      </w: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b/>
          <w:bCs/>
          <w:sz w:val="48"/>
          <w:szCs w:val="48"/>
        </w:rPr>
      </w:pPr>
      <w:r>
        <w:rPr>
          <w:b/>
          <w:bCs/>
          <w:sz w:val="48"/>
          <w:szCs w:val="48"/>
        </w:rPr>
        <w:t xml:space="preserve"> Name </w:t>
      </w:r>
      <w:r>
        <w:rPr>
          <w:b/>
          <w:bCs/>
          <w:sz w:val="48"/>
          <w:szCs w:val="48"/>
          <w:lang w:val="en-US"/>
        </w:rPr>
        <w:t>.Izhar</w:t>
      </w: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sz w:val="48"/>
          <w:szCs w:val="48"/>
        </w:rPr>
      </w:pPr>
      <w:r>
        <w:rPr>
          <w:b/>
          <w:bCs/>
          <w:sz w:val="48"/>
          <w:szCs w:val="48"/>
        </w:rPr>
        <w:t>Student Number</w:t>
      </w:r>
      <w:r>
        <w:rPr>
          <w:b/>
          <w:bCs/>
          <w:sz w:val="48"/>
          <w:szCs w:val="48"/>
          <w:lang w:val="en-US"/>
        </w:rPr>
        <w:t>. 2437059</w:t>
      </w: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sz w:val="56"/>
          <w:szCs w:val="56"/>
        </w:rPr>
      </w:pPr>
      <w:r>
        <w:rPr>
          <w:b/>
          <w:bCs/>
          <w:sz w:val="44"/>
          <w:szCs w:val="44"/>
        </w:rPr>
        <w:t>Supervisor Name</w:t>
      </w:r>
      <w:r>
        <w:rPr>
          <w:b/>
          <w:bCs/>
          <w:sz w:val="44"/>
          <w:szCs w:val="44"/>
          <w:lang w:val="en-US"/>
        </w:rPr>
        <w:t xml:space="preserve">. Wenli Wu </w:t>
      </w: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sz w:val="32"/>
          <w:szCs w:val="32"/>
        </w:rPr>
      </w:pP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sz w:val="32"/>
          <w:szCs w:val="32"/>
        </w:rPr>
      </w:pP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pPr>
      <w:r>
        <w:t>Dissertation submitted as part of the requirements for the award of MSc Public Health and Social Care in Practice.</w:t>
      </w:r>
    </w:p>
    <w:p>
      <w:pPr>
        <w:pStyle w:val="style0"/>
        <w:widowControl w:val="false"/>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pPr>
    </w:p>
    <w:p>
      <w:pPr>
        <w:pStyle w:val="style0"/>
        <w:spacing w:lineRule="auto" w:line="259"/>
        <w:jc w:val="center"/>
        <w:rPr/>
      </w:pPr>
      <w:r>
        <w:t>Month/Year</w:t>
      </w:r>
      <w:r>
        <w:rPr>
          <w:lang w:val="en-US"/>
        </w:rPr>
        <w:t>. May/2026</w:t>
      </w:r>
    </w:p>
    <w:p>
      <w:pPr>
        <w:pStyle w:val="style0"/>
        <w:rPr/>
      </w:pPr>
      <w:r>
        <w:br w:type="page"/>
      </w:r>
    </w:p>
    <w:bookmarkStart w:id="1" w:name="_Toc29786"/>
    <w:p>
      <w:pPr>
        <w:pStyle w:val="style1"/>
        <w:spacing w:lineRule="auto" w:line="480"/>
        <w:rPr/>
      </w:pPr>
      <w:r>
        <w:t>Acknowledgement</w:t>
      </w:r>
      <w:bookmarkEnd w:id="1"/>
    </w:p>
    <w:p>
      <w:pPr>
        <w:pStyle w:val="style0"/>
        <w:rPr/>
      </w:pPr>
      <w:r>
        <w:t>I would like to thank my supervisor, who has provided me with support, guidance, and constructive feedback all the time I worked on this dissertation. Their wise observations and support have made a great impact on the development of this study. I also owe the credit to the faculty and the people of the academic staff who gave the knowledge, resources and academic support needed to improve my learning experience in this study. Their recommendations have played a big role towards the effective completion of this dissertation. Lastly, I would like to express my gratitude to everyone who directly or indirectly helped me in this process of conducting the research.</w:t>
      </w:r>
      <w:r>
        <w:br w:type="page"/>
      </w:r>
    </w:p>
    <w:bookmarkStart w:id="2" w:name="_Toc9720"/>
    <w:p>
      <w:pPr>
        <w:pStyle w:val="style1"/>
        <w:spacing w:lineRule="auto" w:line="480"/>
        <w:rPr/>
      </w:pPr>
      <w:r>
        <w:t>Abstract</w:t>
      </w:r>
      <w:bookmarkEnd w:id="2"/>
    </w:p>
    <w:p>
      <w:pPr>
        <w:pStyle w:val="style0"/>
        <w:rPr/>
      </w:pPr>
      <w:r>
        <w:rPr>
          <w:b/>
          <w:bCs/>
        </w:rPr>
        <w:t>Background:</w:t>
      </w:r>
      <w:r>
        <w:t xml:space="preserve"> Despite rising awareness and policy interest in mental health problems in young adults in the U.K., mental health stigma is still one of the major obstacles to help-seeking. </w:t>
      </w:r>
      <w:r>
        <w:t>Several</w:t>
      </w:r>
      <w:r>
        <w:t xml:space="preserve"> community</w:t>
      </w:r>
      <w:r>
        <w:t>-</w:t>
      </w:r>
      <w:r>
        <w:t xml:space="preserve">based mental health awareness programmes have already been in place to alleviate the stigma, but there is still a great question about whether these programmes are effective in creating lasting positive attitudinal and behavioural change. </w:t>
      </w:r>
      <w:r>
        <w:t>This study aims</w:t>
      </w:r>
      <w:r>
        <w:t xml:space="preserve"> to critically review the effectiveness of such programmes in reducing stigma for young people aged between 16 </w:t>
      </w:r>
      <w:r>
        <w:t>and</w:t>
      </w:r>
      <w:r>
        <w:t xml:space="preserve"> 25 years.</w:t>
      </w:r>
    </w:p>
    <w:p>
      <w:pPr>
        <w:pStyle w:val="style0"/>
        <w:rPr/>
      </w:pPr>
      <w:r>
        <w:rPr>
          <w:b/>
          <w:bCs/>
        </w:rPr>
        <w:t>Method:</w:t>
      </w:r>
      <w:r>
        <w:t xml:space="preserve"> A Systematic Literature Review (SLR) was carried out from the PEO framework</w:t>
      </w:r>
      <w:r>
        <w:t>,</w:t>
      </w:r>
      <w:r>
        <w:t xml:space="preserve"> guiding the search strategy. Peer-reviewed qualitative studies published from 2016 to 2026 were searched in the databases: PubMed, CINAHL and PsycINFO. Study selection was guided using </w:t>
      </w:r>
      <w:r>
        <w:t xml:space="preserve">the </w:t>
      </w:r>
      <w:r>
        <w:t>PRISMA framework</w:t>
      </w:r>
      <w:r>
        <w:t>,</w:t>
      </w:r>
      <w:r>
        <w:t xml:space="preserve"> and the studies were selected based on the inclusion and exclusion criteria. All of them were included in qualitative studies</w:t>
      </w:r>
      <w:r>
        <w:t>,</w:t>
      </w:r>
      <w:r>
        <w:t xml:space="preserve"> and there were 10 studies. A structured form was used to extract data</w:t>
      </w:r>
      <w:r>
        <w:t>,</w:t>
      </w:r>
      <w:r>
        <w:t xml:space="preserve"> and thematic analysis was employed to analyse the data. A qualitative checklist called CASP was used to gauge the quality of </w:t>
      </w:r>
      <w:r>
        <w:t xml:space="preserve">the </w:t>
      </w:r>
      <w:r>
        <w:t xml:space="preserve">study. </w:t>
      </w:r>
    </w:p>
    <w:p>
      <w:pPr>
        <w:pStyle w:val="style0"/>
        <w:rPr/>
      </w:pPr>
      <w:r>
        <w:rPr>
          <w:b/>
          <w:bCs/>
        </w:rPr>
        <w:t>Findings:</w:t>
      </w:r>
      <w:r>
        <w:t xml:space="preserve"> Four important themes have been highlighted: (1) mental health awareness programmes have a relatively weak impact on reducing stigma in the long-term; (2) there is evidence that stigma is both internalised and social, impacting on help-seeking attitudes; (3) relational approaches, such as peer-led or contact-based approaches, are effective; and (4) there are significant gaps, including over the structural nature of stigma and persistent long-term negative impact. Awareness programs bring mental health issues and talking points into the mainstream, but they lack any attention to underlying social and structural factors. </w:t>
      </w:r>
    </w:p>
    <w:p>
      <w:pPr>
        <w:pStyle w:val="style0"/>
        <w:rPr/>
      </w:pPr>
      <w:r>
        <w:rPr>
          <w:b/>
          <w:bCs/>
        </w:rPr>
        <w:t>Conclusion:</w:t>
      </w:r>
      <w:r>
        <w:t xml:space="preserve"> Community-based programmes create a contribution to awareness and help to reduce </w:t>
      </w:r>
      <w:r>
        <w:t>the</w:t>
      </w:r>
      <w:r>
        <w:t xml:space="preserve"> stigma</w:t>
      </w:r>
      <w:r>
        <w:t>,</w:t>
      </w:r>
      <w:r>
        <w:t xml:space="preserve"> but on their own are not enough. Multi-component</w:t>
      </w:r>
      <w:r>
        <w:t>,</w:t>
      </w:r>
      <w:r>
        <w:t xml:space="preserve"> culturally tailored</w:t>
      </w:r>
      <w:r>
        <w:t>,</w:t>
      </w:r>
      <w:r>
        <w:t xml:space="preserve"> and </w:t>
      </w:r>
      <w:r>
        <w:t>youth-centred approaches</w:t>
      </w:r>
      <w:r>
        <w:t xml:space="preserve"> are needed. Longitudinal and mixed-method study designs should be used in future research to assess the outcomes of the intervention in the long term.</w:t>
      </w:r>
      <w:r>
        <w:br w:type="page"/>
      </w:r>
    </w:p>
    <w:bookmarkStart w:id="3" w:name="_Toc29995"/>
    <w:p>
      <w:pPr>
        <w:pStyle w:val="style1"/>
        <w:spacing w:lineRule="auto" w:line="480"/>
        <w:rPr/>
      </w:pPr>
      <w:r>
        <w:t>List of Figures</w:t>
      </w:r>
      <w:bookmarkEnd w:id="3"/>
    </w:p>
    <w:p>
      <w:pPr>
        <w:pStyle w:val="style35"/>
        <w:tabs>
          <w:tab w:val="right" w:leader="dot" w:pos="8306"/>
        </w:tabs>
        <w:rPr/>
      </w:pPr>
      <w:r>
        <w:t>Figure 1: PRISMA flow chart</w:t>
      </w:r>
      <w:r>
        <w:tab/>
      </w:r>
      <w:r>
        <w:t>28</w:t>
      </w:r>
      <w:r>
        <w:rPr/>
        <w:fldChar w:fldCharType="begin"/>
      </w:r>
      <w:r>
        <w:instrText xml:space="preserve"> TOC \h \z \c "Figure" </w:instrText>
      </w:r>
      <w:r>
        <w:rPr/>
        <w:fldChar w:fldCharType="separate"/>
      </w:r>
      <w:r>
        <w:rPr/>
        <w:fldChar w:fldCharType="begin"/>
      </w:r>
      <w:r>
        <w:instrText xml:space="preserve"> HYPERLINK \l "_Toc2610" </w:instrText>
      </w:r>
      <w:r>
        <w:rPr/>
        <w:fldChar w:fldCharType="separate"/>
      </w:r>
      <w:r>
        <w:rPr/>
        <w:fldChar w:fldCharType="end"/>
      </w:r>
    </w:p>
    <w:bookmarkStart w:id="4" w:name="_Toc283"/>
    <w:p>
      <w:pPr>
        <w:pStyle w:val="style1"/>
        <w:spacing w:lineRule="auto" w:line="480"/>
        <w:rPr/>
      </w:pPr>
      <w:r>
        <w:rPr/>
        <w:fldChar w:fldCharType="end"/>
      </w:r>
      <w:r>
        <w:t>List of Tables</w:t>
      </w:r>
      <w:bookmarkEnd w:id="4"/>
    </w:p>
    <w:p>
      <w:pPr>
        <w:pStyle w:val="style35"/>
        <w:tabs>
          <w:tab w:val="right" w:leader="dot" w:pos="8306"/>
        </w:tabs>
        <w:spacing w:lineRule="auto" w:line="480"/>
        <w:rPr/>
      </w:pPr>
      <w:r>
        <w:t>Table 1: PEO Framework</w:t>
      </w:r>
      <w:r>
        <w:tab/>
      </w:r>
      <w:r>
        <w:t>23</w:t>
      </w:r>
      <w:r>
        <w:rPr/>
        <w:fldChar w:fldCharType="begin"/>
      </w:r>
      <w:r>
        <w:instrText xml:space="preserve"> TOC \h \z \c "Table" </w:instrText>
      </w:r>
      <w:r>
        <w:rPr/>
        <w:fldChar w:fldCharType="separate"/>
      </w:r>
      <w:r>
        <w:rPr/>
        <w:fldChar w:fldCharType="begin"/>
      </w:r>
      <w:r>
        <w:instrText xml:space="preserve"> HYPERLINK \l "_Toc1444" </w:instrText>
      </w:r>
      <w:r>
        <w:rPr/>
        <w:fldChar w:fldCharType="separate"/>
      </w:r>
      <w:r>
        <w:rPr/>
        <w:fldChar w:fldCharType="end"/>
      </w:r>
    </w:p>
    <w:p>
      <w:pPr>
        <w:pStyle w:val="style35"/>
        <w:tabs>
          <w:tab w:val="right" w:leader="dot" w:pos="8306"/>
        </w:tabs>
        <w:spacing w:lineRule="auto" w:line="480"/>
        <w:rPr/>
      </w:pPr>
      <w:r>
        <w:rPr/>
        <w:fldChar w:fldCharType="begin"/>
      </w:r>
      <w:r>
        <w:instrText xml:space="preserve"> HYPERLINK \l "_Toc31526" </w:instrText>
      </w:r>
      <w:r>
        <w:rPr/>
        <w:fldChar w:fldCharType="separate"/>
      </w:r>
      <w:r>
        <w:rPr>
          <w:bCs/>
        </w:rPr>
        <w:t>Table 2: Search Terms using PEO framework</w:t>
      </w:r>
      <w:r>
        <w:rPr>
          <w:bCs/>
        </w:rPr>
        <w:tab/>
      </w:r>
      <w:r>
        <w:rPr>
          <w:bCs/>
        </w:rPr>
        <w:t>23</w:t>
      </w:r>
      <w:r>
        <w:rPr/>
        <w:fldChar w:fldCharType="end"/>
      </w:r>
    </w:p>
    <w:p>
      <w:pPr>
        <w:pStyle w:val="style35"/>
        <w:tabs>
          <w:tab w:val="right" w:leader="dot" w:pos="8306"/>
        </w:tabs>
        <w:spacing w:lineRule="auto" w:line="480"/>
        <w:rPr/>
      </w:pPr>
      <w:r>
        <w:rPr/>
        <w:fldChar w:fldCharType="begin"/>
      </w:r>
      <w:r>
        <w:instrText xml:space="preserve"> HYPERLINK \l "_Toc17215" </w:instrText>
      </w:r>
      <w:r>
        <w:rPr/>
        <w:fldChar w:fldCharType="separate"/>
      </w:r>
      <w:r>
        <w:rPr>
          <w:bCs/>
        </w:rPr>
        <w:t>Table 3: Inclusion Criteria</w:t>
      </w:r>
      <w:r>
        <w:rPr>
          <w:bCs/>
        </w:rPr>
        <w:tab/>
      </w:r>
      <w:r>
        <w:rPr>
          <w:bCs/>
        </w:rPr>
        <w:t>26</w:t>
      </w:r>
      <w:r>
        <w:rPr/>
        <w:fldChar w:fldCharType="end"/>
      </w:r>
    </w:p>
    <w:p>
      <w:pPr>
        <w:pStyle w:val="style35"/>
        <w:tabs>
          <w:tab w:val="right" w:leader="dot" w:pos="8306"/>
        </w:tabs>
        <w:spacing w:lineRule="auto" w:line="480"/>
        <w:rPr/>
      </w:pPr>
      <w:r>
        <w:rPr/>
        <w:fldChar w:fldCharType="begin"/>
      </w:r>
      <w:r>
        <w:instrText xml:space="preserve"> HYPERLINK \l "_Toc3918" </w:instrText>
      </w:r>
      <w:r>
        <w:rPr/>
        <w:fldChar w:fldCharType="separate"/>
      </w:r>
      <w:r>
        <w:rPr>
          <w:bCs/>
        </w:rPr>
        <w:t>Table 4: Exclusion Criteria</w:t>
      </w:r>
      <w:r>
        <w:rPr>
          <w:bCs/>
        </w:rPr>
        <w:tab/>
      </w:r>
      <w:r>
        <w:rPr>
          <w:bCs/>
        </w:rPr>
        <w:t>26</w:t>
      </w:r>
      <w:r>
        <w:rPr/>
        <w:fldChar w:fldCharType="end"/>
      </w:r>
    </w:p>
    <w:p>
      <w:pPr>
        <w:pStyle w:val="style35"/>
        <w:tabs>
          <w:tab w:val="right" w:leader="dot" w:pos="8306"/>
        </w:tabs>
        <w:spacing w:lineRule="auto" w:line="480"/>
        <w:rPr/>
      </w:pPr>
      <w:r>
        <w:rPr/>
        <w:fldChar w:fldCharType="begin"/>
      </w:r>
      <w:r>
        <w:instrText xml:space="preserve"> HYPERLINK \l "_Toc17672" </w:instrText>
      </w:r>
      <w:r>
        <w:rPr/>
        <w:fldChar w:fldCharType="separate"/>
      </w:r>
      <w:r>
        <w:rPr>
          <w:bCs/>
        </w:rPr>
        <w:t>Table 5: Summary of Included Studies</w:t>
      </w:r>
      <w:r>
        <w:rPr>
          <w:bCs/>
        </w:rPr>
        <w:tab/>
      </w:r>
      <w:r>
        <w:rPr>
          <w:bCs/>
        </w:rPr>
        <w:t>32</w:t>
      </w:r>
      <w:r>
        <w:rPr/>
        <w:fldChar w:fldCharType="end"/>
      </w:r>
    </w:p>
    <w:p>
      <w:pPr>
        <w:pStyle w:val="style0"/>
        <w:spacing w:lineRule="auto" w:line="480"/>
        <w:rPr/>
      </w:pPr>
      <w:r>
        <w:rPr/>
        <w:fldChar w:fldCharType="end"/>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5" w:name="_Toc16294"/>
    <w:p>
      <w:pPr>
        <w:pStyle w:val="style1"/>
        <w:spacing w:lineRule="auto" w:line="480"/>
        <w:rPr/>
      </w:pPr>
      <w:r>
        <w:t>List of Abbreviations</w:t>
      </w:r>
      <w:bookmarkEnd w:id="5"/>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08"/>
        <w:gridCol w:w="6949"/>
      </w:tblGrid>
      <w:tr>
        <w:trPr>
          <w:tblHeader/>
          <w:tblCellSpacing w:w="15" w:type="dxa"/>
        </w:trPr>
        <w:tc>
          <w:tcPr>
            <w:tcW w:w="0" w:type="auto"/>
            <w:tcBorders/>
            <w:vAlign w:val="center"/>
            <w:hideMark/>
          </w:tcPr>
          <w:p>
            <w:pPr>
              <w:pStyle w:val="style0"/>
              <w:spacing w:after="0"/>
              <w:jc w:val="center"/>
              <w:rPr>
                <w:rFonts w:eastAsia="Times New Roman"/>
                <w:b/>
                <w:bCs/>
                <w:szCs w:val="22"/>
                <w:highlight w:val="yellow"/>
                <w:lang w:val="en-US" w:eastAsia="en-US"/>
              </w:rPr>
            </w:pPr>
            <w:r>
              <w:rPr>
                <w:rFonts w:eastAsia="Times New Roman"/>
                <w:b/>
                <w:bCs/>
                <w:szCs w:val="22"/>
                <w:highlight w:val="yellow"/>
                <w:lang w:val="en-US" w:eastAsia="en-US"/>
              </w:rPr>
              <w:t>Abbreviation</w:t>
            </w:r>
          </w:p>
        </w:tc>
        <w:tc>
          <w:tcPr>
            <w:tcW w:w="0" w:type="auto"/>
            <w:tcBorders/>
            <w:vAlign w:val="center"/>
            <w:hideMark/>
          </w:tcPr>
          <w:p>
            <w:pPr>
              <w:pStyle w:val="style0"/>
              <w:spacing w:after="0"/>
              <w:jc w:val="center"/>
              <w:rPr>
                <w:rFonts w:eastAsia="Times New Roman"/>
                <w:b/>
                <w:bCs/>
                <w:szCs w:val="22"/>
                <w:highlight w:val="yellow"/>
                <w:lang w:val="en-US" w:eastAsia="en-US"/>
              </w:rPr>
            </w:pPr>
            <w:r>
              <w:rPr>
                <w:rFonts w:eastAsia="Times New Roman"/>
                <w:b/>
                <w:bCs/>
                <w:szCs w:val="22"/>
                <w:highlight w:val="yellow"/>
                <w:lang w:val="en-US" w:eastAsia="en-US"/>
              </w:rPr>
              <w:t>Full Form</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CASP</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 xml:space="preserve">Critical Appraisal Skills </w:t>
            </w:r>
            <w:r>
              <w:rPr>
                <w:rFonts w:eastAsia="Times New Roman"/>
                <w:szCs w:val="22"/>
                <w:highlight w:val="yellow"/>
                <w:lang w:val="en-US" w:eastAsia="en-US"/>
              </w:rPr>
              <w:t>Programme</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CINAHL</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Cumulative Index to Nursing and Allied Health Literature</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NHS</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National Health Service</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ONS</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Office for National Statistics</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PEO</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Population, Exposure, Outcome</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PRISMA</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Preferred Reporting Items for Systematic Reviews and Meta-Analyses</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PsycINFO</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Psychological Information Database</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SLR</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Systematic Literature Review</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UK</w:t>
            </w:r>
          </w:p>
        </w:tc>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United Kingdom</w:t>
            </w:r>
          </w:p>
        </w:tc>
      </w:tr>
      <w:tr>
        <w:tblPrEx/>
        <w:trPr>
          <w:tblCellSpacing w:w="15" w:type="dxa"/>
        </w:trPr>
        <w:tc>
          <w:tcPr>
            <w:tcW w:w="0" w:type="auto"/>
            <w:tcBorders/>
            <w:vAlign w:val="center"/>
            <w:hideMark/>
          </w:tcPr>
          <w:p>
            <w:pPr>
              <w:pStyle w:val="style0"/>
              <w:spacing w:after="0"/>
              <w:jc w:val="left"/>
              <w:rPr>
                <w:rFonts w:eastAsia="Times New Roman"/>
                <w:szCs w:val="22"/>
                <w:highlight w:val="yellow"/>
                <w:lang w:val="en-US" w:eastAsia="en-US"/>
              </w:rPr>
            </w:pPr>
            <w:r>
              <w:rPr>
                <w:rFonts w:eastAsia="Times New Roman"/>
                <w:szCs w:val="22"/>
                <w:highlight w:val="yellow"/>
                <w:lang w:val="en-US" w:eastAsia="en-US"/>
              </w:rPr>
              <w:t>WHO</w:t>
            </w:r>
          </w:p>
        </w:tc>
        <w:tc>
          <w:tcPr>
            <w:tcW w:w="0" w:type="auto"/>
            <w:tcBorders/>
            <w:vAlign w:val="center"/>
            <w:hideMark/>
          </w:tcPr>
          <w:p>
            <w:pPr>
              <w:pStyle w:val="style0"/>
              <w:spacing w:after="0"/>
              <w:jc w:val="left"/>
              <w:rPr>
                <w:rFonts w:eastAsia="Times New Roman"/>
                <w:szCs w:val="22"/>
                <w:lang w:val="en-US" w:eastAsia="en-US"/>
              </w:rPr>
            </w:pPr>
            <w:r>
              <w:rPr>
                <w:rFonts w:eastAsia="Times New Roman"/>
                <w:szCs w:val="22"/>
                <w:highlight w:val="yellow"/>
                <w:lang w:val="en-US" w:eastAsia="en-US"/>
              </w:rPr>
              <w:t xml:space="preserve">World Health </w:t>
            </w:r>
            <w:r>
              <w:rPr>
                <w:rFonts w:eastAsia="Times New Roman"/>
                <w:szCs w:val="22"/>
                <w:highlight w:val="yellow"/>
                <w:lang w:val="en-US" w:eastAsia="en-US"/>
              </w:rPr>
              <w:t>Organisation</w:t>
            </w:r>
          </w:p>
        </w:tc>
      </w:tr>
    </w:tbl>
    <w:p>
      <w:pPr>
        <w:pStyle w:val="style0"/>
        <w:rPr>
          <w:b/>
          <w:bCs/>
          <w:lang w:val="en-IN"/>
        </w:rPr>
      </w:pPr>
    </w:p>
    <w:p>
      <w:pPr>
        <w:pStyle w:val="style0"/>
        <w:rPr/>
      </w:pPr>
    </w:p>
    <w:bookmarkStart w:id="6" w:name="_heading=h.lmsa7spia9t0" w:colFirst="0" w:colLast="0"/>
    <w:bookmarkEnd w:id="6"/>
    <w:p>
      <w:pPr>
        <w:pStyle w:val="style0"/>
        <w:spacing w:lineRule="auto" w:line="259"/>
        <w:jc w:val="left"/>
        <w:rPr>
          <w:b/>
          <w:bCs/>
          <w:sz w:val="28"/>
          <w:szCs w:val="28"/>
        </w:rPr>
      </w:pPr>
      <w:r>
        <w:br w:type="page"/>
      </w:r>
    </w:p>
    <w:p>
      <w:pPr>
        <w:pStyle w:val="style0"/>
        <w:keepNext/>
        <w:keepLines/>
        <w:spacing w:before="240" w:after="0" w:lineRule="auto" w:line="259"/>
        <w:jc w:val="center"/>
        <w:rPr>
          <w:rFonts w:eastAsia="Calibri"/>
          <w:sz w:val="32"/>
          <w:szCs w:val="32"/>
        </w:rPr>
      </w:pPr>
      <w:r>
        <w:rPr>
          <w:b/>
          <w:bCs/>
          <w:sz w:val="32"/>
          <w:szCs w:val="32"/>
        </w:rPr>
        <w:t>Table of Contents</w:t>
      </w:r>
    </w:p>
    <w:p>
      <w:pPr>
        <w:pStyle w:val="style0"/>
        <w:rPr/>
      </w:pPr>
      <w:r>
        <w:rPr/>
        <w:fldChar w:fldCharType="begin"/>
      </w:r>
      <w:r>
        <w:instrText xml:space="preserve"> TOC \h \u \z \t "Heading 1,1,Heading 2,2,Heading 3,3,"</w:instrText>
      </w:r>
      <w:r>
        <w:rPr/>
        <w:fldChar w:fldCharType="separate"/>
      </w:r>
    </w:p>
    <w:p>
      <w:pPr>
        <w:pStyle w:val="style19"/>
        <w:tabs>
          <w:tab w:val="right" w:leader="dot" w:pos="8306"/>
        </w:tabs>
        <w:rPr/>
      </w:pPr>
      <w:r>
        <w:rPr/>
        <w:fldChar w:fldCharType="begin"/>
      </w:r>
      <w:r>
        <w:instrText xml:space="preserve"> HYPERLINK \l "_Toc29786" </w:instrText>
      </w:r>
      <w:r>
        <w:rPr/>
        <w:fldChar w:fldCharType="separate"/>
      </w:r>
      <w:r>
        <w:t>Acknowledgement</w:t>
      </w:r>
      <w:r>
        <w:tab/>
      </w:r>
      <w:r>
        <w:rPr/>
        <w:fldChar w:fldCharType="begin"/>
      </w:r>
      <w:r>
        <w:instrText xml:space="preserve"> PAGEREF _Toc29786 \h </w:instrText>
      </w:r>
      <w:r>
        <w:rPr/>
        <w:fldChar w:fldCharType="separate"/>
      </w:r>
      <w:r>
        <w:t>2</w:t>
      </w:r>
      <w:r>
        <w:rPr/>
        <w:fldChar w:fldCharType="end"/>
      </w:r>
      <w:r>
        <w:rPr/>
        <w:fldChar w:fldCharType="end"/>
      </w:r>
    </w:p>
    <w:p>
      <w:pPr>
        <w:pStyle w:val="style19"/>
        <w:tabs>
          <w:tab w:val="right" w:leader="dot" w:pos="8306"/>
        </w:tabs>
        <w:rPr/>
      </w:pPr>
      <w:r>
        <w:rPr/>
        <w:fldChar w:fldCharType="begin"/>
      </w:r>
      <w:r>
        <w:instrText xml:space="preserve"> HYPERLINK \l "_Toc9720" </w:instrText>
      </w:r>
      <w:r>
        <w:rPr/>
        <w:fldChar w:fldCharType="separate"/>
      </w:r>
      <w:r>
        <w:t>Abstract</w:t>
      </w:r>
      <w:r>
        <w:tab/>
      </w:r>
      <w:r>
        <w:rPr/>
        <w:fldChar w:fldCharType="begin"/>
      </w:r>
      <w:r>
        <w:instrText xml:space="preserve"> PAGEREF _Toc9720 \h </w:instrText>
      </w:r>
      <w:r>
        <w:rPr/>
        <w:fldChar w:fldCharType="separate"/>
      </w:r>
      <w:r>
        <w:t>3</w:t>
      </w:r>
      <w:r>
        <w:rPr/>
        <w:fldChar w:fldCharType="end"/>
      </w:r>
      <w:r>
        <w:rPr/>
        <w:fldChar w:fldCharType="end"/>
      </w:r>
    </w:p>
    <w:p>
      <w:pPr>
        <w:pStyle w:val="style19"/>
        <w:tabs>
          <w:tab w:val="right" w:leader="dot" w:pos="8306"/>
        </w:tabs>
        <w:rPr/>
      </w:pPr>
      <w:r>
        <w:rPr/>
        <w:fldChar w:fldCharType="begin"/>
      </w:r>
      <w:r>
        <w:instrText xml:space="preserve"> HYPERLINK \l "_Toc29995" </w:instrText>
      </w:r>
      <w:r>
        <w:rPr/>
        <w:fldChar w:fldCharType="separate"/>
      </w:r>
      <w:r>
        <w:t>List of Figures</w:t>
      </w:r>
      <w:r>
        <w:tab/>
      </w:r>
      <w:r>
        <w:rPr/>
        <w:fldChar w:fldCharType="begin"/>
      </w:r>
      <w:r>
        <w:instrText xml:space="preserve"> PAGEREF _Toc29995 \h </w:instrText>
      </w:r>
      <w:r>
        <w:rPr/>
        <w:fldChar w:fldCharType="separate"/>
      </w:r>
      <w:r>
        <w:t>4</w:t>
      </w:r>
      <w:r>
        <w:rPr/>
        <w:fldChar w:fldCharType="end"/>
      </w:r>
      <w:r>
        <w:rPr/>
        <w:fldChar w:fldCharType="end"/>
      </w:r>
    </w:p>
    <w:p>
      <w:pPr>
        <w:pStyle w:val="style19"/>
        <w:tabs>
          <w:tab w:val="right" w:leader="dot" w:pos="8306"/>
        </w:tabs>
        <w:rPr/>
      </w:pPr>
      <w:r>
        <w:rPr/>
        <w:fldChar w:fldCharType="begin"/>
      </w:r>
      <w:r>
        <w:instrText xml:space="preserve"> HYPERLINK \l "_Toc283" </w:instrText>
      </w:r>
      <w:r>
        <w:rPr/>
        <w:fldChar w:fldCharType="separate"/>
      </w:r>
      <w:r>
        <w:t>List of Tables</w:t>
      </w:r>
      <w:r>
        <w:tab/>
      </w:r>
      <w:r>
        <w:rPr/>
        <w:fldChar w:fldCharType="begin"/>
      </w:r>
      <w:r>
        <w:instrText xml:space="preserve"> PAGEREF _Toc283 \h </w:instrText>
      </w:r>
      <w:r>
        <w:rPr/>
        <w:fldChar w:fldCharType="separate"/>
      </w:r>
      <w:r>
        <w:t>4</w:t>
      </w:r>
      <w:r>
        <w:rPr/>
        <w:fldChar w:fldCharType="end"/>
      </w:r>
      <w:r>
        <w:rPr/>
        <w:fldChar w:fldCharType="end"/>
      </w:r>
    </w:p>
    <w:p>
      <w:pPr>
        <w:pStyle w:val="style19"/>
        <w:tabs>
          <w:tab w:val="right" w:leader="dot" w:pos="8306"/>
        </w:tabs>
        <w:rPr/>
      </w:pPr>
      <w:r>
        <w:rPr/>
        <w:fldChar w:fldCharType="begin"/>
      </w:r>
      <w:r>
        <w:instrText xml:space="preserve"> HYPERLINK \l "_Toc16294" </w:instrText>
      </w:r>
      <w:r>
        <w:rPr/>
        <w:fldChar w:fldCharType="separate"/>
      </w:r>
      <w:r>
        <w:t>List of Abbreviations</w:t>
      </w:r>
      <w:r>
        <w:tab/>
      </w:r>
      <w:r>
        <w:rPr/>
        <w:fldChar w:fldCharType="begin"/>
      </w:r>
      <w:r>
        <w:instrText xml:space="preserve"> PAGEREF _Toc16294 \h </w:instrText>
      </w:r>
      <w:r>
        <w:rPr/>
        <w:fldChar w:fldCharType="separate"/>
      </w:r>
      <w:r>
        <w:t>5</w:t>
      </w:r>
      <w:r>
        <w:rPr/>
        <w:fldChar w:fldCharType="end"/>
      </w:r>
      <w:r>
        <w:rPr/>
        <w:fldChar w:fldCharType="end"/>
      </w:r>
    </w:p>
    <w:p>
      <w:pPr>
        <w:pStyle w:val="style19"/>
        <w:tabs>
          <w:tab w:val="right" w:leader="dot" w:pos="8306"/>
        </w:tabs>
        <w:rPr/>
      </w:pPr>
      <w:r>
        <w:rPr/>
        <w:fldChar w:fldCharType="begin"/>
      </w:r>
      <w:r>
        <w:instrText xml:space="preserve"> HYPERLINK \l "_Toc12323" </w:instrText>
      </w:r>
      <w:r>
        <w:rPr/>
        <w:fldChar w:fldCharType="separate"/>
      </w:r>
      <w:r>
        <w:t>CHAPTER 1: INTRODUCTION AND BACKGROUND</w:t>
      </w:r>
      <w:r>
        <w:tab/>
      </w:r>
      <w:r>
        <w:rPr/>
        <w:fldChar w:fldCharType="begin"/>
      </w:r>
      <w:r>
        <w:instrText xml:space="preserve"> PAGEREF _Toc12323 \h </w:instrText>
      </w:r>
      <w:r>
        <w:rPr/>
        <w:fldChar w:fldCharType="separate"/>
      </w:r>
      <w:r>
        <w:t>9</w:t>
      </w:r>
      <w:r>
        <w:rPr/>
        <w:fldChar w:fldCharType="end"/>
      </w:r>
      <w:r>
        <w:rPr/>
        <w:fldChar w:fldCharType="end"/>
      </w:r>
    </w:p>
    <w:p>
      <w:pPr>
        <w:pStyle w:val="style20"/>
        <w:tabs>
          <w:tab w:val="right" w:leader="dot" w:pos="8306"/>
        </w:tabs>
        <w:rPr/>
      </w:pPr>
      <w:r>
        <w:rPr/>
        <w:fldChar w:fldCharType="begin"/>
      </w:r>
      <w:r>
        <w:instrText xml:space="preserve"> HYPERLINK \l "_Toc8384" </w:instrText>
      </w:r>
      <w:r>
        <w:rPr/>
        <w:fldChar w:fldCharType="separate"/>
      </w:r>
      <w:r>
        <w:t>1.1 Introduction to The Topic</w:t>
      </w:r>
      <w:r>
        <w:tab/>
      </w:r>
      <w:r>
        <w:rPr/>
        <w:fldChar w:fldCharType="begin"/>
      </w:r>
      <w:r>
        <w:instrText xml:space="preserve"> PAGEREF _Toc8384 \h </w:instrText>
      </w:r>
      <w:r>
        <w:rPr/>
        <w:fldChar w:fldCharType="separate"/>
      </w:r>
      <w:r>
        <w:t>9</w:t>
      </w:r>
      <w:r>
        <w:rPr/>
        <w:fldChar w:fldCharType="end"/>
      </w:r>
      <w:r>
        <w:rPr/>
        <w:fldChar w:fldCharType="end"/>
      </w:r>
    </w:p>
    <w:p>
      <w:pPr>
        <w:pStyle w:val="style20"/>
        <w:tabs>
          <w:tab w:val="right" w:leader="dot" w:pos="8306"/>
        </w:tabs>
        <w:rPr/>
      </w:pPr>
      <w:r>
        <w:rPr/>
        <w:fldChar w:fldCharType="begin"/>
      </w:r>
      <w:r>
        <w:instrText xml:space="preserve"> HYPERLINK \l "_Toc30046" </w:instrText>
      </w:r>
      <w:r>
        <w:rPr/>
        <w:fldChar w:fldCharType="separate"/>
      </w:r>
      <w:r>
        <w:t>1.2 Background and Current Context</w:t>
      </w:r>
      <w:r>
        <w:tab/>
      </w:r>
      <w:r>
        <w:rPr/>
        <w:fldChar w:fldCharType="begin"/>
      </w:r>
      <w:r>
        <w:instrText xml:space="preserve"> PAGEREF _Toc30046 \h </w:instrText>
      </w:r>
      <w:r>
        <w:rPr/>
        <w:fldChar w:fldCharType="separate"/>
      </w:r>
      <w:r>
        <w:t>9</w:t>
      </w:r>
      <w:r>
        <w:rPr/>
        <w:fldChar w:fldCharType="end"/>
      </w:r>
      <w:r>
        <w:rPr/>
        <w:fldChar w:fldCharType="end"/>
      </w:r>
    </w:p>
    <w:p>
      <w:pPr>
        <w:pStyle w:val="style20"/>
        <w:tabs>
          <w:tab w:val="right" w:leader="dot" w:pos="8306"/>
        </w:tabs>
        <w:rPr/>
      </w:pPr>
      <w:r>
        <w:rPr/>
        <w:fldChar w:fldCharType="begin"/>
      </w:r>
      <w:r>
        <w:instrText xml:space="preserve"> HYPERLINK \l "_Toc32275" </w:instrText>
      </w:r>
      <w:r>
        <w:rPr/>
        <w:fldChar w:fldCharType="separate"/>
      </w:r>
      <w:r>
        <w:t>1.3 Rationale for Research or Problem Statement</w:t>
      </w:r>
      <w:r>
        <w:tab/>
      </w:r>
      <w:r>
        <w:rPr/>
        <w:fldChar w:fldCharType="begin"/>
      </w:r>
      <w:r>
        <w:instrText xml:space="preserve"> PAGEREF _Toc32275 \h </w:instrText>
      </w:r>
      <w:r>
        <w:rPr/>
        <w:fldChar w:fldCharType="separate"/>
      </w:r>
      <w:r>
        <w:t>11</w:t>
      </w:r>
      <w:r>
        <w:rPr/>
        <w:fldChar w:fldCharType="end"/>
      </w:r>
      <w:r>
        <w:rPr/>
        <w:fldChar w:fldCharType="end"/>
      </w:r>
    </w:p>
    <w:p>
      <w:pPr>
        <w:pStyle w:val="style20"/>
        <w:tabs>
          <w:tab w:val="right" w:leader="dot" w:pos="8306"/>
        </w:tabs>
        <w:rPr/>
      </w:pPr>
      <w:r>
        <w:rPr/>
        <w:fldChar w:fldCharType="begin"/>
      </w:r>
      <w:r>
        <w:instrText xml:space="preserve"> HYPERLINK \l "_Toc8823" </w:instrText>
      </w:r>
      <w:r>
        <w:rPr/>
        <w:fldChar w:fldCharType="separate"/>
      </w:r>
      <w:r>
        <w:t>1.4 Research Aim</w:t>
      </w:r>
      <w:r>
        <w:tab/>
      </w:r>
      <w:r>
        <w:rPr/>
        <w:fldChar w:fldCharType="begin"/>
      </w:r>
      <w:r>
        <w:instrText xml:space="preserve"> PAGEREF _Toc8823 \h </w:instrText>
      </w:r>
      <w:r>
        <w:rPr/>
        <w:fldChar w:fldCharType="separate"/>
      </w:r>
      <w:r>
        <w:t>12</w:t>
      </w:r>
      <w:r>
        <w:rPr/>
        <w:fldChar w:fldCharType="end"/>
      </w:r>
      <w:r>
        <w:rPr/>
        <w:fldChar w:fldCharType="end"/>
      </w:r>
    </w:p>
    <w:p>
      <w:pPr>
        <w:pStyle w:val="style20"/>
        <w:tabs>
          <w:tab w:val="right" w:leader="dot" w:pos="8306"/>
        </w:tabs>
        <w:rPr/>
      </w:pPr>
      <w:r>
        <w:rPr/>
        <w:fldChar w:fldCharType="begin"/>
      </w:r>
      <w:r>
        <w:instrText xml:space="preserve"> HYPERLINK \l "_Toc17200" </w:instrText>
      </w:r>
      <w:r>
        <w:rPr/>
        <w:fldChar w:fldCharType="separate"/>
      </w:r>
      <w:r>
        <w:t>1.5 Research Objectives</w:t>
      </w:r>
      <w:r>
        <w:tab/>
      </w:r>
      <w:r>
        <w:rPr/>
        <w:fldChar w:fldCharType="begin"/>
      </w:r>
      <w:r>
        <w:instrText xml:space="preserve"> PAGEREF _Toc17200 \h </w:instrText>
      </w:r>
      <w:r>
        <w:rPr/>
        <w:fldChar w:fldCharType="separate"/>
      </w:r>
      <w:r>
        <w:t>12</w:t>
      </w:r>
      <w:r>
        <w:rPr/>
        <w:fldChar w:fldCharType="end"/>
      </w:r>
      <w:r>
        <w:rPr/>
        <w:fldChar w:fldCharType="end"/>
      </w:r>
    </w:p>
    <w:p>
      <w:pPr>
        <w:pStyle w:val="style20"/>
        <w:tabs>
          <w:tab w:val="right" w:leader="dot" w:pos="8306"/>
        </w:tabs>
        <w:rPr/>
      </w:pPr>
      <w:r>
        <w:rPr/>
        <w:fldChar w:fldCharType="begin"/>
      </w:r>
      <w:r>
        <w:instrText xml:space="preserve"> HYPERLINK \l "_Toc6917" </w:instrText>
      </w:r>
      <w:r>
        <w:rPr/>
        <w:fldChar w:fldCharType="separate"/>
      </w:r>
      <w:r>
        <w:t>1.6 Research question</w:t>
      </w:r>
      <w:r>
        <w:tab/>
      </w:r>
      <w:r>
        <w:rPr/>
        <w:fldChar w:fldCharType="begin"/>
      </w:r>
      <w:r>
        <w:instrText xml:space="preserve"> PAGEREF _Toc6917 \h </w:instrText>
      </w:r>
      <w:r>
        <w:rPr/>
        <w:fldChar w:fldCharType="separate"/>
      </w:r>
      <w:r>
        <w:t>12</w:t>
      </w:r>
      <w:r>
        <w:rPr/>
        <w:fldChar w:fldCharType="end"/>
      </w:r>
      <w:r>
        <w:rPr/>
        <w:fldChar w:fldCharType="end"/>
      </w:r>
    </w:p>
    <w:p>
      <w:pPr>
        <w:pStyle w:val="style20"/>
        <w:tabs>
          <w:tab w:val="right" w:leader="dot" w:pos="8306"/>
        </w:tabs>
        <w:rPr/>
      </w:pPr>
      <w:r>
        <w:rPr/>
        <w:fldChar w:fldCharType="begin"/>
      </w:r>
      <w:r>
        <w:instrText xml:space="preserve"> HYPERLINK \l "_Toc31349" </w:instrText>
      </w:r>
      <w:r>
        <w:rPr/>
        <w:fldChar w:fldCharType="separate"/>
      </w:r>
      <w:r>
        <w:t>1.7 Chapter summary</w:t>
      </w:r>
      <w:r>
        <w:tab/>
      </w:r>
      <w:r>
        <w:rPr/>
        <w:fldChar w:fldCharType="begin"/>
      </w:r>
      <w:r>
        <w:instrText xml:space="preserve"> PAGEREF _Toc31349 \h </w:instrText>
      </w:r>
      <w:r>
        <w:rPr/>
        <w:fldChar w:fldCharType="separate"/>
      </w:r>
      <w:r>
        <w:t>13</w:t>
      </w:r>
      <w:r>
        <w:rPr/>
        <w:fldChar w:fldCharType="end"/>
      </w:r>
      <w:r>
        <w:rPr/>
        <w:fldChar w:fldCharType="end"/>
      </w:r>
    </w:p>
    <w:p>
      <w:pPr>
        <w:pStyle w:val="style19"/>
        <w:tabs>
          <w:tab w:val="right" w:leader="dot" w:pos="8306"/>
        </w:tabs>
        <w:rPr/>
      </w:pPr>
      <w:r>
        <w:rPr/>
        <w:fldChar w:fldCharType="begin"/>
      </w:r>
      <w:r>
        <w:instrText xml:space="preserve"> HYPERLINK \l "_Toc10378" </w:instrText>
      </w:r>
      <w:r>
        <w:rPr/>
        <w:fldChar w:fldCharType="separate"/>
      </w:r>
      <w:r>
        <w:t>CHAPTER 2: LITERATURE REVIEW</w:t>
      </w:r>
      <w:r>
        <w:tab/>
      </w:r>
      <w:r>
        <w:rPr/>
        <w:fldChar w:fldCharType="begin"/>
      </w:r>
      <w:r>
        <w:instrText xml:space="preserve"> PAGEREF _Toc10378 \h </w:instrText>
      </w:r>
      <w:r>
        <w:rPr/>
        <w:fldChar w:fldCharType="separate"/>
      </w:r>
      <w:r>
        <w:t>14</w:t>
      </w:r>
      <w:r>
        <w:rPr/>
        <w:fldChar w:fldCharType="end"/>
      </w:r>
      <w:r>
        <w:rPr/>
        <w:fldChar w:fldCharType="end"/>
      </w:r>
    </w:p>
    <w:p>
      <w:pPr>
        <w:pStyle w:val="style20"/>
        <w:tabs>
          <w:tab w:val="right" w:leader="dot" w:pos="8306"/>
        </w:tabs>
        <w:rPr/>
      </w:pPr>
      <w:r>
        <w:rPr/>
        <w:fldChar w:fldCharType="begin"/>
      </w:r>
      <w:r>
        <w:instrText xml:space="preserve"> HYPERLINK \l "_Toc30093" </w:instrText>
      </w:r>
      <w:r>
        <w:rPr/>
        <w:fldChar w:fldCharType="separate"/>
      </w:r>
      <w:r>
        <w:t>2.1 Introduction to Literature Review</w:t>
      </w:r>
      <w:r>
        <w:tab/>
      </w:r>
      <w:r>
        <w:rPr/>
        <w:fldChar w:fldCharType="begin"/>
      </w:r>
      <w:r>
        <w:instrText xml:space="preserve"> PAGEREF _Toc30093 \h </w:instrText>
      </w:r>
      <w:r>
        <w:rPr/>
        <w:fldChar w:fldCharType="separate"/>
      </w:r>
      <w:r>
        <w:t>14</w:t>
      </w:r>
      <w:r>
        <w:rPr/>
        <w:fldChar w:fldCharType="end"/>
      </w:r>
      <w:r>
        <w:rPr/>
        <w:fldChar w:fldCharType="end"/>
      </w:r>
    </w:p>
    <w:p>
      <w:pPr>
        <w:pStyle w:val="style20"/>
        <w:tabs>
          <w:tab w:val="right" w:leader="dot" w:pos="8306"/>
        </w:tabs>
        <w:rPr/>
      </w:pPr>
      <w:r>
        <w:rPr/>
        <w:fldChar w:fldCharType="begin"/>
      </w:r>
      <w:r>
        <w:instrText xml:space="preserve"> HYPERLINK \l "_Toc4971" </w:instrText>
      </w:r>
      <w:r>
        <w:rPr/>
        <w:fldChar w:fldCharType="separate"/>
      </w:r>
      <w:r>
        <w:t>2.2 Literature Review</w:t>
      </w:r>
      <w:r>
        <w:tab/>
      </w:r>
      <w:r>
        <w:rPr/>
        <w:fldChar w:fldCharType="begin"/>
      </w:r>
      <w:r>
        <w:instrText xml:space="preserve"> PAGEREF _Toc4971 \h </w:instrText>
      </w:r>
      <w:r>
        <w:rPr/>
        <w:fldChar w:fldCharType="separate"/>
      </w:r>
      <w:r>
        <w:t>14</w:t>
      </w:r>
      <w:r>
        <w:rPr/>
        <w:fldChar w:fldCharType="end"/>
      </w:r>
      <w:r>
        <w:rPr/>
        <w:fldChar w:fldCharType="end"/>
      </w:r>
    </w:p>
    <w:p>
      <w:pPr>
        <w:pStyle w:val="style21"/>
        <w:tabs>
          <w:tab w:val="right" w:leader="dot" w:pos="8306"/>
        </w:tabs>
        <w:rPr/>
      </w:pPr>
      <w:r>
        <w:rPr/>
        <w:fldChar w:fldCharType="begin"/>
      </w:r>
      <w:r>
        <w:instrText xml:space="preserve"> HYPERLINK \l "_Toc19213" </w:instrText>
      </w:r>
      <w:r>
        <w:rPr/>
        <w:fldChar w:fldCharType="separate"/>
      </w:r>
      <w:r>
        <w:t>2.2.1 Conceptualising Mental Health Stigma </w:t>
      </w:r>
      <w:r>
        <w:tab/>
      </w:r>
      <w:r>
        <w:rPr/>
        <w:fldChar w:fldCharType="begin"/>
      </w:r>
      <w:r>
        <w:instrText xml:space="preserve"> PAGEREF _Toc19213 \h </w:instrText>
      </w:r>
      <w:r>
        <w:rPr/>
        <w:fldChar w:fldCharType="separate"/>
      </w:r>
      <w:r>
        <w:t>14</w:t>
      </w:r>
      <w:r>
        <w:rPr/>
        <w:fldChar w:fldCharType="end"/>
      </w:r>
      <w:r>
        <w:rPr/>
        <w:fldChar w:fldCharType="end"/>
      </w:r>
    </w:p>
    <w:p>
      <w:pPr>
        <w:pStyle w:val="style21"/>
        <w:tabs>
          <w:tab w:val="right" w:leader="dot" w:pos="8306"/>
        </w:tabs>
        <w:rPr/>
      </w:pPr>
      <w:r>
        <w:rPr/>
        <w:fldChar w:fldCharType="begin"/>
      </w:r>
      <w:r>
        <w:instrText xml:space="preserve"> HYPERLINK \l "_Toc20649" </w:instrText>
      </w:r>
      <w:r>
        <w:rPr/>
        <w:fldChar w:fldCharType="separate"/>
      </w:r>
      <w:r>
        <w:t>2.2.2 Community-Based Mental Health Awareness Programmes</w:t>
      </w:r>
      <w:r>
        <w:tab/>
      </w:r>
      <w:r>
        <w:rPr/>
        <w:fldChar w:fldCharType="begin"/>
      </w:r>
      <w:r>
        <w:instrText xml:space="preserve"> PAGEREF _Toc20649 \h </w:instrText>
      </w:r>
      <w:r>
        <w:rPr/>
        <w:fldChar w:fldCharType="separate"/>
      </w:r>
      <w:r>
        <w:t>15</w:t>
      </w:r>
      <w:r>
        <w:rPr/>
        <w:fldChar w:fldCharType="end"/>
      </w:r>
      <w:r>
        <w:rPr/>
        <w:fldChar w:fldCharType="end"/>
      </w:r>
    </w:p>
    <w:p>
      <w:pPr>
        <w:pStyle w:val="style21"/>
        <w:tabs>
          <w:tab w:val="right" w:leader="dot" w:pos="8306"/>
        </w:tabs>
        <w:rPr/>
      </w:pPr>
      <w:r>
        <w:rPr/>
        <w:fldChar w:fldCharType="begin"/>
      </w:r>
      <w:r>
        <w:instrText xml:space="preserve"> HYPERLINK \l "_Toc22977" </w:instrText>
      </w:r>
      <w:r>
        <w:rPr/>
        <w:fldChar w:fldCharType="separate"/>
      </w:r>
      <w:r>
        <w:t>2.2.3 Types of Community-Based Interventions</w:t>
      </w:r>
      <w:r>
        <w:tab/>
      </w:r>
      <w:r>
        <w:rPr/>
        <w:fldChar w:fldCharType="begin"/>
      </w:r>
      <w:r>
        <w:instrText xml:space="preserve"> PAGEREF _Toc22977 \h </w:instrText>
      </w:r>
      <w:r>
        <w:rPr/>
        <w:fldChar w:fldCharType="separate"/>
      </w:r>
      <w:r>
        <w:t>15</w:t>
      </w:r>
      <w:r>
        <w:rPr/>
        <w:fldChar w:fldCharType="end"/>
      </w:r>
      <w:r>
        <w:rPr/>
        <w:fldChar w:fldCharType="end"/>
      </w:r>
    </w:p>
    <w:p>
      <w:pPr>
        <w:pStyle w:val="style21"/>
        <w:tabs>
          <w:tab w:val="right" w:leader="dot" w:pos="8306"/>
        </w:tabs>
        <w:rPr/>
      </w:pPr>
      <w:r>
        <w:rPr/>
        <w:fldChar w:fldCharType="begin"/>
      </w:r>
      <w:r>
        <w:instrText xml:space="preserve"> HYPERLINK \l "_Toc21092" </w:instrText>
      </w:r>
      <w:r>
        <w:rPr/>
        <w:fldChar w:fldCharType="separate"/>
      </w:r>
      <w:r>
        <w:t>2.2.4 Effectiveness of Community-Based Programmes</w:t>
      </w:r>
      <w:r>
        <w:tab/>
      </w:r>
      <w:r>
        <w:rPr/>
        <w:fldChar w:fldCharType="begin"/>
      </w:r>
      <w:r>
        <w:instrText xml:space="preserve"> PAGEREF _Toc21092 \h </w:instrText>
      </w:r>
      <w:r>
        <w:rPr/>
        <w:fldChar w:fldCharType="separate"/>
      </w:r>
      <w:r>
        <w:t>17</w:t>
      </w:r>
      <w:r>
        <w:rPr/>
        <w:fldChar w:fldCharType="end"/>
      </w:r>
      <w:r>
        <w:rPr/>
        <w:fldChar w:fldCharType="end"/>
      </w:r>
    </w:p>
    <w:p>
      <w:pPr>
        <w:pStyle w:val="style21"/>
        <w:tabs>
          <w:tab w:val="right" w:leader="dot" w:pos="8306"/>
        </w:tabs>
        <w:rPr/>
      </w:pPr>
      <w:r>
        <w:rPr/>
        <w:fldChar w:fldCharType="begin"/>
      </w:r>
      <w:r>
        <w:instrText xml:space="preserve"> HYPERLINK \l "_Toc18348" </w:instrText>
      </w:r>
      <w:r>
        <w:rPr/>
        <w:fldChar w:fldCharType="separate"/>
      </w:r>
      <w:r>
        <w:t>2.2.5 Barriers to Reducing Stigma among Young Adults </w:t>
      </w:r>
      <w:r>
        <w:tab/>
      </w:r>
      <w:r>
        <w:rPr/>
        <w:fldChar w:fldCharType="begin"/>
      </w:r>
      <w:r>
        <w:instrText xml:space="preserve"> PAGEREF _Toc18348 \h </w:instrText>
      </w:r>
      <w:r>
        <w:rPr/>
        <w:fldChar w:fldCharType="separate"/>
      </w:r>
      <w:r>
        <w:t>18</w:t>
      </w:r>
      <w:r>
        <w:rPr/>
        <w:fldChar w:fldCharType="end"/>
      </w:r>
      <w:r>
        <w:rPr/>
        <w:fldChar w:fldCharType="end"/>
      </w:r>
    </w:p>
    <w:p>
      <w:pPr>
        <w:pStyle w:val="style20"/>
        <w:tabs>
          <w:tab w:val="right" w:leader="dot" w:pos="8306"/>
        </w:tabs>
        <w:rPr/>
      </w:pPr>
      <w:r>
        <w:rPr/>
        <w:fldChar w:fldCharType="begin"/>
      </w:r>
      <w:r>
        <w:instrText xml:space="preserve"> HYPERLINK \l "_Toc14701" </w:instrText>
      </w:r>
      <w:r>
        <w:rPr/>
        <w:fldChar w:fldCharType="separate"/>
      </w:r>
      <w:r>
        <w:t>2.3 Research Gaps </w:t>
      </w:r>
      <w:r>
        <w:tab/>
      </w:r>
      <w:r>
        <w:rPr/>
        <w:fldChar w:fldCharType="begin"/>
      </w:r>
      <w:r>
        <w:instrText xml:space="preserve"> PAGEREF _Toc14701 \h </w:instrText>
      </w:r>
      <w:r>
        <w:rPr/>
        <w:fldChar w:fldCharType="separate"/>
      </w:r>
      <w:r>
        <w:t>19</w:t>
      </w:r>
      <w:r>
        <w:rPr/>
        <w:fldChar w:fldCharType="end"/>
      </w:r>
      <w:r>
        <w:rPr/>
        <w:fldChar w:fldCharType="end"/>
      </w:r>
    </w:p>
    <w:p>
      <w:pPr>
        <w:pStyle w:val="style20"/>
        <w:tabs>
          <w:tab w:val="right" w:leader="dot" w:pos="8306"/>
        </w:tabs>
        <w:rPr/>
      </w:pPr>
      <w:r>
        <w:rPr/>
        <w:fldChar w:fldCharType="begin"/>
      </w:r>
      <w:r>
        <w:instrText xml:space="preserve"> HYPERLINK \l "_Toc25038" </w:instrText>
      </w:r>
      <w:r>
        <w:rPr/>
        <w:fldChar w:fldCharType="separate"/>
      </w:r>
      <w:r>
        <w:t>2.4 Chapter Summary </w:t>
      </w:r>
      <w:r>
        <w:tab/>
      </w:r>
      <w:r>
        <w:rPr/>
        <w:fldChar w:fldCharType="begin"/>
      </w:r>
      <w:r>
        <w:instrText xml:space="preserve"> PAGEREF _Toc25038 \h </w:instrText>
      </w:r>
      <w:r>
        <w:rPr/>
        <w:fldChar w:fldCharType="separate"/>
      </w:r>
      <w:r>
        <w:t>20</w:t>
      </w:r>
      <w:r>
        <w:rPr/>
        <w:fldChar w:fldCharType="end"/>
      </w:r>
      <w:r>
        <w:rPr/>
        <w:fldChar w:fldCharType="end"/>
      </w:r>
    </w:p>
    <w:p>
      <w:pPr>
        <w:pStyle w:val="style19"/>
        <w:tabs>
          <w:tab w:val="right" w:leader="dot" w:pos="8306"/>
        </w:tabs>
        <w:rPr/>
      </w:pPr>
      <w:r>
        <w:rPr/>
        <w:fldChar w:fldCharType="begin"/>
      </w:r>
      <w:r>
        <w:instrText xml:space="preserve"> HYPERLINK \l "_Toc22642" </w:instrText>
      </w:r>
      <w:r>
        <w:rPr/>
        <w:fldChar w:fldCharType="separate"/>
      </w:r>
      <w:r>
        <w:t>CHAPTER 3: METHODOLOGY</w:t>
      </w:r>
      <w:r>
        <w:tab/>
      </w:r>
      <w:r>
        <w:rPr/>
        <w:fldChar w:fldCharType="begin"/>
      </w:r>
      <w:r>
        <w:instrText xml:space="preserve"> PAGEREF _Toc22642 \h </w:instrText>
      </w:r>
      <w:r>
        <w:rPr/>
        <w:fldChar w:fldCharType="separate"/>
      </w:r>
      <w:r>
        <w:t>21</w:t>
      </w:r>
      <w:r>
        <w:rPr/>
        <w:fldChar w:fldCharType="end"/>
      </w:r>
      <w:r>
        <w:rPr/>
        <w:fldChar w:fldCharType="end"/>
      </w:r>
    </w:p>
    <w:p>
      <w:pPr>
        <w:pStyle w:val="style20"/>
        <w:tabs>
          <w:tab w:val="right" w:leader="dot" w:pos="8306"/>
        </w:tabs>
        <w:rPr/>
      </w:pPr>
      <w:r>
        <w:rPr/>
        <w:fldChar w:fldCharType="begin"/>
      </w:r>
      <w:r>
        <w:instrText xml:space="preserve"> HYPERLINK \l "_Toc11035" </w:instrText>
      </w:r>
      <w:r>
        <w:rPr/>
        <w:fldChar w:fldCharType="separate"/>
      </w:r>
      <w:r>
        <w:t>3.1 Introduction to Chapter</w:t>
      </w:r>
      <w:r>
        <w:tab/>
      </w:r>
      <w:r>
        <w:rPr/>
        <w:fldChar w:fldCharType="begin"/>
      </w:r>
      <w:r>
        <w:instrText xml:space="preserve"> PAGEREF _Toc11035 \h </w:instrText>
      </w:r>
      <w:r>
        <w:rPr/>
        <w:fldChar w:fldCharType="separate"/>
      </w:r>
      <w:r>
        <w:t>21</w:t>
      </w:r>
      <w:r>
        <w:rPr/>
        <w:fldChar w:fldCharType="end"/>
      </w:r>
      <w:r>
        <w:rPr/>
        <w:fldChar w:fldCharType="end"/>
      </w:r>
    </w:p>
    <w:p>
      <w:pPr>
        <w:pStyle w:val="style20"/>
        <w:tabs>
          <w:tab w:val="right" w:leader="dot" w:pos="8306"/>
        </w:tabs>
        <w:rPr/>
      </w:pPr>
      <w:r>
        <w:rPr/>
        <w:fldChar w:fldCharType="begin"/>
      </w:r>
      <w:r>
        <w:instrText xml:space="preserve"> HYPERLINK \l "_Toc15758" </w:instrText>
      </w:r>
      <w:r>
        <w:rPr/>
        <w:fldChar w:fldCharType="separate"/>
      </w:r>
      <w:r>
        <w:t>3.2 Systematic Literature Review (SLR)</w:t>
      </w:r>
      <w:r>
        <w:tab/>
      </w:r>
      <w:r>
        <w:rPr/>
        <w:fldChar w:fldCharType="begin"/>
      </w:r>
      <w:r>
        <w:instrText xml:space="preserve"> PAGEREF _Toc15758 \h </w:instrText>
      </w:r>
      <w:r>
        <w:rPr/>
        <w:fldChar w:fldCharType="separate"/>
      </w:r>
      <w:r>
        <w:t>21</w:t>
      </w:r>
      <w:r>
        <w:rPr/>
        <w:fldChar w:fldCharType="end"/>
      </w:r>
      <w:r>
        <w:rPr/>
        <w:fldChar w:fldCharType="end"/>
      </w:r>
    </w:p>
    <w:p>
      <w:pPr>
        <w:pStyle w:val="style20"/>
        <w:tabs>
          <w:tab w:val="right" w:leader="dot" w:pos="8306"/>
        </w:tabs>
        <w:rPr/>
      </w:pPr>
      <w:r>
        <w:rPr/>
        <w:fldChar w:fldCharType="begin"/>
      </w:r>
      <w:r>
        <w:instrText xml:space="preserve"> HYPERLINK \l "_Toc7258" </w:instrText>
      </w:r>
      <w:r>
        <w:rPr/>
        <w:fldChar w:fldCharType="separate"/>
      </w:r>
      <w:r>
        <w:t>3.3 Search Strategy</w:t>
      </w:r>
      <w:r>
        <w:tab/>
      </w:r>
      <w:r>
        <w:rPr/>
        <w:fldChar w:fldCharType="begin"/>
      </w:r>
      <w:r>
        <w:instrText xml:space="preserve"> PAGEREF _Toc7258 \h </w:instrText>
      </w:r>
      <w:r>
        <w:rPr/>
        <w:fldChar w:fldCharType="separate"/>
      </w:r>
      <w:r>
        <w:t>22</w:t>
      </w:r>
      <w:r>
        <w:rPr/>
        <w:fldChar w:fldCharType="end"/>
      </w:r>
      <w:r>
        <w:rPr/>
        <w:fldChar w:fldCharType="end"/>
      </w:r>
    </w:p>
    <w:p>
      <w:pPr>
        <w:pStyle w:val="style20"/>
        <w:tabs>
          <w:tab w:val="right" w:leader="dot" w:pos="8306"/>
        </w:tabs>
        <w:rPr/>
      </w:pPr>
      <w:r>
        <w:rPr/>
        <w:fldChar w:fldCharType="begin"/>
      </w:r>
      <w:r>
        <w:instrText xml:space="preserve"> HYPERLINK \l "_Toc23868" </w:instrText>
      </w:r>
      <w:r>
        <w:rPr/>
        <w:fldChar w:fldCharType="separate"/>
      </w:r>
      <w:r>
        <w:t>3.4 Search Terms</w:t>
      </w:r>
      <w:r>
        <w:tab/>
      </w:r>
      <w:r>
        <w:rPr/>
        <w:fldChar w:fldCharType="begin"/>
      </w:r>
      <w:r>
        <w:instrText xml:space="preserve"> PAGEREF _Toc23868 \h </w:instrText>
      </w:r>
      <w:r>
        <w:rPr/>
        <w:fldChar w:fldCharType="separate"/>
      </w:r>
      <w:r>
        <w:t>22</w:t>
      </w:r>
      <w:r>
        <w:rPr/>
        <w:fldChar w:fldCharType="end"/>
      </w:r>
      <w:r>
        <w:rPr/>
        <w:fldChar w:fldCharType="end"/>
      </w:r>
    </w:p>
    <w:p>
      <w:pPr>
        <w:pStyle w:val="style20"/>
        <w:tabs>
          <w:tab w:val="right" w:leader="dot" w:pos="8306"/>
        </w:tabs>
        <w:rPr/>
      </w:pPr>
      <w:r>
        <w:rPr/>
        <w:fldChar w:fldCharType="begin"/>
      </w:r>
      <w:r>
        <w:instrText xml:space="preserve"> HYPERLINK \l "_Toc25531" </w:instrText>
      </w:r>
      <w:r>
        <w:rPr/>
        <w:fldChar w:fldCharType="separate"/>
      </w:r>
      <w:r>
        <w:t>3.5 Key Words</w:t>
      </w:r>
      <w:r>
        <w:tab/>
      </w:r>
      <w:r>
        <w:rPr/>
        <w:fldChar w:fldCharType="begin"/>
      </w:r>
      <w:r>
        <w:instrText xml:space="preserve"> PAGEREF _Toc25531 \h </w:instrText>
      </w:r>
      <w:r>
        <w:rPr/>
        <w:fldChar w:fldCharType="separate"/>
      </w:r>
      <w:r>
        <w:t>25</w:t>
      </w:r>
      <w:r>
        <w:rPr/>
        <w:fldChar w:fldCharType="end"/>
      </w:r>
      <w:r>
        <w:rPr/>
        <w:fldChar w:fldCharType="end"/>
      </w:r>
    </w:p>
    <w:p>
      <w:pPr>
        <w:pStyle w:val="style20"/>
        <w:tabs>
          <w:tab w:val="right" w:leader="dot" w:pos="8306"/>
        </w:tabs>
        <w:rPr/>
      </w:pPr>
      <w:r>
        <w:rPr/>
        <w:fldChar w:fldCharType="begin"/>
      </w:r>
      <w:r>
        <w:instrText xml:space="preserve"> HYPERLINK \l "_Toc4604" </w:instrText>
      </w:r>
      <w:r>
        <w:rPr/>
        <w:fldChar w:fldCharType="separate"/>
      </w:r>
      <w:r>
        <w:t>3.6 Databases</w:t>
      </w:r>
      <w:r>
        <w:tab/>
      </w:r>
      <w:r>
        <w:rPr/>
        <w:fldChar w:fldCharType="begin"/>
      </w:r>
      <w:r>
        <w:instrText xml:space="preserve"> PAGEREF _Toc4604 \h </w:instrText>
      </w:r>
      <w:r>
        <w:rPr/>
        <w:fldChar w:fldCharType="separate"/>
      </w:r>
      <w:r>
        <w:t>25</w:t>
      </w:r>
      <w:r>
        <w:rPr/>
        <w:fldChar w:fldCharType="end"/>
      </w:r>
      <w:r>
        <w:rPr/>
        <w:fldChar w:fldCharType="end"/>
      </w:r>
    </w:p>
    <w:p>
      <w:pPr>
        <w:pStyle w:val="style20"/>
        <w:tabs>
          <w:tab w:val="right" w:leader="dot" w:pos="8306"/>
        </w:tabs>
        <w:rPr/>
      </w:pPr>
      <w:r>
        <w:rPr/>
        <w:fldChar w:fldCharType="begin"/>
      </w:r>
      <w:r>
        <w:instrText xml:space="preserve"> HYPERLINK \l "_Toc10858" </w:instrText>
      </w:r>
      <w:r>
        <w:rPr/>
        <w:fldChar w:fldCharType="separate"/>
      </w:r>
      <w:r>
        <w:t>3.7 Inclusion/Exclusion Criteria </w:t>
      </w:r>
      <w:r>
        <w:tab/>
      </w:r>
      <w:r>
        <w:rPr/>
        <w:fldChar w:fldCharType="begin"/>
      </w:r>
      <w:r>
        <w:instrText xml:space="preserve"> PAGEREF _Toc10858 \h </w:instrText>
      </w:r>
      <w:r>
        <w:rPr/>
        <w:fldChar w:fldCharType="separate"/>
      </w:r>
      <w:r>
        <w:t>25</w:t>
      </w:r>
      <w:r>
        <w:rPr/>
        <w:fldChar w:fldCharType="end"/>
      </w:r>
      <w:r>
        <w:rPr/>
        <w:fldChar w:fldCharType="end"/>
      </w:r>
    </w:p>
    <w:p>
      <w:pPr>
        <w:pStyle w:val="style21"/>
        <w:tabs>
          <w:tab w:val="right" w:leader="dot" w:pos="8306"/>
        </w:tabs>
        <w:rPr/>
      </w:pPr>
      <w:r>
        <w:rPr/>
        <w:fldChar w:fldCharType="begin"/>
      </w:r>
      <w:r>
        <w:instrText xml:space="preserve"> HYPERLINK \l "_Toc32315" </w:instrText>
      </w:r>
      <w:r>
        <w:rPr/>
        <w:fldChar w:fldCharType="separate"/>
      </w:r>
      <w:r>
        <w:t>3.7.1 Inclusion Criteria </w:t>
      </w:r>
      <w:r>
        <w:tab/>
      </w:r>
      <w:r>
        <w:rPr/>
        <w:fldChar w:fldCharType="begin"/>
      </w:r>
      <w:r>
        <w:instrText xml:space="preserve"> PAGEREF _Toc32315 \h </w:instrText>
      </w:r>
      <w:r>
        <w:rPr/>
        <w:fldChar w:fldCharType="separate"/>
      </w:r>
      <w:r>
        <w:t>26</w:t>
      </w:r>
      <w:r>
        <w:rPr/>
        <w:fldChar w:fldCharType="end"/>
      </w:r>
      <w:r>
        <w:rPr/>
        <w:fldChar w:fldCharType="end"/>
      </w:r>
    </w:p>
    <w:p>
      <w:pPr>
        <w:pStyle w:val="style21"/>
        <w:tabs>
          <w:tab w:val="right" w:leader="dot" w:pos="8306"/>
        </w:tabs>
        <w:rPr/>
      </w:pPr>
      <w:r>
        <w:rPr/>
        <w:fldChar w:fldCharType="begin"/>
      </w:r>
      <w:r>
        <w:instrText xml:space="preserve"> HYPERLINK \l "_Toc22377" </w:instrText>
      </w:r>
      <w:r>
        <w:rPr/>
        <w:fldChar w:fldCharType="separate"/>
      </w:r>
      <w:r>
        <w:t>3.7.2 Exclusion Criteria </w:t>
      </w:r>
      <w:r>
        <w:tab/>
      </w:r>
      <w:r>
        <w:rPr/>
        <w:fldChar w:fldCharType="begin"/>
      </w:r>
      <w:r>
        <w:instrText xml:space="preserve"> PAGEREF _Toc22377 \h </w:instrText>
      </w:r>
      <w:r>
        <w:rPr/>
        <w:fldChar w:fldCharType="separate"/>
      </w:r>
      <w:r>
        <w:t>26</w:t>
      </w:r>
      <w:r>
        <w:rPr/>
        <w:fldChar w:fldCharType="end"/>
      </w:r>
      <w:r>
        <w:rPr/>
        <w:fldChar w:fldCharType="end"/>
      </w:r>
    </w:p>
    <w:p>
      <w:pPr>
        <w:pStyle w:val="style21"/>
        <w:tabs>
          <w:tab w:val="right" w:leader="dot" w:pos="8306"/>
        </w:tabs>
        <w:rPr/>
      </w:pPr>
      <w:r>
        <w:rPr/>
        <w:fldChar w:fldCharType="begin"/>
      </w:r>
      <w:r>
        <w:instrText xml:space="preserve"> HYPERLINK \l "_Toc2604" </w:instrText>
      </w:r>
      <w:r>
        <w:rPr/>
        <w:fldChar w:fldCharType="separate"/>
      </w:r>
      <w:r>
        <w:t>3.7.3 Justification for Inclusion and Exclusion Criteria</w:t>
      </w:r>
      <w:r>
        <w:tab/>
      </w:r>
      <w:r>
        <w:rPr/>
        <w:fldChar w:fldCharType="begin"/>
      </w:r>
      <w:r>
        <w:instrText xml:space="preserve"> PAGEREF _Toc2604 \h </w:instrText>
      </w:r>
      <w:r>
        <w:rPr/>
        <w:fldChar w:fldCharType="separate"/>
      </w:r>
      <w:r>
        <w:t>27</w:t>
      </w:r>
      <w:r>
        <w:rPr/>
        <w:fldChar w:fldCharType="end"/>
      </w:r>
      <w:r>
        <w:rPr/>
        <w:fldChar w:fldCharType="end"/>
      </w:r>
    </w:p>
    <w:p>
      <w:pPr>
        <w:pStyle w:val="style20"/>
        <w:tabs>
          <w:tab w:val="right" w:leader="dot" w:pos="8306"/>
        </w:tabs>
        <w:rPr/>
      </w:pPr>
      <w:r>
        <w:rPr/>
        <w:fldChar w:fldCharType="begin"/>
      </w:r>
      <w:r>
        <w:instrText xml:space="preserve"> HYPERLINK \l "_Toc17006" </w:instrText>
      </w:r>
      <w:r>
        <w:rPr/>
        <w:fldChar w:fldCharType="separate"/>
      </w:r>
      <w:r>
        <w:t>3.8 Search Results </w:t>
      </w:r>
      <w:r>
        <w:tab/>
      </w:r>
      <w:r>
        <w:rPr/>
        <w:fldChar w:fldCharType="begin"/>
      </w:r>
      <w:r>
        <w:instrText xml:space="preserve"> PAGEREF _Toc17006 \h </w:instrText>
      </w:r>
      <w:r>
        <w:rPr/>
        <w:fldChar w:fldCharType="separate"/>
      </w:r>
      <w:r>
        <w:t>27</w:t>
      </w:r>
      <w:r>
        <w:rPr/>
        <w:fldChar w:fldCharType="end"/>
      </w:r>
      <w:r>
        <w:rPr/>
        <w:fldChar w:fldCharType="end"/>
      </w:r>
    </w:p>
    <w:p>
      <w:pPr>
        <w:pStyle w:val="style20"/>
        <w:tabs>
          <w:tab w:val="right" w:leader="dot" w:pos="8306"/>
        </w:tabs>
        <w:rPr/>
      </w:pPr>
      <w:r>
        <w:rPr/>
        <w:fldChar w:fldCharType="begin"/>
      </w:r>
      <w:r>
        <w:instrText xml:space="preserve"> HYPERLINK \l "_Toc17847" </w:instrText>
      </w:r>
      <w:r>
        <w:rPr/>
        <w:fldChar w:fldCharType="separate"/>
      </w:r>
      <w:r>
        <w:rPr>
          <w:rFonts w:eastAsia="Calibri"/>
        </w:rPr>
        <w:t>3.9 Data Extraction and Synthesis </w:t>
      </w:r>
      <w:r>
        <w:tab/>
      </w:r>
      <w:r>
        <w:rPr/>
        <w:fldChar w:fldCharType="begin"/>
      </w:r>
      <w:r>
        <w:instrText xml:space="preserve"> PAGEREF _Toc17847 \h </w:instrText>
      </w:r>
      <w:r>
        <w:rPr/>
        <w:fldChar w:fldCharType="separate"/>
      </w:r>
      <w:r>
        <w:t>29</w:t>
      </w:r>
      <w:r>
        <w:rPr/>
        <w:fldChar w:fldCharType="end"/>
      </w:r>
      <w:r>
        <w:rPr/>
        <w:fldChar w:fldCharType="end"/>
      </w:r>
    </w:p>
    <w:p>
      <w:pPr>
        <w:pStyle w:val="style20"/>
        <w:tabs>
          <w:tab w:val="right" w:leader="dot" w:pos="8306"/>
        </w:tabs>
        <w:rPr/>
      </w:pPr>
      <w:r>
        <w:rPr/>
        <w:fldChar w:fldCharType="begin"/>
      </w:r>
      <w:r>
        <w:instrText xml:space="preserve"> HYPERLINK \l "_Toc7844" </w:instrText>
      </w:r>
      <w:r>
        <w:rPr/>
        <w:fldChar w:fldCharType="separate"/>
      </w:r>
      <w:r>
        <w:t>3.10 Quality Appraisal</w:t>
      </w:r>
      <w:r>
        <w:tab/>
      </w:r>
      <w:r>
        <w:rPr/>
        <w:fldChar w:fldCharType="begin"/>
      </w:r>
      <w:r>
        <w:instrText xml:space="preserve"> PAGEREF _Toc7844 \h </w:instrText>
      </w:r>
      <w:r>
        <w:rPr/>
        <w:fldChar w:fldCharType="separate"/>
      </w:r>
      <w:r>
        <w:t>29</w:t>
      </w:r>
      <w:r>
        <w:rPr/>
        <w:fldChar w:fldCharType="end"/>
      </w:r>
      <w:r>
        <w:rPr/>
        <w:fldChar w:fldCharType="end"/>
      </w:r>
    </w:p>
    <w:p>
      <w:pPr>
        <w:pStyle w:val="style20"/>
        <w:tabs>
          <w:tab w:val="right" w:leader="dot" w:pos="8306"/>
        </w:tabs>
        <w:rPr/>
      </w:pPr>
      <w:r>
        <w:rPr/>
        <w:fldChar w:fldCharType="begin"/>
      </w:r>
      <w:r>
        <w:instrText xml:space="preserve"> HYPERLINK \l "_Toc30384" </w:instrText>
      </w:r>
      <w:r>
        <w:rPr/>
        <w:fldChar w:fldCharType="separate"/>
      </w:r>
      <w:r>
        <w:t>3.11 Methodological Limitations</w:t>
      </w:r>
      <w:r>
        <w:tab/>
      </w:r>
      <w:r>
        <w:rPr/>
        <w:fldChar w:fldCharType="begin"/>
      </w:r>
      <w:r>
        <w:instrText xml:space="preserve"> PAGEREF _Toc30384 \h </w:instrText>
      </w:r>
      <w:r>
        <w:rPr/>
        <w:fldChar w:fldCharType="separate"/>
      </w:r>
      <w:r>
        <w:t>30</w:t>
      </w:r>
      <w:r>
        <w:rPr/>
        <w:fldChar w:fldCharType="end"/>
      </w:r>
      <w:r>
        <w:rPr/>
        <w:fldChar w:fldCharType="end"/>
      </w:r>
    </w:p>
    <w:p>
      <w:pPr>
        <w:pStyle w:val="style20"/>
        <w:tabs>
          <w:tab w:val="right" w:leader="dot" w:pos="8306"/>
        </w:tabs>
        <w:rPr/>
      </w:pPr>
      <w:r>
        <w:rPr/>
        <w:fldChar w:fldCharType="begin"/>
      </w:r>
      <w:r>
        <w:instrText xml:space="preserve"> HYPERLINK \l "_Toc25726" </w:instrText>
      </w:r>
      <w:r>
        <w:rPr/>
        <w:fldChar w:fldCharType="separate"/>
      </w:r>
      <w:r>
        <w:t>3.12 Ethical Considerations </w:t>
      </w:r>
      <w:r>
        <w:tab/>
      </w:r>
      <w:r>
        <w:rPr/>
        <w:fldChar w:fldCharType="begin"/>
      </w:r>
      <w:r>
        <w:instrText xml:space="preserve"> PAGEREF _Toc25726 \h </w:instrText>
      </w:r>
      <w:r>
        <w:rPr/>
        <w:fldChar w:fldCharType="separate"/>
      </w:r>
      <w:r>
        <w:t>30</w:t>
      </w:r>
      <w:r>
        <w:rPr/>
        <w:fldChar w:fldCharType="end"/>
      </w:r>
      <w:r>
        <w:rPr/>
        <w:fldChar w:fldCharType="end"/>
      </w:r>
    </w:p>
    <w:p>
      <w:pPr>
        <w:pStyle w:val="style20"/>
        <w:tabs>
          <w:tab w:val="right" w:leader="dot" w:pos="8306"/>
        </w:tabs>
        <w:rPr/>
      </w:pPr>
      <w:r>
        <w:rPr/>
        <w:fldChar w:fldCharType="begin"/>
      </w:r>
      <w:r>
        <w:instrText xml:space="preserve"> HYPERLINK \l "_Toc7666" </w:instrText>
      </w:r>
      <w:r>
        <w:rPr/>
        <w:fldChar w:fldCharType="separate"/>
      </w:r>
      <w:r>
        <w:t>3.13 Chapter Summary </w:t>
      </w:r>
      <w:r>
        <w:tab/>
      </w:r>
      <w:r>
        <w:rPr/>
        <w:fldChar w:fldCharType="begin"/>
      </w:r>
      <w:r>
        <w:instrText xml:space="preserve"> PAGEREF _Toc7666 \h </w:instrText>
      </w:r>
      <w:r>
        <w:rPr/>
        <w:fldChar w:fldCharType="separate"/>
      </w:r>
      <w:r>
        <w:t>30</w:t>
      </w:r>
      <w:r>
        <w:rPr/>
        <w:fldChar w:fldCharType="end"/>
      </w:r>
      <w:r>
        <w:rPr/>
        <w:fldChar w:fldCharType="end"/>
      </w:r>
    </w:p>
    <w:p>
      <w:pPr>
        <w:pStyle w:val="style19"/>
        <w:tabs>
          <w:tab w:val="right" w:leader="dot" w:pos="8306"/>
        </w:tabs>
        <w:rPr/>
      </w:pPr>
      <w:r>
        <w:rPr/>
        <w:fldChar w:fldCharType="begin"/>
      </w:r>
      <w:r>
        <w:instrText xml:space="preserve"> HYPERLINK \l "_Toc31474" </w:instrText>
      </w:r>
      <w:r>
        <w:rPr/>
        <w:fldChar w:fldCharType="separate"/>
      </w:r>
      <w:r>
        <w:t>CHAPTER 4: DATA EXTRACTION AND EVALUATION</w:t>
      </w:r>
      <w:r>
        <w:tab/>
      </w:r>
      <w:r>
        <w:rPr/>
        <w:fldChar w:fldCharType="begin"/>
      </w:r>
      <w:r>
        <w:instrText xml:space="preserve"> PAGEREF _Toc31474 \h </w:instrText>
      </w:r>
      <w:r>
        <w:rPr/>
        <w:fldChar w:fldCharType="separate"/>
      </w:r>
      <w:r>
        <w:t>32</w:t>
      </w:r>
      <w:r>
        <w:rPr/>
        <w:fldChar w:fldCharType="end"/>
      </w:r>
      <w:r>
        <w:rPr/>
        <w:fldChar w:fldCharType="end"/>
      </w:r>
    </w:p>
    <w:p>
      <w:pPr>
        <w:pStyle w:val="style20"/>
        <w:tabs>
          <w:tab w:val="right" w:leader="dot" w:pos="8306"/>
        </w:tabs>
        <w:rPr/>
      </w:pPr>
      <w:r>
        <w:rPr/>
        <w:fldChar w:fldCharType="begin"/>
      </w:r>
      <w:r>
        <w:instrText xml:space="preserve"> HYPERLINK \l "_Toc21003" </w:instrText>
      </w:r>
      <w:r>
        <w:rPr/>
        <w:fldChar w:fldCharType="separate"/>
      </w:r>
      <w:r>
        <w:t>4.1 Introduction to Chapter</w:t>
      </w:r>
      <w:r>
        <w:tab/>
      </w:r>
      <w:r>
        <w:rPr/>
        <w:fldChar w:fldCharType="begin"/>
      </w:r>
      <w:r>
        <w:instrText xml:space="preserve"> PAGEREF _Toc21003 \h </w:instrText>
      </w:r>
      <w:r>
        <w:rPr/>
        <w:fldChar w:fldCharType="separate"/>
      </w:r>
      <w:r>
        <w:t>32</w:t>
      </w:r>
      <w:r>
        <w:rPr/>
        <w:fldChar w:fldCharType="end"/>
      </w:r>
      <w:r>
        <w:rPr/>
        <w:fldChar w:fldCharType="end"/>
      </w:r>
    </w:p>
    <w:p>
      <w:pPr>
        <w:pStyle w:val="style20"/>
        <w:tabs>
          <w:tab w:val="right" w:leader="dot" w:pos="8306"/>
        </w:tabs>
        <w:rPr/>
      </w:pPr>
      <w:r>
        <w:rPr/>
        <w:fldChar w:fldCharType="begin"/>
      </w:r>
      <w:r>
        <w:instrText xml:space="preserve"> HYPERLINK \l "_Toc9187" </w:instrText>
      </w:r>
      <w:r>
        <w:rPr/>
        <w:fldChar w:fldCharType="separate"/>
      </w:r>
      <w:r>
        <w:t>4.2 Data Extraction</w:t>
      </w:r>
      <w:r>
        <w:tab/>
      </w:r>
      <w:r>
        <w:rPr/>
        <w:fldChar w:fldCharType="begin"/>
      </w:r>
      <w:r>
        <w:instrText xml:space="preserve"> PAGEREF _Toc9187 \h </w:instrText>
      </w:r>
      <w:r>
        <w:rPr/>
        <w:fldChar w:fldCharType="separate"/>
      </w:r>
      <w:r>
        <w:t>32</w:t>
      </w:r>
      <w:r>
        <w:rPr/>
        <w:fldChar w:fldCharType="end"/>
      </w:r>
      <w:r>
        <w:rPr/>
        <w:fldChar w:fldCharType="end"/>
      </w:r>
    </w:p>
    <w:p>
      <w:pPr>
        <w:pStyle w:val="style20"/>
        <w:tabs>
          <w:tab w:val="right" w:leader="dot" w:pos="8306"/>
        </w:tabs>
        <w:rPr/>
      </w:pPr>
      <w:r>
        <w:rPr/>
        <w:fldChar w:fldCharType="begin"/>
      </w:r>
      <w:r>
        <w:instrText xml:space="preserve"> HYPERLINK \l "_Toc1187" </w:instrText>
      </w:r>
      <w:r>
        <w:rPr/>
        <w:fldChar w:fldCharType="separate"/>
      </w:r>
      <w:r>
        <w:t>4.3 Brief Introduction to Critical Appraisal and Paper Quality Assessment</w:t>
      </w:r>
      <w:r>
        <w:tab/>
      </w:r>
      <w:r>
        <w:rPr/>
        <w:fldChar w:fldCharType="begin"/>
      </w:r>
      <w:r>
        <w:instrText xml:space="preserve"> PAGEREF _Toc1187 \h </w:instrText>
      </w:r>
      <w:r>
        <w:rPr/>
        <w:fldChar w:fldCharType="separate"/>
      </w:r>
      <w:r>
        <w:t>33</w:t>
      </w:r>
      <w:r>
        <w:rPr/>
        <w:fldChar w:fldCharType="end"/>
      </w:r>
      <w:r>
        <w:rPr/>
        <w:fldChar w:fldCharType="end"/>
      </w:r>
    </w:p>
    <w:p>
      <w:pPr>
        <w:pStyle w:val="style20"/>
        <w:tabs>
          <w:tab w:val="right" w:leader="dot" w:pos="8306"/>
        </w:tabs>
        <w:rPr/>
      </w:pPr>
      <w:r>
        <w:rPr/>
        <w:fldChar w:fldCharType="begin"/>
      </w:r>
      <w:r>
        <w:instrText xml:space="preserve"> HYPERLINK \l "_Toc3199" </w:instrText>
      </w:r>
      <w:r>
        <w:rPr/>
        <w:fldChar w:fldCharType="separate"/>
      </w:r>
      <w:r>
        <w:t>4.4 Critical Appraisal Tools</w:t>
      </w:r>
      <w:r>
        <w:tab/>
      </w:r>
      <w:r>
        <w:rPr/>
        <w:fldChar w:fldCharType="begin"/>
      </w:r>
      <w:r>
        <w:instrText xml:space="preserve"> PAGEREF _Toc3199 \h </w:instrText>
      </w:r>
      <w:r>
        <w:rPr/>
        <w:fldChar w:fldCharType="separate"/>
      </w:r>
      <w:r>
        <w:t>34</w:t>
      </w:r>
      <w:r>
        <w:rPr/>
        <w:fldChar w:fldCharType="end"/>
      </w:r>
      <w:r>
        <w:rPr/>
        <w:fldChar w:fldCharType="end"/>
      </w:r>
    </w:p>
    <w:p>
      <w:pPr>
        <w:pStyle w:val="style20"/>
        <w:tabs>
          <w:tab w:val="right" w:leader="dot" w:pos="8306"/>
        </w:tabs>
        <w:rPr/>
      </w:pPr>
      <w:r>
        <w:rPr/>
        <w:fldChar w:fldCharType="begin"/>
      </w:r>
      <w:r>
        <w:instrText xml:space="preserve"> HYPERLINK \l "_Toc12227" </w:instrText>
      </w:r>
      <w:r>
        <w:rPr/>
        <w:fldChar w:fldCharType="separate"/>
      </w:r>
      <w:r>
        <w:t>4.5 Evaluation of Qualitative Studies</w:t>
      </w:r>
      <w:r>
        <w:tab/>
      </w:r>
      <w:r>
        <w:rPr/>
        <w:fldChar w:fldCharType="begin"/>
      </w:r>
      <w:r>
        <w:instrText xml:space="preserve"> PAGEREF _Toc12227 \h </w:instrText>
      </w:r>
      <w:r>
        <w:rPr/>
        <w:fldChar w:fldCharType="separate"/>
      </w:r>
      <w:r>
        <w:t>35</w:t>
      </w:r>
      <w:r>
        <w:rPr/>
        <w:fldChar w:fldCharType="end"/>
      </w:r>
      <w:r>
        <w:rPr/>
        <w:fldChar w:fldCharType="end"/>
      </w:r>
    </w:p>
    <w:p>
      <w:pPr>
        <w:pStyle w:val="style20"/>
        <w:tabs>
          <w:tab w:val="right" w:leader="dot" w:pos="8306"/>
        </w:tabs>
        <w:rPr/>
      </w:pPr>
      <w:r>
        <w:rPr/>
        <w:fldChar w:fldCharType="begin"/>
      </w:r>
      <w:r>
        <w:instrText xml:space="preserve"> HYPERLINK \l "_Toc10713" </w:instrText>
      </w:r>
      <w:r>
        <w:rPr/>
        <w:fldChar w:fldCharType="separate"/>
      </w:r>
      <w:r>
        <w:t>4.6 Chapter Summary</w:t>
      </w:r>
      <w:r>
        <w:tab/>
      </w:r>
      <w:r>
        <w:rPr/>
        <w:fldChar w:fldCharType="begin"/>
      </w:r>
      <w:r>
        <w:instrText xml:space="preserve"> PAGEREF _Toc10713 \h </w:instrText>
      </w:r>
      <w:r>
        <w:rPr/>
        <w:fldChar w:fldCharType="separate"/>
      </w:r>
      <w:r>
        <w:t>41</w:t>
      </w:r>
      <w:r>
        <w:rPr/>
        <w:fldChar w:fldCharType="end"/>
      </w:r>
      <w:r>
        <w:rPr/>
        <w:fldChar w:fldCharType="end"/>
      </w:r>
    </w:p>
    <w:p>
      <w:pPr>
        <w:pStyle w:val="style19"/>
        <w:tabs>
          <w:tab w:val="right" w:leader="dot" w:pos="8306"/>
        </w:tabs>
        <w:rPr/>
      </w:pPr>
      <w:r>
        <w:rPr/>
        <w:fldChar w:fldCharType="begin"/>
      </w:r>
      <w:r>
        <w:instrText xml:space="preserve"> HYPERLINK \l "_Toc4773" </w:instrText>
      </w:r>
      <w:r>
        <w:rPr/>
        <w:fldChar w:fldCharType="separate"/>
      </w:r>
      <w:r>
        <w:t>CHAPTER 5: DATA ANALYSIS AND SYNTHESIS</w:t>
      </w:r>
      <w:r>
        <w:tab/>
      </w:r>
      <w:r>
        <w:rPr/>
        <w:fldChar w:fldCharType="begin"/>
      </w:r>
      <w:r>
        <w:instrText xml:space="preserve"> PAGEREF _Toc4773 \h </w:instrText>
      </w:r>
      <w:r>
        <w:rPr/>
        <w:fldChar w:fldCharType="separate"/>
      </w:r>
      <w:r>
        <w:t>42</w:t>
      </w:r>
      <w:r>
        <w:rPr/>
        <w:fldChar w:fldCharType="end"/>
      </w:r>
      <w:r>
        <w:rPr/>
        <w:fldChar w:fldCharType="end"/>
      </w:r>
    </w:p>
    <w:p>
      <w:pPr>
        <w:pStyle w:val="style20"/>
        <w:tabs>
          <w:tab w:val="right" w:leader="dot" w:pos="8306"/>
        </w:tabs>
        <w:rPr/>
      </w:pPr>
      <w:r>
        <w:rPr/>
        <w:fldChar w:fldCharType="begin"/>
      </w:r>
      <w:r>
        <w:instrText xml:space="preserve"> HYPERLINK \l "_Toc2824" </w:instrText>
      </w:r>
      <w:r>
        <w:rPr/>
        <w:fldChar w:fldCharType="separate"/>
      </w:r>
      <w:r>
        <w:t>5.1Introduction to Chapter</w:t>
      </w:r>
      <w:r>
        <w:tab/>
      </w:r>
      <w:r>
        <w:rPr/>
        <w:fldChar w:fldCharType="begin"/>
      </w:r>
      <w:r>
        <w:instrText xml:space="preserve"> PAGEREF _Toc2824 \h </w:instrText>
      </w:r>
      <w:r>
        <w:rPr/>
        <w:fldChar w:fldCharType="separate"/>
      </w:r>
      <w:r>
        <w:t>42</w:t>
      </w:r>
      <w:r>
        <w:rPr/>
        <w:fldChar w:fldCharType="end"/>
      </w:r>
      <w:r>
        <w:rPr/>
        <w:fldChar w:fldCharType="end"/>
      </w:r>
    </w:p>
    <w:p>
      <w:pPr>
        <w:pStyle w:val="style20"/>
        <w:tabs>
          <w:tab w:val="right" w:leader="dot" w:pos="8306"/>
        </w:tabs>
        <w:rPr/>
      </w:pPr>
      <w:r>
        <w:rPr/>
        <w:fldChar w:fldCharType="begin"/>
      </w:r>
      <w:r>
        <w:instrText xml:space="preserve"> HYPERLINK \l "_Toc8632" </w:instrText>
      </w:r>
      <w:r>
        <w:rPr/>
        <w:fldChar w:fldCharType="separate"/>
      </w:r>
      <w:r>
        <w:t>5.2 Thematic Analysis</w:t>
      </w:r>
      <w:r>
        <w:tab/>
      </w:r>
      <w:r>
        <w:rPr/>
        <w:fldChar w:fldCharType="begin"/>
      </w:r>
      <w:r>
        <w:instrText xml:space="preserve"> PAGEREF _Toc8632 \h </w:instrText>
      </w:r>
      <w:r>
        <w:rPr/>
        <w:fldChar w:fldCharType="separate"/>
      </w:r>
      <w:r>
        <w:t>42</w:t>
      </w:r>
      <w:r>
        <w:rPr/>
        <w:fldChar w:fldCharType="end"/>
      </w:r>
      <w:r>
        <w:rPr/>
        <w:fldChar w:fldCharType="end"/>
      </w:r>
    </w:p>
    <w:p>
      <w:pPr>
        <w:pStyle w:val="style20"/>
        <w:tabs>
          <w:tab w:val="right" w:leader="dot" w:pos="8306"/>
        </w:tabs>
        <w:rPr/>
      </w:pPr>
      <w:r>
        <w:rPr/>
        <w:fldChar w:fldCharType="begin"/>
      </w:r>
      <w:r>
        <w:instrText xml:space="preserve"> HYPERLINK \l "_Toc21907" </w:instrText>
      </w:r>
      <w:r>
        <w:rPr/>
        <w:fldChar w:fldCharType="separate"/>
      </w:r>
      <w:r>
        <w:t>5.3 Data analysis tool</w:t>
      </w:r>
      <w:r>
        <w:tab/>
      </w:r>
      <w:r>
        <w:rPr/>
        <w:fldChar w:fldCharType="begin"/>
      </w:r>
      <w:r>
        <w:instrText xml:space="preserve"> PAGEREF _Toc21907 \h </w:instrText>
      </w:r>
      <w:r>
        <w:rPr/>
        <w:fldChar w:fldCharType="separate"/>
      </w:r>
      <w:r>
        <w:t>43</w:t>
      </w:r>
      <w:r>
        <w:rPr/>
        <w:fldChar w:fldCharType="end"/>
      </w:r>
      <w:r>
        <w:rPr/>
        <w:fldChar w:fldCharType="end"/>
      </w:r>
    </w:p>
    <w:p>
      <w:pPr>
        <w:pStyle w:val="style20"/>
        <w:tabs>
          <w:tab w:val="right" w:leader="dot" w:pos="8306"/>
        </w:tabs>
        <w:rPr/>
      </w:pPr>
      <w:r>
        <w:rPr/>
        <w:fldChar w:fldCharType="begin"/>
      </w:r>
      <w:r>
        <w:instrText xml:space="preserve"> HYPERLINK \l "_Toc11249" </w:instrText>
      </w:r>
      <w:r>
        <w:rPr/>
        <w:fldChar w:fldCharType="separate"/>
      </w:r>
      <w:r>
        <w:t>5.4 Characteristics of the identified studies</w:t>
      </w:r>
      <w:r>
        <w:tab/>
      </w:r>
      <w:r>
        <w:rPr/>
        <w:fldChar w:fldCharType="begin"/>
      </w:r>
      <w:r>
        <w:instrText xml:space="preserve"> PAGEREF _Toc11249 \h </w:instrText>
      </w:r>
      <w:r>
        <w:rPr/>
        <w:fldChar w:fldCharType="separate"/>
      </w:r>
      <w:r>
        <w:t>43</w:t>
      </w:r>
      <w:r>
        <w:rPr/>
        <w:fldChar w:fldCharType="end"/>
      </w:r>
      <w:r>
        <w:rPr/>
        <w:fldChar w:fldCharType="end"/>
      </w:r>
    </w:p>
    <w:p>
      <w:pPr>
        <w:pStyle w:val="style20"/>
        <w:tabs>
          <w:tab w:val="right" w:leader="dot" w:pos="8306"/>
        </w:tabs>
        <w:rPr/>
      </w:pPr>
      <w:r>
        <w:rPr/>
        <w:fldChar w:fldCharType="begin"/>
      </w:r>
      <w:r>
        <w:instrText xml:space="preserve"> HYPERLINK \l "_Toc1527" </w:instrText>
      </w:r>
      <w:r>
        <w:rPr/>
        <w:fldChar w:fldCharType="separate"/>
      </w:r>
      <w:r>
        <w:t>5.5 Emerging Themes from Included Studies (Analysis/Synthesis of Included Studies)</w:t>
      </w:r>
      <w:r>
        <w:tab/>
      </w:r>
      <w:r>
        <w:rPr/>
        <w:fldChar w:fldCharType="begin"/>
      </w:r>
      <w:r>
        <w:instrText xml:space="preserve"> PAGEREF _Toc1527 \h </w:instrText>
      </w:r>
      <w:r>
        <w:rPr/>
        <w:fldChar w:fldCharType="separate"/>
      </w:r>
      <w:r>
        <w:t>43</w:t>
      </w:r>
      <w:r>
        <w:rPr/>
        <w:fldChar w:fldCharType="end"/>
      </w:r>
      <w:r>
        <w:rPr/>
        <w:fldChar w:fldCharType="end"/>
      </w:r>
    </w:p>
    <w:p>
      <w:pPr>
        <w:pStyle w:val="style20"/>
        <w:tabs>
          <w:tab w:val="right" w:leader="dot" w:pos="8306"/>
        </w:tabs>
        <w:rPr/>
      </w:pPr>
      <w:r>
        <w:rPr/>
        <w:fldChar w:fldCharType="begin"/>
      </w:r>
      <w:r>
        <w:instrText xml:space="preserve"> HYPERLINK \l "_Toc1971" </w:instrText>
      </w:r>
      <w:r>
        <w:rPr/>
        <w:fldChar w:fldCharType="separate"/>
      </w:r>
      <w:r>
        <w:t>5.6 Chapter Summary</w:t>
      </w:r>
      <w:r>
        <w:tab/>
      </w:r>
      <w:r>
        <w:rPr/>
        <w:fldChar w:fldCharType="begin"/>
      </w:r>
      <w:r>
        <w:instrText xml:space="preserve"> PAGEREF _Toc1971 \h </w:instrText>
      </w:r>
      <w:r>
        <w:rPr/>
        <w:fldChar w:fldCharType="separate"/>
      </w:r>
      <w:r>
        <w:t>49</w:t>
      </w:r>
      <w:r>
        <w:rPr/>
        <w:fldChar w:fldCharType="end"/>
      </w:r>
      <w:r>
        <w:rPr/>
        <w:fldChar w:fldCharType="end"/>
      </w:r>
    </w:p>
    <w:p>
      <w:pPr>
        <w:pStyle w:val="style19"/>
        <w:tabs>
          <w:tab w:val="right" w:leader="dot" w:pos="8306"/>
        </w:tabs>
        <w:rPr/>
      </w:pPr>
      <w:r>
        <w:rPr/>
        <w:fldChar w:fldCharType="begin"/>
      </w:r>
      <w:r>
        <w:instrText xml:space="preserve"> HYPERLINK \l "_Toc7552" </w:instrText>
      </w:r>
      <w:r>
        <w:rPr/>
        <w:fldChar w:fldCharType="separate"/>
      </w:r>
      <w:r>
        <w:t>CHAPTER 6: DISCUSSION</w:t>
      </w:r>
      <w:r>
        <w:tab/>
      </w:r>
      <w:r>
        <w:rPr/>
        <w:fldChar w:fldCharType="begin"/>
      </w:r>
      <w:r>
        <w:instrText xml:space="preserve"> PAGEREF _Toc7552 \h </w:instrText>
      </w:r>
      <w:r>
        <w:rPr/>
        <w:fldChar w:fldCharType="separate"/>
      </w:r>
      <w:r>
        <w:t>50</w:t>
      </w:r>
      <w:r>
        <w:rPr/>
        <w:fldChar w:fldCharType="end"/>
      </w:r>
      <w:r>
        <w:rPr/>
        <w:fldChar w:fldCharType="end"/>
      </w:r>
    </w:p>
    <w:p>
      <w:pPr>
        <w:pStyle w:val="style20"/>
        <w:tabs>
          <w:tab w:val="right" w:leader="dot" w:pos="8306"/>
        </w:tabs>
        <w:rPr/>
      </w:pPr>
      <w:r>
        <w:rPr/>
        <w:fldChar w:fldCharType="begin"/>
      </w:r>
      <w:r>
        <w:instrText xml:space="preserve"> HYPERLINK \l "_Toc27594" </w:instrText>
      </w:r>
      <w:r>
        <w:rPr/>
        <w:fldChar w:fldCharType="separate"/>
      </w:r>
      <w:r>
        <w:t>6.1 Introduction to Chapter</w:t>
      </w:r>
      <w:r>
        <w:tab/>
      </w:r>
      <w:r>
        <w:rPr/>
        <w:fldChar w:fldCharType="begin"/>
      </w:r>
      <w:r>
        <w:instrText xml:space="preserve"> PAGEREF _Toc27594 \h </w:instrText>
      </w:r>
      <w:r>
        <w:rPr/>
        <w:fldChar w:fldCharType="separate"/>
      </w:r>
      <w:r>
        <w:t>50</w:t>
      </w:r>
      <w:r>
        <w:rPr/>
        <w:fldChar w:fldCharType="end"/>
      </w:r>
      <w:r>
        <w:rPr/>
        <w:fldChar w:fldCharType="end"/>
      </w:r>
    </w:p>
    <w:p>
      <w:pPr>
        <w:pStyle w:val="style20"/>
        <w:tabs>
          <w:tab w:val="right" w:leader="dot" w:pos="8306"/>
        </w:tabs>
        <w:rPr/>
      </w:pPr>
      <w:r>
        <w:rPr/>
        <w:fldChar w:fldCharType="begin"/>
      </w:r>
      <w:r>
        <w:instrText xml:space="preserve"> HYPERLINK \l "_Toc28624" </w:instrText>
      </w:r>
      <w:r>
        <w:rPr/>
        <w:fldChar w:fldCharType="separate"/>
      </w:r>
      <w:r>
        <w:t>6.2 Discussion of Key Findings</w:t>
      </w:r>
      <w:r>
        <w:tab/>
      </w:r>
      <w:r>
        <w:rPr/>
        <w:fldChar w:fldCharType="begin"/>
      </w:r>
      <w:r>
        <w:instrText xml:space="preserve"> PAGEREF _Toc28624 \h </w:instrText>
      </w:r>
      <w:r>
        <w:rPr/>
        <w:fldChar w:fldCharType="separate"/>
      </w:r>
      <w:r>
        <w:t>50</w:t>
      </w:r>
      <w:r>
        <w:rPr/>
        <w:fldChar w:fldCharType="end"/>
      </w:r>
      <w:r>
        <w:rPr/>
        <w:fldChar w:fldCharType="end"/>
      </w:r>
    </w:p>
    <w:p>
      <w:pPr>
        <w:pStyle w:val="style21"/>
        <w:tabs>
          <w:tab w:val="right" w:leader="dot" w:pos="8306"/>
        </w:tabs>
        <w:rPr/>
      </w:pPr>
      <w:r>
        <w:rPr/>
        <w:fldChar w:fldCharType="begin"/>
      </w:r>
      <w:r>
        <w:instrText xml:space="preserve"> HYPERLINK \l "_Toc32066" </w:instrText>
      </w:r>
      <w:r>
        <w:rPr/>
        <w:fldChar w:fldCharType="separate"/>
      </w:r>
      <w:r>
        <w:t>Theme 1: Effectiveness of Community-Based Awareness Programmes in Reducing Stigma</w:t>
      </w:r>
      <w:r>
        <w:tab/>
      </w:r>
      <w:r>
        <w:rPr/>
        <w:fldChar w:fldCharType="begin"/>
      </w:r>
      <w:r>
        <w:instrText xml:space="preserve"> PAGEREF _Toc32066 \h </w:instrText>
      </w:r>
      <w:r>
        <w:rPr/>
        <w:fldChar w:fldCharType="separate"/>
      </w:r>
      <w:r>
        <w:t>50</w:t>
      </w:r>
      <w:r>
        <w:rPr/>
        <w:fldChar w:fldCharType="end"/>
      </w:r>
      <w:r>
        <w:rPr/>
        <w:fldChar w:fldCharType="end"/>
      </w:r>
    </w:p>
    <w:p>
      <w:pPr>
        <w:pStyle w:val="style21"/>
        <w:tabs>
          <w:tab w:val="right" w:leader="dot" w:pos="8306"/>
        </w:tabs>
        <w:rPr/>
      </w:pPr>
      <w:r>
        <w:rPr/>
        <w:fldChar w:fldCharType="begin"/>
      </w:r>
      <w:r>
        <w:instrText xml:space="preserve"> HYPERLINK \l "_Toc5581" </w:instrText>
      </w:r>
      <w:r>
        <w:rPr/>
        <w:fldChar w:fldCharType="separate"/>
      </w:r>
      <w:r>
        <w:t>Theme 2: Young Adults’ Perceptions and Experiences of Mental Health Stigma</w:t>
      </w:r>
      <w:r>
        <w:tab/>
      </w:r>
      <w:r>
        <w:rPr/>
        <w:fldChar w:fldCharType="begin"/>
      </w:r>
      <w:r>
        <w:instrText xml:space="preserve"> PAGEREF _Toc5581 \h </w:instrText>
      </w:r>
      <w:r>
        <w:rPr/>
        <w:fldChar w:fldCharType="separate"/>
      </w:r>
      <w:r>
        <w:t>51</w:t>
      </w:r>
      <w:r>
        <w:rPr/>
        <w:fldChar w:fldCharType="end"/>
      </w:r>
      <w:r>
        <w:rPr/>
        <w:fldChar w:fldCharType="end"/>
      </w:r>
    </w:p>
    <w:p>
      <w:pPr>
        <w:pStyle w:val="style21"/>
        <w:tabs>
          <w:tab w:val="right" w:leader="dot" w:pos="8306"/>
        </w:tabs>
        <w:rPr/>
      </w:pPr>
      <w:r>
        <w:rPr/>
        <w:fldChar w:fldCharType="begin"/>
      </w:r>
      <w:r>
        <w:instrText xml:space="preserve"> HYPERLINK \l "_Toc8503" </w:instrText>
      </w:r>
      <w:r>
        <w:rPr/>
        <w:fldChar w:fldCharType="separate"/>
      </w:r>
      <w:r>
        <w:t>Theme 3: Key Components of Effective Community-Based Programmes</w:t>
      </w:r>
      <w:r>
        <w:tab/>
      </w:r>
      <w:r>
        <w:rPr/>
        <w:fldChar w:fldCharType="begin"/>
      </w:r>
      <w:r>
        <w:instrText xml:space="preserve"> PAGEREF _Toc8503 \h </w:instrText>
      </w:r>
      <w:r>
        <w:rPr/>
        <w:fldChar w:fldCharType="separate"/>
      </w:r>
      <w:r>
        <w:t>52</w:t>
      </w:r>
      <w:r>
        <w:rPr/>
        <w:fldChar w:fldCharType="end"/>
      </w:r>
      <w:r>
        <w:rPr/>
        <w:fldChar w:fldCharType="end"/>
      </w:r>
    </w:p>
    <w:p>
      <w:pPr>
        <w:pStyle w:val="style21"/>
        <w:tabs>
          <w:tab w:val="right" w:leader="dot" w:pos="8306"/>
        </w:tabs>
        <w:rPr/>
      </w:pPr>
      <w:r>
        <w:rPr/>
        <w:fldChar w:fldCharType="begin"/>
      </w:r>
      <w:r>
        <w:instrText xml:space="preserve"> HYPERLINK \l "_Toc30923" </w:instrText>
      </w:r>
      <w:r>
        <w:rPr/>
        <w:fldChar w:fldCharType="separate"/>
      </w:r>
      <w:r>
        <w:t>Theme 4: Gaps and Limitations in Existing Research and Practice</w:t>
      </w:r>
      <w:r>
        <w:tab/>
      </w:r>
      <w:r>
        <w:rPr/>
        <w:fldChar w:fldCharType="begin"/>
      </w:r>
      <w:r>
        <w:instrText xml:space="preserve"> PAGEREF _Toc30923 \h </w:instrText>
      </w:r>
      <w:r>
        <w:rPr/>
        <w:fldChar w:fldCharType="separate"/>
      </w:r>
      <w:r>
        <w:t>53</w:t>
      </w:r>
      <w:r>
        <w:rPr/>
        <w:fldChar w:fldCharType="end"/>
      </w:r>
      <w:r>
        <w:rPr/>
        <w:fldChar w:fldCharType="end"/>
      </w:r>
    </w:p>
    <w:p>
      <w:pPr>
        <w:pStyle w:val="style21"/>
        <w:tabs>
          <w:tab w:val="right" w:leader="dot" w:pos="8306"/>
        </w:tabs>
        <w:rPr/>
      </w:pPr>
      <w:r>
        <w:rPr/>
        <w:fldChar w:fldCharType="begin"/>
      </w:r>
      <w:r>
        <w:instrText xml:space="preserve"> HYPERLINK \l "_Toc22980" </w:instrText>
      </w:r>
      <w:r>
        <w:rPr/>
        <w:fldChar w:fldCharType="separate"/>
      </w:r>
      <w:r>
        <w:t>Critical Reflection of Research Method</w:t>
      </w:r>
      <w:r>
        <w:tab/>
      </w:r>
      <w:r>
        <w:rPr/>
        <w:fldChar w:fldCharType="begin"/>
      </w:r>
      <w:r>
        <w:instrText xml:space="preserve"> PAGEREF _Toc22980 \h </w:instrText>
      </w:r>
      <w:r>
        <w:rPr/>
        <w:fldChar w:fldCharType="separate"/>
      </w:r>
      <w:r>
        <w:t>53</w:t>
      </w:r>
      <w:r>
        <w:rPr/>
        <w:fldChar w:fldCharType="end"/>
      </w:r>
      <w:r>
        <w:rPr/>
        <w:fldChar w:fldCharType="end"/>
      </w:r>
    </w:p>
    <w:p>
      <w:pPr>
        <w:pStyle w:val="style20"/>
        <w:tabs>
          <w:tab w:val="right" w:leader="dot" w:pos="8306"/>
        </w:tabs>
        <w:rPr/>
      </w:pPr>
      <w:r>
        <w:rPr/>
        <w:fldChar w:fldCharType="begin"/>
      </w:r>
      <w:r>
        <w:instrText xml:space="preserve"> HYPERLINK \l "_Toc16427" </w:instrText>
      </w:r>
      <w:r>
        <w:rPr/>
        <w:fldChar w:fldCharType="separate"/>
      </w:r>
      <w:r>
        <w:t>6.3 Strengths and Limitations</w:t>
      </w:r>
      <w:r>
        <w:tab/>
      </w:r>
      <w:r>
        <w:rPr/>
        <w:fldChar w:fldCharType="begin"/>
      </w:r>
      <w:r>
        <w:instrText xml:space="preserve"> PAGEREF _Toc16427 \h </w:instrText>
      </w:r>
      <w:r>
        <w:rPr/>
        <w:fldChar w:fldCharType="separate"/>
      </w:r>
      <w:r>
        <w:t>54</w:t>
      </w:r>
      <w:r>
        <w:rPr/>
        <w:fldChar w:fldCharType="end"/>
      </w:r>
      <w:r>
        <w:rPr/>
        <w:fldChar w:fldCharType="end"/>
      </w:r>
    </w:p>
    <w:p>
      <w:pPr>
        <w:pStyle w:val="style20"/>
        <w:tabs>
          <w:tab w:val="right" w:leader="dot" w:pos="8306"/>
        </w:tabs>
        <w:rPr/>
      </w:pPr>
      <w:r>
        <w:rPr/>
        <w:fldChar w:fldCharType="begin"/>
      </w:r>
      <w:r>
        <w:instrText xml:space="preserve"> HYPERLINK \l "_Toc28598" </w:instrText>
      </w:r>
      <w:r>
        <w:rPr/>
        <w:fldChar w:fldCharType="separate"/>
      </w:r>
      <w:r>
        <w:t>6.4 Chapter Summary</w:t>
      </w:r>
      <w:r>
        <w:tab/>
      </w:r>
      <w:r>
        <w:rPr/>
        <w:fldChar w:fldCharType="begin"/>
      </w:r>
      <w:r>
        <w:instrText xml:space="preserve"> PAGEREF _Toc28598 \h </w:instrText>
      </w:r>
      <w:r>
        <w:rPr/>
        <w:fldChar w:fldCharType="separate"/>
      </w:r>
      <w:r>
        <w:t>54</w:t>
      </w:r>
      <w:r>
        <w:rPr/>
        <w:fldChar w:fldCharType="end"/>
      </w:r>
      <w:r>
        <w:rPr/>
        <w:fldChar w:fldCharType="end"/>
      </w:r>
    </w:p>
    <w:p>
      <w:pPr>
        <w:pStyle w:val="style19"/>
        <w:tabs>
          <w:tab w:val="right" w:leader="dot" w:pos="8306"/>
        </w:tabs>
        <w:rPr/>
      </w:pPr>
      <w:r>
        <w:rPr/>
        <w:fldChar w:fldCharType="begin"/>
      </w:r>
      <w:r>
        <w:instrText xml:space="preserve"> HYPERLINK \l "_Toc31939" </w:instrText>
      </w:r>
      <w:r>
        <w:rPr/>
        <w:fldChar w:fldCharType="separate"/>
      </w:r>
      <w:r>
        <w:rPr>
          <w:lang w:eastAsia="en-US"/>
        </w:rPr>
        <w:t>CHAPTER 7: RECOMMENDATIONS AND CONCLUSION</w:t>
      </w:r>
      <w:r>
        <w:tab/>
      </w:r>
      <w:r>
        <w:rPr/>
        <w:fldChar w:fldCharType="begin"/>
      </w:r>
      <w:r>
        <w:instrText xml:space="preserve"> PAGEREF _Toc31939 \h </w:instrText>
      </w:r>
      <w:r>
        <w:rPr/>
        <w:fldChar w:fldCharType="separate"/>
      </w:r>
      <w:r>
        <w:t>55</w:t>
      </w:r>
      <w:r>
        <w:rPr/>
        <w:fldChar w:fldCharType="end"/>
      </w:r>
      <w:r>
        <w:rPr/>
        <w:fldChar w:fldCharType="end"/>
      </w:r>
    </w:p>
    <w:p>
      <w:pPr>
        <w:pStyle w:val="style20"/>
        <w:tabs>
          <w:tab w:val="right" w:leader="dot" w:pos="8306"/>
        </w:tabs>
        <w:rPr/>
      </w:pPr>
      <w:r>
        <w:rPr/>
        <w:fldChar w:fldCharType="begin"/>
      </w:r>
      <w:r>
        <w:instrText xml:space="preserve"> HYPERLINK \l "_Toc30400" </w:instrText>
      </w:r>
      <w:r>
        <w:rPr/>
        <w:fldChar w:fldCharType="separate"/>
      </w:r>
      <w:r>
        <w:t>7.1 Introduction to Chapter</w:t>
      </w:r>
      <w:r>
        <w:tab/>
      </w:r>
      <w:r>
        <w:rPr/>
        <w:fldChar w:fldCharType="begin"/>
      </w:r>
      <w:r>
        <w:instrText xml:space="preserve"> PAGEREF _Toc30400 \h </w:instrText>
      </w:r>
      <w:r>
        <w:rPr/>
        <w:fldChar w:fldCharType="separate"/>
      </w:r>
      <w:r>
        <w:t>55</w:t>
      </w:r>
      <w:r>
        <w:rPr/>
        <w:fldChar w:fldCharType="end"/>
      </w:r>
      <w:r>
        <w:rPr/>
        <w:fldChar w:fldCharType="end"/>
      </w:r>
    </w:p>
    <w:p>
      <w:pPr>
        <w:pStyle w:val="style20"/>
        <w:tabs>
          <w:tab w:val="right" w:leader="dot" w:pos="8306"/>
        </w:tabs>
        <w:rPr/>
      </w:pPr>
      <w:r>
        <w:rPr/>
        <w:fldChar w:fldCharType="begin"/>
      </w:r>
      <w:r>
        <w:instrText xml:space="preserve"> HYPERLINK \l "_Toc2258" </w:instrText>
      </w:r>
      <w:r>
        <w:rPr/>
        <w:fldChar w:fldCharType="separate"/>
      </w:r>
      <w:r>
        <w:t>7.2 Implications of Findings</w:t>
      </w:r>
      <w:r>
        <w:tab/>
      </w:r>
      <w:r>
        <w:rPr/>
        <w:fldChar w:fldCharType="begin"/>
      </w:r>
      <w:r>
        <w:instrText xml:space="preserve"> PAGEREF _Toc2258 \h </w:instrText>
      </w:r>
      <w:r>
        <w:rPr/>
        <w:fldChar w:fldCharType="separate"/>
      </w:r>
      <w:r>
        <w:t>55</w:t>
      </w:r>
      <w:r>
        <w:rPr/>
        <w:fldChar w:fldCharType="end"/>
      </w:r>
      <w:r>
        <w:rPr/>
        <w:fldChar w:fldCharType="end"/>
      </w:r>
    </w:p>
    <w:p>
      <w:pPr>
        <w:pStyle w:val="style20"/>
        <w:tabs>
          <w:tab w:val="right" w:leader="dot" w:pos="8306"/>
        </w:tabs>
        <w:rPr/>
      </w:pPr>
      <w:r>
        <w:rPr/>
        <w:fldChar w:fldCharType="begin"/>
      </w:r>
      <w:r>
        <w:instrText xml:space="preserve"> HYPERLINK \l "_Toc26671" </w:instrText>
      </w:r>
      <w:r>
        <w:rPr/>
        <w:fldChar w:fldCharType="separate"/>
      </w:r>
      <w:r>
        <w:t>7.3 Recommendations for Practice</w:t>
      </w:r>
      <w:r>
        <w:tab/>
      </w:r>
      <w:r>
        <w:rPr/>
        <w:fldChar w:fldCharType="begin"/>
      </w:r>
      <w:r>
        <w:instrText xml:space="preserve"> PAGEREF _Toc26671 \h </w:instrText>
      </w:r>
      <w:r>
        <w:rPr/>
        <w:fldChar w:fldCharType="separate"/>
      </w:r>
      <w:r>
        <w:t>55</w:t>
      </w:r>
      <w:r>
        <w:rPr/>
        <w:fldChar w:fldCharType="end"/>
      </w:r>
      <w:r>
        <w:rPr/>
        <w:fldChar w:fldCharType="end"/>
      </w:r>
    </w:p>
    <w:p>
      <w:pPr>
        <w:pStyle w:val="style20"/>
        <w:tabs>
          <w:tab w:val="right" w:leader="dot" w:pos="8306"/>
        </w:tabs>
        <w:rPr/>
      </w:pPr>
      <w:r>
        <w:rPr/>
        <w:fldChar w:fldCharType="begin"/>
      </w:r>
      <w:r>
        <w:instrText xml:space="preserve"> HYPERLINK \l "_Toc2126" </w:instrText>
      </w:r>
      <w:r>
        <w:rPr/>
        <w:fldChar w:fldCharType="separate"/>
      </w:r>
      <w:r>
        <w:t>7.4 Recommendations for Future Research</w:t>
      </w:r>
      <w:r>
        <w:tab/>
      </w:r>
      <w:r>
        <w:rPr/>
        <w:fldChar w:fldCharType="begin"/>
      </w:r>
      <w:r>
        <w:instrText xml:space="preserve"> PAGEREF _Toc2126 \h </w:instrText>
      </w:r>
      <w:r>
        <w:rPr/>
        <w:fldChar w:fldCharType="separate"/>
      </w:r>
      <w:r>
        <w:t>56</w:t>
      </w:r>
      <w:r>
        <w:rPr/>
        <w:fldChar w:fldCharType="end"/>
      </w:r>
      <w:r>
        <w:rPr/>
        <w:fldChar w:fldCharType="end"/>
      </w:r>
    </w:p>
    <w:p>
      <w:pPr>
        <w:pStyle w:val="style20"/>
        <w:tabs>
          <w:tab w:val="right" w:leader="dot" w:pos="8306"/>
        </w:tabs>
        <w:rPr/>
      </w:pPr>
      <w:r>
        <w:rPr/>
        <w:fldChar w:fldCharType="begin"/>
      </w:r>
      <w:r>
        <w:instrText xml:space="preserve"> HYPERLINK \l "_Toc12411" </w:instrText>
      </w:r>
      <w:r>
        <w:rPr/>
        <w:fldChar w:fldCharType="separate"/>
      </w:r>
      <w:r>
        <w:t>7.5 Conclusion</w:t>
      </w:r>
      <w:r>
        <w:tab/>
      </w:r>
      <w:r>
        <w:rPr/>
        <w:fldChar w:fldCharType="begin"/>
      </w:r>
      <w:r>
        <w:instrText xml:space="preserve"> PAGEREF _Toc12411 \h </w:instrText>
      </w:r>
      <w:r>
        <w:rPr/>
        <w:fldChar w:fldCharType="separate"/>
      </w:r>
      <w:r>
        <w:t>56</w:t>
      </w:r>
      <w:r>
        <w:rPr/>
        <w:fldChar w:fldCharType="end"/>
      </w:r>
      <w:r>
        <w:rPr/>
        <w:fldChar w:fldCharType="end"/>
      </w:r>
    </w:p>
    <w:p>
      <w:pPr>
        <w:pStyle w:val="style19"/>
        <w:tabs>
          <w:tab w:val="right" w:leader="dot" w:pos="8306"/>
        </w:tabs>
        <w:rPr/>
      </w:pPr>
      <w:r>
        <w:rPr/>
        <w:fldChar w:fldCharType="begin"/>
      </w:r>
      <w:r>
        <w:instrText xml:space="preserve"> HYPERLINK \l "_Toc5317" </w:instrText>
      </w:r>
      <w:r>
        <w:rPr/>
        <w:fldChar w:fldCharType="separate"/>
      </w:r>
      <w:r>
        <w:t>References</w:t>
      </w:r>
      <w:r>
        <w:tab/>
      </w:r>
      <w:r>
        <w:rPr/>
        <w:fldChar w:fldCharType="begin"/>
      </w:r>
      <w:r>
        <w:instrText xml:space="preserve"> PAGEREF _Toc5317 \h </w:instrText>
      </w:r>
      <w:r>
        <w:rPr/>
        <w:fldChar w:fldCharType="separate"/>
      </w:r>
      <w:r>
        <w:t>58</w:t>
      </w:r>
      <w:r>
        <w:rPr/>
        <w:fldChar w:fldCharType="end"/>
      </w:r>
      <w:r>
        <w:rPr/>
        <w:fldChar w:fldCharType="end"/>
      </w:r>
    </w:p>
    <w:p>
      <w:pPr>
        <w:pStyle w:val="style19"/>
        <w:tabs>
          <w:tab w:val="right" w:leader="dot" w:pos="8306"/>
        </w:tabs>
        <w:rPr/>
      </w:pPr>
      <w:r>
        <w:rPr/>
        <w:fldChar w:fldCharType="begin"/>
      </w:r>
      <w:r>
        <w:instrText xml:space="preserve"> HYPERLINK \l "_Toc11815" </w:instrText>
      </w:r>
      <w:r>
        <w:rPr/>
        <w:fldChar w:fldCharType="separate"/>
      </w:r>
      <w:r>
        <w:t>Appendices</w:t>
      </w:r>
      <w:r>
        <w:tab/>
      </w:r>
      <w:r>
        <w:rPr/>
        <w:fldChar w:fldCharType="begin"/>
      </w:r>
      <w:r>
        <w:instrText xml:space="preserve"> PAGEREF _Toc11815 \h </w:instrText>
      </w:r>
      <w:r>
        <w:rPr/>
        <w:fldChar w:fldCharType="separate"/>
      </w:r>
      <w:r>
        <w:t>69</w:t>
      </w:r>
      <w:r>
        <w:rPr/>
        <w:fldChar w:fldCharType="end"/>
      </w:r>
      <w:r>
        <w:rPr/>
        <w:fldChar w:fldCharType="end"/>
      </w:r>
    </w:p>
    <w:p>
      <w:pPr>
        <w:pStyle w:val="style20"/>
        <w:tabs>
          <w:tab w:val="right" w:leader="dot" w:pos="8306"/>
        </w:tabs>
        <w:rPr/>
      </w:pPr>
      <w:r>
        <w:rPr/>
        <w:fldChar w:fldCharType="begin"/>
      </w:r>
      <w:r>
        <w:instrText xml:space="preserve"> HYPERLINK \l "_Toc14638" </w:instrText>
      </w:r>
      <w:r>
        <w:rPr/>
        <w:fldChar w:fldCharType="separate"/>
      </w:r>
      <w:r>
        <w:t>Appendix 1: CASP Checklist</w:t>
      </w:r>
      <w:r>
        <w:tab/>
      </w:r>
      <w:r>
        <w:rPr/>
        <w:fldChar w:fldCharType="begin"/>
      </w:r>
      <w:r>
        <w:instrText xml:space="preserve"> PAGEREF _Toc14638 \h </w:instrText>
      </w:r>
      <w:r>
        <w:rPr/>
        <w:fldChar w:fldCharType="separate"/>
      </w:r>
      <w:r>
        <w:t>69</w:t>
      </w:r>
      <w:r>
        <w:rPr/>
        <w:fldChar w:fldCharType="end"/>
      </w:r>
      <w:r>
        <w:rPr/>
        <w:fldChar w:fldCharType="end"/>
      </w:r>
    </w:p>
    <w:p>
      <w:pPr>
        <w:pStyle w:val="style20"/>
        <w:tabs>
          <w:tab w:val="right" w:leader="dot" w:pos="8306"/>
        </w:tabs>
        <w:rPr/>
      </w:pPr>
      <w:r>
        <w:rPr/>
        <w:fldChar w:fldCharType="begin"/>
      </w:r>
      <w:r>
        <w:instrText xml:space="preserve"> HYPERLINK \l "_Toc21705" </w:instrText>
      </w:r>
      <w:r>
        <w:rPr/>
        <w:fldChar w:fldCharType="separate"/>
      </w:r>
      <w:r>
        <w:t>Appendix 2: Coding Table for Theme Generation</w:t>
      </w:r>
      <w:r>
        <w:tab/>
      </w:r>
      <w:r>
        <w:rPr/>
        <w:fldChar w:fldCharType="begin"/>
      </w:r>
      <w:r>
        <w:instrText xml:space="preserve"> PAGEREF _Toc21705 \h </w:instrText>
      </w:r>
      <w:r>
        <w:rPr/>
        <w:fldChar w:fldCharType="separate"/>
      </w:r>
      <w:r>
        <w:t>71</w:t>
      </w:r>
      <w:r>
        <w:rPr/>
        <w:fldChar w:fldCharType="end"/>
      </w:r>
      <w:r>
        <w:rPr/>
        <w:fldChar w:fldCharType="end"/>
      </w:r>
    </w:p>
    <w:p>
      <w:pPr>
        <w:pStyle w:val="style20"/>
        <w:tabs>
          <w:tab w:val="right" w:leader="dot" w:pos="8306"/>
        </w:tabs>
        <w:rPr/>
      </w:pPr>
      <w:r>
        <w:rPr/>
        <w:fldChar w:fldCharType="begin"/>
      </w:r>
      <w:r>
        <w:instrText xml:space="preserve"> HYPERLINK \l "_Toc17752" </w:instrText>
      </w:r>
      <w:r>
        <w:rPr/>
        <w:fldChar w:fldCharType="separate"/>
      </w:r>
      <w:r>
        <w:t>Appendix 3- Data Extraction Table</w:t>
      </w:r>
      <w:r>
        <w:tab/>
      </w:r>
      <w:r>
        <w:rPr/>
        <w:fldChar w:fldCharType="begin"/>
      </w:r>
      <w:r>
        <w:instrText xml:space="preserve"> PAGEREF _Toc17752 \h </w:instrText>
      </w:r>
      <w:r>
        <w:rPr/>
        <w:fldChar w:fldCharType="separate"/>
      </w:r>
      <w:r>
        <w:t>72</w:t>
      </w:r>
      <w:r>
        <w:rPr/>
        <w:fldChar w:fldCharType="end"/>
      </w:r>
      <w:r>
        <w:rPr/>
        <w:fldChar w:fldCharType="end"/>
      </w:r>
    </w:p>
    <w:p>
      <w:pPr>
        <w:pStyle w:val="style20"/>
        <w:tabs>
          <w:tab w:val="right" w:leader="dot" w:pos="8306"/>
        </w:tabs>
        <w:rPr/>
      </w:pPr>
      <w:r>
        <w:rPr/>
        <w:fldChar w:fldCharType="begin"/>
      </w:r>
      <w:r>
        <w:instrText xml:space="preserve"> HYPERLINK \l "_Toc32054" </w:instrText>
      </w:r>
      <w:r>
        <w:rPr/>
        <w:fldChar w:fldCharType="separate"/>
      </w:r>
      <w:r>
        <w:t>Appendix 4: Summary Table of Themes, Sub-Themes, And Supporting Studies</w:t>
      </w:r>
      <w:r>
        <w:tab/>
      </w:r>
      <w:r>
        <w:rPr/>
        <w:fldChar w:fldCharType="begin"/>
      </w:r>
      <w:r>
        <w:instrText xml:space="preserve"> PAGEREF _Toc32054 \h </w:instrText>
      </w:r>
      <w:r>
        <w:rPr/>
        <w:fldChar w:fldCharType="separate"/>
      </w:r>
      <w:r>
        <w:t>75</w:t>
      </w:r>
      <w:r>
        <w:rPr/>
        <w:fldChar w:fldCharType="end"/>
      </w:r>
      <w:r>
        <w:rPr/>
        <w:fldChar w:fldCharType="end"/>
      </w:r>
    </w:p>
    <w:p>
      <w:pPr>
        <w:pStyle w:val="style19"/>
        <w:tabs>
          <w:tab w:val="right" w:leader="none" w:pos="9016"/>
        </w:tabs>
        <w:rPr/>
      </w:pPr>
      <w:r>
        <w:rPr/>
        <w:fldChar w:fldCharType="end"/>
      </w:r>
    </w:p>
    <w:p>
      <w:pPr>
        <w:pStyle w:val="style0"/>
        <w:spacing w:lineRule="auto" w:line="259"/>
        <w:jc w:val="left"/>
        <w:rPr/>
      </w:pPr>
      <w:r>
        <w:br w:type="page"/>
      </w:r>
    </w:p>
    <w:bookmarkStart w:id="7" w:name="_Toc12323"/>
    <w:p>
      <w:pPr>
        <w:pStyle w:val="style1"/>
        <w:spacing w:lineRule="auto" w:line="480"/>
        <w:rPr/>
      </w:pPr>
      <w:r>
        <w:t>CHAPTER 1: INTRODUCTION AND BACKGROUND</w:t>
      </w:r>
      <w:bookmarkEnd w:id="7"/>
    </w:p>
    <w:bookmarkStart w:id="8" w:name="_Toc8384"/>
    <w:p>
      <w:pPr>
        <w:pStyle w:val="style2"/>
        <w:spacing w:lineRule="auto" w:line="480"/>
        <w:rPr/>
      </w:pPr>
      <w:r>
        <w:t>1.1 Introduction to The Topic</w:t>
      </w:r>
      <w:bookmarkEnd w:id="8"/>
    </w:p>
    <w:p>
      <w:pPr>
        <w:pStyle w:val="style0"/>
        <w:rPr/>
      </w:pPr>
      <w:r>
        <w:t xml:space="preserve">Mental health is the psychological, emotional, and social well-being of an individual that dictates their lives of individuals in terms of thoughts, feelings, and actions. It also defines how people handle stress, how they associate with others, and the way in which they make decisions (World Health Organisation, 2025). Over the past few years, mental health has become a major concern in terms of a public health issue, especially among young adults, as the number of mental conditions like anxiety, depression, stress-related disorders, etc., has risen (Knolle et al., 2021). </w:t>
      </w:r>
    </w:p>
    <w:p>
      <w:pPr>
        <w:pStyle w:val="style0"/>
        <w:rPr/>
      </w:pPr>
      <w:r>
        <w:t xml:space="preserve">The research area targeted in this study is an attempt to assess the effectiveness of community-based mental health awareness programmes in eliminating stigma among young adults in the UK. It explores the effects of these programmes on perceptions, attitudes, and help-seeking behaviours, as well as determining the elements that make the biggest contribution to the reduction of stigma. Thus, the purpose of this research is to fill this gap by offering some insights that could be taken into consideration when designing the next programme, formulating policies, and developing more effective mental health approaches. </w:t>
      </w:r>
    </w:p>
    <w:bookmarkStart w:id="9" w:name="_Toc30046"/>
    <w:p>
      <w:pPr>
        <w:pStyle w:val="style2"/>
        <w:spacing w:lineRule="auto" w:line="480"/>
        <w:rPr/>
      </w:pPr>
      <w:r>
        <w:t>1.2 Background and Current Context</w:t>
      </w:r>
      <w:bookmarkEnd w:id="9"/>
    </w:p>
    <w:p>
      <w:pPr>
        <w:pStyle w:val="style0"/>
        <w:rPr/>
      </w:pPr>
      <w:r>
        <w:t xml:space="preserve">In the United Kingdom, mental health is now a very significant social health concern, particularly among young adults. Mental health issues like anxiety, depression, and stress among this population have increased significantly over the past few decades (Goodwin </w:t>
      </w:r>
      <w:r>
        <w:rPr>
          <w:i/>
          <w:iCs/>
        </w:rPr>
        <w:t>et al.,</w:t>
      </w:r>
      <w:r>
        <w:t xml:space="preserve"> 2020). Recent statistics indicate that one in five youths aged between 8 and 25 in the UK has a mental health challenge (CYPMHC, 2023). Moreover, the proportion of common mental health disorders has risen drastically in young adults aged between 16 and 24, with 17.5% in 2007 and 25.8% in 202324, which denotes an emerging crisis (Centre for Mental Health, 2025).  These kinds of statistics clearly show that mental health problems are common </w:t>
      </w:r>
      <w:r>
        <w:t>but on the rise,</w:t>
      </w:r>
      <w:r>
        <w:t xml:space="preserve"> especially among the younger generation. Academic pressure, unemployment, social media influence, and the long-term effects of the COVID-19 pandemic have only exacerbated the situation. </w:t>
      </w:r>
    </w:p>
    <w:p>
      <w:pPr>
        <w:pStyle w:val="style0"/>
        <w:rPr/>
      </w:pPr>
      <w:r>
        <w:t>In contrast, Stigma remains one of the greatest obstacles to help-seeking despite the high prevalence of mental conditions. Mental health stigma is mainly defined as some sort of negative beliefs, discrimination and rejection directed at mentally ill people. However, stigma is deeply embedded in the UK society (</w:t>
      </w:r>
      <w:r>
        <w:t>Çilek</w:t>
      </w:r>
      <w:r>
        <w:t xml:space="preserve"> and Akkaya, 2022). It </w:t>
      </w:r>
      <w:r>
        <w:t xml:space="preserve">has been indicated that 90% of individuals with mental health issues have been victims of stigma and discrimination, which indicates that the problem remains prevalent (UK Parliament, 2015). </w:t>
      </w:r>
    </w:p>
    <w:p>
      <w:pPr>
        <w:pStyle w:val="style0"/>
        <w:rPr/>
      </w:pPr>
      <w:r>
        <w:t xml:space="preserve">In contrast to the general rise in mental health issues, stigma is particularly high among the youth. Studies indicate that more than half of the youth are embarrassed or feel ashamed of seeking assistance, and 37% are unwilling to seek help, as they do not want to be acknowledged (Young Minds, 2022). This underscores the close relationship between stigma and low help-seeking behaviour. Moreover, research has shown that there is stigma in society and in institutions. For example, 48% of all people with severe mental illness were discriminated against by the medical community, indicating that the stigma may manifest even in the support network (Rethink Mental Illness, 2023). </w:t>
      </w:r>
    </w:p>
    <w:p>
      <w:pPr>
        <w:pStyle w:val="style0"/>
        <w:rPr/>
      </w:pPr>
      <w:r>
        <w:t xml:space="preserve">The stigma has severe and negative consequences. In addition, it causes low self-esteem, social isolation, and delayed treatment. Out of the individuals worldwide with mental health issues, about 70% are not identified, significantly because of stigma and lack of access to care (Henderson et al., 2013). </w:t>
      </w:r>
    </w:p>
    <w:p>
      <w:pPr>
        <w:pStyle w:val="style0"/>
        <w:rPr/>
      </w:pPr>
      <w:r>
        <w:t>To address this emerging problem, the UK government and other organisations have established community-based mental awareness programmes. The objectives of these programmes are to minimise stigma, enhance mental health literacy, and open discussions. These are campaigns on a national level (like the ‘Every Mind Matters’), awareness programmes in schools, and community workshops (</w:t>
      </w:r>
      <w:r>
        <w:t>Almotairi</w:t>
      </w:r>
      <w:r>
        <w:t xml:space="preserve"> </w:t>
      </w:r>
      <w:r>
        <w:rPr>
          <w:i/>
          <w:iCs/>
        </w:rPr>
        <w:t>et al.,</w:t>
      </w:r>
      <w:r>
        <w:t xml:space="preserve"> 2023). </w:t>
      </w:r>
    </w:p>
    <w:p>
      <w:pPr>
        <w:pStyle w:val="style0"/>
        <w:rPr/>
      </w:pPr>
      <w:r>
        <w:t>Awareness has somewhat seen improvement. Among others, it is estimated that more than 90% of the UK population now understands that mental health can impact anyone, and a huge majority endorse equality of rights among mentally ill people (King's College London, 2025). This suggests that awareness efforts have been effective in raising overall knowledge and acceptance.</w:t>
      </w:r>
    </w:p>
    <w:p>
      <w:pPr>
        <w:pStyle w:val="style0"/>
        <w:rPr/>
      </w:pPr>
      <w:r>
        <w:t xml:space="preserve">Nevertheless, recent information indicates that these attitudes have not been changing at a steady pace. In fact, research shows that recently, population perceptions about mental health began to decrease slightly (Pescosolido </w:t>
      </w:r>
      <w:r>
        <w:rPr>
          <w:i/>
          <w:iCs/>
        </w:rPr>
        <w:t>et al.,</w:t>
      </w:r>
      <w:r>
        <w:t xml:space="preserve"> 2019). An example is that the percentage of individuals who believe people can be completely cured of mental illness has fallen and is increasingly uncertain and negative (King's College London, 2024). Despite this fear and misconception persisting, even </w:t>
      </w:r>
      <w:r>
        <w:t>individuals</w:t>
      </w:r>
      <w:r>
        <w:t xml:space="preserve"> manifest worries regarding mental health services in their communities (Murray, 2025). </w:t>
      </w:r>
    </w:p>
    <w:p>
      <w:pPr>
        <w:pStyle w:val="style0"/>
        <w:rPr/>
      </w:pPr>
      <w:r>
        <w:t xml:space="preserve">The other significant problem is the gap between awareness and action. Although most individuals understand mental health, it does not necessarily bring about positive changes in behaviour.  Unlike many programmes that aim at offering information, most of the present awareness programmes fail to address deeper social, cultural, and structural issues that create stigma. Problems like inequality, poverty, and the absence of service access also contribute significantly to mental health experiences (Boardman </w:t>
      </w:r>
      <w:r>
        <w:rPr>
          <w:i/>
          <w:iCs/>
        </w:rPr>
        <w:t>et al.,</w:t>
      </w:r>
      <w:r>
        <w:t xml:space="preserve"> 2022). For example, people in the deprived regions are far more affected by mental issues than those in the wealthier regions (Mind, 2025). </w:t>
      </w:r>
    </w:p>
    <w:p>
      <w:pPr>
        <w:pStyle w:val="style0"/>
        <w:rPr/>
      </w:pPr>
      <w:r>
        <w:t xml:space="preserve">Similarly, recent statistics indicate that overall spheres of life, including employment and education, are also being impacted by mental health. Research shows that the proportion of the young population citing mental health as a factor in the lack of employment or schooling has dramatically risen in the last ten years (Grierson and Stacey, 2026). This shows that mental stigma and lack of support systems have wider social and economic repercussions. </w:t>
      </w:r>
    </w:p>
    <w:p>
      <w:pPr>
        <w:pStyle w:val="style0"/>
        <w:rPr/>
      </w:pPr>
      <w:r>
        <w:t>Thus, community-based awareness programmes are common, but their efficacy in terms of stigma reduction is unclear (</w:t>
      </w:r>
      <w:r>
        <w:t>Anindhita</w:t>
      </w:r>
      <w:r>
        <w:t xml:space="preserve"> </w:t>
      </w:r>
      <w:r>
        <w:rPr>
          <w:i/>
          <w:iCs/>
        </w:rPr>
        <w:t>et al.,</w:t>
      </w:r>
      <w:r>
        <w:t xml:space="preserve"> 2024). While they enhance knowledge and awareness, they might not effectively overcome discrimination, behaviour and social attitudes. This leads to the necessity of further studying how such programmes are understood by young adults and how they affect real-life experiences. </w:t>
      </w:r>
    </w:p>
    <w:bookmarkStart w:id="10" w:name="_Toc32275"/>
    <w:p>
      <w:pPr>
        <w:pStyle w:val="style2"/>
        <w:spacing w:lineRule="auto" w:line="480"/>
        <w:rPr/>
      </w:pPr>
      <w:r>
        <w:t>1.3 Rationale for Research or Problem Statement</w:t>
      </w:r>
      <w:bookmarkEnd w:id="10"/>
    </w:p>
    <w:p>
      <w:pPr>
        <w:pStyle w:val="style0"/>
        <w:rPr/>
      </w:pPr>
      <w:r>
        <w:t xml:space="preserve">The existing literature on mental health stigma among young adults in the UK is primarily limited to two key areas. Firstly, a lot of the study is dedicated to community-based awareness interventions, which creates a research gap on the comparative effectiveness of clinical and digital interventions to reduce stigma. Although community-based interventions, including school-based workshops and community campaigns, have received interest, they tend to ignore the possibility of clinical or digital-based interventions that could offer more customised, scalable, and technologically motivated solutions. These online interventions would be able to help young adults overcome the stigma more easily and anonymously, thereby providing alternative avenues of mental health services. </w:t>
      </w:r>
    </w:p>
    <w:p>
      <w:pPr>
        <w:pStyle w:val="style0"/>
        <w:rPr/>
      </w:pPr>
      <w:r>
        <w:t xml:space="preserve">Secondly, even the available studies are usually not longitudinal, which makes it challenging to determine the long-term effects of community-based interventions. Although brief improvements, including raising awareness, have been documented, there is sparse research on whether such interventions lead to enduring behaviour </w:t>
      </w:r>
      <w:r>
        <w:t xml:space="preserve">change or decrease the ingrained social and institutional stigma that still plagues the youth. </w:t>
      </w:r>
    </w:p>
    <w:p>
      <w:pPr>
        <w:pStyle w:val="style0"/>
        <w:rPr/>
      </w:pPr>
      <w:r>
        <w:t xml:space="preserve">With these gaps, this study will critically assess the role of community-based mental health awareness programmes in reducing stigma, besides addressing their constraints and how other interventions can be implemented in their place to bring about a lasting change. Moreover, this research will explore the potential of combining digital and clinical approaches, providing a more comprehensive framework for tackling mental health stigma among young adults. The results of this research may be utilised in more comprehensive and efficient approaches to the problem of mental health stigma in young adults in the UK. </w:t>
      </w:r>
    </w:p>
    <w:bookmarkStart w:id="11" w:name="_Toc8823"/>
    <w:p>
      <w:pPr>
        <w:pStyle w:val="style2"/>
        <w:spacing w:lineRule="auto" w:line="480"/>
        <w:rPr/>
      </w:pPr>
      <w:r>
        <w:t>1.4 Research Aim</w:t>
      </w:r>
      <w:bookmarkEnd w:id="11"/>
    </w:p>
    <w:p>
      <w:pPr>
        <w:pStyle w:val="style0"/>
        <w:rPr/>
      </w:pPr>
      <w:r>
        <w:t>This proposed research aims to critically evaluate the effectiveness of community-based mental health awareness programmes in reducing stigma among young adults aged 16–25 in the United Kingdom.</w:t>
      </w:r>
    </w:p>
    <w:bookmarkStart w:id="12" w:name="_Toc17200"/>
    <w:p>
      <w:pPr>
        <w:pStyle w:val="style2"/>
        <w:spacing w:lineRule="auto" w:line="480"/>
        <w:rPr/>
      </w:pPr>
      <w:r>
        <w:t>1.5 Research Objectives</w:t>
      </w:r>
      <w:bookmarkEnd w:id="12"/>
    </w:p>
    <w:p>
      <w:pPr>
        <w:pStyle w:val="style0"/>
        <w:rPr/>
      </w:pPr>
      <w:r>
        <w:t>To achieve this aim, the objectives that have been considered to be followed in this research are as follows:</w:t>
      </w:r>
    </w:p>
    <w:p>
      <w:pPr>
        <w:pStyle w:val="style0"/>
        <w:numPr>
          <w:ilvl w:val="0"/>
          <w:numId w:val="1"/>
        </w:numPr>
        <w:spacing w:after="0"/>
        <w:rPr/>
      </w:pPr>
      <w:r>
        <w:t>To explore the existing evidence on changes in mental health stigma following participation in community-based awareness programmes.</w:t>
      </w:r>
    </w:p>
    <w:p>
      <w:pPr>
        <w:pStyle w:val="style0"/>
        <w:numPr>
          <w:ilvl w:val="0"/>
          <w:numId w:val="1"/>
        </w:numPr>
        <w:spacing w:after="0"/>
        <w:rPr/>
      </w:pPr>
      <w:r>
        <w:t>To identify perceptions and experiences of young adults regarding mental health issues within community settings.</w:t>
      </w:r>
    </w:p>
    <w:p>
      <w:pPr>
        <w:pStyle w:val="style0"/>
        <w:numPr>
          <w:ilvl w:val="0"/>
          <w:numId w:val="1"/>
        </w:numPr>
        <w:spacing w:after="0"/>
        <w:rPr/>
      </w:pPr>
      <w:r>
        <w:t>To recognise key programme components that contribute significantly to reducing mental health stigma.</w:t>
      </w:r>
    </w:p>
    <w:p>
      <w:pPr>
        <w:pStyle w:val="style0"/>
        <w:numPr>
          <w:ilvl w:val="0"/>
          <w:numId w:val="1"/>
        </w:numPr>
        <w:rPr/>
      </w:pPr>
      <w:r>
        <w:t>To highlight gaps and limitations within the current literature and propose recommendations for future research and practice.</w:t>
      </w:r>
    </w:p>
    <w:bookmarkStart w:id="13" w:name="_Toc6917"/>
    <w:p>
      <w:pPr>
        <w:pStyle w:val="style2"/>
        <w:spacing w:lineRule="auto" w:line="480"/>
        <w:rPr/>
      </w:pPr>
      <w:r>
        <w:t>1.6 Research question</w:t>
      </w:r>
      <w:bookmarkEnd w:id="13"/>
    </w:p>
    <w:p>
      <w:pPr>
        <w:pStyle w:val="style0"/>
        <w:rPr/>
      </w:pPr>
      <w:r>
        <w:t>Based on the aims and objectives of this proposed research, several research questions have been established below:</w:t>
      </w:r>
    </w:p>
    <w:p>
      <w:pPr>
        <w:pStyle w:val="style0"/>
        <w:rPr/>
      </w:pPr>
      <w:r>
        <w:t>1. What evidence exists regarding the impact of community-based mental health awareness programmes on stigma reduction among young adults in the UK?</w:t>
      </w:r>
    </w:p>
    <w:p>
      <w:pPr>
        <w:pStyle w:val="style0"/>
        <w:rPr/>
      </w:pPr>
      <w:r>
        <w:t>2. How do young adults between the ages of 16 and 25 describe changes in their attitudes and understanding of mental health following participation in these programmes?</w:t>
      </w:r>
    </w:p>
    <w:p>
      <w:pPr>
        <w:pStyle w:val="style0"/>
        <w:rPr/>
      </w:pPr>
      <w:r>
        <w:t>3. Which specific components of community-based interventions are most effective in impacting the perceptions of the young adults in the UK towards mental illness?</w:t>
      </w:r>
    </w:p>
    <w:bookmarkStart w:id="14" w:name="_Toc31349"/>
    <w:p>
      <w:pPr>
        <w:pStyle w:val="style2"/>
        <w:spacing w:lineRule="auto" w:line="480"/>
        <w:rPr/>
      </w:pPr>
      <w:r>
        <w:t>1.7 Chapter summary</w:t>
      </w:r>
      <w:bookmarkEnd w:id="14"/>
    </w:p>
    <w:p>
      <w:pPr>
        <w:pStyle w:val="style0"/>
        <w:rPr/>
      </w:pPr>
      <w:r>
        <w:t>This chapter has presented the research topic, which included the description of the increasing mental health issues of young adults in the United Kingdom and the endemic problem of stigma. It has given the background, reason, research aim, objectives and research questions that are important in leading the study. The following chapter will provide the critical analysis of the available literature, including the consideration of the theories, empirical data and the gaps in the existing research.</w:t>
      </w: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p>
      <w:pPr>
        <w:pStyle w:val="style0"/>
        <w:spacing w:lineRule="auto" w:line="259"/>
        <w:jc w:val="left"/>
        <w:rPr>
          <w:b/>
          <w:bCs/>
          <w:sz w:val="28"/>
          <w:szCs w:val="28"/>
        </w:rPr>
      </w:pPr>
    </w:p>
    <w:bookmarkStart w:id="15" w:name="_Toc10378"/>
    <w:p>
      <w:pPr>
        <w:pStyle w:val="style0"/>
        <w:spacing w:after="0" w:lineRule="auto" w:line="240"/>
        <w:jc w:val="left"/>
        <w:rPr>
          <w:b/>
          <w:bCs/>
          <w:sz w:val="28"/>
          <w:szCs w:val="28"/>
        </w:rPr>
      </w:pPr>
      <w:r>
        <w:br w:type="page"/>
      </w:r>
    </w:p>
    <w:p>
      <w:pPr>
        <w:pStyle w:val="style1"/>
        <w:spacing w:lineRule="auto" w:line="480"/>
        <w:rPr/>
      </w:pPr>
      <w:r>
        <w:t>CHAPTER 2: LITERATURE REVIEW</w:t>
      </w:r>
      <w:bookmarkEnd w:id="15"/>
    </w:p>
    <w:bookmarkStart w:id="16" w:name="_Toc30093"/>
    <w:p>
      <w:pPr>
        <w:pStyle w:val="style2"/>
        <w:spacing w:before="0" w:lineRule="auto" w:line="480"/>
        <w:rPr/>
      </w:pPr>
      <w:r>
        <w:t>2.1 Introduction to Literature Review</w:t>
      </w:r>
      <w:bookmarkEnd w:id="16"/>
    </w:p>
    <w:p>
      <w:pPr>
        <w:pStyle w:val="style0"/>
        <w:spacing w:after="0"/>
        <w:rPr/>
      </w:pPr>
      <w:r>
        <w:t xml:space="preserve">The development of this chapter mainly evaluates the overall impact associated with the awareness programmes based on the community for managing mental health while decreasing stigma among young adults in the UK. The whole chapter also focuses on exploring theoretical perspectives about mental health stigma while evaluating the ultimate effectiveness of interventions through focusing on existing research. The effectiveness of some specific programme types and educational campaigns is also acknowledged in this chapter. </w:t>
      </w:r>
    </w:p>
    <w:bookmarkStart w:id="17" w:name="_Toc4971"/>
    <w:p>
      <w:pPr>
        <w:pStyle w:val="style2"/>
        <w:spacing w:before="0" w:lineRule="auto" w:line="480"/>
        <w:rPr/>
      </w:pPr>
      <w:r>
        <w:t>2.2 Literature Review</w:t>
      </w:r>
      <w:bookmarkEnd w:id="17"/>
    </w:p>
    <w:bookmarkStart w:id="18" w:name="_Toc19213"/>
    <w:p>
      <w:pPr>
        <w:pStyle w:val="style3"/>
        <w:spacing w:before="0" w:lineRule="auto" w:line="480"/>
        <w:rPr/>
      </w:pPr>
      <w:r>
        <w:t>2.2.1 Conceptualising Mental Health Stigma </w:t>
      </w:r>
      <w:bookmarkEnd w:id="18"/>
    </w:p>
    <w:p>
      <w:pPr>
        <w:pStyle w:val="style0"/>
        <w:spacing w:after="0"/>
        <w:rPr/>
      </w:pPr>
      <w:r>
        <w:t xml:space="preserve">Mental health stigma is known as a multidimensional aspect which includes some other areas like self-stigma, public stigma, and structural stigma. According to Ching </w:t>
      </w:r>
      <w:r>
        <w:rPr>
          <w:i/>
          <w:iCs/>
        </w:rPr>
        <w:t xml:space="preserve">et al. </w:t>
      </w:r>
      <w:r>
        <w:rPr>
          <w:highlight w:val="white"/>
        </w:rPr>
        <w:t xml:space="preserve">(2024), public stigma mainly increases self-stigma while resulting in negative attitudes towards the areas of help-seeking in health. Another research by Aranda </w:t>
      </w:r>
      <w:r>
        <w:rPr>
          <w:i/>
          <w:iCs/>
          <w:highlight w:val="white"/>
        </w:rPr>
        <w:t xml:space="preserve">et al. </w:t>
      </w:r>
      <w:r>
        <w:rPr>
          <w:highlight w:val="white"/>
        </w:rPr>
        <w:t>(2023) discussed the stigma theory by Goffman, which states that consequences and stigma are related to the interactions within the supportive and stigmatised audiences who require a collective nature of the process called stigmatisation as well. </w:t>
      </w:r>
      <w:r>
        <w:t>The theoretical framing is highly important as it also helps in showcasing that stigma is considered to be an individual attitude, while also being a structural process that is reinforced socially.</w:t>
      </w:r>
    </w:p>
    <w:p>
      <w:pPr>
        <w:pStyle w:val="style0"/>
        <w:spacing w:after="0"/>
        <w:rPr/>
      </w:pPr>
      <w:r>
        <w:rPr>
          <w:highlight w:val="white"/>
        </w:rPr>
        <w:t xml:space="preserve">According to Bharadwaj </w:t>
      </w:r>
      <w:r>
        <w:rPr>
          <w:i/>
          <w:iCs/>
          <w:highlight w:val="white"/>
        </w:rPr>
        <w:t xml:space="preserve">et al. </w:t>
      </w:r>
      <w:r>
        <w:rPr>
          <w:highlight w:val="white"/>
        </w:rPr>
        <w:t xml:space="preserve">(2017), mental health stigma based on the administrative data has been identified to be present in about 36% of the time when being asked about the presence of a diagnosis among individuals. </w:t>
      </w:r>
      <w:r>
        <w:t>With the provisioning of useful ‘quantitative data’, this research has further stated the prevalence associated with stigma, which often fails to capture the lived experiences of all the young adults in their everyday social interactions</w:t>
      </w:r>
      <w:r>
        <w:rPr>
          <w:highlight w:val="white"/>
        </w:rPr>
        <w:t xml:space="preserve">. It has further been discussed by </w:t>
      </w:r>
      <w:r>
        <w:rPr>
          <w:highlight w:val="white"/>
        </w:rPr>
        <w:t>Cerully</w:t>
      </w:r>
      <w:r>
        <w:rPr>
          <w:highlight w:val="white"/>
        </w:rPr>
        <w:t xml:space="preserve"> et</w:t>
      </w:r>
      <w:r>
        <w:rPr>
          <w:i/>
          <w:iCs/>
          <w:highlight w:val="white"/>
        </w:rPr>
        <w:t xml:space="preserve"> al. </w:t>
      </w:r>
      <w:r>
        <w:rPr>
          <w:highlight w:val="white"/>
        </w:rPr>
        <w:t xml:space="preserve">(2018) that the stigma, which is related to the conditions of mental health are often considered as one of the major barriers in the approaches of mental health care. </w:t>
      </w:r>
      <w:r>
        <w:t xml:space="preserve">Whereas Ching </w:t>
      </w:r>
      <w:r>
        <w:rPr>
          <w:i/>
          <w:iCs/>
        </w:rPr>
        <w:t>et al</w:t>
      </w:r>
      <w:r>
        <w:t xml:space="preserve">. (2024) focus on the multidimensionality of stigma, Aranda </w:t>
      </w:r>
      <w:r>
        <w:rPr>
          <w:i/>
          <w:iCs/>
        </w:rPr>
        <w:t>et al.</w:t>
      </w:r>
      <w:r>
        <w:t xml:space="preserve"> (2023) expound on the multidimensional nature of stigma, but they state that the social construction of stigma occurs through interaction. This shows that stigma, as well as being a personal experience in psychology, is a process that is socially enforced. Comparatively, Bharadwaj </w:t>
      </w:r>
      <w:r>
        <w:rPr>
          <w:i/>
          <w:iCs/>
        </w:rPr>
        <w:t>et al</w:t>
      </w:r>
      <w:r>
        <w:t xml:space="preserve">. (2017) offer quantitative data on the prevalence of stigmas on a larger </w:t>
      </w:r>
      <w:r>
        <w:t xml:space="preserve">scale, but this design is not as effective in portraying the lived and relational experiences of Aranda </w:t>
      </w:r>
      <w:r>
        <w:rPr>
          <w:i/>
          <w:iCs/>
        </w:rPr>
        <w:t>et al.</w:t>
      </w:r>
      <w:r>
        <w:t xml:space="preserve"> (2023). Thus, qualitative and theoretical approaches seem to be more fruitful in explaining the phenomenon of stigma rather than quantitative ones. through individual-level interventions alone, as it is reinforced by broader social structures.</w:t>
      </w:r>
    </w:p>
    <w:bookmarkStart w:id="19" w:name="_Toc20649"/>
    <w:p>
      <w:pPr>
        <w:pStyle w:val="style3"/>
        <w:spacing w:before="0" w:lineRule="auto" w:line="480"/>
        <w:rPr/>
      </w:pPr>
      <w:r>
        <w:t>2.2.2 Community-Based Mental Health Awareness Programmes</w:t>
      </w:r>
      <w:bookmarkEnd w:id="19"/>
    </w:p>
    <w:p>
      <w:pPr>
        <w:pStyle w:val="style0"/>
        <w:spacing w:after="0"/>
        <w:rPr/>
      </w:pPr>
      <w:r>
        <w:t xml:space="preserve">The programmes related to mental health awareness, which are dependent on the community, are often delivered outside the clinical settings, which include peer networks, public campaigns, and local organisations. As per </w:t>
      </w:r>
      <w:r>
        <w:rPr>
          <w:highlight w:val="white"/>
        </w:rPr>
        <w:t>Tuaf</w:t>
      </w:r>
      <w:r>
        <w:rPr>
          <w:highlight w:val="white"/>
        </w:rPr>
        <w:t xml:space="preserve"> and </w:t>
      </w:r>
      <w:r>
        <w:rPr>
          <w:highlight w:val="white"/>
        </w:rPr>
        <w:t>Orkibi</w:t>
      </w:r>
      <w:r>
        <w:rPr>
          <w:highlight w:val="white"/>
        </w:rPr>
        <w:t xml:space="preserve"> (2023), as part of the community-based programmes related to mental health awareness, involve service providers who need to understand the psychological needs of young adults first. </w:t>
      </w:r>
      <w:r>
        <w:t>Based on this research, the overall importance related to the development of valuable interventions for understanding the psychological needs of young adults has been further acknowledged</w:t>
      </w:r>
      <w:r>
        <w:rPr>
          <w:highlight w:val="white"/>
        </w:rPr>
        <w:t xml:space="preserve">. On the other hand, according to Jordan </w:t>
      </w:r>
      <w:r>
        <w:rPr>
          <w:i/>
          <w:iCs/>
          <w:highlight w:val="white"/>
        </w:rPr>
        <w:t xml:space="preserve">et al. </w:t>
      </w:r>
      <w:r>
        <w:rPr>
          <w:highlight w:val="white"/>
        </w:rPr>
        <w:t>(2023), as part of the programmes, the inclusion of different types of psycho educational interventions uses appropriate approaches for addressing the issues of mental health while promoting mental wellness within different populations in the world. </w:t>
      </w:r>
    </w:p>
    <w:p>
      <w:pPr>
        <w:pStyle w:val="style0"/>
        <w:spacing w:after="0"/>
        <w:rPr/>
      </w:pPr>
      <w:r>
        <w:rPr>
          <w:highlight w:val="white"/>
        </w:rPr>
        <w:t xml:space="preserve">All the approaches in the community to manage mental health are significantly associated with the theory of ‘social contract’, which further suggests the importance of having a direct interaction with the mentally ill individual. Furthermore, as per Humphrey </w:t>
      </w:r>
      <w:r>
        <w:rPr>
          <w:i/>
          <w:iCs/>
          <w:highlight w:val="white"/>
        </w:rPr>
        <w:t xml:space="preserve">et al. </w:t>
      </w:r>
      <w:r>
        <w:rPr>
          <w:highlight w:val="white"/>
        </w:rPr>
        <w:t>(2020), social values help in acknowledging the health problems related to the pre-identification of mental health challenges within individuals. Moreover, the use of contact-based interventions helps in demonstrating better effects than any other pure approaches to education as well. </w:t>
      </w:r>
    </w:p>
    <w:bookmarkStart w:id="20" w:name="_Toc22977"/>
    <w:p>
      <w:pPr>
        <w:pStyle w:val="style3"/>
        <w:spacing w:before="240" w:after="240" w:lineRule="auto" w:line="480"/>
        <w:rPr/>
      </w:pPr>
      <w:r>
        <w:t>2.2.3 Types of Community-Based Interventions</w:t>
      </w:r>
      <w:bookmarkEnd w:id="20"/>
    </w:p>
    <w:p>
      <w:pPr>
        <w:pStyle w:val="style0"/>
        <w:spacing w:before="240" w:after="240"/>
        <w:rPr>
          <w:rFonts w:eastAsia="Times New Roman"/>
        </w:rPr>
      </w:pPr>
      <w:r>
        <w:t xml:space="preserve">Education is one of the most popular interventions. Song </w:t>
      </w:r>
      <w:r>
        <w:rPr>
          <w:i/>
          <w:iCs/>
        </w:rPr>
        <w:t>et al</w:t>
      </w:r>
      <w:r>
        <w:t xml:space="preserve">. (2023) determined in a systematic review and meta-analysis of randomised controlled trials guided by PRISMA and Cochrane paradigms that it was more likely that the positive variables are linked with education-based intervention rather than other methods. Contact-based interventions, however, are premised on exposure to the lived experience of mental illness. Makhmud </w:t>
      </w:r>
      <w:r>
        <w:rPr>
          <w:i/>
          <w:iCs/>
        </w:rPr>
        <w:t>et al</w:t>
      </w:r>
      <w:r>
        <w:t xml:space="preserve">. (2022) conducted a systematic review and found that they were effective in several situations, in particular, when education was also provided, in interventions of indirect social contact related to thematic and narrative synthesis. Similarly, when it comes to a PRISMA-based systematic review and meta-analysis of interventions in healthcare professionals, </w:t>
      </w:r>
      <w:r>
        <w:t>Zhamaliyeva</w:t>
      </w:r>
      <w:r>
        <w:t xml:space="preserve"> et</w:t>
      </w:r>
      <w:r>
        <w:rPr>
          <w:i/>
          <w:iCs/>
        </w:rPr>
        <w:t xml:space="preserve"> al.</w:t>
      </w:r>
      <w:r>
        <w:t xml:space="preserve"> (2025) came to the </w:t>
      </w:r>
      <w:r>
        <w:t xml:space="preserve">conclusion that contact-based interventions and multi-component interventions have more effective and coherent results in terms of attitude and behavioural intentions. </w:t>
      </w:r>
      <w:r>
        <w:rPr>
          <w:shd w:val="clear" w:color="auto" w:fill="ffffff"/>
        </w:rPr>
        <w:t xml:space="preserve">However, in contrast, behavioural outcomes help in decreasing discriminatory aspects, which further suggests that stigma is not only dependent on knowledge but is also a socially useful aspect. </w:t>
      </w:r>
    </w:p>
    <w:p>
      <w:pPr>
        <w:pStyle w:val="style0"/>
        <w:spacing w:before="240" w:after="240"/>
        <w:rPr/>
      </w:pPr>
      <w:r>
        <w:t xml:space="preserve">Being a systematic review and meta-analysis, Song et al. (2023) offer comparatively high-quality evidence since they are using aggregated data of numerous randomised controlled trials. But the incongruency of the results and the limited time of follow-ups undermine the credibility of conclusions made over the long term. Likewise, </w:t>
      </w:r>
      <w:r>
        <w:t>Zhamaliyeva</w:t>
      </w:r>
      <w:r>
        <w:t xml:space="preserve"> et</w:t>
      </w:r>
      <w:r>
        <w:rPr>
          <w:i/>
          <w:iCs/>
        </w:rPr>
        <w:t xml:space="preserve"> al.</w:t>
      </w:r>
      <w:r>
        <w:t xml:space="preserve"> (2025) chose the high-level methodological approach as well, which contributes to the increased credibility of their results. Their findings do not align with those of Song </w:t>
      </w:r>
      <w:r>
        <w:rPr>
          <w:i/>
          <w:iCs/>
        </w:rPr>
        <w:t>et al.</w:t>
      </w:r>
      <w:r>
        <w:t xml:space="preserve"> (2023), which is why the difference may indicate that contact-based factors can be more effective in dealing with the deeply-rooted stigma than education alone. In general, systematic review evidence indicates that multi-component interventions offer the best results. </w:t>
      </w:r>
    </w:p>
    <w:p>
      <w:pPr>
        <w:pStyle w:val="style0"/>
        <w:spacing w:before="240" w:after="240"/>
        <w:rPr/>
      </w:pPr>
      <w:r>
        <w:t xml:space="preserve">Nevertheless, the differences in the study design, the sample and the duration of the evaluation restrict the validity of these results. The difference in findings may be explained by methodological variations, particularly the use of different samples and intervention designs. </w:t>
      </w:r>
      <w:r>
        <w:rPr>
          <w:shd w:val="clear" w:color="auto" w:fill="ffffff"/>
        </w:rPr>
        <w:t xml:space="preserve">Unlike the previous evaluation, the evidence related to the intervention showcased effectiveness for a specific methodological variation, which also influences the reliability of the findings. For example, as per </w:t>
      </w:r>
      <w:r>
        <w:t xml:space="preserve">Song </w:t>
      </w:r>
      <w:r>
        <w:rPr>
          <w:i/>
          <w:iCs/>
        </w:rPr>
        <w:t>et al.</w:t>
      </w:r>
      <w:r>
        <w:t xml:space="preserve"> (2023), </w:t>
      </w:r>
      <w:r>
        <w:rPr>
          <w:shd w:val="clear" w:color="auto" w:fill="ffffff"/>
        </w:rPr>
        <w:t>all the studies in this systematic review specifically provided a high-level evidence structure, which suggested that the interventions based on education can make improvements in mental health literacy.</w:t>
      </w:r>
    </w:p>
    <w:p>
      <w:pPr>
        <w:pStyle w:val="style0"/>
        <w:spacing w:before="240" w:after="240"/>
        <w:rPr>
          <w:rFonts w:eastAsia="Times New Roman"/>
        </w:rPr>
      </w:pPr>
      <w:r>
        <w:t xml:space="preserve">The other type of intervention that is also significant, particularly to the young population, is peer-led interventions. Based on the meta-analysis of randomised controlled trials, Sun </w:t>
      </w:r>
      <w:r>
        <w:rPr>
          <w:i/>
          <w:iCs/>
        </w:rPr>
        <w:t>et al.</w:t>
      </w:r>
      <w:r>
        <w:t xml:space="preserve"> (2022) elucidated that the peer-led approaches were appealing in reducing self-stigmas and increasing help-seeking behaviour. They did, however, suggest that they had a small impact on clinical outcome, meaning that the subsequent peer interventions do have an influence on attitudes and empowerment, but may not necessarily have an influence on mental health conditions.</w:t>
      </w:r>
    </w:p>
    <w:p>
      <w:pPr>
        <w:pStyle w:val="style0"/>
        <w:spacing w:before="240" w:after="240"/>
        <w:rPr>
          <w:rFonts w:eastAsia="Times New Roman"/>
        </w:rPr>
      </w:pPr>
      <w:r>
        <w:t xml:space="preserve">The social and digital media interventions are increasingly becoming eminent. A systematic review of the studies that had tested online campaigns, as performed by </w:t>
      </w:r>
      <w:r>
        <w:t>Draganidis</w:t>
      </w:r>
      <w:r>
        <w:rPr>
          <w:i/>
          <w:iCs/>
        </w:rPr>
        <w:t>et</w:t>
      </w:r>
      <w:r>
        <w:rPr>
          <w:i/>
          <w:iCs/>
        </w:rPr>
        <w:t xml:space="preserve"> al</w:t>
      </w:r>
      <w:r>
        <w:t xml:space="preserve">. (2024), showed that the applied interventions were effective in </w:t>
      </w:r>
      <w:r>
        <w:t xml:space="preserve">establishing engagement but had minimal evidence of long-term behavioural change. The contrast to their findings lies in more systematic intervention designs, such as the ones that were reviewed by Song </w:t>
      </w:r>
      <w:r>
        <w:rPr>
          <w:i/>
          <w:iCs/>
        </w:rPr>
        <w:t>et al.</w:t>
      </w:r>
      <w:r>
        <w:t xml:space="preserve"> (2023), which have low methodological rigour. Peer-led interventions, according to Sun </w:t>
      </w:r>
      <w:r>
        <w:rPr>
          <w:i/>
          <w:iCs/>
        </w:rPr>
        <w:t xml:space="preserve">et al. </w:t>
      </w:r>
      <w:r>
        <w:t>(2022), have further highlighted the overall complexities which are highly effective in decreasing self-stigma, along with limiting their impact on all the clinical outcomes, which has increased questions about their effectiveness as well.</w:t>
      </w:r>
    </w:p>
    <w:p>
      <w:pPr>
        <w:pStyle w:val="style0"/>
        <w:spacing w:before="240" w:after="240"/>
        <w:rPr>
          <w:rFonts w:eastAsia="Times New Roman"/>
        </w:rPr>
      </w:pPr>
      <w:r>
        <w:t>Overall, despite the potential of every type of intervention, it can be possibly proposed that the ones that integrate such aspects as education and contact are more effective, but the most important issues are the methodological limitations and short-term evaluation. This suggests that multi-component interventions are the most convincing approach, as they address both knowledge and social interaction, unlike single-method strategies.</w:t>
      </w:r>
    </w:p>
    <w:bookmarkStart w:id="21" w:name="_Toc21092"/>
    <w:p>
      <w:pPr>
        <w:pStyle w:val="style3"/>
        <w:spacing w:before="240" w:after="240" w:lineRule="auto" w:line="480"/>
        <w:rPr/>
      </w:pPr>
      <w:r>
        <w:t>2.2.4 Effectiveness of Community-Based Programmes</w:t>
      </w:r>
      <w:bookmarkEnd w:id="21"/>
    </w:p>
    <w:p>
      <w:pPr>
        <w:pStyle w:val="style0"/>
        <w:spacing w:after="0"/>
        <w:rPr>
          <w:rFonts w:eastAsia="Times New Roman"/>
        </w:rPr>
      </w:pPr>
      <w:r>
        <w:rPr>
          <w:highlight w:val="white"/>
        </w:rPr>
        <w:t xml:space="preserve">The most effective evidence is high-quality systematic review evidence and meta-analyses. Indicatively, the study by Crockett </w:t>
      </w:r>
      <w:r>
        <w:rPr>
          <w:i/>
          <w:iCs/>
          <w:highlight w:val="white"/>
        </w:rPr>
        <w:t>et al.</w:t>
      </w:r>
      <w:r>
        <w:rPr>
          <w:highlight w:val="white"/>
        </w:rPr>
        <w:t xml:space="preserve"> (2025) reported the community-based interventions to have a positive impact on the short-term outcomes in terms of betterment of the stigma outcomes among the young people. It is worth noting that interventions that involved social contact were more effective in respect to convincing the behavioural intentions than all the educational interventions. Conversely, other research indicates that there are restrictions to the evidence, and it can no longer be generalised. As the scoping review performed by Baskin </w:t>
      </w:r>
      <w:r>
        <w:rPr>
          <w:i/>
          <w:iCs/>
          <w:highlight w:val="white"/>
        </w:rPr>
        <w:t>et al</w:t>
      </w:r>
      <w:r>
        <w:rPr>
          <w:highlight w:val="white"/>
        </w:rPr>
        <w:t>. (2021) on the UK has shown, most of the interventions involving the ethnic minorities population were typified by low sample sizes and high-risk bias. This raises the question of whether the results can be applied to the different populations since they might not be applied similarly based on the social-cultural background.</w:t>
      </w:r>
    </w:p>
    <w:p>
      <w:pPr>
        <w:pStyle w:val="style0"/>
        <w:spacing w:after="0"/>
        <w:rPr>
          <w:rFonts w:eastAsia="Times New Roman"/>
        </w:rPr>
      </w:pPr>
      <w:r>
        <w:rPr>
          <w:highlight w:val="white"/>
        </w:rPr>
        <w:t xml:space="preserve">The positive outcomes of the media-based and national campaign interventions are also present. Tam </w:t>
      </w:r>
      <w:r>
        <w:rPr>
          <w:i/>
          <w:iCs/>
          <w:highlight w:val="white"/>
        </w:rPr>
        <w:t>et al</w:t>
      </w:r>
      <w:r>
        <w:rPr>
          <w:highlight w:val="white"/>
        </w:rPr>
        <w:t xml:space="preserve">. (2024) and Henderson </w:t>
      </w:r>
      <w:r>
        <w:rPr>
          <w:i/>
          <w:iCs/>
          <w:highlight w:val="white"/>
        </w:rPr>
        <w:t>et al</w:t>
      </w:r>
      <w:r>
        <w:rPr>
          <w:highlight w:val="white"/>
        </w:rPr>
        <w:t xml:space="preserve">. (2017) managed to obtain positive changes in the attitudes and desire to seek help. However, these studies depend on self-reported and observed data, which are likely to be subject to the social desirability trap and cannot be used to identify causal associations. Thus, the extent to which the behavioural change of such interventions is significant is not clear. More to the point, Henderson and Gronholm (2018) operationalise the concept of mental health stigma as a wicked problem and state that most of the interventions do not target structural </w:t>
      </w:r>
      <w:r>
        <w:rPr>
          <w:highlight w:val="white"/>
        </w:rPr>
        <w:t xml:space="preserve">and systemic issues. This outlook may be utilised in the explanation of why the perceived changes are rather temporary, as the social variations and institutional constraints are not violated. Since Crockett </w:t>
      </w:r>
      <w:r>
        <w:rPr>
          <w:i/>
          <w:iCs/>
          <w:highlight w:val="white"/>
        </w:rPr>
        <w:t>et al.</w:t>
      </w:r>
      <w:r>
        <w:rPr>
          <w:highlight w:val="white"/>
        </w:rPr>
        <w:t xml:space="preserve"> (2025) is founded on a systematic review, it offers more valid and reliable evidence to support as opposed to individual studies. Nevertheless, the absence of longitudinal data seriously undermines the capability to evaluate the long-term impact. Conversely, other recent studies like Tam </w:t>
      </w:r>
      <w:r>
        <w:rPr>
          <w:i/>
          <w:iCs/>
          <w:highlight w:val="white"/>
        </w:rPr>
        <w:t>et al.</w:t>
      </w:r>
      <w:r>
        <w:rPr>
          <w:highlight w:val="white"/>
        </w:rPr>
        <w:t xml:space="preserve"> (2024) and Henderson </w:t>
      </w:r>
      <w:r>
        <w:rPr>
          <w:i/>
          <w:iCs/>
          <w:highlight w:val="white"/>
        </w:rPr>
        <w:t>et al</w:t>
      </w:r>
      <w:r>
        <w:rPr>
          <w:highlight w:val="white"/>
        </w:rPr>
        <w:t>. (2017) are highly dependent on self-reported data, which makes them less reliable since they may be affected by social desirability bias. Consequently, these studies are weaker evidence as compared to systematic reviews and meta-analyses. Accordingly, although the best evidence is in favour of short-term effectiveness, the general body of literature has weaknesses in terms of methodology, especially a lack of long-term and causal evidence.</w:t>
      </w:r>
    </w:p>
    <w:bookmarkStart w:id="22" w:name="_Toc18348"/>
    <w:p>
      <w:pPr>
        <w:pStyle w:val="style3"/>
        <w:spacing w:lineRule="auto" w:line="480"/>
        <w:rPr/>
      </w:pPr>
      <w:r>
        <w:t>2.2.5 Barriers to Reducing Stigma among Young Adults </w:t>
      </w:r>
      <w:bookmarkEnd w:id="22"/>
    </w:p>
    <w:p>
      <w:pPr>
        <w:pStyle w:val="style0"/>
        <w:rPr/>
      </w:pPr>
      <w:r>
        <w:t>Exploring the previously published literature articles also helped in identifying the barriers to reducing the stigma among the young adult population. In this context, the influence of cultural norms and variations could be essentially highlighted from the work of Ahad </w:t>
      </w:r>
      <w:r>
        <w:rPr>
          <w:i/>
          <w:iCs/>
        </w:rPr>
        <w:t>et al.</w:t>
      </w:r>
      <w:r>
        <w:t xml:space="preserve"> (2023), who mentioned that cultural beliefs often take up a significant role in shaping the attitudes of individuals towards mental health. Not only that, but this research also indicated that the influence of cultural belief on stigma is often gender-biased, where the specific example of the Arab countries indicates that the policy of stigma is much higher among the male population in comparison to the female population, as the discrepancies are associated with the traditional masculine norms.  </w:t>
      </w:r>
    </w:p>
    <w:p>
      <w:pPr>
        <w:pStyle w:val="style0"/>
        <w:rPr/>
      </w:pPr>
      <w:r>
        <w:t>Another major barrier towards reducing the mental health stigma among young adults is associated with the situation of discrimination, which leads to a fear of being judged. Surely leads to an avoidance factor towards the help-seeking mentality and creates a resistance toward health-seeking behaviour among the young adults. This has been essentially highlighted in the work of Seamark and Gabriel (2018), who stated that stigma and rejection act as significant barriers towards the health-seeking behaviour among the young population. </w:t>
      </w:r>
    </w:p>
    <w:p>
      <w:pPr>
        <w:pStyle w:val="style0"/>
        <w:rPr/>
      </w:pPr>
      <w:r>
        <w:t>Moreover, some systemic barriers could also be highlighted regarding the reduction of stigma among the young adults, which includes the lack of motivation or a negative perception towards the need for mental health interventions. This has been essentially identified in the work of Wanniarachchi </w:t>
      </w:r>
      <w:r>
        <w:rPr>
          <w:i/>
          <w:iCs/>
        </w:rPr>
        <w:t>et al.</w:t>
      </w:r>
      <w:r>
        <w:t xml:space="preserve"> (2025), who eventually indicated that the concerns around privacy and trust also reduce the </w:t>
      </w:r>
      <w:r>
        <w:t>motivation among the young population to continue the engagement with mental health programmes that can help in reducing the stigma. Not only that, but the technical difficulties and lack of digital literacy also reduce the rate of engagement, which eventually creates an issue in reducing the overall mental health-related stigma among the young population group in the long run. Although these studies define some significant obstacles, a lot of evidence is situation-specific and is not UK-centric, which restricts the generalizability of the evidence to the target population of the study. Also, most of the results are determined by self-reported perceptions, which might not comprehensively encompass structural barriers determining stigma. This shows that there is a need to have more contextually grounded and methodologically sound studies.</w:t>
      </w:r>
    </w:p>
    <w:bookmarkStart w:id="23" w:name="_Toc14701"/>
    <w:p>
      <w:pPr>
        <w:pStyle w:val="style2"/>
        <w:spacing w:lineRule="auto" w:line="480"/>
        <w:rPr/>
      </w:pPr>
      <w:r>
        <w:t>2.3 Research Gaps </w:t>
      </w:r>
      <w:bookmarkEnd w:id="23"/>
    </w:p>
    <w:p>
      <w:pPr>
        <w:pStyle w:val="style0"/>
        <w:rPr/>
      </w:pPr>
      <w:r>
        <w:t>Based on the above literature review section, several major research gaps could be identified for exploring the impact of the community-based mental health programmes in supporting the overall mental health of the young population group. Therefore, one of the main issues that could be stated as a noticeable research gap in the current literature review section is a lack of specific focus on exploring the long-term effectiveness of the community-based mental health programmes, which are available as a research topic in the previously published literature articles. These contexts are specifically applicable in the case of the articles developed by Crockett et al. (2025) and Song et al. (2023), which demonstrate positive short-term outcomes, but they fail to provide longitudinal evidence on whether these improvements in stigma reduction and help-seeking behaviour are sustained over time.</w:t>
      </w:r>
    </w:p>
    <w:p>
      <w:pPr>
        <w:pStyle w:val="style0"/>
        <w:rPr/>
      </w:pPr>
      <w:r>
        <w:t>Not only that, but it could also be noticed that focusing on the young adults as a specific target group of the population was not significantly considered to develop the previous research instances. Therefore, identifying information on this demographic population group became difficult. As an example of this, it could be noticed that while Sun et al. (2022) explored peer-led interventions among young people, there remains a lack of UK-specific, in-depth research.</w:t>
      </w:r>
    </w:p>
    <w:p>
      <w:pPr>
        <w:pStyle w:val="style0"/>
        <w:rPr/>
      </w:pPr>
      <w:r>
        <w:t>Apart from that, it could also be noticed that the previous literature articles lacked information regarding the integrated mental health service approach, which combines both the community health care services and the digital mental health interventions. Overall, the identification of such research gaps indicates the need for developing the current research. </w:t>
      </w:r>
    </w:p>
    <w:bookmarkStart w:id="24" w:name="_Toc25038"/>
    <w:p>
      <w:pPr>
        <w:pStyle w:val="style2"/>
        <w:spacing w:lineRule="auto" w:line="480"/>
        <w:rPr/>
      </w:pPr>
      <w:r>
        <w:t>2.4 Chapter Summary </w:t>
      </w:r>
      <w:bookmarkEnd w:id="24"/>
    </w:p>
    <w:p>
      <w:pPr>
        <w:pStyle w:val="style0"/>
        <w:rPr/>
      </w:pPr>
      <w:r>
        <w:t>To summarise the current literature review section of this dissertation, it could be stated that this chapter helped in exploring the available research insights on the impact of community-based awareness programmes for reducing the mental health stigma among the young population of the United Kingdom. However, this literature review section also helped in identifying several research gaps, which eventually acted as the justification and the foundational steps for progressing the current dissertation. </w:t>
      </w:r>
    </w:p>
    <w:p>
      <w:pPr>
        <w:pStyle w:val="style0"/>
        <w:rPr>
          <w:sz w:val="28"/>
          <w:szCs w:val="28"/>
        </w:rPr>
      </w:pPr>
      <w:r>
        <w:br w:type="page"/>
      </w:r>
    </w:p>
    <w:bookmarkStart w:id="25" w:name="_Toc22642"/>
    <w:p>
      <w:pPr>
        <w:pStyle w:val="style1"/>
        <w:spacing w:lineRule="auto" w:line="480"/>
        <w:rPr/>
      </w:pPr>
      <w:r>
        <w:t>CHAPTER 3: METHODOLOGY</w:t>
      </w:r>
      <w:bookmarkEnd w:id="25"/>
    </w:p>
    <w:bookmarkStart w:id="26" w:name="_Toc11035"/>
    <w:p>
      <w:pPr>
        <w:pStyle w:val="style2"/>
        <w:spacing w:lineRule="auto" w:line="480"/>
        <w:rPr/>
      </w:pPr>
      <w:r>
        <w:t>3.1 Introduction to Chapter</w:t>
      </w:r>
      <w:bookmarkEnd w:id="26"/>
    </w:p>
    <w:p>
      <w:pPr>
        <w:pStyle w:val="style0"/>
        <w:spacing w:after="0"/>
        <w:rPr/>
      </w:pPr>
      <w:r>
        <w:t xml:space="preserve">The development of this chapter mainly identifies the overall approach adopted to conduct the SLR (Systematic Literature Review) on the ultimate impact of awareness programs related to mental health, based on community efforts to decrease stigma among young adults in the UK. The chapter also explains the ultimate description of the selected process of methodology, which further includes a proper research design along with the identification of keywords and search terms, followed by the databases. Overall, this chapter ensures transparency for addressing the topic of this research while managing the research focus. </w:t>
      </w:r>
    </w:p>
    <w:bookmarkStart w:id="27" w:name="_Toc15758"/>
    <w:p>
      <w:pPr>
        <w:pStyle w:val="style2"/>
        <w:spacing w:lineRule="auto" w:line="480"/>
        <w:rPr/>
      </w:pPr>
      <w:r>
        <w:t>3.2 Systematic Literature Review (SLR)</w:t>
      </w:r>
      <w:bookmarkEnd w:id="27"/>
    </w:p>
    <w:p>
      <w:pPr>
        <w:pStyle w:val="style0"/>
        <w:spacing w:after="0"/>
        <w:rPr>
          <w:highlight w:val="white"/>
        </w:rPr>
      </w:pPr>
      <w:r>
        <w:t>This research has focused on the use of SLR (Systematic Literature Review) as the question of this research requires a reproducible and transparent synthesis of all the evidence in the UK, while focusing on the reduction of stigma within young adults</w:t>
      </w:r>
      <w:r>
        <w:rPr>
          <w:highlight w:val="white"/>
        </w:rPr>
        <w:t>. Moreover, SLR research methods mainly focuses to identify the relevant papers for the extraction of data while analysing and synthesising the results within a specific domain (Van Dinter et</w:t>
      </w:r>
      <w:r>
        <w:rPr>
          <w:i/>
          <w:iCs/>
          <w:highlight w:val="white"/>
        </w:rPr>
        <w:t xml:space="preserve"> al., </w:t>
      </w:r>
      <w:r>
        <w:rPr>
          <w:highlight w:val="white"/>
        </w:rPr>
        <w:t xml:space="preserve">2021). </w:t>
      </w:r>
      <w:r>
        <w:t xml:space="preserve">The selection of SLR is mainly done as it helps in providing better transparency in methodology followers by proper replicability along with a structured process of synthesis, which is important for the evaluation of the reduction evidence associated with proper interventions in the defined population of the UK. Compared to other reviews like ‘scoping review’, which, as per </w:t>
      </w:r>
      <w:r>
        <w:rPr>
          <w:highlight w:val="white"/>
        </w:rPr>
        <w:t>Tricco</w:t>
      </w:r>
      <w:r>
        <w:rPr>
          <w:highlight w:val="white"/>
        </w:rPr>
        <w:t xml:space="preserve"> et</w:t>
      </w:r>
      <w:r>
        <w:rPr>
          <w:i/>
          <w:iCs/>
          <w:highlight w:val="white"/>
        </w:rPr>
        <w:t xml:space="preserve"> al. </w:t>
      </w:r>
      <w:r>
        <w:rPr>
          <w:highlight w:val="white"/>
        </w:rPr>
        <w:t xml:space="preserve">(2016), help in the identification of knowledge gaps song with the agendas of research while acknowledging the approaches of decision-making, SLR helps in the provisioning of better critical evaluation. According to </w:t>
      </w:r>
      <w:r>
        <w:rPr>
          <w:szCs w:val="22"/>
          <w:highlight w:val="white"/>
        </w:rPr>
        <w:t>Azarian et</w:t>
      </w:r>
      <w:r>
        <w:rPr>
          <w:i/>
          <w:iCs/>
          <w:szCs w:val="22"/>
          <w:highlight w:val="white"/>
        </w:rPr>
        <w:t xml:space="preserve"> al. </w:t>
      </w:r>
      <w:r>
        <w:rPr>
          <w:szCs w:val="22"/>
          <w:highlight w:val="white"/>
        </w:rPr>
        <w:t>(2023</w:t>
      </w:r>
      <w:r>
        <w:rPr>
          <w:szCs w:val="22"/>
        </w:rPr>
        <w:t xml:space="preserve">), </w:t>
      </w:r>
      <w:r>
        <w:t>SLRs may also be limited by the development of publication biases, along with increased dependency, which is acknowledged while interpreting the findings.</w:t>
      </w:r>
      <w:r>
        <w:rPr>
          <w:highlight w:val="white"/>
        </w:rPr>
        <w:t xml:space="preserve"> The main steps of SLR include the development of a proper research question along with the criteria of exclusion and inclusion, and searching of databases while screening the abstracts and titles. </w:t>
      </w:r>
    </w:p>
    <w:p>
      <w:pPr>
        <w:pStyle w:val="style0"/>
        <w:spacing w:after="0"/>
        <w:rPr>
          <w:highlight w:val="white"/>
        </w:rPr>
      </w:pPr>
      <w:r>
        <w:rPr>
          <w:highlight w:val="white"/>
        </w:rPr>
        <w:t>Although a systematic literature review is a rigorous and transparent way of synthesising evidence, alternative methods like scoping reviews or narrative reviews might have also been used. An example is a scoping review, which can permit a greater search of the new areas of research and the discovery of the gaps in knowledge (</w:t>
      </w:r>
      <w:r>
        <w:rPr>
          <w:highlight w:val="white"/>
        </w:rPr>
        <w:t>Tricco</w:t>
      </w:r>
      <w:r>
        <w:rPr>
          <w:highlight w:val="white"/>
        </w:rPr>
        <w:t xml:space="preserve"> et al., 2016; </w:t>
      </w:r>
      <w:r>
        <w:t>Pollock et al., 2024; Mak and Thomas, 2022</w:t>
      </w:r>
      <w:r>
        <w:rPr>
          <w:highlight w:val="white"/>
        </w:rPr>
        <w:t xml:space="preserve">). Nonetheless, the present study aims to conduct an evidence-based synthesis on the </w:t>
      </w:r>
      <w:r>
        <w:rPr>
          <w:highlight w:val="white"/>
        </w:rPr>
        <w:t>effects of community-based awareness programmes on stigma among young adults. Thus, the organised and duplicative quality of SLR was deemed to be more suitable in terms of its methodological transparency and credibility of results.</w:t>
      </w:r>
    </w:p>
    <w:bookmarkStart w:id="28" w:name="_Toc7258"/>
    <w:p>
      <w:pPr>
        <w:pStyle w:val="style2"/>
        <w:spacing w:lineRule="auto" w:line="480"/>
        <w:rPr/>
      </w:pPr>
      <w:r>
        <w:t>3.3 Search Strategy</w:t>
      </w:r>
      <w:bookmarkEnd w:id="28"/>
    </w:p>
    <w:p>
      <w:pPr>
        <w:pStyle w:val="style0"/>
        <w:spacing w:after="0"/>
        <w:rPr/>
      </w:pPr>
      <w:r>
        <w:t xml:space="preserve">The search strategy, according to MacFarlane </w:t>
      </w:r>
      <w:r>
        <w:rPr>
          <w:i/>
          <w:iCs/>
        </w:rPr>
        <w:t xml:space="preserve">et al. </w:t>
      </w:r>
      <w:r>
        <w:t>(2022), helps in focusing on periodic updates as part of the search strategy while further managing the evidence synthesis and the perspective of the overall research. As part of the strategy, the use of the PEO (Population Exposure Outcome) framework has been selected due to the management of the main focus of the research question on the perceptions, lived experiences, and perceived influence of community-based mental health awareness programmes on stigma among young adults, rather than measuring the statistical effectiveness of interventions.</w:t>
      </w:r>
    </w:p>
    <w:p>
      <w:pPr>
        <w:pStyle w:val="style0"/>
        <w:spacing w:after="0"/>
        <w:rPr/>
      </w:pPr>
      <w:r>
        <w:t>In contrast, the use of the PICO (Population/Patient/Problem, Intervention, Comparison, and Outcome) would have helped in prioritising the evaluation of the ‘quantitative’ impact while being excluded from all the studies of ‘qualitative’ experiential based on the aim of this research (</w:t>
      </w:r>
      <w:r>
        <w:t>Schiavenato</w:t>
      </w:r>
      <w:r>
        <w:t xml:space="preserve"> and Chu, 2021). However, according to </w:t>
      </w:r>
      <w:r>
        <w:t>Anombem</w:t>
      </w:r>
      <w:r>
        <w:rPr>
          <w:i/>
          <w:iCs/>
        </w:rPr>
        <w:t xml:space="preserve"> et al.</w:t>
      </w:r>
      <w:r>
        <w:t xml:space="preserve"> (2022), the PEO framework helps in the identification of the main search terms, which are mainly incorporated within the strategy of search while aligning with the relevant studies from the databases.  As a limitation, PEO may further decrease search sensitivity for further intervention related to comparative studies while limiting breadth. </w:t>
      </w:r>
    </w:p>
    <w:p>
      <w:pPr>
        <w:pStyle w:val="style0"/>
        <w:spacing w:after="0"/>
        <w:rPr/>
      </w:pPr>
      <w:r>
        <w:t xml:space="preserve">The selection of the timeframe of 2016 to 2026 has been made based on the management of a proper evaluation. The selection of 10 years for the collection of data within any research, according to </w:t>
      </w:r>
      <w:r>
        <w:t>Taherdoost</w:t>
      </w:r>
      <w:r>
        <w:t xml:space="preserve"> (2021), entails the collection of useful and reliable data within an allocated time while aligning with the questions of the research. </w:t>
      </w:r>
    </w:p>
    <w:bookmarkStart w:id="29" w:name="_Toc23868"/>
    <w:p>
      <w:pPr>
        <w:pStyle w:val="style2"/>
        <w:spacing w:lineRule="auto" w:line="480"/>
        <w:rPr/>
      </w:pPr>
      <w:r>
        <w:t>3.4 Search Terms</w:t>
      </w:r>
      <w:bookmarkEnd w:id="29"/>
    </w:p>
    <w:p>
      <w:pPr>
        <w:pStyle w:val="style0"/>
        <w:spacing w:after="0"/>
        <w:rPr/>
      </w:pPr>
      <w:r>
        <w:t>In this research, the selection of all the search terms has been done based on the components of PEO, while being expanded with the use of synonyms and a controlled level of vocabulary for further maximising the specificity and sensitivity of the strategy associated with this research. According to Bramer et</w:t>
      </w:r>
      <w:r>
        <w:rPr>
          <w:i/>
          <w:iCs/>
        </w:rPr>
        <w:t xml:space="preserve"> al.</w:t>
      </w:r>
      <w:r>
        <w:t xml:space="preserve"> (2018), systematic searches involving a structured detail helps in the overall analysis of the question of the research while creating proper search terms. </w:t>
      </w:r>
    </w:p>
    <w:p>
      <w:pPr>
        <w:pStyle w:val="style0"/>
        <w:spacing w:after="0"/>
        <w:rPr/>
      </w:pPr>
      <w:r>
        <w:t xml:space="preserve">Within SLR, the proper use of appropriate alternative terminology and synonyms is considered to be important as well. For example, the use of the word stigma often </w:t>
      </w:r>
      <w:r>
        <w:t xml:space="preserve">refers to words like ‘‘discrimination’’ and many more, while ‘‘community-based programmes’’ are also often described as the ‘‘local interventions’’ and ‘‘awareness campaigns’’ as well. For this research, as part of the methodology, the following PEO framework has helped in the development of proper search terms, while including appropriate keywords and also all the specific types of ‘Boolean Operators’ like 'AND’, 'OR’, and 'NOT’.  As per </w:t>
      </w:r>
      <w:r>
        <w:rPr>
          <w:highlight w:val="white"/>
        </w:rPr>
        <w:t xml:space="preserve">Atkinson and Cipriani (2018), the specific use of ‘‘Boolean Operators’’ mainly helps in allowing the proper use of appropriate search terms while combining free-text. </w:t>
      </w:r>
    </w:p>
    <w:p>
      <w:pPr>
        <w:pStyle w:val="style0"/>
        <w:jc w:val="center"/>
        <w:rPr>
          <w:b/>
          <w:bCs/>
        </w:rPr>
      </w:pPr>
      <w:r>
        <w:rPr>
          <w:b/>
          <w:bCs/>
        </w:rPr>
        <w:t xml:space="preserve">Table </w:t>
      </w:r>
      <w:r>
        <w:rPr>
          <w:b/>
          <w:bCs/>
        </w:rPr>
        <w:fldChar w:fldCharType="begin"/>
      </w:r>
      <w:r>
        <w:rPr>
          <w:b/>
          <w:bCs/>
        </w:rPr>
        <w:instrText xml:space="preserve"> SEQ Table \* ARABIC </w:instrText>
      </w:r>
      <w:r>
        <w:rPr>
          <w:b/>
          <w:bCs/>
        </w:rPr>
        <w:fldChar w:fldCharType="separate"/>
      </w:r>
      <w:r>
        <w:rPr>
          <w:b/>
          <w:bCs/>
        </w:rPr>
        <w:t>1</w:t>
      </w:r>
      <w:r>
        <w:rPr>
          <w:b/>
          <w:bCs/>
        </w:rPr>
        <w:fldChar w:fldCharType="end"/>
      </w:r>
      <w:bookmarkStart w:id="30" w:name="_Toc1444"/>
      <w:r>
        <w:rPr>
          <w:b/>
          <w:bCs/>
        </w:rPr>
        <w:t>: PEO Framework</w:t>
      </w:r>
      <w:bookmarkEnd w:id="30"/>
    </w:p>
    <w:tbl>
      <w:tblPr>
        <w:tblStyle w:val="style4098"/>
        <w:tblW w:w="96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655"/>
        <w:gridCol w:w="6945"/>
      </w:tblGrid>
      <w:tr>
        <w:trPr>
          <w:cantSplit/>
          <w:trHeight w:val="515" w:hRule="atLeast"/>
          <w:tblHead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jc w:val="center"/>
              <w:rPr/>
            </w:pPr>
            <w:r>
              <w:rPr>
                <w:b/>
                <w:bCs/>
              </w:rPr>
              <w:t>Component</w:t>
            </w:r>
          </w:p>
        </w:tc>
        <w:tc>
          <w:tcPr>
            <w:tcW w:w="6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jc w:val="center"/>
              <w:rPr/>
            </w:pPr>
            <w:r>
              <w:rPr>
                <w:b/>
                <w:bCs/>
              </w:rPr>
              <w:t>Description</w:t>
            </w:r>
          </w:p>
        </w:tc>
      </w:tr>
      <w:tr>
        <w:tblPrEx/>
        <w:trPr>
          <w:cantSplit/>
          <w:trHeight w:val="515" w:hRule="atLeast"/>
          <w:tblHead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rPr/>
            </w:pPr>
            <w:r>
              <w:rPr>
                <w:b/>
                <w:bCs/>
              </w:rPr>
              <w:t>Population/Problem (P)</w:t>
            </w:r>
          </w:p>
        </w:tc>
        <w:tc>
          <w:tcPr>
            <w:tcW w:w="6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rPr/>
            </w:pPr>
            <w:r>
              <w:t>Young adults in the UK (aged approximately 16–25)</w:t>
            </w:r>
          </w:p>
        </w:tc>
      </w:tr>
      <w:tr>
        <w:tblPrEx/>
        <w:trPr>
          <w:cantSplit/>
          <w:trHeight w:val="515" w:hRule="atLeast"/>
          <w:tblHead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rPr/>
            </w:pPr>
            <w:r>
              <w:rPr>
                <w:b/>
                <w:bCs/>
              </w:rPr>
              <w:t>Exposure/Issue (E)</w:t>
            </w:r>
          </w:p>
        </w:tc>
        <w:tc>
          <w:tcPr>
            <w:tcW w:w="6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rPr/>
            </w:pPr>
            <w:r>
              <w:t>Community-based mental health awareness programmes</w:t>
            </w:r>
          </w:p>
        </w:tc>
      </w:tr>
      <w:tr>
        <w:tblPrEx/>
        <w:trPr>
          <w:cantSplit/>
          <w:trHeight w:val="515" w:hRule="atLeast"/>
          <w:tblHead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rPr/>
            </w:pPr>
            <w:r>
              <w:rPr>
                <w:b/>
                <w:bCs/>
              </w:rPr>
              <w:t>Outcome (O)</w:t>
            </w:r>
          </w:p>
        </w:tc>
        <w:tc>
          <w:tcPr>
            <w:tcW w:w="6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after="0"/>
              <w:rPr/>
            </w:pPr>
            <w:r>
              <w:t>Perceptions and experiences related to mental health stigma</w:t>
            </w:r>
          </w:p>
        </w:tc>
      </w:tr>
    </w:tbl>
    <w:p>
      <w:pPr>
        <w:pStyle w:val="style0"/>
        <w:spacing w:after="0"/>
        <w:jc w:val="center"/>
        <w:rPr>
          <w:i/>
          <w:iCs/>
        </w:rPr>
      </w:pPr>
      <w:r>
        <w:rPr>
          <w:i/>
          <w:iCs/>
        </w:rPr>
        <w:t>(Source: Self-created)</w:t>
      </w:r>
    </w:p>
    <w:p>
      <w:pPr>
        <w:pStyle w:val="style0"/>
        <w:spacing w:after="0"/>
        <w:rPr/>
      </w:pPr>
      <w:r>
        <w:t xml:space="preserve">Based on the PEO framework, the search question is as follows, </w:t>
      </w:r>
    </w:p>
    <w:p>
      <w:pPr>
        <w:pStyle w:val="style0"/>
        <w:spacing w:after="0"/>
        <w:rPr>
          <w:b/>
          <w:bCs/>
          <w:i/>
          <w:iCs/>
        </w:rPr>
      </w:pPr>
      <w:r>
        <w:rPr>
          <w:b/>
          <w:bCs/>
          <w:i/>
          <w:iCs/>
        </w:rPr>
        <w:t>“How do young adults in the UK perceive the influence of community-based mental health awareness programmes on mental health stigma?”</w:t>
      </w:r>
    </w:p>
    <w:p>
      <w:pPr>
        <w:pStyle w:val="style0"/>
        <w:spacing w:after="0"/>
        <w:rPr/>
      </w:pPr>
      <w:r>
        <w:t xml:space="preserve">The further conduction of the database search has been done based on focusing </w:t>
      </w:r>
      <w:r>
        <w:t>on a</w:t>
      </w:r>
      <w:r>
        <w:t xml:space="preserve"> proper strategy of search, which includes the use of the above PEO framework as well. There was the use of specific ‘Boolean Operators’ like 'AND’, 'NOT’, and 'OR’.  </w:t>
      </w:r>
    </w:p>
    <w:p>
      <w:pPr>
        <w:pStyle w:val="style0"/>
        <w:jc w:val="center"/>
        <w:rPr>
          <w:b/>
          <w:bCs/>
        </w:rPr>
      </w:pPr>
      <w:r>
        <w:rPr>
          <w:b/>
          <w:bCs/>
        </w:rPr>
        <w:t xml:space="preserve">Table </w:t>
      </w:r>
      <w:r>
        <w:rPr>
          <w:b/>
          <w:bCs/>
        </w:rPr>
        <w:fldChar w:fldCharType="begin"/>
      </w:r>
      <w:r>
        <w:rPr>
          <w:b/>
          <w:bCs/>
        </w:rPr>
        <w:instrText xml:space="preserve"> SEQ Table \* ARABIC </w:instrText>
      </w:r>
      <w:r>
        <w:rPr>
          <w:b/>
          <w:bCs/>
        </w:rPr>
        <w:fldChar w:fldCharType="separate"/>
      </w:r>
      <w:r>
        <w:rPr>
          <w:b/>
          <w:bCs/>
        </w:rPr>
        <w:t>2</w:t>
      </w:r>
      <w:r>
        <w:rPr>
          <w:b/>
          <w:bCs/>
        </w:rPr>
        <w:fldChar w:fldCharType="end"/>
      </w:r>
      <w:bookmarkStart w:id="31" w:name="_Toc31526"/>
      <w:r>
        <w:rPr>
          <w:b/>
          <w:bCs/>
        </w:rPr>
        <w:t>: Search Terms using PEO framework</w:t>
      </w:r>
      <w:bookmarkEnd w:id="31"/>
    </w:p>
    <w:tbl>
      <w:tblPr>
        <w:tblStyle w:val="style4099"/>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94"/>
        <w:gridCol w:w="1459"/>
        <w:gridCol w:w="5889"/>
      </w:tblGrid>
      <w:tr>
        <w:trPr/>
        <w:tc>
          <w:tcPr>
            <w:tcW w:w="1894" w:type="dxa"/>
            <w:tcBorders/>
          </w:tcPr>
          <w:p>
            <w:pPr>
              <w:pStyle w:val="style0"/>
              <w:spacing w:lineRule="auto" w:line="240"/>
              <w:rPr>
                <w:b/>
                <w:bCs/>
              </w:rPr>
            </w:pPr>
            <w:r>
              <w:rPr>
                <w:b/>
                <w:bCs/>
              </w:rPr>
              <w:t>Search Component</w:t>
            </w:r>
          </w:p>
        </w:tc>
        <w:tc>
          <w:tcPr>
            <w:tcW w:w="1459" w:type="dxa"/>
            <w:tcBorders/>
          </w:tcPr>
          <w:p>
            <w:pPr>
              <w:pStyle w:val="style0"/>
              <w:spacing w:lineRule="auto" w:line="240"/>
              <w:rPr>
                <w:b/>
                <w:bCs/>
              </w:rPr>
            </w:pPr>
            <w:r>
              <w:rPr>
                <w:b/>
                <w:bCs/>
              </w:rPr>
              <w:t>PEO Element</w:t>
            </w:r>
          </w:p>
        </w:tc>
        <w:tc>
          <w:tcPr>
            <w:tcW w:w="5889" w:type="dxa"/>
            <w:tcBorders/>
          </w:tcPr>
          <w:p>
            <w:pPr>
              <w:pStyle w:val="style0"/>
              <w:spacing w:lineRule="auto" w:line="240"/>
              <w:rPr>
                <w:b/>
                <w:bCs/>
              </w:rPr>
            </w:pPr>
            <w:r>
              <w:rPr>
                <w:b/>
                <w:bCs/>
              </w:rPr>
              <w:t>Search Terms (Synonyms Combined with OR)</w:t>
            </w:r>
          </w:p>
        </w:tc>
      </w:tr>
      <w:tr>
        <w:tblPrEx/>
        <w:trPr/>
        <w:tc>
          <w:tcPr>
            <w:tcW w:w="1894" w:type="dxa"/>
            <w:tcBorders/>
          </w:tcPr>
          <w:p>
            <w:pPr>
              <w:pStyle w:val="style0"/>
              <w:spacing w:lineRule="auto" w:line="240"/>
              <w:rPr/>
            </w:pPr>
            <w:r>
              <w:rPr>
                <w:b/>
                <w:bCs/>
              </w:rPr>
              <w:t>Search 1</w:t>
            </w:r>
          </w:p>
        </w:tc>
        <w:tc>
          <w:tcPr>
            <w:tcW w:w="1459" w:type="dxa"/>
            <w:tcBorders/>
          </w:tcPr>
          <w:p>
            <w:pPr>
              <w:pStyle w:val="style0"/>
              <w:spacing w:lineRule="auto" w:line="240"/>
              <w:rPr/>
            </w:pPr>
            <w:r>
              <w:t>Population (P)</w:t>
            </w:r>
          </w:p>
        </w:tc>
        <w:tc>
          <w:tcPr>
            <w:tcW w:w="5889" w:type="dxa"/>
            <w:tcBorders/>
          </w:tcPr>
          <w:p>
            <w:pPr>
              <w:pStyle w:val="style0"/>
              <w:spacing w:lineRule="auto" w:line="240"/>
              <w:rPr/>
            </w:pPr>
            <w:r>
              <w:t>“Young adults” OR “youth” OR “adolescents”</w:t>
            </w:r>
          </w:p>
        </w:tc>
      </w:tr>
      <w:tr>
        <w:tblPrEx/>
        <w:trPr/>
        <w:tc>
          <w:tcPr>
            <w:tcW w:w="1894" w:type="dxa"/>
            <w:tcBorders/>
          </w:tcPr>
          <w:p>
            <w:pPr>
              <w:pStyle w:val="style0"/>
              <w:spacing w:lineRule="auto" w:line="240"/>
              <w:rPr/>
            </w:pPr>
            <w:r>
              <w:rPr>
                <w:b/>
                <w:bCs/>
              </w:rPr>
              <w:t>Search 2</w:t>
            </w:r>
          </w:p>
        </w:tc>
        <w:tc>
          <w:tcPr>
            <w:tcW w:w="1459" w:type="dxa"/>
            <w:tcBorders/>
          </w:tcPr>
          <w:p>
            <w:pPr>
              <w:pStyle w:val="style0"/>
              <w:spacing w:lineRule="auto" w:line="240"/>
              <w:rPr/>
            </w:pPr>
            <w:r>
              <w:t>Exposure (E)</w:t>
            </w:r>
          </w:p>
        </w:tc>
        <w:tc>
          <w:tcPr>
            <w:tcW w:w="5889" w:type="dxa"/>
            <w:tcBorders/>
          </w:tcPr>
          <w:p>
            <w:pPr>
              <w:pStyle w:val="style0"/>
              <w:spacing w:lineRule="auto" w:line="240"/>
              <w:rPr/>
            </w:pPr>
            <w:r>
              <w:t>“Community-based programme” OR “mental health campaign” OR “awareness intervention”</w:t>
            </w:r>
          </w:p>
        </w:tc>
      </w:tr>
      <w:tr>
        <w:tblPrEx/>
        <w:trPr/>
        <w:tc>
          <w:tcPr>
            <w:tcW w:w="1894" w:type="dxa"/>
            <w:tcBorders/>
          </w:tcPr>
          <w:p>
            <w:pPr>
              <w:pStyle w:val="style0"/>
              <w:spacing w:lineRule="auto" w:line="240"/>
              <w:rPr/>
            </w:pPr>
            <w:r>
              <w:rPr>
                <w:b/>
                <w:bCs/>
              </w:rPr>
              <w:t>Search 3</w:t>
            </w:r>
          </w:p>
        </w:tc>
        <w:tc>
          <w:tcPr>
            <w:tcW w:w="1459" w:type="dxa"/>
            <w:tcBorders/>
          </w:tcPr>
          <w:p>
            <w:pPr>
              <w:pStyle w:val="style0"/>
              <w:spacing w:lineRule="auto" w:line="240"/>
              <w:rPr/>
            </w:pPr>
            <w:r>
              <w:t>Outcome (O)</w:t>
            </w:r>
          </w:p>
        </w:tc>
        <w:tc>
          <w:tcPr>
            <w:tcW w:w="5889" w:type="dxa"/>
            <w:tcBorders/>
          </w:tcPr>
          <w:p>
            <w:pPr>
              <w:pStyle w:val="style0"/>
              <w:spacing w:lineRule="auto" w:line="240"/>
              <w:rPr/>
            </w:pPr>
            <w:r>
              <w:t>“Mental health stigma” OR “perceptions of stigma” OR “attitudes toward mental illness”</w:t>
            </w:r>
          </w:p>
        </w:tc>
      </w:tr>
    </w:tbl>
    <w:p>
      <w:pPr>
        <w:pStyle w:val="style0"/>
        <w:spacing w:after="0"/>
        <w:jc w:val="center"/>
        <w:rPr>
          <w:i/>
          <w:iCs/>
        </w:rPr>
      </w:pPr>
      <w:r>
        <w:rPr>
          <w:i/>
          <w:iCs/>
        </w:rPr>
        <w:t>(Source: Self-created)</w:t>
      </w:r>
    </w:p>
    <w:p>
      <w:pPr>
        <w:pStyle w:val="style0"/>
        <w:rPr/>
      </w:pPr>
      <w:r>
        <w:t>This model is consistent with the research purpose, which is the comprehension of the impacts of community-based mental health awareness programmes on the stigma perceptions of the young adults, as opposed to the clinical outcomes.</w:t>
      </w:r>
    </w:p>
    <w:p>
      <w:pPr>
        <w:pStyle w:val="style0"/>
        <w:rPr/>
      </w:pPr>
      <w:r>
        <w:t>An organised Boolean search query was developed to promote the transparency and reproducibility of the systematic search process. The search strategy was constructed based on the PEO framework, and synonyms of all the components were combined with the help of the Boolean operator “OR”, and the various notions were interconnected with the help of the operator of combination “AND). This strategy made it possible to capture a wide scope of relevant studies and the search focus at the same time.</w:t>
      </w:r>
    </w:p>
    <w:p>
      <w:pPr>
        <w:pStyle w:val="style0"/>
        <w:rPr/>
      </w:pPr>
      <w:r>
        <w:t>In order to enhance even more the level of thoroughness in the search, several related terms were added to each constituent of the PEO framework. As an example, the population category has included the words: young adults, young people, youth, students, and adolescents to represent the various terms used by the researchers to describe the target group. In the same manner, different versions of mental health awareness programs and terminologies related to stigma were also incorporated to make sure that the studies with diverse terminologies were found.</w:t>
      </w:r>
    </w:p>
    <w:p>
      <w:pPr>
        <w:pStyle w:val="style0"/>
        <w:rPr/>
      </w:pPr>
      <w:r>
        <w:t>The following search strategy was used in PubMed as an illustration:</w:t>
      </w:r>
    </w:p>
    <w:p>
      <w:pPr>
        <w:pStyle w:val="style0"/>
        <w:rPr/>
      </w:pPr>
      <w:r>
        <w:t xml:space="preserve">(“young adult*” OR “young people” OR youth OR student* OR adolescent* OR “young person*”) </w:t>
      </w:r>
    </w:p>
    <w:p>
      <w:pPr>
        <w:pStyle w:val="style0"/>
        <w:rPr/>
      </w:pPr>
      <w:r>
        <w:t xml:space="preserve">AND </w:t>
      </w:r>
    </w:p>
    <w:p>
      <w:pPr>
        <w:pStyle w:val="style0"/>
        <w:rPr/>
      </w:pPr>
      <w:r>
        <w:t xml:space="preserve">(“mental health awareness” OR “mental health promotion” OR “community-based program*” </w:t>
      </w:r>
    </w:p>
    <w:p>
      <w:pPr>
        <w:pStyle w:val="style0"/>
        <w:rPr/>
      </w:pPr>
      <w:r>
        <w:t xml:space="preserve">OR “community intervention*” OR “mental health campaign*” OR “awareness intervention*”) </w:t>
      </w:r>
    </w:p>
    <w:p>
      <w:pPr>
        <w:pStyle w:val="style0"/>
        <w:rPr/>
      </w:pPr>
      <w:r>
        <w:t xml:space="preserve">AND </w:t>
      </w:r>
    </w:p>
    <w:p>
      <w:pPr>
        <w:pStyle w:val="style0"/>
        <w:rPr/>
      </w:pPr>
      <w:r>
        <w:t xml:space="preserve">(“mental health stigma” OR stigma OR discrimination OR “stigmatise*” </w:t>
      </w:r>
    </w:p>
    <w:p>
      <w:pPr>
        <w:pStyle w:val="style0"/>
        <w:rPr/>
      </w:pPr>
      <w:r>
        <w:t xml:space="preserve">OR “attitudes toward mental illness”) </w:t>
      </w:r>
    </w:p>
    <w:p>
      <w:pPr>
        <w:pStyle w:val="style0"/>
        <w:rPr/>
      </w:pPr>
      <w:r>
        <w:t xml:space="preserve">AND </w:t>
      </w:r>
    </w:p>
    <w:p>
      <w:pPr>
        <w:pStyle w:val="style0"/>
        <w:rPr/>
      </w:pPr>
      <w:r>
        <w:t>(UK OR “United Kingdom” OR England OR Scotland OR Wales OR “Northern Ireland”)</w:t>
      </w:r>
    </w:p>
    <w:p>
      <w:pPr>
        <w:pStyle w:val="style0"/>
        <w:rPr/>
      </w:pPr>
      <w:r>
        <w:t xml:space="preserve">Where necessary, truncation symbols () were applied to capture variations of key terms. </w:t>
      </w:r>
      <w:r>
        <w:rPr>
          <w:i/>
          <w:iCs/>
        </w:rPr>
        <w:t>For example, “student”</w:t>
      </w:r>
      <w:r>
        <w:t xml:space="preserve"> retrieves both </w:t>
      </w:r>
      <w:r>
        <w:rPr>
          <w:i/>
          <w:iCs/>
        </w:rPr>
        <w:t>student</w:t>
      </w:r>
      <w:r>
        <w:t xml:space="preserve"> and </w:t>
      </w:r>
      <w:r>
        <w:rPr>
          <w:i/>
          <w:iCs/>
        </w:rPr>
        <w:t>students</w:t>
      </w:r>
      <w:r>
        <w:t xml:space="preserve">, while </w:t>
      </w:r>
      <w:r>
        <w:rPr>
          <w:i/>
          <w:iCs/>
        </w:rPr>
        <w:t>“</w:t>
      </w:r>
      <w:r>
        <w:rPr>
          <w:i/>
          <w:iCs/>
        </w:rPr>
        <w:t>stigmatis</w:t>
      </w:r>
      <w:r>
        <w:rPr>
          <w:i/>
          <w:iCs/>
        </w:rPr>
        <w:t>”</w:t>
      </w:r>
      <w:r>
        <w:t>*</w:t>
      </w:r>
      <w:r>
        <w:t xml:space="preserve"> captures variations such as </w:t>
      </w:r>
      <w:r>
        <w:rPr>
          <w:i/>
          <w:iCs/>
        </w:rPr>
        <w:t>stigmatise</w:t>
      </w:r>
      <w:r>
        <w:t xml:space="preserve">, </w:t>
      </w:r>
      <w:r>
        <w:rPr>
          <w:i/>
          <w:iCs/>
        </w:rPr>
        <w:t>stigmatise</w:t>
      </w:r>
      <w:r>
        <w:t xml:space="preserve">, and </w:t>
      </w:r>
      <w:r>
        <w:rPr>
          <w:i/>
          <w:iCs/>
        </w:rPr>
        <w:t>stigmatisation</w:t>
      </w:r>
      <w:r>
        <w:t xml:space="preserve">. Also, both program and programme spellings were included with the truncation program. This </w:t>
      </w:r>
      <w:r>
        <w:t>systematic methodology served to make sure that the search strategy covered a wide scope of pertinent literature without becoming too off-course.</w:t>
      </w:r>
    </w:p>
    <w:bookmarkStart w:id="32" w:name="_Toc25531"/>
    <w:p>
      <w:pPr>
        <w:pStyle w:val="style2"/>
        <w:spacing w:lineRule="auto" w:line="480"/>
        <w:rPr/>
      </w:pPr>
      <w:r>
        <w:t>3.5 Key Words</w:t>
      </w:r>
      <w:bookmarkEnd w:id="32"/>
    </w:p>
    <w:p>
      <w:pPr>
        <w:pStyle w:val="style0"/>
        <w:spacing w:after="0"/>
        <w:rPr/>
      </w:pPr>
      <w:r>
        <w:t xml:space="preserve">Keywords are considered to be the main concepts that have been used for locating the relevant studies of research within academic databases. Some of the important keywords used were “youth mental health stigma”, ‘‘mental health awareness’’, ‘‘stigma reduction’’ and “community-based interventions”. All of these keywords were mainly selected based on the framework of PEO while ensuring to address the intervention and population type.  </w:t>
      </w:r>
    </w:p>
    <w:bookmarkStart w:id="33" w:name="_Toc4604"/>
    <w:p>
      <w:pPr>
        <w:pStyle w:val="style2"/>
        <w:spacing w:lineRule="auto" w:line="480"/>
        <w:rPr/>
      </w:pPr>
      <w:r>
        <w:t>3.6 Databases</w:t>
      </w:r>
      <w:bookmarkEnd w:id="33"/>
    </w:p>
    <w:p>
      <w:pPr>
        <w:pStyle w:val="style0"/>
        <w:spacing w:after="0"/>
        <w:rPr/>
      </w:pPr>
      <w:r>
        <w:t xml:space="preserve">For the selection of proper articles, several databases were mainly searched, such as CINAHL, PubMed, and PsycINFO. All of these databases were selected primarily because they cover public/medical health (PubMed), psychological stigma research (PsycINFO), and nursing or community research (CINAHL). While comparing with other databases, such as Scopus or Web of Science, that help in the provisioning of better indexing associated with multidisciplinary approaches, all the selected databases were further prioritised as part of a depth evaluation based on subjects. However, restricting all the 3 databases further introduces the bias related to the selection of databases, highlighting further relevant UK-related community studies as well. As per </w:t>
      </w:r>
      <w:r>
        <w:rPr>
          <w:highlight w:val="white"/>
        </w:rPr>
        <w:t xml:space="preserve">Wright </w:t>
      </w:r>
      <w:r>
        <w:rPr>
          <w:i/>
          <w:iCs/>
          <w:highlight w:val="white"/>
        </w:rPr>
        <w:t xml:space="preserve">et al. </w:t>
      </w:r>
      <w:r>
        <w:rPr>
          <w:highlight w:val="white"/>
        </w:rPr>
        <w:t xml:space="preserve">(2015), the use of databases like CINAHL and PubMed helps in the identification of the relevant articles while also including the final synthesis of the data as well. </w:t>
      </w:r>
    </w:p>
    <w:bookmarkStart w:id="34" w:name="_Toc10858"/>
    <w:p>
      <w:pPr>
        <w:pStyle w:val="style2"/>
        <w:spacing w:lineRule="auto" w:line="480"/>
        <w:rPr/>
      </w:pPr>
      <w:r>
        <w:t>3.7 Inclusion/Exclusion Criteria </w:t>
      </w:r>
      <w:bookmarkEnd w:id="34"/>
    </w:p>
    <w:p>
      <w:pPr>
        <w:pStyle w:val="style0"/>
        <w:rPr/>
      </w:pPr>
      <w:r>
        <w:t>During the process of developing a systematic literature review, it is essential to use both inclusion and exclusion criteria when selecting literature articles. Therefore, while exploring the purpose of using both the inclusion and exclusion criteria, it is easy to identify the research papers that can help in addressing the pre-structured research questions within specific scientific research (</w:t>
      </w:r>
      <w:r>
        <w:t>Trilles</w:t>
      </w:r>
      <w:r>
        <w:t> </w:t>
      </w:r>
      <w:r>
        <w:rPr>
          <w:i/>
          <w:iCs/>
        </w:rPr>
        <w:t>et al.,</w:t>
      </w:r>
      <w:r>
        <w:t xml:space="preserve"> 2024). Moreover, it could also be stated that the exclusion criteria help refine the scope of the review by ensuring that only studies relevant to the research question are included, although strict criteria may reduce the overall generalisability of findings (</w:t>
      </w:r>
      <w:r>
        <w:t>Maghfour</w:t>
      </w:r>
      <w:r>
        <w:t> </w:t>
      </w:r>
      <w:r>
        <w:rPr>
          <w:i/>
          <w:iCs/>
        </w:rPr>
        <w:t>et al.,</w:t>
      </w:r>
      <w:r>
        <w:t xml:space="preserve"> 2023). Therefore, in the process of completing the current systematic literature review to identify the impact of community-based mental health awareness programmes for reducing the mental health stigma among the young adults of the United Kingdom, there is a need </w:t>
      </w:r>
      <w:r>
        <w:t>to incorporate relevant inclusion and exclusion criteria for selecting the research studies. </w:t>
      </w:r>
    </w:p>
    <w:bookmarkStart w:id="35" w:name="_Toc32315"/>
    <w:p>
      <w:pPr>
        <w:pStyle w:val="style3"/>
        <w:spacing w:lineRule="auto" w:line="480"/>
        <w:rPr/>
      </w:pPr>
      <w:r>
        <w:t>3.7.1 Inclusion Criteria </w:t>
      </w:r>
      <w:bookmarkEnd w:id="35"/>
    </w:p>
    <w:p>
      <w:pPr>
        <w:pStyle w:val="style0"/>
        <w:jc w:val="center"/>
        <w:rPr/>
      </w:pPr>
      <w:r>
        <w:rPr>
          <w:b/>
          <w:bCs/>
        </w:rPr>
        <w:t xml:space="preserve">Table </w:t>
      </w:r>
      <w:r>
        <w:rPr>
          <w:b/>
          <w:bCs/>
        </w:rPr>
        <w:fldChar w:fldCharType="begin"/>
      </w:r>
      <w:r>
        <w:rPr>
          <w:b/>
          <w:bCs/>
        </w:rPr>
        <w:instrText xml:space="preserve"> SEQ Table \* ARABIC </w:instrText>
      </w:r>
      <w:r>
        <w:rPr>
          <w:b/>
          <w:bCs/>
        </w:rPr>
        <w:fldChar w:fldCharType="separate"/>
      </w:r>
      <w:r>
        <w:rPr>
          <w:b/>
          <w:bCs/>
        </w:rPr>
        <w:t>3</w:t>
      </w:r>
      <w:r>
        <w:rPr>
          <w:b/>
          <w:bCs/>
        </w:rPr>
        <w:fldChar w:fldCharType="end"/>
      </w:r>
      <w:bookmarkStart w:id="36" w:name="_Toc17215"/>
      <w:r>
        <w:rPr>
          <w:b/>
          <w:bCs/>
        </w:rPr>
        <w:t>: Inclusion Criteria</w:t>
      </w:r>
      <w:bookmarkEnd w:id="36"/>
    </w:p>
    <w:tbl>
      <w:tblPr>
        <w:tblStyle w:val="style4100"/>
        <w:tblW w:w="9042" w:type="dxa"/>
        <w:tblInd w:w="0" w:type="dxa"/>
        <w:tblBorders>
          <w:top w:val="single" w:sz="6" w:space="0" w:color="000000"/>
          <w:left w:val="single" w:sz="6" w:space="0" w:color="000000"/>
          <w:bottom w:val="single" w:sz="6" w:space="0" w:color="000000"/>
          <w:right w:val="single" w:sz="6" w:space="0" w:color="000000"/>
        </w:tblBorders>
        <w:tblLayout w:type="fixed"/>
        <w:tblLook w:val="04A0" w:firstRow="1" w:lastRow="0" w:firstColumn="1" w:lastColumn="0" w:noHBand="0" w:noVBand="1"/>
      </w:tblPr>
      <w:tblGrid>
        <w:gridCol w:w="3058"/>
        <w:gridCol w:w="5984"/>
      </w:tblGrid>
      <w:tr>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Criteria</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Inclusion</w:t>
            </w:r>
          </w:p>
        </w:tc>
      </w:tr>
      <w:tr>
        <w:tblPrEx/>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Publication type</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pPr>
            <w:r>
              <w:t>Peer-reviewed journal articles</w:t>
            </w:r>
          </w:p>
        </w:tc>
      </w:tr>
      <w:tr>
        <w:tblPrEx/>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Study design</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pPr>
            <w:r>
              <w:t>Qualitative studies</w:t>
            </w:r>
          </w:p>
        </w:tc>
      </w:tr>
      <w:tr>
        <w:tblPrEx/>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Population focus</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pPr>
            <w:r>
              <w:t>Young adults aged 16–25 years; studies where data for this age group are clearly identifiable; community, educational, or youth-based settings</w:t>
            </w:r>
          </w:p>
        </w:tc>
      </w:tr>
      <w:tr>
        <w:tblPrEx/>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Geographical location</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pPr>
            <w:r>
              <w:t>Studies conducted within the United Kingdom (England, Scotland, Wales, or Northern Ireland)</w:t>
            </w:r>
          </w:p>
        </w:tc>
      </w:tr>
      <w:tr>
        <w:tblPrEx/>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Date range</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pPr>
            <w:r>
              <w:t>Publications from 2016–2026</w:t>
            </w:r>
          </w:p>
        </w:tc>
      </w:tr>
      <w:tr>
        <w:tblPrEx/>
        <w:trPr>
          <w:trHeight w:val="300" w:hRule="atLeast"/>
        </w:trPr>
        <w:tc>
          <w:tcPr>
            <w:tcW w:w="305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Language</w:t>
            </w:r>
          </w:p>
        </w:tc>
        <w:tc>
          <w:tcPr>
            <w:tcW w:w="5984" w:type="dxa"/>
            <w:tcBorders>
              <w:top w:val="single" w:sz="6" w:space="0" w:color="000000"/>
              <w:left w:val="single" w:sz="6" w:space="0" w:color="000000"/>
              <w:bottom w:val="single" w:sz="6" w:space="0" w:color="000000"/>
              <w:right w:val="single" w:sz="6" w:space="0" w:color="000000"/>
            </w:tcBorders>
          </w:tcPr>
          <w:p>
            <w:pPr>
              <w:pStyle w:val="style0"/>
              <w:jc w:val="center"/>
              <w:rPr/>
            </w:pPr>
            <w:r>
              <w:t>Studies published in English</w:t>
            </w:r>
          </w:p>
        </w:tc>
      </w:tr>
    </w:tbl>
    <w:p>
      <w:pPr>
        <w:pStyle w:val="style0"/>
        <w:jc w:val="center"/>
        <w:rPr/>
      </w:pPr>
      <w:r>
        <w:rPr>
          <w:i/>
          <w:iCs/>
        </w:rPr>
        <w:t>(Source: Self-Created)</w:t>
      </w:r>
    </w:p>
    <w:bookmarkStart w:id="37" w:name="_Toc22377"/>
    <w:p>
      <w:pPr>
        <w:pStyle w:val="style3"/>
        <w:spacing w:lineRule="auto" w:line="480"/>
        <w:rPr/>
      </w:pPr>
      <w:r>
        <w:t>3.7.2 Exclusion Criteria </w:t>
      </w:r>
      <w:bookmarkEnd w:id="37"/>
    </w:p>
    <w:p>
      <w:pPr>
        <w:pStyle w:val="style0"/>
        <w:jc w:val="center"/>
        <w:rPr/>
      </w:pPr>
      <w:r>
        <w:rPr>
          <w:b/>
          <w:bCs/>
        </w:rPr>
        <w:t xml:space="preserve">Table </w:t>
      </w:r>
      <w:r>
        <w:rPr>
          <w:b/>
          <w:bCs/>
        </w:rPr>
        <w:fldChar w:fldCharType="begin"/>
      </w:r>
      <w:r>
        <w:rPr>
          <w:b/>
          <w:bCs/>
        </w:rPr>
        <w:instrText xml:space="preserve"> SEQ Table \* ARABIC </w:instrText>
      </w:r>
      <w:r>
        <w:rPr>
          <w:b/>
          <w:bCs/>
        </w:rPr>
        <w:fldChar w:fldCharType="separate"/>
      </w:r>
      <w:r>
        <w:rPr>
          <w:b/>
          <w:bCs/>
        </w:rPr>
        <w:t>4</w:t>
      </w:r>
      <w:r>
        <w:rPr>
          <w:b/>
          <w:bCs/>
        </w:rPr>
        <w:fldChar w:fldCharType="end"/>
      </w:r>
      <w:bookmarkStart w:id="38" w:name="_Toc3918"/>
      <w:r>
        <w:rPr>
          <w:b/>
          <w:bCs/>
        </w:rPr>
        <w:t>: Exclusion Criteria</w:t>
      </w:r>
      <w:bookmarkEnd w:id="38"/>
    </w:p>
    <w:tbl>
      <w:tblPr>
        <w:tblStyle w:val="style4101"/>
        <w:tblW w:w="9042" w:type="dxa"/>
        <w:tblInd w:w="0" w:type="dxa"/>
        <w:tblBorders>
          <w:top w:val="single" w:sz="6" w:space="0" w:color="000000"/>
          <w:left w:val="single" w:sz="6" w:space="0" w:color="000000"/>
          <w:bottom w:val="single" w:sz="6" w:space="0" w:color="000000"/>
          <w:right w:val="single" w:sz="6" w:space="0" w:color="000000"/>
        </w:tblBorders>
        <w:tblLayout w:type="fixed"/>
        <w:tblLook w:val="04A0" w:firstRow="1" w:lastRow="0" w:firstColumn="1" w:lastColumn="0" w:noHBand="0" w:noVBand="1"/>
      </w:tblPr>
      <w:tblGrid>
        <w:gridCol w:w="2194"/>
        <w:gridCol w:w="6848"/>
      </w:tblGrid>
      <w:tr>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Criteria</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Exclusion</w:t>
            </w:r>
          </w:p>
        </w:tc>
      </w:tr>
      <w:tr>
        <w:tblPrEx/>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Publication type</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pPr>
            <w:r>
              <w:t>Opinion pieces, editorials, blogs, conference abstracts without full papers, unpublished theses or dissertations, media articles, UK government or public health reports (e.g. NHS, Public Health England), reputable charity or third-sector research reports.</w:t>
            </w:r>
          </w:p>
        </w:tc>
      </w:tr>
      <w:tr>
        <w:tblPrEx/>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Study design</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pPr>
            <w:r>
              <w:t>Quantitative, or mixed-method studies, clinical or pharmacological studies only; studies lacking evaluative or experiential data; studies not addressing stigma or awareness</w:t>
            </w:r>
          </w:p>
        </w:tc>
      </w:tr>
      <w:tr>
        <w:tblPrEx/>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Population focus</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pPr>
            <w:r>
              <w:t>Studies focusing exclusively on children under 16 or adults over 25; studies centred only on professionals or carers; unclear population age range</w:t>
            </w:r>
          </w:p>
        </w:tc>
      </w:tr>
      <w:tr>
        <w:tblPrEx/>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Geographical location</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pPr>
            <w:r>
              <w:t>Studies conducted outside the UK; international studies where UK-specific findings cannot be isolated</w:t>
            </w:r>
          </w:p>
        </w:tc>
      </w:tr>
      <w:tr>
        <w:tblPrEx/>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Date range</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pPr>
            <w:r>
              <w:t>Publications published before 2016</w:t>
            </w:r>
          </w:p>
        </w:tc>
      </w:tr>
      <w:tr>
        <w:tblPrEx/>
        <w:trPr>
          <w:trHeight w:val="300" w:hRule="atLeast"/>
        </w:trPr>
        <w:tc>
          <w:tcPr>
            <w:tcW w:w="2194" w:type="dxa"/>
            <w:tcBorders>
              <w:top w:val="single" w:sz="6" w:space="0" w:color="000000"/>
              <w:left w:val="single" w:sz="6" w:space="0" w:color="000000"/>
              <w:bottom w:val="single" w:sz="6" w:space="0" w:color="000000"/>
              <w:right w:val="single" w:sz="6" w:space="0" w:color="000000"/>
            </w:tcBorders>
          </w:tcPr>
          <w:p>
            <w:pPr>
              <w:pStyle w:val="style0"/>
              <w:jc w:val="center"/>
              <w:rPr>
                <w:b/>
                <w:bCs/>
              </w:rPr>
            </w:pPr>
            <w:r>
              <w:rPr>
                <w:b/>
                <w:bCs/>
              </w:rPr>
              <w:t>Language</w:t>
            </w:r>
          </w:p>
        </w:tc>
        <w:tc>
          <w:tcPr>
            <w:tcW w:w="6848" w:type="dxa"/>
            <w:tcBorders>
              <w:top w:val="single" w:sz="6" w:space="0" w:color="000000"/>
              <w:left w:val="single" w:sz="6" w:space="0" w:color="000000"/>
              <w:bottom w:val="single" w:sz="6" w:space="0" w:color="000000"/>
              <w:right w:val="single" w:sz="6" w:space="0" w:color="000000"/>
            </w:tcBorders>
          </w:tcPr>
          <w:p>
            <w:pPr>
              <w:pStyle w:val="style0"/>
              <w:jc w:val="center"/>
              <w:rPr/>
            </w:pPr>
            <w:r>
              <w:t>Studies published in languages other than English</w:t>
            </w:r>
          </w:p>
        </w:tc>
      </w:tr>
    </w:tbl>
    <w:p>
      <w:pPr>
        <w:pStyle w:val="style0"/>
        <w:jc w:val="center"/>
        <w:rPr>
          <w:i/>
          <w:iCs/>
        </w:rPr>
      </w:pPr>
      <w:r>
        <w:rPr>
          <w:i/>
          <w:iCs/>
        </w:rPr>
        <w:t>(source: self-created)</w:t>
      </w:r>
    </w:p>
    <w:bookmarkStart w:id="39" w:name="_Toc2604"/>
    <w:p>
      <w:pPr>
        <w:pStyle w:val="style3"/>
        <w:spacing w:lineRule="auto" w:line="480"/>
        <w:rPr/>
      </w:pPr>
      <w:r>
        <w:t>3.7.3 Justification for Inclusion and Exclusion Criteria</w:t>
      </w:r>
      <w:bookmarkEnd w:id="39"/>
    </w:p>
    <w:p>
      <w:pPr>
        <w:pStyle w:val="style0"/>
        <w:rPr/>
      </w:pPr>
      <w:r>
        <w:t xml:space="preserve">To justify the use of different inclusion and exclusion criteria in this research, it could be noticed that qualitative studies have been included, as this research needed to explore perceptions, lived experiences, attitudes, and subjective understandings of stigma reduction among young adults. However, the quantitative method was not chosen, although Quantitative studies are effective in offering stronger generalisability and numerical evidence of effectiveness (Smith </w:t>
      </w:r>
      <w:r>
        <w:rPr>
          <w:i/>
          <w:iCs/>
        </w:rPr>
        <w:t>et al.,</w:t>
      </w:r>
      <w:r>
        <w:t xml:space="preserve"> 2021), as it did not align well with the research purpose. </w:t>
      </w:r>
    </w:p>
    <w:p>
      <w:pPr>
        <w:pStyle w:val="style0"/>
        <w:rPr/>
      </w:pPr>
      <w:r>
        <w:t xml:space="preserve">On the other hand, the use of the time limiter to select the research articles published between the selected 10-year timeframe of 2016–2026 was chosen to ensure that the current research significantly reflects the contemporary research ideas. Restricting the studies that are based in the UK helps in strengthening the relevancy with the research context while further decreasing the external validity, along with limiting the transferability of the findings. Moreover, limiting to the publications that are based on only the English language further introduces the presence of potential biases of language while further excluding any kind of multilingual community research as well. This has been emphasised by Shaheen </w:t>
      </w:r>
      <w:r>
        <w:rPr>
          <w:i/>
          <w:iCs/>
        </w:rPr>
        <w:t>et al.</w:t>
      </w:r>
      <w:r>
        <w:t xml:space="preserve"> (2023), who stated that it is important to ensure that a systematic review incorporates the latest findings and developments, which eventually helps in enhancing the relevance and currency of the research. </w:t>
      </w:r>
    </w:p>
    <w:bookmarkStart w:id="40" w:name="_Toc17006"/>
    <w:p>
      <w:pPr>
        <w:pStyle w:val="style2"/>
        <w:spacing w:lineRule="auto" w:line="480"/>
        <w:rPr/>
      </w:pPr>
      <w:r>
        <w:t>3.8 Search Results </w:t>
      </w:r>
      <w:bookmarkEnd w:id="40"/>
    </w:p>
    <w:p>
      <w:pPr>
        <w:pStyle w:val="style0"/>
        <w:rPr/>
      </w:pPr>
      <w:r>
        <w:t xml:space="preserve">To present the search results of the current research based on the previously identified inclusion and exclusion criteria, an unspecific framework has been utilised, which is known as the PRISMA framework. The PRISMA framework is usually depicted in the form of a flow diagram, which acts as a static infographic for describing the sources alongside the numbers and the fates of the identified research articles, which are screened during the process of collecting the articles to complete the systematic review (Haddaway </w:t>
      </w:r>
      <w:r>
        <w:rPr>
          <w:i/>
          <w:iCs/>
        </w:rPr>
        <w:t>et al.,</w:t>
      </w:r>
      <w:r>
        <w:t xml:space="preserve"> 2022). Moreover, another research developed by Selcuk (2019) indicated that the use of the PRISMA flow diagram is associated with </w:t>
      </w:r>
      <w:r>
        <w:t>a four phased wrote along with 27-item checklists. Moreover, the 27-item checklist that is utilised in this PRISMA screening process includes different topics like the title of research, the abstract, the introduction, the research method, the overall research results, the research discussion and finally the use of financing in the research development process. While the PRISMA framework helps in increasing transparency along with reporting consistency, it further fails to eliminate the biases of screening along with publications. Additionally, the PRISMA framework also focuses on successfully reporting the methodological quality of all the involved studies while strengthening transparency while not able to guarantee the authenticity of the evidence.</w:t>
      </w:r>
    </w:p>
    <w:p>
      <w:pPr>
        <w:pStyle w:val="style0"/>
        <w:jc w:val="center"/>
        <w:rPr/>
      </w:pPr>
      <w:r>
        <w:rPr>
          <w:noProof/>
          <w:lang w:val="en-US" w:eastAsia="en-US"/>
        </w:rPr>
        <w:drawing>
          <wp:inline distL="0" distT="0" distB="0" distR="0">
            <wp:extent cx="5191125" cy="5429250"/>
            <wp:effectExtent l="0" t="0" r="0" b="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5191125" cy="5429250"/>
                    </a:xfrm>
                    <a:prstGeom prst="rect"/>
                  </pic:spPr>
                </pic:pic>
              </a:graphicData>
            </a:graphic>
          </wp:inline>
        </w:drawing>
      </w:r>
    </w:p>
    <w:p>
      <w:pPr>
        <w:pStyle w:val="style0"/>
        <w:jc w:val="center"/>
        <w:rPr>
          <w:b/>
          <w:bCs/>
          <w:i/>
          <w:iCs/>
        </w:rPr>
      </w:pPr>
      <w:r>
        <w:rPr>
          <w:b/>
          <w:bCs/>
        </w:rPr>
        <w:t xml:space="preserve">Figure </w:t>
      </w:r>
      <w:r>
        <w:rPr>
          <w:b/>
          <w:bCs/>
        </w:rPr>
        <w:fldChar w:fldCharType="begin"/>
      </w:r>
      <w:r>
        <w:rPr>
          <w:b/>
          <w:bCs/>
        </w:rPr>
        <w:instrText xml:space="preserve"> SEQ Figure \* ARABIC </w:instrText>
      </w:r>
      <w:r>
        <w:rPr>
          <w:b/>
          <w:bCs/>
        </w:rPr>
        <w:fldChar w:fldCharType="separate"/>
      </w:r>
      <w:r>
        <w:rPr>
          <w:b/>
          <w:bCs/>
        </w:rPr>
        <w:t>1</w:t>
      </w:r>
      <w:r>
        <w:rPr>
          <w:b/>
          <w:bCs/>
        </w:rPr>
        <w:fldChar w:fldCharType="end"/>
      </w:r>
      <w:bookmarkStart w:id="41" w:name="_Toc2610"/>
      <w:r>
        <w:rPr>
          <w:b/>
          <w:bCs/>
        </w:rPr>
        <w:t>: PRISMA flow chart</w:t>
      </w:r>
      <w:bookmarkEnd w:id="41"/>
    </w:p>
    <w:p>
      <w:pPr>
        <w:pStyle w:val="style0"/>
        <w:jc w:val="center"/>
        <w:rPr>
          <w:i/>
          <w:iCs/>
        </w:rPr>
      </w:pPr>
      <w:r>
        <w:rPr>
          <w:i/>
          <w:iCs/>
        </w:rPr>
        <w:t>(Source: self-made)</w:t>
      </w:r>
    </w:p>
    <w:p>
      <w:pPr>
        <w:pStyle w:val="style0"/>
        <w:rPr/>
      </w:pPr>
      <w:r>
        <w:t>From the above PRISMA flow diagram, it could be noticed that initially, the records that have been identified from the selected databases, including PubMed, PsycINFO and CINAHL, are around 367. However, from these initially selected records, 189 records have been removed due to duplication issues. Therefore, 178 records remained, and after the primary screening, 64 records from these were removed. After this removal, the remaining article number became 114, and from these 114 reports, 49 articles were removed as there was a lack of available full text. Eventually, only 65 reports remained, and from these 65 reports, another 55 were removed as these were not primary qualitative articles. Thus, the remaining ten articles covered all the essential criteria for being included in the current systematic review, which resulted in the inclusion of these ten articles. </w:t>
      </w:r>
    </w:p>
    <w:bookmarkStart w:id="42" w:name="_Toc17847"/>
    <w:p>
      <w:pPr>
        <w:pStyle w:val="style2"/>
        <w:spacing w:before="0" w:lineRule="auto" w:line="480"/>
        <w:rPr/>
      </w:pPr>
      <w:r>
        <w:rPr>
          <w:rFonts w:eastAsia="Calibri"/>
        </w:rPr>
        <w:t>3.9 Data Extraction and Synthesis </w:t>
      </w:r>
      <w:bookmarkEnd w:id="42"/>
    </w:p>
    <w:p>
      <w:pPr>
        <w:pStyle w:val="style0"/>
        <w:rPr/>
      </w:pPr>
      <w:r>
        <w:t xml:space="preserve">After the selection of the articles, a well-structured data extraction form has been developed for capturing the characteristics like research setting, year, and author names of the studies, while also evaluating their methodologies and key findings as well. All the extracted data were then synthesised or analysed with the use of ‘thematic analysis’, which is, according to Terry </w:t>
      </w:r>
      <w:r>
        <w:rPr>
          <w:i/>
          <w:iCs/>
        </w:rPr>
        <w:t xml:space="preserve">et al. </w:t>
      </w:r>
      <w:r>
        <w:t>(2017), known as a widely used method of data analysis, along with being able to identify the issues related to the theoretical assumptions as well, while being developed by Braun and Clarke in the year 2006. </w:t>
      </w:r>
    </w:p>
    <w:p>
      <w:pPr>
        <w:pStyle w:val="style0"/>
        <w:rPr/>
      </w:pPr>
      <w:r>
        <w:t>The process of ‘Thematic Analysis’ includes 6 different stages, which include familiarisation, initial coding, development of theme, reviewing of all the themes, defining the themes, and lastly reporting them (Riger et</w:t>
      </w:r>
      <w:r>
        <w:rPr>
          <w:i/>
          <w:iCs/>
        </w:rPr>
        <w:t xml:space="preserve"> al.</w:t>
      </w:r>
      <w:r>
        <w:t>, 2016).  The selection of this approach has been further identified to be useful as it helps in the provisioning of better integration of all the useful designs of research without requiring the transition in concepts.</w:t>
      </w:r>
    </w:p>
    <w:bookmarkStart w:id="43" w:name="_Toc7844"/>
    <w:p>
      <w:pPr>
        <w:pStyle w:val="style2"/>
        <w:spacing w:lineRule="auto" w:line="480"/>
        <w:rPr/>
      </w:pPr>
      <w:r>
        <w:t>3.10 Quality Appraisal</w:t>
      </w:r>
      <w:bookmarkEnd w:id="43"/>
    </w:p>
    <w:p>
      <w:pPr>
        <w:pStyle w:val="style0"/>
        <w:rPr/>
      </w:pPr>
      <w:r>
        <w:t>After the collection of all the articles, all of them have been critically appraised with the use of the CASP (Critical Appraisal Skills Programme) checklist for all the ‘qualitative’ type of studies. According to CASP (2024), the use of the CASP checklists of CASP helps in enabling a better assessment of trustworthiness, along with achieving better relevance with the results, followed by acknowledging the potential resources. Quality assessment has been further identified to assess the quality of the research articles while ensuring the level of transparency, along with maintaining a structured level of inclusiveness as well. This also further strengthens the synthesis of evidence.</w:t>
      </w:r>
    </w:p>
    <w:bookmarkStart w:id="44" w:name="_Toc30384"/>
    <w:p>
      <w:pPr>
        <w:pStyle w:val="style2"/>
        <w:spacing w:lineRule="auto" w:line="480"/>
        <w:rPr/>
      </w:pPr>
      <w:r>
        <w:t>3.11 Methodological Limitations</w:t>
      </w:r>
      <w:bookmarkEnd w:id="44"/>
    </w:p>
    <w:p>
      <w:pPr>
        <w:pStyle w:val="style0"/>
        <w:rPr/>
      </w:pPr>
      <w:r>
        <w:t>All the methodological decisions have been identified to showcase several limitations, starting from limiting generalisability within this research due to the use of only ‘qualitative’ articles. Another limitation includes restriction to UK-only articles, which decreases the presence of transferability. Furthermore, the use of only English articles restricts the introduction of language biases as well. Moreover, the selected databases often cause selection biases along with developing publication biases. All of the limitations are further acknowledged and have been revisited in the next chapter while interpreting the findings to ensure the achievement of a structured conclusion as well. Also, the quantitative studies cannot be included, which can reduce the possibility of determining the objective effectiveness of awareness programmes, so the results can be understood more in the context of perceived impact and experiences rather than in connection with the numerical results.</w:t>
      </w:r>
    </w:p>
    <w:bookmarkStart w:id="45" w:name="_Toc25726"/>
    <w:p>
      <w:pPr>
        <w:pStyle w:val="style2"/>
        <w:spacing w:lineRule="auto" w:line="480"/>
        <w:rPr/>
      </w:pPr>
      <w:r>
        <w:t>3.12 Ethical Considerations </w:t>
      </w:r>
      <w:bookmarkEnd w:id="45"/>
    </w:p>
    <w:p>
      <w:pPr>
        <w:pStyle w:val="style0"/>
        <w:rPr/>
      </w:pPr>
      <w:r>
        <w:t>As the current research was developed by using a secondary research design, there was no need to utilise informed consent as there was no direct connection with human participants within this research. However, while selecting the research articles, the maintenance of research ethics has been ensured by using peer-reviewed research articles that are ethically approved by institutional review boards. This helped in ensuring the utilisation of only the research articles that are suitable and safe to be used in the current research to prevent the development of any ethical issues. Not only that, another major approach that has been taken is the use of the proper acknowledgement of the research ideas that have been taken from the selected research articles. This was completed by using proper citation and creating a bibliography list at the end of the dissertation. This process helped in ensuring the prevention of any plagiarism issues that could create academic misconduct and reduce the quality of this paper. </w:t>
      </w:r>
    </w:p>
    <w:bookmarkStart w:id="46" w:name="_Toc7666"/>
    <w:p>
      <w:pPr>
        <w:pStyle w:val="style2"/>
        <w:spacing w:lineRule="auto" w:line="480"/>
        <w:rPr/>
      </w:pPr>
      <w:r>
        <w:t>3.13 Chapter Summary </w:t>
      </w:r>
      <w:bookmarkEnd w:id="46"/>
    </w:p>
    <w:p>
      <w:pPr>
        <w:pStyle w:val="style0"/>
        <w:rPr/>
      </w:pPr>
      <w:r>
        <w:t xml:space="preserve">In conclusion to this methodology section, it could be stated that this research was effectively developed by following the different stages of systematic literature review development. While initiating with the development of a specific research question by following the PEO framework, the use of significant literature articles by considering the inclusion and exclusion criteria was also effective in maintaining the validity of the current research. Apart from that, the use of the PRISMA framework helped in </w:t>
      </w:r>
      <w:r>
        <w:t>ensuring the proper screening of the research articles before including them in the current systematic review. This helped in maintaining the overall quality of this dissertation.</w:t>
      </w:r>
    </w:p>
    <w:p>
      <w:pPr>
        <w:pStyle w:val="style0"/>
        <w:rPr>
          <w:b/>
          <w:bCs/>
          <w:sz w:val="28"/>
          <w:szCs w:val="28"/>
        </w:rPr>
      </w:pPr>
      <w:r>
        <w:br w:type="page"/>
      </w:r>
    </w:p>
    <w:bookmarkStart w:id="47" w:name="_Toc31474"/>
    <w:p>
      <w:pPr>
        <w:pStyle w:val="style1"/>
        <w:spacing w:lineRule="auto" w:line="480"/>
        <w:rPr/>
      </w:pPr>
      <w:r>
        <w:t>CHAPTER 4: DATA EXTRACTION AND EVALUATION</w:t>
      </w:r>
      <w:bookmarkEnd w:id="47"/>
    </w:p>
    <w:bookmarkStart w:id="48" w:name="_Toc21003"/>
    <w:p>
      <w:pPr>
        <w:pStyle w:val="style2"/>
        <w:spacing w:lineRule="auto" w:line="480"/>
        <w:rPr/>
      </w:pPr>
      <w:r>
        <w:t>4.1 Introduction to Chapter</w:t>
      </w:r>
      <w:bookmarkEnd w:id="48"/>
    </w:p>
    <w:p>
      <w:pPr>
        <w:pStyle w:val="style0"/>
        <w:rPr/>
      </w:pPr>
      <w:r>
        <w:t>This chapter gives the information on systematic procedures of extraction and critical review of the ten suitable qualitative studies, which were included in this review. It describes how a pre-established data extraction form is used and constructed, and why the quality of methodology is an important topic to evaluate. The chapter introduces the selected critical appraisal tool, which is the Critical Appraisal Skills Programme (CASP) Qualitative Checklist and applies it to assess the rigour, credibility, and relevance of the study. This makes these procedures transparent and increases the believability of the evidence base.</w:t>
      </w:r>
    </w:p>
    <w:bookmarkStart w:id="49" w:name="_Toc9187"/>
    <w:p>
      <w:pPr>
        <w:pStyle w:val="style2"/>
        <w:spacing w:lineRule="auto" w:line="480"/>
        <w:rPr/>
      </w:pPr>
      <w:r>
        <w:t>4.2 Data Extraction</w:t>
      </w:r>
      <w:bookmarkEnd w:id="49"/>
    </w:p>
    <w:p>
      <w:pPr>
        <w:pStyle w:val="style0"/>
        <w:jc w:val="center"/>
        <w:rPr/>
      </w:pPr>
      <w:r>
        <w:rPr>
          <w:b/>
          <w:bCs/>
        </w:rPr>
        <w:t xml:space="preserve">Table </w:t>
      </w:r>
      <w:r>
        <w:rPr>
          <w:b/>
          <w:bCs/>
        </w:rPr>
        <w:fldChar w:fldCharType="begin"/>
      </w:r>
      <w:r>
        <w:rPr>
          <w:b/>
          <w:bCs/>
        </w:rPr>
        <w:instrText xml:space="preserve"> SEQ Table \* ARABIC </w:instrText>
      </w:r>
      <w:r>
        <w:rPr>
          <w:b/>
          <w:bCs/>
        </w:rPr>
        <w:fldChar w:fldCharType="separate"/>
      </w:r>
      <w:r>
        <w:rPr>
          <w:b/>
          <w:bCs/>
        </w:rPr>
        <w:t>5</w:t>
      </w:r>
      <w:r>
        <w:rPr>
          <w:b/>
          <w:bCs/>
        </w:rPr>
        <w:fldChar w:fldCharType="end"/>
      </w:r>
      <w:bookmarkStart w:id="50" w:name="_Toc17672"/>
      <w:r>
        <w:rPr>
          <w:b/>
          <w:bCs/>
        </w:rPr>
        <w:t>: Summary of Included Studies</w:t>
      </w:r>
      <w:bookmarkEnd w:id="50"/>
    </w:p>
    <w:tbl>
      <w:tblPr>
        <w:tblStyle w:val="style4102"/>
        <w:tblW w:w="9242" w:type="dxa"/>
        <w:tblInd w:w="-108"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277"/>
        <w:gridCol w:w="1231"/>
        <w:gridCol w:w="1853"/>
        <w:gridCol w:w="2150"/>
        <w:gridCol w:w="2731"/>
      </w:tblGrid>
      <w:tr>
        <w:trPr/>
        <w:tc>
          <w:tcPr>
            <w:tcW w:w="1277" w:type="dxa"/>
            <w:tcBorders/>
          </w:tcPr>
          <w:p>
            <w:pPr>
              <w:pStyle w:val="style0"/>
              <w:spacing w:lineRule="auto" w:line="240"/>
              <w:rPr>
                <w:b/>
                <w:bCs/>
              </w:rPr>
            </w:pPr>
            <w:r>
              <w:rPr>
                <w:b/>
                <w:bCs/>
              </w:rPr>
              <w:t>Author (Year)</w:t>
            </w:r>
          </w:p>
        </w:tc>
        <w:tc>
          <w:tcPr>
            <w:tcW w:w="1231" w:type="dxa"/>
            <w:tcBorders/>
          </w:tcPr>
          <w:p>
            <w:pPr>
              <w:pStyle w:val="style0"/>
              <w:spacing w:lineRule="auto" w:line="240"/>
              <w:rPr>
                <w:b/>
                <w:bCs/>
              </w:rPr>
            </w:pPr>
            <w:r>
              <w:rPr>
                <w:b/>
                <w:bCs/>
              </w:rPr>
              <w:t>Country</w:t>
            </w:r>
          </w:p>
        </w:tc>
        <w:tc>
          <w:tcPr>
            <w:tcW w:w="1853" w:type="dxa"/>
            <w:tcBorders/>
          </w:tcPr>
          <w:p>
            <w:pPr>
              <w:pStyle w:val="style0"/>
              <w:spacing w:lineRule="auto" w:line="240"/>
              <w:rPr>
                <w:b/>
                <w:bCs/>
              </w:rPr>
            </w:pPr>
            <w:r>
              <w:rPr>
                <w:b/>
                <w:bCs/>
              </w:rPr>
              <w:t>Sample</w:t>
            </w:r>
          </w:p>
        </w:tc>
        <w:tc>
          <w:tcPr>
            <w:tcW w:w="2150" w:type="dxa"/>
            <w:tcBorders/>
          </w:tcPr>
          <w:p>
            <w:pPr>
              <w:pStyle w:val="style0"/>
              <w:spacing w:lineRule="auto" w:line="240"/>
              <w:rPr>
                <w:b/>
                <w:bCs/>
              </w:rPr>
            </w:pPr>
            <w:r>
              <w:rPr>
                <w:b/>
                <w:bCs/>
              </w:rPr>
              <w:t>Methodology</w:t>
            </w:r>
          </w:p>
        </w:tc>
        <w:tc>
          <w:tcPr>
            <w:tcW w:w="2731" w:type="dxa"/>
            <w:tcBorders/>
          </w:tcPr>
          <w:p>
            <w:pPr>
              <w:pStyle w:val="style0"/>
              <w:spacing w:lineRule="auto" w:line="240"/>
              <w:rPr>
                <w:b/>
                <w:bCs/>
              </w:rPr>
            </w:pPr>
            <w:r>
              <w:rPr>
                <w:b/>
                <w:bCs/>
              </w:rPr>
              <w:t>Key Focus</w:t>
            </w:r>
          </w:p>
        </w:tc>
      </w:tr>
      <w:tr>
        <w:tblPrEx/>
        <w:trPr/>
        <w:tc>
          <w:tcPr>
            <w:tcW w:w="1277" w:type="dxa"/>
            <w:tcBorders/>
          </w:tcPr>
          <w:p>
            <w:pPr>
              <w:pStyle w:val="style0"/>
              <w:spacing w:lineRule="auto" w:line="240"/>
              <w:rPr/>
            </w:pPr>
            <w:r>
              <w:t xml:space="preserve">Ansell </w:t>
            </w:r>
            <w:r>
              <w:rPr>
                <w:i/>
              </w:rPr>
              <w:t>et al.</w:t>
            </w:r>
            <w:r>
              <w:t xml:space="preserve"> (2024)</w:t>
            </w:r>
          </w:p>
        </w:tc>
        <w:tc>
          <w:tcPr>
            <w:tcW w:w="1231" w:type="dxa"/>
            <w:tcBorders/>
          </w:tcPr>
          <w:p>
            <w:pPr>
              <w:pStyle w:val="style0"/>
              <w:spacing w:lineRule="auto" w:line="240"/>
              <w:rPr/>
            </w:pPr>
            <w:r>
              <w:t>UK</w:t>
            </w:r>
          </w:p>
        </w:tc>
        <w:tc>
          <w:tcPr>
            <w:tcW w:w="1853" w:type="dxa"/>
            <w:tcBorders/>
          </w:tcPr>
          <w:p>
            <w:pPr>
              <w:pStyle w:val="style0"/>
              <w:spacing w:lineRule="auto" w:line="240"/>
              <w:rPr/>
            </w:pPr>
            <w:r>
              <w:t>13 young people (16–24)</w:t>
            </w:r>
          </w:p>
        </w:tc>
        <w:tc>
          <w:tcPr>
            <w:tcW w:w="2150" w:type="dxa"/>
            <w:tcBorders/>
          </w:tcPr>
          <w:p>
            <w:pPr>
              <w:pStyle w:val="style0"/>
              <w:spacing w:lineRule="auto" w:line="240"/>
              <w:rPr/>
            </w:pPr>
            <w:r>
              <w:t>Qualitative interviews; thematic analysis</w:t>
            </w:r>
          </w:p>
        </w:tc>
        <w:tc>
          <w:tcPr>
            <w:tcW w:w="2731" w:type="dxa"/>
            <w:tcBorders/>
          </w:tcPr>
          <w:p>
            <w:pPr>
              <w:pStyle w:val="style0"/>
              <w:spacing w:lineRule="auto" w:line="240"/>
              <w:rPr/>
            </w:pPr>
            <w:r>
              <w:t>Stigma experiences affecting help-seeking</w:t>
            </w:r>
          </w:p>
        </w:tc>
      </w:tr>
      <w:tr>
        <w:tblPrEx/>
        <w:trPr/>
        <w:tc>
          <w:tcPr>
            <w:tcW w:w="1277" w:type="dxa"/>
            <w:tcBorders/>
          </w:tcPr>
          <w:p>
            <w:pPr>
              <w:pStyle w:val="style0"/>
              <w:spacing w:lineRule="auto" w:line="240"/>
              <w:rPr/>
            </w:pPr>
            <w:r>
              <w:t>Lee and</w:t>
            </w:r>
            <w:r>
              <w:t xml:space="preserve"> Wong (2024)</w:t>
            </w:r>
          </w:p>
        </w:tc>
        <w:tc>
          <w:tcPr>
            <w:tcW w:w="1231" w:type="dxa"/>
            <w:tcBorders/>
          </w:tcPr>
          <w:p>
            <w:pPr>
              <w:pStyle w:val="style0"/>
              <w:spacing w:lineRule="auto" w:line="240"/>
              <w:rPr/>
            </w:pPr>
            <w:r>
              <w:t>UK (London)</w:t>
            </w:r>
          </w:p>
        </w:tc>
        <w:tc>
          <w:tcPr>
            <w:tcW w:w="1853" w:type="dxa"/>
            <w:tcBorders/>
          </w:tcPr>
          <w:p>
            <w:pPr>
              <w:pStyle w:val="style0"/>
              <w:spacing w:lineRule="auto" w:line="240"/>
              <w:rPr/>
            </w:pPr>
            <w:r>
              <w:t>20 youth (14–25)</w:t>
            </w:r>
          </w:p>
        </w:tc>
        <w:tc>
          <w:tcPr>
            <w:tcW w:w="2150" w:type="dxa"/>
            <w:tcBorders/>
          </w:tcPr>
          <w:p>
            <w:pPr>
              <w:pStyle w:val="style0"/>
              <w:spacing w:lineRule="auto" w:line="240"/>
              <w:rPr/>
            </w:pPr>
            <w:r>
              <w:t>Qualitative interviews; thematic analysis</w:t>
            </w:r>
          </w:p>
        </w:tc>
        <w:tc>
          <w:tcPr>
            <w:tcW w:w="2731" w:type="dxa"/>
            <w:tcBorders/>
          </w:tcPr>
          <w:p>
            <w:pPr>
              <w:pStyle w:val="style0"/>
              <w:spacing w:lineRule="auto" w:line="240"/>
              <w:rPr/>
            </w:pPr>
            <w:r>
              <w:t>Mental health inequalities and stigma during COVID-19</w:t>
            </w:r>
          </w:p>
        </w:tc>
      </w:tr>
      <w:tr>
        <w:tblPrEx/>
        <w:trPr/>
        <w:tc>
          <w:tcPr>
            <w:tcW w:w="1277" w:type="dxa"/>
            <w:tcBorders/>
          </w:tcPr>
          <w:p>
            <w:pPr>
              <w:pStyle w:val="style0"/>
              <w:spacing w:lineRule="auto" w:line="240"/>
              <w:rPr/>
            </w:pPr>
            <w:r>
              <w:t xml:space="preserve">Huggett </w:t>
            </w:r>
            <w:r>
              <w:rPr>
                <w:i/>
              </w:rPr>
              <w:t>et al</w:t>
            </w:r>
            <w:r>
              <w:t>. (2018)</w:t>
            </w:r>
          </w:p>
        </w:tc>
        <w:tc>
          <w:tcPr>
            <w:tcW w:w="1231" w:type="dxa"/>
            <w:tcBorders/>
          </w:tcPr>
          <w:p>
            <w:pPr>
              <w:pStyle w:val="style0"/>
              <w:spacing w:lineRule="auto" w:line="240"/>
              <w:rPr/>
            </w:pPr>
            <w:r>
              <w:t>UK</w:t>
            </w:r>
          </w:p>
        </w:tc>
        <w:tc>
          <w:tcPr>
            <w:tcW w:w="1853" w:type="dxa"/>
            <w:tcBorders/>
          </w:tcPr>
          <w:p>
            <w:pPr>
              <w:pStyle w:val="style0"/>
              <w:spacing w:lineRule="auto" w:line="240"/>
              <w:rPr/>
            </w:pPr>
            <w:r>
              <w:t>Adults (18+)</w:t>
            </w:r>
          </w:p>
        </w:tc>
        <w:tc>
          <w:tcPr>
            <w:tcW w:w="2150" w:type="dxa"/>
            <w:tcBorders/>
          </w:tcPr>
          <w:p>
            <w:pPr>
              <w:pStyle w:val="style0"/>
              <w:spacing w:lineRule="auto" w:line="240"/>
              <w:rPr/>
            </w:pPr>
            <w:r>
              <w:t>Qualitative interviews; thematic analysis</w:t>
            </w:r>
          </w:p>
        </w:tc>
        <w:tc>
          <w:tcPr>
            <w:tcW w:w="2731" w:type="dxa"/>
            <w:tcBorders/>
          </w:tcPr>
          <w:p>
            <w:pPr>
              <w:pStyle w:val="style0"/>
              <w:spacing w:lineRule="auto" w:line="240"/>
              <w:rPr/>
            </w:pPr>
            <w:r>
              <w:t>Lived experiences of mental health stigma</w:t>
            </w:r>
          </w:p>
        </w:tc>
      </w:tr>
      <w:tr>
        <w:tblPrEx/>
        <w:trPr/>
        <w:tc>
          <w:tcPr>
            <w:tcW w:w="1277" w:type="dxa"/>
            <w:tcBorders/>
          </w:tcPr>
          <w:p>
            <w:pPr>
              <w:pStyle w:val="style0"/>
              <w:spacing w:lineRule="auto" w:line="240"/>
              <w:rPr/>
            </w:pPr>
            <w:r>
              <w:t xml:space="preserve">Birken </w:t>
            </w:r>
            <w:r>
              <w:rPr>
                <w:i/>
              </w:rPr>
              <w:t>et al.</w:t>
            </w:r>
            <w:r>
              <w:t xml:space="preserve"> (2023)</w:t>
            </w:r>
          </w:p>
        </w:tc>
        <w:tc>
          <w:tcPr>
            <w:tcW w:w="1231" w:type="dxa"/>
            <w:tcBorders/>
          </w:tcPr>
          <w:p>
            <w:pPr>
              <w:pStyle w:val="style0"/>
              <w:spacing w:lineRule="auto" w:line="240"/>
              <w:rPr/>
            </w:pPr>
            <w:r>
              <w:t>UK (England)</w:t>
            </w:r>
          </w:p>
        </w:tc>
        <w:tc>
          <w:tcPr>
            <w:tcW w:w="1853" w:type="dxa"/>
            <w:tcBorders/>
          </w:tcPr>
          <w:p>
            <w:pPr>
              <w:pStyle w:val="style0"/>
              <w:spacing w:lineRule="auto" w:line="240"/>
              <w:rPr/>
            </w:pPr>
            <w:r>
              <w:t>59 participants</w:t>
            </w:r>
          </w:p>
        </w:tc>
        <w:tc>
          <w:tcPr>
            <w:tcW w:w="2150" w:type="dxa"/>
            <w:tcBorders/>
          </w:tcPr>
          <w:p>
            <w:pPr>
              <w:pStyle w:val="style0"/>
              <w:spacing w:lineRule="auto" w:line="240"/>
              <w:rPr/>
            </w:pPr>
            <w:r>
              <w:t>Qualitative participatory interviews; thematic analysis</w:t>
            </w:r>
          </w:p>
        </w:tc>
        <w:tc>
          <w:tcPr>
            <w:tcW w:w="2731" w:type="dxa"/>
            <w:tcBorders/>
          </w:tcPr>
          <w:p>
            <w:pPr>
              <w:pStyle w:val="style0"/>
              <w:spacing w:lineRule="auto" w:line="240"/>
              <w:rPr/>
            </w:pPr>
            <w:r>
              <w:t>Loneliness and stigma in mental health</w:t>
            </w:r>
          </w:p>
        </w:tc>
      </w:tr>
      <w:tr>
        <w:tblPrEx/>
        <w:trPr/>
        <w:tc>
          <w:tcPr>
            <w:tcW w:w="1277" w:type="dxa"/>
            <w:tcBorders/>
          </w:tcPr>
          <w:p>
            <w:pPr>
              <w:pStyle w:val="style0"/>
              <w:spacing w:lineRule="auto" w:line="240"/>
              <w:rPr/>
            </w:pPr>
            <w:r>
              <w:t xml:space="preserve">Stuart </w:t>
            </w:r>
            <w:r>
              <w:rPr>
                <w:i/>
              </w:rPr>
              <w:t>et al</w:t>
            </w:r>
            <w:r>
              <w:t>. (2023)</w:t>
            </w:r>
          </w:p>
        </w:tc>
        <w:tc>
          <w:tcPr>
            <w:tcW w:w="1231" w:type="dxa"/>
            <w:tcBorders/>
          </w:tcPr>
          <w:p>
            <w:pPr>
              <w:pStyle w:val="style0"/>
              <w:spacing w:lineRule="auto" w:line="240"/>
              <w:rPr/>
            </w:pPr>
            <w:r>
              <w:t>UK (England)</w:t>
            </w:r>
          </w:p>
        </w:tc>
        <w:tc>
          <w:tcPr>
            <w:tcW w:w="1853" w:type="dxa"/>
            <w:tcBorders/>
          </w:tcPr>
          <w:p>
            <w:pPr>
              <w:pStyle w:val="style0"/>
              <w:spacing w:lineRule="auto" w:line="240"/>
              <w:rPr/>
            </w:pPr>
            <w:r>
              <w:t>20 participants</w:t>
            </w:r>
          </w:p>
        </w:tc>
        <w:tc>
          <w:tcPr>
            <w:tcW w:w="2150" w:type="dxa"/>
            <w:tcBorders/>
          </w:tcPr>
          <w:p>
            <w:pPr>
              <w:pStyle w:val="style0"/>
              <w:spacing w:lineRule="auto" w:line="240"/>
              <w:rPr/>
            </w:pPr>
            <w:r>
              <w:t>Qualitative interviews; framework analysis</w:t>
            </w:r>
          </w:p>
        </w:tc>
        <w:tc>
          <w:tcPr>
            <w:tcW w:w="2731" w:type="dxa"/>
            <w:tcBorders/>
          </w:tcPr>
          <w:p>
            <w:pPr>
              <w:pStyle w:val="style0"/>
              <w:spacing w:lineRule="auto" w:line="240"/>
              <w:rPr/>
            </w:pPr>
            <w:r>
              <w:t>Evaluation of “Every Mind Matters” campaign</w:t>
            </w:r>
          </w:p>
        </w:tc>
      </w:tr>
      <w:tr>
        <w:tblPrEx/>
        <w:trPr/>
        <w:tc>
          <w:tcPr>
            <w:tcW w:w="1277" w:type="dxa"/>
            <w:tcBorders/>
          </w:tcPr>
          <w:p>
            <w:pPr>
              <w:pStyle w:val="style0"/>
              <w:spacing w:lineRule="auto" w:line="240"/>
              <w:rPr/>
            </w:pPr>
            <w:r>
              <w:t xml:space="preserve">Finan and </w:t>
            </w:r>
            <w:r>
              <w:t>Foulkes (2025)</w:t>
            </w:r>
          </w:p>
        </w:tc>
        <w:tc>
          <w:tcPr>
            <w:tcW w:w="1231" w:type="dxa"/>
            <w:tcBorders/>
          </w:tcPr>
          <w:p>
            <w:pPr>
              <w:pStyle w:val="style0"/>
              <w:spacing w:lineRule="auto" w:line="240"/>
              <w:rPr/>
            </w:pPr>
            <w:r>
              <w:t>UK</w:t>
            </w:r>
          </w:p>
        </w:tc>
        <w:tc>
          <w:tcPr>
            <w:tcW w:w="1853" w:type="dxa"/>
            <w:tcBorders/>
          </w:tcPr>
          <w:p>
            <w:pPr>
              <w:pStyle w:val="style0"/>
              <w:spacing w:lineRule="auto" w:line="240"/>
              <w:rPr/>
            </w:pPr>
            <w:r>
              <w:t>15 students (18–24)</w:t>
            </w:r>
          </w:p>
        </w:tc>
        <w:tc>
          <w:tcPr>
            <w:tcW w:w="2150" w:type="dxa"/>
            <w:tcBorders/>
          </w:tcPr>
          <w:p>
            <w:pPr>
              <w:pStyle w:val="style0"/>
              <w:spacing w:lineRule="auto" w:line="240"/>
              <w:rPr/>
            </w:pPr>
            <w:r>
              <w:t>Focus groups &amp; interviews; thematic analysis</w:t>
            </w:r>
          </w:p>
        </w:tc>
        <w:tc>
          <w:tcPr>
            <w:tcW w:w="2731" w:type="dxa"/>
            <w:tcBorders/>
          </w:tcPr>
          <w:p>
            <w:pPr>
              <w:pStyle w:val="style0"/>
              <w:spacing w:lineRule="auto" w:line="240"/>
              <w:rPr/>
            </w:pPr>
            <w:r>
              <w:t>Student attitudes to university awareness programmes</w:t>
            </w:r>
          </w:p>
        </w:tc>
      </w:tr>
      <w:tr>
        <w:tblPrEx/>
        <w:trPr/>
        <w:tc>
          <w:tcPr>
            <w:tcW w:w="1277" w:type="dxa"/>
            <w:tcBorders/>
          </w:tcPr>
          <w:p>
            <w:pPr>
              <w:pStyle w:val="style0"/>
              <w:spacing w:lineRule="auto" w:line="240"/>
              <w:rPr/>
            </w:pPr>
            <w:r>
              <w:t xml:space="preserve">Laidlaw </w:t>
            </w:r>
            <w:r>
              <w:rPr>
                <w:i/>
              </w:rPr>
              <w:t>et al.</w:t>
            </w:r>
            <w:r>
              <w:t xml:space="preserve"> (2016)</w:t>
            </w:r>
          </w:p>
        </w:tc>
        <w:tc>
          <w:tcPr>
            <w:tcW w:w="1231" w:type="dxa"/>
            <w:tcBorders/>
          </w:tcPr>
          <w:p>
            <w:pPr>
              <w:pStyle w:val="style0"/>
              <w:spacing w:lineRule="auto" w:line="240"/>
              <w:rPr/>
            </w:pPr>
            <w:r>
              <w:t>UK</w:t>
            </w:r>
          </w:p>
        </w:tc>
        <w:tc>
          <w:tcPr>
            <w:tcW w:w="1853" w:type="dxa"/>
            <w:tcBorders/>
          </w:tcPr>
          <w:p>
            <w:pPr>
              <w:pStyle w:val="style0"/>
              <w:spacing w:lineRule="auto" w:line="240"/>
              <w:rPr/>
            </w:pPr>
            <w:r>
              <w:t>20 students</w:t>
            </w:r>
          </w:p>
        </w:tc>
        <w:tc>
          <w:tcPr>
            <w:tcW w:w="2150" w:type="dxa"/>
            <w:tcBorders/>
          </w:tcPr>
          <w:p>
            <w:pPr>
              <w:pStyle w:val="style0"/>
              <w:spacing w:lineRule="auto" w:line="240"/>
              <w:rPr/>
            </w:pPr>
            <w:r>
              <w:t>Focus groups; thematic analysis</w:t>
            </w:r>
          </w:p>
        </w:tc>
        <w:tc>
          <w:tcPr>
            <w:tcW w:w="2731" w:type="dxa"/>
            <w:tcBorders/>
          </w:tcPr>
          <w:p>
            <w:pPr>
              <w:pStyle w:val="style0"/>
              <w:spacing w:lineRule="auto" w:line="240"/>
              <w:rPr/>
            </w:pPr>
            <w:r>
              <w:t>Student perceptions of mental health and help-seeking</w:t>
            </w:r>
          </w:p>
        </w:tc>
      </w:tr>
      <w:tr>
        <w:tblPrEx/>
        <w:trPr/>
        <w:tc>
          <w:tcPr>
            <w:tcW w:w="1277" w:type="dxa"/>
            <w:tcBorders/>
          </w:tcPr>
          <w:p>
            <w:pPr>
              <w:pStyle w:val="style0"/>
              <w:spacing w:lineRule="auto" w:line="240"/>
              <w:rPr/>
            </w:pPr>
            <w:r>
              <w:t xml:space="preserve">Walsh </w:t>
            </w:r>
            <w:r>
              <w:t>and</w:t>
            </w:r>
            <w:r>
              <w:t xml:space="preserve"> Foster (2022)</w:t>
            </w:r>
          </w:p>
        </w:tc>
        <w:tc>
          <w:tcPr>
            <w:tcW w:w="1231" w:type="dxa"/>
            <w:tcBorders/>
          </w:tcPr>
          <w:p>
            <w:pPr>
              <w:pStyle w:val="style0"/>
              <w:spacing w:lineRule="auto" w:line="240"/>
              <w:rPr/>
            </w:pPr>
            <w:r>
              <w:t>UK</w:t>
            </w:r>
          </w:p>
        </w:tc>
        <w:tc>
          <w:tcPr>
            <w:tcW w:w="1853" w:type="dxa"/>
            <w:tcBorders/>
          </w:tcPr>
          <w:p>
            <w:pPr>
              <w:pStyle w:val="style0"/>
              <w:spacing w:lineRule="auto" w:line="240"/>
              <w:rPr/>
            </w:pPr>
            <w:r>
              <w:t>Interviews &amp; focus groups</w:t>
            </w:r>
          </w:p>
        </w:tc>
        <w:tc>
          <w:tcPr>
            <w:tcW w:w="2150" w:type="dxa"/>
            <w:tcBorders/>
          </w:tcPr>
          <w:p>
            <w:pPr>
              <w:pStyle w:val="style0"/>
              <w:spacing w:lineRule="auto" w:line="240"/>
              <w:rPr/>
            </w:pPr>
            <w:r>
              <w:t>Qualitative analysis</w:t>
            </w:r>
          </w:p>
        </w:tc>
        <w:tc>
          <w:tcPr>
            <w:tcW w:w="2731" w:type="dxa"/>
            <w:tcBorders/>
          </w:tcPr>
          <w:p>
            <w:pPr>
              <w:pStyle w:val="style0"/>
              <w:spacing w:lineRule="auto" w:line="240"/>
              <w:rPr/>
            </w:pPr>
            <w:r>
              <w:t>Critique of traditional anti-stigma programmes</w:t>
            </w:r>
          </w:p>
        </w:tc>
      </w:tr>
      <w:tr>
        <w:tblPrEx/>
        <w:trPr/>
        <w:tc>
          <w:tcPr>
            <w:tcW w:w="1277" w:type="dxa"/>
            <w:tcBorders/>
          </w:tcPr>
          <w:p>
            <w:pPr>
              <w:pStyle w:val="style0"/>
              <w:spacing w:lineRule="auto" w:line="240"/>
              <w:rPr/>
            </w:pPr>
            <w:r>
              <w:t xml:space="preserve">Holding </w:t>
            </w:r>
            <w:r>
              <w:rPr>
                <w:i/>
              </w:rPr>
              <w:t xml:space="preserve">et al. </w:t>
            </w:r>
            <w:r>
              <w:t>(2022)</w:t>
            </w:r>
          </w:p>
        </w:tc>
        <w:tc>
          <w:tcPr>
            <w:tcW w:w="1231" w:type="dxa"/>
            <w:tcBorders/>
          </w:tcPr>
          <w:p>
            <w:pPr>
              <w:pStyle w:val="style0"/>
              <w:spacing w:lineRule="auto" w:line="240"/>
              <w:rPr/>
            </w:pPr>
            <w:r>
              <w:t>UK (England)</w:t>
            </w:r>
          </w:p>
        </w:tc>
        <w:tc>
          <w:tcPr>
            <w:tcW w:w="1853" w:type="dxa"/>
            <w:tcBorders/>
          </w:tcPr>
          <w:p>
            <w:pPr>
              <w:pStyle w:val="style0"/>
              <w:spacing w:lineRule="auto" w:line="240"/>
              <w:rPr/>
            </w:pPr>
            <w:r>
              <w:t>18 youth (13–21)</w:t>
            </w:r>
          </w:p>
        </w:tc>
        <w:tc>
          <w:tcPr>
            <w:tcW w:w="2150" w:type="dxa"/>
            <w:tcBorders/>
          </w:tcPr>
          <w:p>
            <w:pPr>
              <w:pStyle w:val="style0"/>
              <w:spacing w:lineRule="auto" w:line="240"/>
              <w:rPr/>
            </w:pPr>
            <w:r>
              <w:t>Interviews &amp; focus groups; thematic analysis</w:t>
            </w:r>
          </w:p>
        </w:tc>
        <w:tc>
          <w:tcPr>
            <w:tcW w:w="2731" w:type="dxa"/>
            <w:tcBorders/>
          </w:tcPr>
          <w:p>
            <w:pPr>
              <w:pStyle w:val="style0"/>
              <w:spacing w:lineRule="auto" w:line="240"/>
              <w:rPr/>
            </w:pPr>
            <w:r>
              <w:t>Youth perspectives on effective support</w:t>
            </w:r>
          </w:p>
        </w:tc>
      </w:tr>
      <w:tr>
        <w:tblPrEx/>
        <w:trPr/>
        <w:tc>
          <w:tcPr>
            <w:tcW w:w="1277" w:type="dxa"/>
            <w:tcBorders/>
          </w:tcPr>
          <w:p>
            <w:pPr>
              <w:pStyle w:val="style0"/>
              <w:spacing w:lineRule="auto" w:line="240"/>
              <w:rPr/>
            </w:pPr>
            <w:r>
              <w:t xml:space="preserve">Prizeman </w:t>
            </w:r>
            <w:r>
              <w:rPr>
                <w:i/>
              </w:rPr>
              <w:t>et al.,</w:t>
            </w:r>
            <w:r>
              <w:t xml:space="preserve"> 2024</w:t>
            </w:r>
          </w:p>
        </w:tc>
        <w:tc>
          <w:tcPr>
            <w:tcW w:w="1231" w:type="dxa"/>
            <w:tcBorders/>
          </w:tcPr>
          <w:p>
            <w:pPr>
              <w:pStyle w:val="style0"/>
              <w:spacing w:lineRule="auto" w:line="240"/>
              <w:rPr/>
            </w:pPr>
            <w:r>
              <w:t>United Kingdom</w:t>
            </w:r>
          </w:p>
        </w:tc>
        <w:tc>
          <w:tcPr>
            <w:tcW w:w="1853" w:type="dxa"/>
            <w:tcBorders/>
          </w:tcPr>
          <w:p>
            <w:pPr>
              <w:pStyle w:val="style0"/>
              <w:spacing w:lineRule="auto" w:line="240"/>
              <w:rPr/>
            </w:pPr>
            <w:r>
              <w:t>28 young people aged 18–25 with clinical depression symptoms</w:t>
            </w:r>
          </w:p>
        </w:tc>
        <w:tc>
          <w:tcPr>
            <w:tcW w:w="2150" w:type="dxa"/>
            <w:tcBorders/>
          </w:tcPr>
          <w:p>
            <w:pPr>
              <w:pStyle w:val="style0"/>
              <w:spacing w:lineRule="auto" w:line="240"/>
              <w:rPr/>
            </w:pPr>
            <w:r>
              <w:t>Qualitative study using semi-structured interviews and thematic analysis</w:t>
            </w:r>
          </w:p>
        </w:tc>
        <w:tc>
          <w:tcPr>
            <w:tcW w:w="2731" w:type="dxa"/>
            <w:tcBorders/>
          </w:tcPr>
          <w:p>
            <w:pPr>
              <w:pStyle w:val="style0"/>
              <w:spacing w:lineRule="auto" w:line="240"/>
              <w:rPr/>
            </w:pPr>
            <w:r>
              <w:t>Explores how young people experience mental health stigma and how it influences disclosure, secrecy, loneliness, and help-seeking behaviours</w:t>
            </w:r>
          </w:p>
        </w:tc>
      </w:tr>
    </w:tbl>
    <w:p>
      <w:pPr>
        <w:pStyle w:val="style0"/>
        <w:spacing w:before="240" w:after="240"/>
        <w:rPr/>
      </w:pPr>
      <w:r>
        <w:t xml:space="preserve">The process of defining, identifying, and capturing the information about the suitable studies that will be incorporated in the selected studies and the purpose of which is to compare, analyse and synthesise it in a systematic review, is called data extraction (Buechter </w:t>
      </w:r>
      <w:r>
        <w:rPr>
          <w:i/>
          <w:iCs/>
        </w:rPr>
        <w:t>et</w:t>
      </w:r>
      <w:r>
        <w:rPr>
          <w:i/>
          <w:iCs/>
        </w:rPr>
        <w:t xml:space="preserve"> al.,</w:t>
      </w:r>
      <w:r>
        <w:t xml:space="preserve"> 2020; Saaiq and Ashraf, 2024). It is a methodological step that is critical, and that assures a high degree of transparency, consistency, and reproducibility, and prevents chances of selective reporting or bias of the reviewer (Afifi </w:t>
      </w:r>
      <w:r>
        <w:rPr>
          <w:i/>
          <w:iCs/>
        </w:rPr>
        <w:t>et al.,</w:t>
      </w:r>
      <w:r>
        <w:t xml:space="preserve"> 2023).</w:t>
      </w:r>
    </w:p>
    <w:p>
      <w:pPr>
        <w:pStyle w:val="style0"/>
        <w:spacing w:before="240" w:after="240"/>
        <w:rPr/>
      </w:pPr>
      <w:r>
        <w:t xml:space="preserve">In this study, a pre-established data extraction form was developed, and the ten key qualitative studies were reviewed. The design was to assist in capturing large quantities of characteristics of the study that would be relevant to the research question. The extracted information was in the form of author(s), year of publication, research setting in the United Kingdom, research objectives and qualitative design. The demographics of the study were the age group (young adults), gender ratio, ethnicity, and sample size. Data about the structure and context of the mental health awareness programme (community-based) were recorded, and data collection methods (e.g., semi-structured interviews, focus groups), and data analysis methods (e.g., thematic analysis, framework analysis) were recorded. </w:t>
      </w:r>
    </w:p>
    <w:bookmarkStart w:id="51" w:name="_Toc1187"/>
    <w:p>
      <w:pPr>
        <w:pStyle w:val="style2"/>
        <w:spacing w:lineRule="auto" w:line="480"/>
        <w:rPr/>
      </w:pPr>
      <w:r>
        <w:t>4.3 Brief Introduction to Critical Appraisal and Paper Quality Assessment</w:t>
      </w:r>
      <w:bookmarkEnd w:id="51"/>
    </w:p>
    <w:p>
      <w:pPr>
        <w:pStyle w:val="style0"/>
        <w:spacing w:before="240" w:after="240"/>
        <w:rPr/>
      </w:pPr>
      <w:r>
        <w:t xml:space="preserve">Critical appraisal is the process of methodological, systematic review of research studies in order to assess the quality, validity, credibility, and applicability of the research methods employed and applied to a specific research question. It involves researching how the research was designed, carried out, analysed and reported with the intention of determining the level of trust and meaning that may be attached to the </w:t>
      </w:r>
      <w:r>
        <w:t xml:space="preserve">results (Tod </w:t>
      </w:r>
      <w:r>
        <w:rPr>
          <w:i/>
          <w:iCs/>
        </w:rPr>
        <w:t>et al</w:t>
      </w:r>
      <w:r>
        <w:t>., 2021). In qualitative research, critical appraisal is not simply about the methodological coherence, but also addresses the issues of credibility, transferability, dependability and confirmability.</w:t>
      </w:r>
    </w:p>
    <w:p>
      <w:pPr>
        <w:pStyle w:val="style0"/>
        <w:spacing w:before="240" w:after="240"/>
        <w:rPr/>
      </w:pPr>
      <w:r>
        <w:t>Critical appraisal is an important part of the systematic literature review that cannot be overestimated. There is a wide variation in the quality of published studies, and unless systematic appraisal is conducted, low-quality or biased studies will influence the outcome of the review. The concept of methodological rigour is also applicable in this case study dissertation, which talks about assessments of community-based mental health awareness programmes in the United Kingdom qualitatively. This qualitative study is founded on interpretation and reflexivity; that is why transparency of sampling, data collection and analysis should be considered to ensure the validity of findings (Buccheri and Sharifi, 2017). Other than this, critical appraisal promotes academic honesty as it demonstrates that relevancy was not the only factor to include an individual in the study, but quality. It will enable the reviewer to identify the strengths, weaknesses, and potential biases of every individual study under consideration, and hence provide direction on the extent to which any given evidence would be given weight in the synthesis. Lastly, the quality evaluation is also systematic and adds to the validity and reliability of the inferences concerning the decrease of stigma among young adults.</w:t>
      </w:r>
    </w:p>
    <w:bookmarkStart w:id="52" w:name="_Toc3199"/>
    <w:p>
      <w:pPr>
        <w:pStyle w:val="style2"/>
        <w:spacing w:lineRule="auto" w:line="480"/>
        <w:rPr/>
      </w:pPr>
      <w:r>
        <w:t>4.4 Critical Appraisal Tools</w:t>
      </w:r>
      <w:bookmarkEnd w:id="52"/>
    </w:p>
    <w:p>
      <w:pPr>
        <w:pStyle w:val="style0"/>
        <w:spacing w:before="240" w:after="240"/>
        <w:rPr/>
      </w:pPr>
      <w:r>
        <w:t xml:space="preserve">A critical appraisal tool is a structured guideline or checklist that is developed to aid in a more organised method of evaluating research studies. Such tools have transparent criteria based on which the methodological quality can be assessed and stimulate consistency, transparency, and objectiveness of the evaluation process (Hong and </w:t>
      </w:r>
      <w:r>
        <w:t>Pluye</w:t>
      </w:r>
      <w:r>
        <w:t>, 2018). Reviewers minimise the subjective assessment through the application of a recognised tool, ensuring that all the studies are assessed based on the same criteria.</w:t>
      </w:r>
    </w:p>
    <w:p>
      <w:pPr>
        <w:pStyle w:val="style0"/>
        <w:spacing w:before="240" w:after="240"/>
        <w:rPr/>
      </w:pPr>
      <w:r>
        <w:t xml:space="preserve">The selection of a critical appraisal tool is a critical issue as approaches to research vary greatly in the design, goal and epistemological principles. This study gives the research only ten major qualitative studies and, thus, a qualitative-specific appraisal instrument. Critical Appraisal Skills Programme (CASP) Qualitative Checklist is rather suitable, as it is known in the health and social research in the United Kingdom. The application of an inappropriate instrument, such as the one applied in carrying out </w:t>
      </w:r>
      <w:r>
        <w:t>quantitative experimental studies, would not be effective in assessing crucial aspects of qualitative research, such as reflexivity, depth of context, and interpretive rigour.</w:t>
      </w:r>
    </w:p>
    <w:p>
      <w:pPr>
        <w:pStyle w:val="style0"/>
        <w:spacing w:before="240" w:after="240"/>
        <w:rPr/>
      </w:pPr>
      <w:r>
        <w:t xml:space="preserve">The number of domains that should be evaluated by the qualitative research critical appraisal tools is expected to be several. They include the suitability of research objectives, the suitability of the qualitative methodology, research suitability, research design, suitability of recruiting methods, rigour of research methods, suitability of participant relationships, ethical caution, transparency and consistency of data analysis, suitability and clarity of research results and the general contribution to the body of knowledge (Long </w:t>
      </w:r>
      <w:r>
        <w:rPr>
          <w:i/>
          <w:iCs/>
        </w:rPr>
        <w:t>et al.,</w:t>
      </w:r>
      <w:r>
        <w:t xml:space="preserve"> 2020). </w:t>
      </w:r>
    </w:p>
    <w:bookmarkStart w:id="53" w:name="_Toc12227"/>
    <w:p>
      <w:pPr>
        <w:pStyle w:val="style2"/>
        <w:spacing w:lineRule="auto" w:line="480"/>
        <w:rPr/>
      </w:pPr>
      <w:r>
        <w:t>4.5 Evaluation of Qualitative Studies</w:t>
      </w:r>
      <w:bookmarkEnd w:id="53"/>
    </w:p>
    <w:p>
      <w:pPr>
        <w:pStyle w:val="style0"/>
        <w:spacing w:before="240" w:after="240"/>
        <w:rPr/>
      </w:pPr>
      <w:r>
        <w:t>In the ten studies included, there are various methodological features that were seen as common. Semi-structured interviewing was the main method of gaining data in most of the studies, and the participants were free to talk about the experiences of stigma in detail. The most common analytical method was thematic analysis, as it is appropriate for establishing patterns in qualitative data. Although such similarities in the methodology help to improve comparability of studies, differences in sampling strategies, diversity of participants and reflexivity reporting were also noted.</w:t>
      </w:r>
    </w:p>
    <w:p>
      <w:pPr>
        <w:pStyle w:val="style0"/>
        <w:spacing w:before="240" w:after="240"/>
        <w:rPr/>
      </w:pPr>
      <w:r>
        <w:t>The selection of the ‘qualitative’ checklist of CASP has been done, as it helps in the provisioning of a systematic and clear framework while evaluating the credibility and methodological strength of the articles (Critical Appraisal Skills Programme, 2024) [Refer to Appendix 1]. According to the Critical Appraisal Skills Programme (2024), the checklist incorporates about 10 questions, which are considered to be useful for promoting consistency and transparency within different articles. However, other tools like JBI or ‘Joanna Briggs Institute’, according to the Joanna Briggs Institute (2020), help in assessing the trustworthiness and relevance of the papers. But CASP offer better detailed guidance than these tools like JBI, while also providing better reflexivity as well.</w:t>
      </w:r>
    </w:p>
    <w:p>
      <w:pPr>
        <w:pStyle w:val="style0"/>
        <w:spacing w:before="240" w:after="240"/>
        <w:rPr/>
      </w:pPr>
      <w:r>
        <w:t xml:space="preserve">From the overall selection of 10 articles based on CASP question 1, all the aims of the research have been properly articulated, while further focusing on the introductory sessions and abstracts. For example, the research by Lee and Wong (2024) has clearly outlined that the objectives of the research have been explored, focusing on the overall experiences related to the inequities of mental health among young people while developing a proper research focus and contextual relevance. Similarly, the </w:t>
      </w:r>
      <w:r>
        <w:t xml:space="preserve">research by Ansell </w:t>
      </w:r>
      <w:r>
        <w:rPr>
          <w:i/>
          <w:iCs/>
        </w:rPr>
        <w:t xml:space="preserve">et al. </w:t>
      </w:r>
      <w:r>
        <w:t> (2024) has provided a well-organised aim for examining the experiences of stigma within youth who have depression and anxiety while situating their whole work within the literature of contemporary stigma. </w:t>
      </w:r>
    </w:p>
    <w:p>
      <w:pPr>
        <w:pStyle w:val="style0"/>
        <w:spacing w:before="240" w:after="240"/>
        <w:rPr/>
      </w:pPr>
      <w:r>
        <w:t xml:space="preserve">The other articles, like Huggett </w:t>
      </w:r>
      <w:r>
        <w:rPr>
          <w:i/>
          <w:iCs/>
        </w:rPr>
        <w:t xml:space="preserve">et al. </w:t>
      </w:r>
      <w:r>
        <w:t xml:space="preserve">(2018), have specifically instigated the experiences related to the mental health stigma among young individuals, while </w:t>
      </w:r>
      <w:r>
        <w:t>Birken</w:t>
      </w:r>
      <w:r>
        <w:t xml:space="preserve"> </w:t>
      </w:r>
      <w:r>
        <w:rPr>
          <w:i/>
          <w:iCs/>
        </w:rPr>
        <w:t xml:space="preserve">et </w:t>
      </w:r>
      <w:r>
        <w:rPr>
          <w:i/>
          <w:iCs/>
        </w:rPr>
        <w:t xml:space="preserve">al. </w:t>
      </w:r>
      <w:r>
        <w:t xml:space="preserve">(2023) identified the relation of loneliness with the difficulties of mental health. The other articles, like Stuart </w:t>
      </w:r>
      <w:r>
        <w:rPr>
          <w:i/>
          <w:iCs/>
        </w:rPr>
        <w:t>et al.</w:t>
      </w:r>
      <w:r>
        <w:t xml:space="preserve"> (2023), have aimed to evaluate the public reception for the campaigns of mental health, while another research by Finan and Foulkes (2025) focused on the evaluation of changing attitudes of all the university students about the initiatives of mental health awareness. Lastly, the articles such as Laidlaw </w:t>
      </w:r>
      <w:r>
        <w:rPr>
          <w:i/>
          <w:iCs/>
        </w:rPr>
        <w:t xml:space="preserve">et al. </w:t>
      </w:r>
      <w:r>
        <w:t xml:space="preserve">(2024), Prizeman et al. (2024), </w:t>
      </w:r>
      <w:r>
        <w:rPr>
          <w:highlight w:val="white"/>
        </w:rPr>
        <w:t xml:space="preserve">Walsh and Foster (2022), and </w:t>
      </w:r>
      <w:r>
        <w:rPr>
          <w:highlight w:val="white"/>
        </w:rPr>
        <w:t>Holding</w:t>
      </w:r>
      <w:r>
        <w:rPr>
          <w:highlight w:val="white"/>
        </w:rPr>
        <w:t xml:space="preserve"> </w:t>
      </w:r>
      <w:r>
        <w:rPr>
          <w:i/>
          <w:iCs/>
          <w:highlight w:val="white"/>
        </w:rPr>
        <w:t xml:space="preserve">et </w:t>
      </w:r>
      <w:r>
        <w:rPr>
          <w:i/>
          <w:iCs/>
          <w:highlight w:val="white"/>
        </w:rPr>
        <w:t xml:space="preserve">al. </w:t>
      </w:r>
      <w:r>
        <w:rPr>
          <w:highlight w:val="white"/>
        </w:rPr>
        <w:t>(2022) have aimed to evaluate the high levels of distress within students while targeting to make improvements in the mental well-being and health of young people as the main priority in the UK. Overall, based on CASP question 1, all the selected studies have successfully demonstrated a structured clarity and articulation of the objectives in the research.</w:t>
      </w:r>
    </w:p>
    <w:p>
      <w:pPr>
        <w:pStyle w:val="style0"/>
        <w:spacing w:before="240" w:after="240"/>
        <w:rPr/>
      </w:pPr>
      <w:r>
        <w:rPr>
          <w:highlight w:val="white"/>
        </w:rPr>
        <w:t xml:space="preserve">Moving forward, with the second question of the CASP tool, a proper evaluation of the appropriateness in selecting ‘qualitative’ methodology has been done. The articles by Holding </w:t>
      </w:r>
      <w:r>
        <w:rPr>
          <w:i/>
          <w:iCs/>
          <w:highlight w:val="white"/>
        </w:rPr>
        <w:t xml:space="preserve">et al. </w:t>
      </w:r>
      <w:r>
        <w:rPr>
          <w:highlight w:val="white"/>
        </w:rPr>
        <w:t xml:space="preserve">(2022) and </w:t>
      </w:r>
      <w:r>
        <w:t xml:space="preserve">Lee and Wong (2024) have instigated the lived experiences of stigma, which further require proper structural approaches in capturing all the nuance and depth. On the other hand, the research by Walsh and Foster (2022) and Ansell </w:t>
      </w:r>
      <w:r>
        <w:rPr>
          <w:i/>
          <w:iCs/>
        </w:rPr>
        <w:t xml:space="preserve">et al. </w:t>
      </w:r>
      <w:r>
        <w:t> (2024) has focused on all the personal accounts related to stigma within youth while necessitating the use of a ‘qualitative’ approach to successfully understanding the contextual and emotional dimensions. </w:t>
      </w:r>
    </w:p>
    <w:p>
      <w:pPr>
        <w:pStyle w:val="style0"/>
        <w:spacing w:before="240" w:after="240"/>
        <w:rPr/>
      </w:pPr>
      <w:r>
        <w:t xml:space="preserve">According to </w:t>
      </w:r>
      <w:r>
        <w:rPr>
          <w:highlight w:val="white"/>
        </w:rPr>
        <w:t>Hammarberg</w:t>
      </w:r>
      <w:r>
        <w:rPr>
          <w:i/>
          <w:iCs/>
          <w:highlight w:val="white"/>
        </w:rPr>
        <w:t>et</w:t>
      </w:r>
      <w:r>
        <w:rPr>
          <w:i/>
          <w:iCs/>
          <w:highlight w:val="white"/>
        </w:rPr>
        <w:t xml:space="preserve"> al.</w:t>
      </w:r>
      <w:r>
        <w:rPr>
          <w:highlight w:val="white"/>
        </w:rPr>
        <w:t xml:space="preserve"> (2016), the use of this ‘qualitative’ research method helps in assessing the significant value of the articles while further understanding the importance of all the collected evidence that is often influenced by ‘hypotheses.’ In the other articles, like </w:t>
      </w:r>
      <w:r>
        <w:t xml:space="preserve">Huggett </w:t>
      </w:r>
      <w:r>
        <w:rPr>
          <w:i/>
          <w:iCs/>
        </w:rPr>
        <w:t xml:space="preserve">et al. </w:t>
      </w:r>
      <w:r>
        <w:t xml:space="preserve">(2018), Birken </w:t>
      </w:r>
      <w:r>
        <w:rPr>
          <w:i/>
          <w:iCs/>
        </w:rPr>
        <w:t xml:space="preserve">et al. </w:t>
      </w:r>
      <w:r>
        <w:t xml:space="preserve">(2023), and Stuart </w:t>
      </w:r>
      <w:r>
        <w:rPr>
          <w:i/>
          <w:iCs/>
        </w:rPr>
        <w:t>et al.</w:t>
      </w:r>
      <w:r>
        <w:t xml:space="preserve"> (2023), the inclusion of this method helped in exploring the stigma experiences, loneliness, and also the perceptions of the young adults about the public campaigns of mental health. Moreover, within an educational setting, the research by Finan and Foulkes (2025), Laidlaw </w:t>
      </w:r>
      <w:r>
        <w:rPr>
          <w:i/>
          <w:iCs/>
        </w:rPr>
        <w:t xml:space="preserve">et al. </w:t>
      </w:r>
      <w:r>
        <w:t xml:space="preserve">(2024), and Prizeman et al. (2024) </w:t>
      </w:r>
      <w:r>
        <w:rPr>
          <w:highlight w:val="white"/>
        </w:rPr>
        <w:t>justified the use of this particular method through successfully evaluating the help-seeking behaviours of the adults to manage their mental health conditions as well. </w:t>
      </w:r>
    </w:p>
    <w:p>
      <w:pPr>
        <w:pStyle w:val="style0"/>
        <w:spacing w:before="240" w:after="240"/>
        <w:rPr/>
      </w:pPr>
      <w:r>
        <w:rPr>
          <w:highlight w:val="white"/>
        </w:rPr>
        <w:t xml:space="preserve">The third question of CASP has mainly evaluated the appropriateness of the selected research design and the correctness of the recruitment strategy with the aims. Articles like </w:t>
      </w:r>
      <w:r>
        <w:t xml:space="preserve">Lee and Wong (2024) and Prizeman et al. (2024) </w:t>
      </w:r>
      <w:r>
        <w:rPr>
          <w:highlight w:val="white"/>
        </w:rPr>
        <w:t xml:space="preserve">used semi-structured interviews, which have helped in providing better flexibility with the focus areas of the articles. Moreover, the research by </w:t>
      </w:r>
      <w:r>
        <w:t xml:space="preserve">Ansell </w:t>
      </w:r>
      <w:r>
        <w:rPr>
          <w:i/>
          <w:iCs/>
        </w:rPr>
        <w:t xml:space="preserve">et al. </w:t>
      </w:r>
      <w:r>
        <w:t xml:space="preserve"> (2024), </w:t>
      </w:r>
      <w:r>
        <w:rPr>
          <w:highlight w:val="white"/>
        </w:rPr>
        <w:t xml:space="preserve">Holding </w:t>
      </w:r>
      <w:r>
        <w:rPr>
          <w:i/>
          <w:iCs/>
          <w:highlight w:val="white"/>
        </w:rPr>
        <w:t xml:space="preserve">et al. </w:t>
      </w:r>
      <w:r>
        <w:rPr>
          <w:highlight w:val="white"/>
        </w:rPr>
        <w:t>(2022), and</w:t>
      </w:r>
      <w:r>
        <w:t xml:space="preserve"> Huggett </w:t>
      </w:r>
      <w:r>
        <w:rPr>
          <w:i/>
          <w:iCs/>
        </w:rPr>
        <w:t xml:space="preserve">et al. </w:t>
      </w:r>
      <w:r>
        <w:t xml:space="preserve">(2018) has used interviews and related research designs that helped the participants to successfully elaborate their sensitive experiences as well. Similarly, the articles by Birken </w:t>
      </w:r>
      <w:r>
        <w:rPr>
          <w:i/>
          <w:iCs/>
        </w:rPr>
        <w:t xml:space="preserve">et al. </w:t>
      </w:r>
      <w:r>
        <w:t xml:space="preserve">(2023) and Stuart </w:t>
      </w:r>
      <w:r>
        <w:rPr>
          <w:i/>
          <w:iCs/>
        </w:rPr>
        <w:t>et al.</w:t>
      </w:r>
      <w:r>
        <w:t xml:space="preserve"> (2023) also incorporated interview-based research design, while Finan and Foulkes (2025), Walsh and Foster (2022), and Laidlaw </w:t>
      </w:r>
      <w:r>
        <w:rPr>
          <w:i/>
          <w:iCs/>
        </w:rPr>
        <w:t xml:space="preserve">et al. </w:t>
      </w:r>
      <w:r>
        <w:t>(2024) incorporated the use of ‘qualitative’ interview methods that developed better alignment with the theoretical objectives of the articles as well. </w:t>
      </w:r>
    </w:p>
    <w:p>
      <w:pPr>
        <w:pStyle w:val="style0"/>
        <w:spacing w:before="240" w:after="240"/>
        <w:rPr/>
      </w:pPr>
      <w:r>
        <w:t xml:space="preserve">Based on the 4th question of the CASP tool, articles by Finan and Foulkes (2025) and Ansell </w:t>
      </w:r>
      <w:r>
        <w:rPr>
          <w:i/>
          <w:iCs/>
        </w:rPr>
        <w:t xml:space="preserve">et al. </w:t>
      </w:r>
      <w:r>
        <w:t xml:space="preserve"> (2024) have provided a structured evaluation of all the recruitment descriptions while outlining the suitability of the participants. Whereas other articles by Lee and Wong (2024), Birken </w:t>
      </w:r>
      <w:r>
        <w:rPr>
          <w:i/>
          <w:iCs/>
        </w:rPr>
        <w:t xml:space="preserve">et al. </w:t>
      </w:r>
      <w:r>
        <w:t xml:space="preserve">(2023), and Walsh and Foster (2022) mentioned some of the important methods of recruitment like ‘purposive sampling’ or ‘community outreach’, but failed to justify the sample diversity. However, </w:t>
      </w:r>
      <w:r>
        <w:t>Hugget</w:t>
      </w:r>
      <w:r>
        <w:t xml:space="preserve"> </w:t>
      </w:r>
      <w:r>
        <w:rPr>
          <w:i/>
          <w:iCs/>
        </w:rPr>
        <w:t>et</w:t>
      </w:r>
      <w:r>
        <w:rPr>
          <w:i/>
          <w:iCs/>
        </w:rPr>
        <w:t xml:space="preserve"> al. </w:t>
      </w:r>
      <w:r>
        <w:t xml:space="preserve">(2018), </w:t>
      </w:r>
      <w:r>
        <w:rPr>
          <w:highlight w:val="white"/>
        </w:rPr>
        <w:t xml:space="preserve">Holding </w:t>
      </w:r>
      <w:r>
        <w:rPr>
          <w:i/>
          <w:iCs/>
          <w:highlight w:val="white"/>
        </w:rPr>
        <w:t xml:space="preserve">et al. </w:t>
      </w:r>
      <w:r>
        <w:rPr>
          <w:highlight w:val="white"/>
        </w:rPr>
        <w:t xml:space="preserve">(2022), </w:t>
      </w:r>
      <w:r>
        <w:t xml:space="preserve">Prizeman et al. (2024), </w:t>
      </w:r>
      <w:r>
        <w:rPr>
          <w:highlight w:val="white"/>
        </w:rPr>
        <w:t xml:space="preserve">and </w:t>
      </w:r>
      <w:r>
        <w:t xml:space="preserve">Stuart </w:t>
      </w:r>
      <w:r>
        <w:rPr>
          <w:i/>
          <w:iCs/>
        </w:rPr>
        <w:t>et al.</w:t>
      </w:r>
      <w:r>
        <w:t xml:space="preserve"> (2023) described the settings of recruitment, while Laidlaw </w:t>
      </w:r>
      <w:r>
        <w:rPr>
          <w:i/>
          <w:iCs/>
        </w:rPr>
        <w:t xml:space="preserve">et al. </w:t>
      </w:r>
      <w:r>
        <w:t>(2024) described structured participant engagement with the national campaign but failed to analyse the processes of selection as well. </w:t>
      </w:r>
    </w:p>
    <w:p>
      <w:pPr>
        <w:pStyle w:val="style0"/>
        <w:spacing w:before="240" w:after="240"/>
        <w:rPr/>
      </w:pPr>
      <w:r>
        <w:t xml:space="preserve">The 5th question of the CASP tool has indicated that all the selected 10 articles used proper methods of data collection while addressing the issues of the research. Based on the use of ‘semi-structured interviews the research by Lee and Wong (2024) and Prizeman et al. (2024) </w:t>
      </w:r>
      <w:r>
        <w:rPr>
          <w:highlight w:val="white"/>
        </w:rPr>
        <w:t xml:space="preserve">allowed the participants to showcase their experiences about help-seeking approaches. While with the use of interview formats, the research by </w:t>
      </w:r>
      <w:r>
        <w:t xml:space="preserve">Ansell </w:t>
      </w:r>
      <w:r>
        <w:rPr>
          <w:i/>
          <w:iCs/>
        </w:rPr>
        <w:t xml:space="preserve">et al. </w:t>
      </w:r>
      <w:r>
        <w:t xml:space="preserve"> (2024), </w:t>
      </w:r>
      <w:r>
        <w:rPr>
          <w:highlight w:val="white"/>
        </w:rPr>
        <w:t xml:space="preserve">Holding </w:t>
      </w:r>
      <w:r>
        <w:rPr>
          <w:i/>
          <w:iCs/>
          <w:highlight w:val="white"/>
        </w:rPr>
        <w:t xml:space="preserve">et al. </w:t>
      </w:r>
      <w:r>
        <w:rPr>
          <w:highlight w:val="white"/>
        </w:rPr>
        <w:t>(2022), and</w:t>
      </w:r>
      <w:r>
        <w:t xml:space="preserve"> Huggett </w:t>
      </w:r>
      <w:r>
        <w:rPr>
          <w:i/>
          <w:iCs/>
        </w:rPr>
        <w:t xml:space="preserve">et al. </w:t>
      </w:r>
      <w:r>
        <w:t xml:space="preserve">(2018), allowed the conduction of a structured discussion about identity and stigma as well. Moreover, </w:t>
      </w:r>
      <w:r>
        <w:t>Birken</w:t>
      </w:r>
      <w:r>
        <w:t xml:space="preserve"> </w:t>
      </w:r>
      <w:r>
        <w:rPr>
          <w:i/>
          <w:iCs/>
        </w:rPr>
        <w:t>et</w:t>
      </w:r>
      <w:r>
        <w:rPr>
          <w:i/>
          <w:iCs/>
        </w:rPr>
        <w:t xml:space="preserve"> al. </w:t>
      </w:r>
      <w:r>
        <w:t xml:space="preserve">(2023) and Stuart </w:t>
      </w:r>
      <w:r>
        <w:rPr>
          <w:i/>
          <w:iCs/>
        </w:rPr>
        <w:t>et al.</w:t>
      </w:r>
      <w:r>
        <w:t xml:space="preserve"> (2023) incorporated proper elements of participation, while Finan and Foulkes (2025), Walsh and Foster (2022), and Laidlaw </w:t>
      </w:r>
      <w:r>
        <w:rPr>
          <w:i/>
          <w:iCs/>
        </w:rPr>
        <w:t xml:space="preserve">et al. </w:t>
      </w:r>
      <w:r>
        <w:t>(2024) combined all the analyses based on ‘qualitative’ interview methods with further discussion of the research. Overall, the method of data collection was strong and also well-aligned with the objectives of the research. </w:t>
      </w:r>
    </w:p>
    <w:p>
      <w:pPr>
        <w:pStyle w:val="style0"/>
        <w:rPr/>
      </w:pPr>
      <w:r>
        <w:t xml:space="preserve">The 6th question in the CASP qualitative checklist focused on the context of reflexivity between the researcher and the participant relationship. However, the explicit </w:t>
      </w:r>
      <w:r>
        <w:t xml:space="preserve">expression of this information was not properly demonstrated in most of the research articles utilised in the current research. Only one of the chosen articles, which was written by Ansell </w:t>
      </w:r>
      <w:r>
        <w:rPr>
          <w:i/>
          <w:iCs/>
        </w:rPr>
        <w:t>et al</w:t>
      </w:r>
      <w:r>
        <w:t>. (2024), somehow focused on the discussion about the researcher and participant relationship. This reflexivity could be noticed regarding the accumulation of field notes on the impact of the researcher's impressions on the participants. Therefore, this situation indicated that none of the other research articles effectively achieved this qualitative checklist, causing a huge impact on the quality of these papers. In this context, research developed by Enell (2022) mentioned that in terms of developing qualitative research, the maintenance of relational aspects is necessary as the ongoing relationship between the research participants and the researchers acts as a major strength of such studies for a cumulative, more intimate and detailed account.  </w:t>
      </w:r>
    </w:p>
    <w:p>
      <w:pPr>
        <w:pStyle w:val="style0"/>
        <w:rPr/>
      </w:pPr>
      <w:r>
        <w:t>The 7th question on the GAS qualitative checklist is eventually associated with exploring the importance of considering the ethical issues while developing the qualitative research. While evaluating the 10 selected research articles against this checklist, it was noticed that most of the chosen articles focused on properly offering relevant information regarding the use of the ethical steps to complete research. These ethical strategies include the process of taking ethical approval from the ethical communities and also offering relevant information through the chosen research participants for optimal consent to voluntarily enter the research. However, only two of the selected research articles fell short in effectively demonstrating the alignment with the research ethics. These two articles included the work by Finnan and Foulkes (2025) alongside the work of Walsh and Foster (2022). Therefore, to mention the importance of offering research ethics-related information within academic research articles, the work developed by </w:t>
      </w:r>
      <w:r>
        <w:t>Kolstoe</w:t>
      </w:r>
      <w:r>
        <w:t> (2023) could be essentially highlighted, which mentioned that the submission of the article manuscripts in the journals needs to have proper evidence regarding the engagement with ethical principles. The adherence to these ethical principles helps in ensuring the higher standards of morality and social accountability in academic research. Some of the most important sets of evidence that could be offered by an academic article to be considered as ethical include the proof of ethics review and the proof of participant consent. Not only that, but offering information regarding the questionable research practises and the honest mistakes is also a part of maintaining the ethical understanding of research. </w:t>
      </w:r>
    </w:p>
    <w:p>
      <w:pPr>
        <w:pStyle w:val="style0"/>
        <w:rPr/>
      </w:pPr>
      <w:r>
        <w:t xml:space="preserve">The next section of the CASP checklist is associated with the context of the rigour of the data analysis processes that are used for developing academic articles. In this </w:t>
      </w:r>
      <w:r>
        <w:t xml:space="preserve">context, it could be stated that all the selected research articles for completing the current dissertation demonstrated a positive involvement to fulfil this checklist. Moreover, it could also be noticed that all of these research articles focused on offering sufficient information to understand the rigorous process of data analysis, while specifically using the thematic analysis method. Some of the major examples of articles that demonstrated the common uses of thematic analysis include the works of Stuart </w:t>
      </w:r>
      <w:r>
        <w:rPr>
          <w:i/>
          <w:iCs/>
        </w:rPr>
        <w:t>et al.</w:t>
      </w:r>
      <w:r>
        <w:t xml:space="preserve"> (2023), alongside the work of Lee and Wong (2024). Not only that, but some other research articles also helped in offering the information on the total coding process used for the development of the research themes. In the work of Holding </w:t>
      </w:r>
      <w:r>
        <w:rPr>
          <w:i/>
          <w:iCs/>
        </w:rPr>
        <w:t>et al</w:t>
      </w:r>
      <w:r>
        <w:t xml:space="preserve">. (2022), the use of the N-Vivo 12 software for data coding was identified. In this context, the importance of using the thematic analysis process for qualitative data analysis could be essentially emphasised as per the work of Jowsey </w:t>
      </w:r>
      <w:r>
        <w:rPr>
          <w:i/>
          <w:iCs/>
        </w:rPr>
        <w:t>et al</w:t>
      </w:r>
      <w:r>
        <w:t>. (2021). This research mentioned that the thematic analysis helps in the qualitative research method for analysing the data on the experiences of the people collected by using interviews and focus groups. Therefore, using such data analysis methods in the chosen particles indicates the proper quality of these articles to be included in the current research. </w:t>
      </w:r>
    </w:p>
    <w:p>
      <w:pPr>
        <w:pStyle w:val="style0"/>
        <w:rPr/>
      </w:pPr>
      <w:r>
        <w:t>The ninth question on the CASP checklist was regarding the maintenance of the clarity of findings for academic articles, which are completed by using qualitative processes. In this context, it could be stated that the evaluation of all 10 selected research articles indicated proper clarity in demonstrating the research findings. The logical structuring of the themes could be noticed for all the research articles, and also direct participant quotations were utilised for structuring the themes. Not only that, but by using these themes, a proper conclusion has been drawn from all of the selected research articles, which eventually helped in achieving the research aims and objectives. Therefore, it could be mentioned that the clarity in demonstrating the research findings effectively indicated the significant quality of the selected research articles to be a part of the current dissertation. The importance of the results section within academic research has been effectively identified in the work of Kumar (2022), who mentioned that the results section provides the answer to the research questions, which is the foundation of any article. Therefore, the clarity of findings is essential to understand the research results. </w:t>
      </w:r>
    </w:p>
    <w:p>
      <w:pPr>
        <w:pStyle w:val="style0"/>
        <w:spacing w:before="240" w:after="240"/>
        <w:rPr/>
      </w:pPr>
      <w:r>
        <w:t xml:space="preserve">The final question of the CASP checklist is associated with the idea of the value of academic research, considering the implications of the research results in both theoretical and practical bases. In this context, it could be stated that all of the selected research articles for the current dissertation effectively demonstrated valuable </w:t>
      </w:r>
      <w:r>
        <w:t xml:space="preserve">contributions in terms of health care practices and health care policy. Moreover, it could also be stated that the results identified from these researches good effectively contribute to the proper development of community-based mental health initiatives for supporting the young individuals of the United Kingdom to fight against mental health-related stigma. </w:t>
      </w:r>
    </w:p>
    <w:p>
      <w:pPr>
        <w:pStyle w:val="style0"/>
        <w:spacing w:before="240" w:after="240"/>
        <w:rPr/>
      </w:pPr>
      <w:r>
        <w:t xml:space="preserve">Qualitative interviews were the most common method of collecting data across the studies included. Eight out of the top ten studies used semi-structured interviews to investigate the lived experiences of participants with stigma, indicating that interviewing is mostly seen to be suitable in the context of collecting sensitive mental health lived experiences. </w:t>
      </w:r>
    </w:p>
    <w:p>
      <w:pPr>
        <w:pStyle w:val="style0"/>
        <w:spacing w:before="240" w:after="240"/>
        <w:rPr/>
      </w:pPr>
      <w:r>
        <w:t xml:space="preserve">In the ten studies, a number of methodological strengths were determined. First, the majority of the studies relied on qualitative interviews or focus groups to inform about the lived experiences of stigma. Such methods are especially appropriate in the case of sensitive subjects (like mental health) since they enable participants to provide a detailed explanation of their experiences. Second, thematic analysis was the most prevalent form of analysis in all the studies and offered a systematic way of uncovering trends in the stories by the participants. The use of qualitative interviews and thematic analysis is consistent and enhances similarities between findings in the evidence base. </w:t>
      </w:r>
    </w:p>
    <w:p>
      <w:pPr>
        <w:pStyle w:val="style0"/>
        <w:spacing w:before="240" w:after="240"/>
        <w:rPr/>
      </w:pPr>
      <w:r>
        <w:t>In spite of these strengths, a number of methodological limitations were also found in the included studies. A large number of the studies used comparatively small sample sizes, usually ranging between 13 and 28 participants. Although small samples are typical in qualitative research, they could be inadequate to represent the level of diversity in viewpoints. Moreover, some of the studies were quite sparse with the information regarding recruitment strategies or diversity of the participants, which did not allow for evaluating the level of the sample representation. The other similar weakness was underreporting of researcher reflexivity. Very few studies mentioned the possibility of the impact of the researcher on the collection and interpretation of the data, which could impact the transparency and credibility of the results. Overall, the studies demonstrate moderate methodological quality, with strengths in data collection but notable limitations in sampling transparency and reflexivity.</w:t>
      </w:r>
    </w:p>
    <w:p>
      <w:pPr>
        <w:pStyle w:val="style94"/>
        <w:spacing w:before="0" w:beforeAutospacing="false" w:after="0" w:afterAutospacing="false" w:lineRule="auto" w:line="360"/>
        <w:jc w:val="both"/>
        <w:rPr/>
      </w:pPr>
      <w:r>
        <w:rPr>
          <w:rFonts w:ascii="Arial" w:cs="Arial" w:hAnsi="Arial"/>
        </w:rPr>
        <w:t xml:space="preserve">Although each of the articles has successfully demonstrated the alignment within different types of ‘qualitative’ methodologies, there are several weaknesses as well, which have further decreased confidence in the findings. One of the major limitations has been identified as a decreased presence of reflexivity that is important for any kind </w:t>
      </w:r>
      <w:r>
        <w:rPr>
          <w:rFonts w:ascii="Arial" w:cs="Arial" w:hAnsi="Arial"/>
        </w:rPr>
        <w:t>of ‘qualitative’ research. Additionally, the use of small samples often limits representativeness, while inadequate reporting of all the participant diversity can also restrict transferability as well. </w:t>
      </w:r>
    </w:p>
    <w:bookmarkStart w:id="54" w:name="_Toc10713"/>
    <w:p>
      <w:pPr>
        <w:pStyle w:val="style2"/>
        <w:spacing w:before="240" w:after="240" w:lineRule="auto" w:line="480"/>
        <w:rPr/>
      </w:pPr>
      <w:r>
        <w:t>4.6 Chapter Summary</w:t>
      </w:r>
      <w:bookmarkEnd w:id="54"/>
    </w:p>
    <w:p>
      <w:pPr>
        <w:pStyle w:val="style0"/>
        <w:rPr/>
      </w:pPr>
      <w:r>
        <w:t>This chapter described data extraction and critical appraisal with the help of structured data, which were performed in order to analyse the ten qualitative studies that were included in this review. Systematic assessment of the methodological quality, the credibility, and limitations of both studies was conducted with the assistance of a pre-existing extraction framework and the Critical Appraisal Skills Programme (CASP) Qualitative Checklist. The findings show that the evidence that was incorporated is solid enough to support the synthesis. In the next chapter, the thematic analysis and combined findings on the stigma reduction of young adults are provided.</w:t>
      </w:r>
    </w:p>
    <w:p>
      <w:pPr>
        <w:pStyle w:val="style0"/>
        <w:spacing w:lineRule="auto" w:line="259"/>
        <w:jc w:val="left"/>
        <w:rPr/>
      </w:pPr>
      <w:r>
        <w:br w:type="page"/>
      </w:r>
    </w:p>
    <w:bookmarkStart w:id="55" w:name="_Toc4773"/>
    <w:p>
      <w:pPr>
        <w:pStyle w:val="style1"/>
        <w:spacing w:lineRule="auto" w:line="480"/>
        <w:rPr>
          <w:sz w:val="24"/>
          <w:szCs w:val="24"/>
        </w:rPr>
      </w:pPr>
      <w:r>
        <w:t>CHAPTER 5: DATA ANALYSIS AND SYNTHESIS</w:t>
      </w:r>
      <w:bookmarkEnd w:id="55"/>
    </w:p>
    <w:bookmarkStart w:id="56" w:name="_Toc2824"/>
    <w:p>
      <w:pPr>
        <w:pStyle w:val="style2"/>
        <w:spacing w:lineRule="auto" w:line="480"/>
        <w:rPr/>
      </w:pPr>
      <w:r>
        <w:t>5.1Introduction to Chapter</w:t>
      </w:r>
      <w:bookmarkEnd w:id="56"/>
    </w:p>
    <w:p>
      <w:pPr>
        <w:pStyle w:val="style0"/>
        <w:spacing w:after="0"/>
        <w:rPr>
          <w:rFonts w:eastAsia="Times New Roman"/>
        </w:rPr>
      </w:pPr>
      <w:r>
        <w:t xml:space="preserve">The development of this chapter mainly represents the synthesis and analysis of all the findings that have been derived from the articles that have been selected for this systematic literature review. The following data analysis in this chapter will focus on reviewing the findings from the selected articles. This chapter will apply thematic analysis as part of the data analysis method, which will further help in enabling the interpretation and identification of all the current patterns associated with the selected articles. </w:t>
      </w:r>
    </w:p>
    <w:bookmarkStart w:id="57" w:name="_Toc8632"/>
    <w:p>
      <w:pPr>
        <w:pStyle w:val="style2"/>
        <w:spacing w:lineRule="auto" w:line="480"/>
        <w:rPr/>
      </w:pPr>
      <w:r>
        <w:t>5.2 Thematic Analysis</w:t>
      </w:r>
      <w:bookmarkEnd w:id="57"/>
    </w:p>
    <w:p>
      <w:pPr>
        <w:pStyle w:val="style0"/>
        <w:spacing w:after="0"/>
        <w:rPr>
          <w:rFonts w:eastAsia="Times New Roman"/>
        </w:rPr>
      </w:pPr>
      <w:r>
        <w:t xml:space="preserve">Thematic analysis is considered to be a method of ‘qualitative analytics’ which has been used for identifying and analysing, followed by interpreting the themes or patterns within the relevant data according to </w:t>
      </w:r>
      <w:r>
        <w:rPr>
          <w:highlight w:val="white"/>
        </w:rPr>
        <w:t xml:space="preserve">Clarke and Braun (2017). Thematic analysis is mainly applied for exploring perceptions and experiences. </w:t>
      </w:r>
      <w:r>
        <w:t>In this research, the use of thematic analysis was not only limited to the evaluation of individual findings but was also used as an important tool for synthesising the evidence collected from appropriate resources and conceptual linkages. </w:t>
      </w:r>
    </w:p>
    <w:p>
      <w:pPr>
        <w:pStyle w:val="style0"/>
        <w:spacing w:after="0"/>
        <w:rPr/>
      </w:pPr>
      <w:r>
        <w:t xml:space="preserve">The four themes were obtained as a result of the systematic process of thematic synthesis, in which repetitive patterns, concepts, and relations between the included studies were established, codified, and categorised. Primary coding was based on such critical concepts as awareness, stigma experiences, programme effectiveness, and structural barriers. These codes were further narrowed down into larger themes, and this led to the four general themes that are discussed in this chapter. These themes are directly related to the research question as they aim to investigate the efficacy of community-based mental health awareness programmes in the reduction of stigma among young adults. Theme 1 deals with the effects of awareness activities, Theme 2 deals with the lived experiences of stigma, Theme 3 deals with identifying successful elements of a programme and Theme 4 deals with gaps and the future of stigma and discrimination. The combination of these themes gives a detailed analytical perspective where individual experiences are connected to those of programmes and structural determinants. In addition to this, the themes were selected so that they provide the breadth and depth of analysis that goes beyond the descriptive results to reach the complex nature of stigma as a social, behavioural, and systemic problem. This method enhances the analytical soundness of the study, and the results of the study are of significance in addressing the research question. Moreover, the use of the </w:t>
      </w:r>
      <w:r>
        <w:t xml:space="preserve">coding process for deriving these themes could be essentially extracted from </w:t>
      </w:r>
      <w:r>
        <w:rPr>
          <w:b/>
          <w:bCs/>
          <w:i/>
          <w:iCs/>
        </w:rPr>
        <w:t>Appendix 2.</w:t>
      </w:r>
    </w:p>
    <w:bookmarkStart w:id="58" w:name="_Toc21907"/>
    <w:p>
      <w:pPr>
        <w:pStyle w:val="style2"/>
        <w:spacing w:lineRule="auto" w:line="480"/>
        <w:rPr/>
      </w:pPr>
      <w:r>
        <w:t>5.3 Data analysis tool</w:t>
      </w:r>
      <w:bookmarkEnd w:id="58"/>
    </w:p>
    <w:p>
      <w:pPr>
        <w:pStyle w:val="style0"/>
        <w:spacing w:after="0"/>
        <w:rPr>
          <w:rFonts w:eastAsia="Times New Roman"/>
        </w:rPr>
      </w:pPr>
      <w:r>
        <w:t xml:space="preserve">This research has successfully used the thematic analysis tool for the analysis of the data collected from the articles in 6 different phases, as mentioned before. According to </w:t>
      </w:r>
      <w:r>
        <w:rPr>
          <w:highlight w:val="white"/>
        </w:rPr>
        <w:t xml:space="preserve">Clarke and Braun (2017), the 6 stages include familiarisation with the insights, generation of all the initial codes, searching the themes, review of themes, naming and defining themes, and lastly production of the final report. </w:t>
      </w:r>
    </w:p>
    <w:bookmarkStart w:id="59" w:name="_Toc11249"/>
    <w:p>
      <w:pPr>
        <w:pStyle w:val="style2"/>
        <w:spacing w:lineRule="auto" w:line="480"/>
        <w:rPr/>
      </w:pPr>
      <w:r>
        <w:t>5.4 Characteristics of the identified studies</w:t>
      </w:r>
      <w:bookmarkEnd w:id="59"/>
    </w:p>
    <w:p>
      <w:pPr>
        <w:pStyle w:val="style0"/>
        <w:spacing w:after="0"/>
        <w:rPr/>
      </w:pPr>
      <w:r>
        <w:t xml:space="preserve">Among the 10 studies, which were included in this review, were specifically conducted based on the country of the UK. The articles focused on the collection of data based on England </w:t>
      </w:r>
      <w:r>
        <w:rPr>
          <w:highlight w:val="white"/>
        </w:rPr>
        <w:t xml:space="preserve">(Lee and Wong, 2024; Holding </w:t>
      </w:r>
      <w:r>
        <w:rPr>
          <w:i/>
          <w:iCs/>
          <w:highlight w:val="white"/>
        </w:rPr>
        <w:t>et al</w:t>
      </w:r>
      <w:r>
        <w:rPr>
          <w:highlight w:val="white"/>
        </w:rPr>
        <w:t>., 2022; Prizeman</w:t>
      </w:r>
      <w:r>
        <w:rPr>
          <w:i/>
          <w:iCs/>
          <w:highlight w:val="white"/>
        </w:rPr>
        <w:t xml:space="preserve"> et al</w:t>
      </w:r>
      <w:r>
        <w:rPr>
          <w:highlight w:val="white"/>
        </w:rPr>
        <w:t>., 2024; Stuart</w:t>
      </w:r>
      <w:r>
        <w:rPr>
          <w:i/>
          <w:iCs/>
          <w:highlight w:val="white"/>
        </w:rPr>
        <w:t xml:space="preserve"> et al</w:t>
      </w:r>
      <w:r>
        <w:rPr>
          <w:highlight w:val="white"/>
        </w:rPr>
        <w:t>., 2023; and Ansell</w:t>
      </w:r>
      <w:r>
        <w:rPr>
          <w:i/>
          <w:iCs/>
          <w:highlight w:val="white"/>
        </w:rPr>
        <w:t xml:space="preserve"> et al., </w:t>
      </w:r>
      <w:r>
        <w:rPr>
          <w:highlight w:val="white"/>
        </w:rPr>
        <w:t xml:space="preserve">2024). Some of the studies include insights from the UK-wide sector (Birken </w:t>
      </w:r>
      <w:r>
        <w:rPr>
          <w:i/>
          <w:iCs/>
          <w:highlight w:val="white"/>
        </w:rPr>
        <w:t>et al.,</w:t>
      </w:r>
      <w:r>
        <w:rPr>
          <w:highlight w:val="white"/>
        </w:rPr>
        <w:t xml:space="preserve"> 2023; Huggett </w:t>
      </w:r>
      <w:r>
        <w:rPr>
          <w:i/>
          <w:iCs/>
          <w:highlight w:val="white"/>
        </w:rPr>
        <w:t>et al.</w:t>
      </w:r>
      <w:r>
        <w:rPr>
          <w:highlight w:val="white"/>
        </w:rPr>
        <w:t xml:space="preserve">, 2018; Laidlaw </w:t>
      </w:r>
      <w:r>
        <w:rPr>
          <w:i/>
          <w:iCs/>
          <w:highlight w:val="white"/>
        </w:rPr>
        <w:t>et al.</w:t>
      </w:r>
      <w:r>
        <w:rPr>
          <w:highlight w:val="white"/>
        </w:rPr>
        <w:t xml:space="preserve">, 2016; Walsh and Foster, 2022).  However, lastly, all the remaining two articles have been identified to be conducted within the UK as well. The research by Finan and Foulkes (2025) focused on the collection of data from the UK undergraduate students. </w:t>
      </w:r>
    </w:p>
    <w:p>
      <w:pPr>
        <w:pStyle w:val="style0"/>
        <w:spacing w:after="0"/>
        <w:rPr>
          <w:rFonts w:eastAsia="Times New Roman"/>
        </w:rPr>
      </w:pPr>
      <w:r>
        <w:t>The overall consistency within the methodologies of the selected articles helped in the maintenance of a structured synthesis. However, it has further introduced several limitations, like depending only on ‘qualitative’ approaches often restricts the development of generalisability. Moreover, there is a limitation in the ability to evaluate long-term behavioural outcomes. The overall consistency in methodology aligned with the inclusion criteria that were identified in Chapter 3</w:t>
      </w:r>
      <w:r>
        <w:rPr>
          <w:highlight w:val="white"/>
        </w:rPr>
        <w:t> </w:t>
      </w:r>
      <w:r>
        <w:rPr>
          <w:b/>
          <w:bCs/>
          <w:i/>
          <w:iCs/>
          <w:highlight w:val="white"/>
        </w:rPr>
        <w:t>[Referred to Appendix 3].</w:t>
      </w:r>
    </w:p>
    <w:bookmarkStart w:id="60" w:name="_Toc1527"/>
    <w:p>
      <w:pPr>
        <w:pStyle w:val="style2"/>
        <w:spacing w:lineRule="auto" w:line="480"/>
        <w:rPr/>
      </w:pPr>
      <w:r>
        <w:t>5.5 Emerging Themes from Included Studies (Analysis/Synthesis of Included Studies)</w:t>
      </w:r>
      <w:bookmarkEnd w:id="60"/>
    </w:p>
    <w:p>
      <w:pPr>
        <w:pStyle w:val="style0"/>
        <w:rPr>
          <w:b/>
          <w:bCs/>
          <w:i/>
          <w:iCs/>
        </w:rPr>
      </w:pPr>
      <w:r>
        <w:rPr>
          <w:b/>
          <w:bCs/>
          <w:i/>
          <w:iCs/>
        </w:rPr>
        <w:t>Theme 1: Impact of Community-Based Mental Health Awareness Programmes on Stigma Reduction Among Young Adults</w:t>
      </w:r>
    </w:p>
    <w:p>
      <w:pPr>
        <w:pStyle w:val="style0"/>
        <w:rPr/>
      </w:pPr>
      <w:r>
        <w:t xml:space="preserve">A major trend that has come out in the studies reviewed is concerned with the contribution that awareness programmes and public campaigns have in enhancing mental health knowledge and cutting the stigma. Mental health literacy and promoting open discussions are also proposed as possible results of awareness initiatives in several studies, although the effects on sustained behavioural change are contradictory. Stuart </w:t>
      </w:r>
      <w:r>
        <w:rPr>
          <w:i/>
          <w:iCs/>
        </w:rPr>
        <w:t>et al</w:t>
      </w:r>
      <w:r>
        <w:t xml:space="preserve">. (2023) tested the </w:t>
      </w:r>
      <w:r>
        <w:t>‘</w:t>
      </w:r>
      <w:r>
        <w:t>Every Mind Matters</w:t>
      </w:r>
      <w:r>
        <w:t>’</w:t>
      </w:r>
      <w:r>
        <w:t xml:space="preserve"> campaign in England by revealing that the participants overall valued the campaign, as it helped them talk </w:t>
      </w:r>
      <w:r>
        <w:t>about mental health and self-care. The campaign was deemed helpful in having mental health as a normalised conversation, thus alleviating certain aspects of stigma related to discussing psychological distress. This specifically suggested that awareness is not enough, as stigma is known as not only an issue of knowledge deficit but is deeply aligned with power structures and social norms. Therefore, all the interventions that do not challenge the deeper factors often produce sustainable changes as well.</w:t>
      </w:r>
    </w:p>
    <w:p>
      <w:pPr>
        <w:pStyle w:val="style0"/>
        <w:rPr/>
      </w:pPr>
      <w:r>
        <w:t xml:space="preserve">Similarly, Walsh and Foster (2022) critically reviewed the available anti-stigma programmes and put forward their argument that the traditional approaches tend to pay much attention to the educational messaging/attitude change, but they do not consider the structural and behavioural facets of stigmatising. The authors hypothesised that awareness programmes can enhance knowledge, but their effects on discrimination and social inclusion are limited in the long term. </w:t>
      </w:r>
    </w:p>
    <w:p>
      <w:pPr>
        <w:pStyle w:val="style0"/>
        <w:spacing w:after="0"/>
        <w:rPr/>
      </w:pPr>
      <w:r>
        <w:t xml:space="preserve">Also, </w:t>
      </w:r>
      <w:r>
        <w:rPr>
          <w:highlight w:val="white"/>
        </w:rPr>
        <w:t>Prizeman et</w:t>
      </w:r>
      <w:r>
        <w:rPr>
          <w:i/>
          <w:iCs/>
        </w:rPr>
        <w:t xml:space="preserve"> al</w:t>
      </w:r>
      <w:r>
        <w:t xml:space="preserve">. (2024) identified that depression often has both negative and positive aspects, and the solution to manage depression is considered to be highly selective. Moreover, the depression stigma further creates social isolation and loneliness, followed by a disclosure to mental health as well. A reduced level of the stigmatisation of caregivers was linked to more intense contact with services among youth. This theme has highlighted that the community awareness programs targeted at families and caregivers may indirectly lead to better help-seeking behaviours among the young adults. </w:t>
      </w:r>
    </w:p>
    <w:p>
      <w:pPr>
        <w:pStyle w:val="style0"/>
        <w:spacing w:after="0"/>
        <w:rPr/>
      </w:pPr>
      <w:r>
        <w:t>The results indicate that community-based awareness programmes tend to be effective in enhancing mental health awareness and promoting open dialogue. Indicatively, Stuart et al. (2023) found that participants found national campaigns like Every Mind Matters to be useful when it comes to normalising discussions about mental health.</w:t>
      </w:r>
    </w:p>
    <w:p>
      <w:pPr>
        <w:pStyle w:val="style0"/>
        <w:spacing w:after="0"/>
        <w:rPr/>
      </w:pPr>
      <w:r>
        <w:t>There are also contradictions. Although other studies show positive changes in attitudes, others, as in the case of Walsh and Foster (2022), claim that awareness programmes are not effective in tackling the underlying social and structural stigma. This implies that the higher the awareness, the better placed the reduction of stigma.</w:t>
      </w:r>
    </w:p>
    <w:p>
      <w:pPr>
        <w:pStyle w:val="style0"/>
        <w:spacing w:after="0"/>
        <w:rPr/>
      </w:pPr>
      <w:r>
        <w:t>One of the main causes of this inconsistency is the programme design. Interventions that only emphasise information dissemination might be effective in enhancing knowledge but not altering deeply rooted beliefs and behaviours.</w:t>
      </w:r>
    </w:p>
    <w:p>
      <w:pPr>
        <w:pStyle w:val="style0"/>
        <w:rPr>
          <w:b/>
          <w:bCs/>
          <w:i/>
          <w:iCs/>
        </w:rPr>
      </w:pPr>
      <w:r>
        <w:rPr>
          <w:b/>
          <w:bCs/>
          <w:i/>
          <w:iCs/>
        </w:rPr>
        <w:t>Theme 2: Young Adults’ Perceptions and Experiences of Mental Health within Community Settings</w:t>
      </w:r>
    </w:p>
    <w:p>
      <w:pPr>
        <w:pStyle w:val="style0"/>
        <w:rPr/>
      </w:pPr>
      <w:r>
        <w:t xml:space="preserve">The other theme that is also evident in the literature is the lived experiences of stigma and mental health issues amongst youths in community settings. While being synthesised, all of the findings revealed that stigma often operates as a cycle of self-reinforcement. In this scenario, external stigma develops internalised stigma that discourages the behaviour of help-seeking. In the community setting, stigma is frequently realised to be through the negative stereotypes, discrimination, and social exclusion that, together, determine how young people think about problems with their mental health and how they react to them. </w:t>
      </w:r>
    </w:p>
    <w:p>
      <w:pPr>
        <w:pStyle w:val="style0"/>
        <w:rPr/>
      </w:pPr>
      <w:r>
        <w:t xml:space="preserve">As an example, investigating the experiences of young people (16-25 years old) with anxiety and depression, Ansell </w:t>
      </w:r>
      <w:r>
        <w:rPr>
          <w:i/>
          <w:iCs/>
        </w:rPr>
        <w:t>et al.</w:t>
      </w:r>
      <w:r>
        <w:t xml:space="preserve"> (2024) discovered that stigma manifested itself through negative labelling and negative judgment by some people. The respondents identified themselves as perceived as weak, too sensitive or attention-seeking. Moreover, other people were directly discriminated against by their peers, family members, and educators, which added a sense of shame and isolation to their experience. </w:t>
      </w:r>
    </w:p>
    <w:p>
      <w:pPr>
        <w:pStyle w:val="style0"/>
        <w:rPr/>
      </w:pPr>
      <w:r>
        <w:t xml:space="preserve">Another finding of the study was the role played by self- stigma, where people </w:t>
      </w:r>
      <w:r>
        <w:t>internalised</w:t>
      </w:r>
      <w:r>
        <w:t xml:space="preserve"> these negative attitudes held by society, and this resulted in low self-confidence and unwillingness to disclose their plight and seek professional help. Likewise, similar patterns were determined among the UK population by Huggett </w:t>
      </w:r>
      <w:r>
        <w:rPr>
          <w:i/>
          <w:iCs/>
        </w:rPr>
        <w:t>et al</w:t>
      </w:r>
      <w:r>
        <w:t xml:space="preserve">. (2018). The respondents reported cases of stigmatised experiences, such as an unwillingness of social circles and bad attitudes of the people they encountered at work or in healthcare facilities. </w:t>
      </w:r>
    </w:p>
    <w:p>
      <w:pPr>
        <w:pStyle w:val="style0"/>
        <w:rPr/>
      </w:pPr>
      <w:r>
        <w:t xml:space="preserve">Similarly, </w:t>
      </w:r>
      <w:r>
        <w:t>Birken</w:t>
      </w:r>
      <w:r>
        <w:t xml:space="preserve"> </w:t>
      </w:r>
      <w:r>
        <w:rPr>
          <w:i/>
          <w:iCs/>
        </w:rPr>
        <w:t>et</w:t>
      </w:r>
      <w:r>
        <w:rPr>
          <w:i/>
          <w:iCs/>
        </w:rPr>
        <w:t xml:space="preserve"> al</w:t>
      </w:r>
      <w:r>
        <w:t xml:space="preserve">. (2023) observed that stigma was a major factor that led to loneliness in people. According to the participants, it was a constant feeling of exclusion that prevented them from establishing significant relationships in social environments. More on this, Lee and Wong (2024) have highlighted that mental health experiences are conditioned by the extended social inequalities. </w:t>
      </w:r>
    </w:p>
    <w:p>
      <w:pPr>
        <w:pStyle w:val="style0"/>
        <w:rPr/>
      </w:pPr>
      <w:r>
        <w:t xml:space="preserve">Qualitative research can provide a great understanding of the experience of stigma among young adults, and some of the common themes identified include fear of being judged, social withdrawal, unwillingness to seek professional help and internalised stigma. According to a study by Ansell </w:t>
      </w:r>
      <w:r>
        <w:rPr>
          <w:i/>
          <w:iCs/>
        </w:rPr>
        <w:t>et al.</w:t>
      </w:r>
      <w:r>
        <w:t xml:space="preserve"> (2024) and Prizeman et al. (2024), stigma not only happens at the societal level, where people are negatively impacted by social attitudes, but also at the individual level, where stigma influences how individuals view themselves and make their decisions. Nonetheless, the results are not consistent across the studies. Although there were some participants who said that they felt more </w:t>
      </w:r>
      <w:r>
        <w:t xml:space="preserve">open and less stigmatised following exposure to awareness programmes, others still felt stigmatised despite the enhanced knowledge and understanding. This discrepancy underscores that stigma is a multifaceted and multi-dimensional phenomenon that is subject to cultural norms, individual experiences and social contexts. </w:t>
      </w:r>
    </w:p>
    <w:p>
      <w:pPr>
        <w:pStyle w:val="style0"/>
        <w:rPr>
          <w:b/>
          <w:bCs/>
          <w:i/>
          <w:iCs/>
        </w:rPr>
      </w:pPr>
      <w:r>
        <w:rPr>
          <w:b/>
          <w:bCs/>
          <w:i/>
          <w:iCs/>
        </w:rPr>
        <w:t>Theme 3: Key Components and Strategies of Community-Based Programmes that Influence Stigma Reduction </w:t>
      </w:r>
    </w:p>
    <w:p>
      <w:pPr>
        <w:pStyle w:val="style0"/>
        <w:spacing w:after="0"/>
        <w:rPr>
          <w:rFonts w:eastAsia="Times New Roman"/>
        </w:rPr>
      </w:pPr>
      <w:r>
        <w:t xml:space="preserve">A third theme evolving from the analysis is associated with the particular constituents of approaches that contributed to effective mental health mindfulness programmes based on the community. Among the evaluated articles, a clear pattern has been seen which identified that programmes are considered to be the most effective approaches when they are relational and not informational. This also suggests that decreasing stigma includes emotional engagement and knowledge dissemination, followed by a better development of trust.  For example, the article by Holding </w:t>
      </w:r>
      <w:r>
        <w:rPr>
          <w:i/>
          <w:iCs/>
        </w:rPr>
        <w:t>et al</w:t>
      </w:r>
      <w:r>
        <w:t xml:space="preserve">. (2022) discovered that young individuals valued support systems developed on non-judgmental listening, empathy, and mutual respect. </w:t>
      </w:r>
    </w:p>
    <w:p>
      <w:pPr>
        <w:pStyle w:val="style0"/>
        <w:rPr/>
      </w:pPr>
      <w:r>
        <w:t xml:space="preserve">Participants focused on the fact that having someone who genuinely listens to their involvement notably decreases feelings of stigma and motivates them to pursue help. Similarly, the practices of Pierre's assistance were considered specifically officiator because they developed a safe atmosphere where young individuals can openly discuss and share the challenges of mental health. Likewise, Laidlaw </w:t>
      </w:r>
      <w:r>
        <w:rPr>
          <w:i/>
          <w:iCs/>
        </w:rPr>
        <w:t>et al</w:t>
      </w:r>
      <w:r>
        <w:t xml:space="preserve">. (2016) established that students frequently preferred informal networks of assistance like family and friends, rather than formal clinical services. </w:t>
      </w:r>
    </w:p>
    <w:p>
      <w:pPr>
        <w:pStyle w:val="style0"/>
        <w:rPr/>
      </w:pPr>
      <w:r>
        <w:t xml:space="preserve">Therefore, incorporating mental health assistance within familiar community atmospheres like schools or youth organisations might assist in decreasing stigma and increasing accessibility. Another important approach recognised in the literature is the co-production of the practises of mental health with young individuals. The article by Ansell </w:t>
      </w:r>
      <w:r>
        <w:rPr>
          <w:i/>
          <w:iCs/>
        </w:rPr>
        <w:t>et al</w:t>
      </w:r>
      <w:r>
        <w:t>. (2024) focuses on anti-stigma programmes that shall be co-designed with young people to guarantee that they genuinely reflect their experiences of life. This participatory strategy permits programmes to report the detailed forms of stigma faced by younger individuals in daily life. Similarly, Lee and Wong (2024) focused on the significance of culturally sensitive and flexible assistance services that acknowledge the diverse requirements of young individuals.</w:t>
      </w:r>
    </w:p>
    <w:p>
      <w:pPr>
        <w:pStyle w:val="style0"/>
        <w:rPr/>
      </w:pPr>
      <w:r>
        <w:t xml:space="preserve">Participants' Featured Data Programmes based on Community shall be accessible, responsive and inclusive to the particular issues experienced by different demographic groups. Comprehensively, the findings recommend that effective programmes for </w:t>
      </w:r>
      <w:r>
        <w:t>mental health awareness based on communities necessitate relationship-focused strategies from culturally responsive approaches and youth participation. Overall, it has been highlighted that programmes that integrate these particular constituents have higher chances to develop faithfulness, motivate open communication and decrease the stigma within the community environment. </w:t>
      </w:r>
    </w:p>
    <w:p>
      <w:pPr>
        <w:pStyle w:val="style0"/>
        <w:rPr/>
      </w:pPr>
      <w:r>
        <w:t xml:space="preserve">One of the key findings of the reviewed studies is that not every awareness programme is effective, with multi-component interventions perhaps having a greater impact. Contact-based programmes are a feature of effective interventions; contacts with those with lived experience contribute to relatability and trust; peer-led programmes are favoured over information delivery; interactive approaches such as workshops and discussions are popular. Among them, the interventions that involve contact are always pointed out as particularly effective, as they break the stereotypes with the help of personal stories and help people develop empathy. Conversely, purely educational interventions, although applicable in enhancing knowledge, are not as effective in modifying attitudes and behaviours. It should be noted, though, that in the majority of studies, individual components are not isolated, and therefore, it is hard to determine a clear causality. Moreover, differences in the study plan and execution make it difficult to make direct comparisons. </w:t>
      </w:r>
    </w:p>
    <w:p>
      <w:pPr>
        <w:pStyle w:val="style0"/>
        <w:rPr>
          <w:b/>
          <w:bCs/>
          <w:i/>
          <w:iCs/>
        </w:rPr>
      </w:pPr>
      <w:r>
        <w:rPr>
          <w:b/>
          <w:bCs/>
          <w:i/>
          <w:iCs/>
        </w:rPr>
        <w:t>Theme 4: Gaps, Limitations, and Future Directions in Research on Community-Based Mental Health Awareness Programmes </w:t>
      </w:r>
    </w:p>
    <w:p>
      <w:pPr>
        <w:pStyle w:val="style0"/>
        <w:rPr/>
      </w:pPr>
      <w:r>
        <w:t>The final theme evolving from the chosen literature concerns the restrictions of existing awareness of mental health practises and the requirements for an all-inclusive and impactful strategy. Several research featured that if numerous current programmes remain symbolic or superficial, failing to report the detailed structural cause of the stigma for mental health. For example, the article by Finan and Foulkes (2025) reported that several university students viewed the campaigns of institutional mental health as box-ticking or pre-formative exercises. Participants believe that the educational institutions or universities frequently encouraged practises of welfare primarily for reputational purposes, rather than indicating a genuine dedication to the mental health of students. </w:t>
      </w:r>
    </w:p>
    <w:p>
      <w:pPr>
        <w:pStyle w:val="style0"/>
        <w:rPr/>
      </w:pPr>
      <w:r>
        <w:t xml:space="preserve">Consequently, this perceived deficiency of authenticity led several students to disengage with accessible assisting services. Similarly, Stuart </w:t>
      </w:r>
      <w:r>
        <w:rPr>
          <w:i/>
          <w:iCs/>
        </w:rPr>
        <w:t>et al.</w:t>
      </w:r>
      <w:r>
        <w:t xml:space="preserve"> (2023) noted that the campaigns of awareness frequently emphasise mild challenges of mental health, whereas overlooking the most severe or complicated conditions. Participants failed to realise that such awareness campaigns sometimes oversimplified the challenges of </w:t>
      </w:r>
      <w:r>
        <w:t>mental health and failed to offer a clear pathway to professional assistance. Additionally, Walsh and Foster (2022) argued that the traditional programmes of anti-stigma rarely report the structural inequalities that contribute significantly to the mental health stigma. Aspects like social economic disadvantage, negative media representations and discriminatory policies can notably impact the behaviours and attitudes of the public. </w:t>
      </w:r>
    </w:p>
    <w:p>
      <w:pPr>
        <w:pStyle w:val="style0"/>
        <w:spacing w:after="0"/>
        <w:rPr/>
      </w:pPr>
      <w:r>
        <w:t xml:space="preserve">Therefore, the authors focused on the requirements for multi-level interventions that report both systemic barriers and individual attitudes. Likewise, the article by </w:t>
      </w:r>
      <w:r>
        <w:rPr>
          <w:highlight w:val="white"/>
        </w:rPr>
        <w:t xml:space="preserve">Prizeman </w:t>
      </w:r>
      <w:r>
        <w:rPr>
          <w:i/>
          <w:iCs/>
        </w:rPr>
        <w:t>et al</w:t>
      </w:r>
      <w:r>
        <w:t xml:space="preserve">. (2024) highlights that there is a presence of several insufficient understandings about the experiences of young people regarding their mental health stigma and its effects on their overall willingness to manage the problems related to mental health as well. </w:t>
      </w:r>
    </w:p>
    <w:p>
      <w:pPr>
        <w:pStyle w:val="style0"/>
        <w:spacing w:after="0"/>
        <w:rPr/>
      </w:pPr>
      <w:r>
        <w:t xml:space="preserve">A recurring pattern is observed in the literature reviewed, indicating that community-based awareness programmes are very effective in enhancing mental health literacy but have little long-term behavioural change effect. Various studies are coming to a common ground, which is that there exists an awareness-to-action gap, meaning that knowledge is never enough to change highly ingrained attitudes and behaviours. It is highly evident that stigma can be at various levels, which include individual, social, and structural. Although research like Stuart et al. (2023) focused on the value of the awareness campaigns, others, such as Walsh and Foster (2022), focus on their inability to combat systemic inequalities. This shows that there are clear contradictions in the short-term changes in attitudes and the continuity of discriminatory behaviours in the real-life world. Also, results in the literature have been consistent in indicating that informal sources of support, including friends and family, are favoured over the alternative of formal mental health services. According to this trend, the stigma of professional assistance is a very strong obstacle. Simultaneously, the literature emphasises the relevance of peer support and community-based environments in the process of filling this gap. A summarised version of the ideas identified through the total thematic analysis method has been presented in </w:t>
      </w:r>
      <w:r>
        <w:rPr>
          <w:b/>
          <w:bCs/>
          <w:i/>
          <w:iCs/>
        </w:rPr>
        <w:t>Appendix 4</w:t>
      </w:r>
      <w:r>
        <w:t>.</w:t>
      </w:r>
    </w:p>
    <w:p>
      <w:pPr>
        <w:pStyle w:val="style0"/>
        <w:rPr/>
      </w:pPr>
      <w:r>
        <w:t xml:space="preserve">Moreover, longitudinal studies should be a priority in the future to determine the long-term effects of the awareness programmes in a more varied population. The generalisability of findings could be improved by more methodological consistency and the inclusion of underrepresented groups. Co-production of interventions with the youth is also necessary to make them relevant and authentic. The inclusion of digital platforms and culturally sensitive practices can further enhance engagement and effectiveness. These gaps will be critically important to address in order to come up </w:t>
      </w:r>
      <w:r>
        <w:t>with more holistic and effective mental health awareness strategies. Moreover, effective evaluation frameworks that do not just focus on changes in attitudinal states in the short term, but also long-term changes in behaviour and use of services, should be included in the future intervention. The mixed-method approaches may give more holistic information on the effectiveness of the programmes that include quantitative information on the impact of programmes and qualitative information. Policymakers and agencies should also invest in long-term funding and resources so as to provide continuity as opposed to short-term efforts. The collaboration between educational organisations, healthcare organisations and community organisations can be further strengthened, which will increase the reach and credibility of the programme. The focus on early intervention, especially in schools and universities, can contribute to normalising mental health discourse and alleviating stigma at an early age.</w:t>
      </w:r>
    </w:p>
    <w:bookmarkStart w:id="61" w:name="_Toc1971"/>
    <w:p>
      <w:pPr>
        <w:pStyle w:val="style2"/>
        <w:spacing w:lineRule="auto" w:line="480"/>
        <w:rPr/>
      </w:pPr>
      <w:r>
        <w:t>5.6 Chapter Summary</w:t>
      </w:r>
      <w:bookmarkEnd w:id="61"/>
    </w:p>
    <w:p>
      <w:pPr>
        <w:pStyle w:val="style0"/>
        <w:rPr/>
      </w:pPr>
      <w:r>
        <w:t>The development of this chapter has represented the overall synthesis and analysis of the findings that have been obtained from all the selected articles in this SLR. The use of thematic analysis has helped in proposing specific patterns and approaches based on which the concepts of the articles were evaluated.</w:t>
      </w:r>
    </w:p>
    <w:p>
      <w:pPr>
        <w:pStyle w:val="style0"/>
        <w:spacing w:lineRule="auto" w:line="259"/>
        <w:jc w:val="left"/>
        <w:rPr/>
      </w:pPr>
      <w:r>
        <w:br w:type="page"/>
      </w:r>
    </w:p>
    <w:bookmarkStart w:id="62" w:name="_Toc7552"/>
    <w:p>
      <w:pPr>
        <w:pStyle w:val="style1"/>
        <w:spacing w:lineRule="auto" w:line="480"/>
        <w:rPr/>
      </w:pPr>
      <w:r>
        <w:t>CHAPTER 6: DISCUSSION</w:t>
      </w:r>
      <w:bookmarkEnd w:id="62"/>
    </w:p>
    <w:bookmarkStart w:id="63" w:name="_Toc27594"/>
    <w:p>
      <w:pPr>
        <w:pStyle w:val="style2"/>
        <w:spacing w:lineRule="auto" w:line="480"/>
        <w:rPr/>
      </w:pPr>
      <w:r>
        <w:t>6.1 Introduction to Chapter</w:t>
      </w:r>
      <w:bookmarkEnd w:id="63"/>
    </w:p>
    <w:p>
      <w:pPr>
        <w:pStyle w:val="style0"/>
        <w:rPr/>
      </w:pPr>
      <w:r>
        <w:t xml:space="preserve">This chapter is a critical discussion of the main findings obtained as a result of the systematic literature review in relation to the research objective of assessing the effectiveness of community-based mental health awareness programmes in alleviating stigma among young adults in the United Kingdom. The four major themes found in Chapter 5 are used to direct the discussion, which are the effects of awareness programmes, lived experiences of stigma, successful programme elements, and the gaps in research and practice. </w:t>
      </w:r>
    </w:p>
    <w:bookmarkStart w:id="64" w:name="_Toc28624"/>
    <w:p>
      <w:pPr>
        <w:pStyle w:val="style2"/>
        <w:spacing w:lineRule="auto" w:line="480"/>
        <w:rPr/>
      </w:pPr>
      <w:r>
        <w:t>6.2 Discussion of Key Findings</w:t>
      </w:r>
      <w:bookmarkEnd w:id="64"/>
    </w:p>
    <w:p>
      <w:pPr>
        <w:pStyle w:val="style0"/>
        <w:rPr/>
      </w:pPr>
      <w:r>
        <w:t xml:space="preserve">This section critically interprets the thematic findings in terms of existing literature and theories. The discussion, instead of merely presenting results, assesses the mechanisms, contradictions, and implications of four major themes, namely programme effectiveness, lived experiences of stigma, major components of interventions, and gaps in research and practice. The critical interpretation of the findings indicates that increased awareness does not consistently translate into long-term behavioural change or stigma reduction. This highlights a significant gap between knowledge acquisition and attitudinal transformation. </w:t>
      </w:r>
    </w:p>
    <w:bookmarkStart w:id="65" w:name="_Toc32066"/>
    <w:p>
      <w:pPr>
        <w:pStyle w:val="style3"/>
        <w:spacing w:lineRule="auto" w:line="480"/>
        <w:rPr/>
      </w:pPr>
      <w:r>
        <w:t>Theme 1: Effectiveness of Community-Based Awareness Programmes in Reducing Stigma</w:t>
      </w:r>
      <w:bookmarkEnd w:id="65"/>
    </w:p>
    <w:p>
      <w:pPr>
        <w:pStyle w:val="style0"/>
        <w:rPr/>
      </w:pPr>
      <w:r>
        <w:t xml:space="preserve">The results show that community-based mental health awareness programmes can be effective in enhancing mental health literacy and promoting open discussions with young adults. Nevertheless, their effect on reducing stigmas in the long-term is minimal. This is in line with the available literature that indicates that educational interventions can be effective in raising awareness but not in producing lasting behavioural change (Song </w:t>
      </w:r>
      <w:r>
        <w:rPr>
          <w:i/>
        </w:rPr>
        <w:t>et al.,</w:t>
      </w:r>
      <w:r>
        <w:t xml:space="preserve"> 2023). Although programs like Every Mind Matters can normalise mental health conversations and ease immediate discomfort (Stuart </w:t>
      </w:r>
      <w:r>
        <w:rPr>
          <w:i/>
        </w:rPr>
        <w:t>et al.</w:t>
      </w:r>
      <w:r>
        <w:t>, 2023), the impact seems more of a cognitive than a behavioural one.</w:t>
      </w:r>
    </w:p>
    <w:p>
      <w:pPr>
        <w:pStyle w:val="style0"/>
        <w:rPr/>
      </w:pPr>
      <w:r>
        <w:t xml:space="preserve">This weakness may be attributed to the difference between learning and behavioural change. Educating people to raise awareness is not always a challenge to deeply ingrained social norms, cultural beliefs, and institutional practices that perpetuate stigma. This is in line with </w:t>
      </w:r>
      <w:r>
        <w:t>Cerully</w:t>
      </w:r>
      <w:r>
        <w:t xml:space="preserve"> </w:t>
      </w:r>
      <w:r>
        <w:rPr>
          <w:i/>
        </w:rPr>
        <w:t>et al.</w:t>
      </w:r>
      <w:r>
        <w:t xml:space="preserve"> (2018), who state that education is capable of lessening the misconceptions but is not necessarily translated into behavioural </w:t>
      </w:r>
      <w:r>
        <w:t>change. Nevertheless, it is the opposite of Walsh and Foster (2022), who indicate that only the awareness-based models are not sufficient as they do not cover structural and behavioural aspects of stigma. This deviation shows that the effectiveness of the programme depends on the extent to which the intervention goes beyond the dissemination of information.</w:t>
      </w:r>
    </w:p>
    <w:p>
      <w:pPr>
        <w:pStyle w:val="style0"/>
        <w:rPr/>
      </w:pPr>
      <w:r>
        <w:t xml:space="preserve">Stigma theory, as applied by Goffman, can additionally be used to explain the short-term effects of awareness programmes. Stigma is a socially built process that is entrenched in the relationships and power dynamics and not simply knowledge deficits (Aranda </w:t>
      </w:r>
      <w:r>
        <w:rPr>
          <w:i/>
        </w:rPr>
        <w:t>et al.,</w:t>
      </w:r>
      <w:r>
        <w:t xml:space="preserve"> 2023). Thus, awareness-driven programmes do not break social processes of maintaining discrimination. On the same note, Henderson and Gronholm (2018) conceptualise mental health stigma as a wicked problem, which needs multi-level responses at individual, social, and structural levels.</w:t>
      </w:r>
      <w:r>
        <w:t xml:space="preserve"> </w:t>
      </w:r>
    </w:p>
    <w:p>
      <w:pPr>
        <w:pStyle w:val="style0"/>
        <w:rPr/>
      </w:pPr>
      <w:r>
        <w:rPr>
          <w:color w:val="222222"/>
          <w:highlight w:val="yellow"/>
        </w:rPr>
        <w:t>The findings have indicated that awareness is insufficient to address challenges related to stigma unless the programmes are further supported by social changes and broader institutional changes. Therefore, the overall effectiveness of all the interventions needs to be interpreted as a partial approach rather than a transformative approach.</w:t>
      </w:r>
    </w:p>
    <w:bookmarkStart w:id="66" w:name="_Toc5581"/>
    <w:p>
      <w:pPr>
        <w:pStyle w:val="style3"/>
        <w:spacing w:lineRule="auto" w:line="480"/>
        <w:rPr/>
      </w:pPr>
      <w:r>
        <w:t>Theme 2: Young Adults’ Perceptions and Experiences of Mental Health Stigma</w:t>
      </w:r>
      <w:bookmarkEnd w:id="66"/>
    </w:p>
    <w:p>
      <w:pPr>
        <w:pStyle w:val="style0"/>
        <w:rPr/>
      </w:pPr>
      <w:r>
        <w:t xml:space="preserve">The results show that stigma among young adults is entrenched in social, cultural and interpersonal environments. Stigma is a cyclic process whereby, when publicly stigmatised, internalised stigma follows, which eventually discourages the seeking of help. This supports Ching </w:t>
      </w:r>
      <w:r>
        <w:rPr>
          <w:i/>
        </w:rPr>
        <w:t>et al.</w:t>
      </w:r>
      <w:r>
        <w:t xml:space="preserve"> (2024), who stress the interdependence between the public and self-stigma.</w:t>
      </w:r>
    </w:p>
    <w:p>
      <w:pPr>
        <w:pStyle w:val="style0"/>
        <w:rPr/>
      </w:pPr>
      <w:r>
        <w:t xml:space="preserve">Ansell </w:t>
      </w:r>
      <w:r>
        <w:rPr>
          <w:i/>
        </w:rPr>
        <w:t xml:space="preserve">et al. </w:t>
      </w:r>
      <w:r>
        <w:t>(2024) and Huggett et al. (2018) found through empirical evidence that young adults often are negatively labelled, discriminated against, and socially excluded. Such experiences add to internalised stigma that manifests itself in feelings of shame, low self-esteem, and unwillingness to share mental health issues. This observation is consistent with Seamark and Gabriel (2018), who cite stigma as a primary hindrance to seeking help. Nonetheless, this study builds on prior studies by emphasising psychological processes involved in this relationship. In particular, it seems that internalised stigma and fear of social judgment prevent people from seeking help, even with the heightened awareness.</w:t>
      </w:r>
    </w:p>
    <w:p>
      <w:pPr>
        <w:pStyle w:val="style0"/>
        <w:rPr/>
      </w:pPr>
      <w:r>
        <w:t xml:space="preserve">In addition, the results indicate that stigma is not experienced in a homogenous way, but it is influenced by structural and cultural inequalities. Lee and Wong (2024) </w:t>
      </w:r>
      <w:r>
        <w:t xml:space="preserve">reported that minority ethnic and lower socioeconomic youth are subjected to compounded stigma, which portrays inequalities in society at large. This substantiates Bharadwaj </w:t>
      </w:r>
      <w:r>
        <w:rPr>
          <w:i/>
        </w:rPr>
        <w:t>et al.</w:t>
      </w:r>
      <w:r>
        <w:t xml:space="preserve"> (2017), who state that stigma is socially patterned, and Ahad </w:t>
      </w:r>
      <w:r>
        <w:rPr>
          <w:i/>
        </w:rPr>
        <w:t>et al.</w:t>
      </w:r>
      <w:r>
        <w:t xml:space="preserve"> (2023), who point out the impact of cultural norms on attitudes towards mental health. Nevertheless, this also implies that a universal approach to awareness programmes might not meet the needs of different populations.</w:t>
      </w:r>
    </w:p>
    <w:p>
      <w:pPr>
        <w:pStyle w:val="style0"/>
        <w:rPr/>
      </w:pPr>
      <w:r>
        <w:t xml:space="preserve">Another important conclusion is that informal support networks (friends and family) are preferred to formal mental health services. Though Laidlaw </w:t>
      </w:r>
      <w:r>
        <w:rPr>
          <w:i/>
        </w:rPr>
        <w:t>et al.</w:t>
      </w:r>
      <w:r>
        <w:t xml:space="preserve"> (2016) explain this by the fact that perceptions of clinical services are related to severe mental illness, this paper proposes a more profound explanation. The unwillingness to seek professional help can be caused by distrust, fear of judgment, and fear of social identity. </w:t>
      </w:r>
    </w:p>
    <w:p>
      <w:pPr>
        <w:pStyle w:val="style0"/>
        <w:rPr/>
      </w:pPr>
      <w:r>
        <w:rPr>
          <w:color w:val="222222"/>
          <w:highlight w:val="yellow"/>
        </w:rPr>
        <w:t xml:space="preserve">Most importantly, all the findings have demonstrated that embarrassment, discrimination, and social exclusion discourage young adults from providing them the access to proper mental health support, along with an increased public awareness. This also suggests that the current programmes of awareness may make improvements within knowledge while failing to properly address the social </w:t>
      </w:r>
      <w:r>
        <w:rPr>
          <w:color w:val="222222"/>
          <w:highlight w:val="yellow"/>
        </w:rPr>
        <w:t>nd</w:t>
      </w:r>
      <w:r>
        <w:rPr>
          <w:color w:val="222222"/>
          <w:highlight w:val="yellow"/>
        </w:rPr>
        <w:t xml:space="preserve"> emotional barriers related to help-seeking.</w:t>
      </w:r>
    </w:p>
    <w:bookmarkStart w:id="67" w:name="_Toc8503"/>
    <w:p>
      <w:pPr>
        <w:pStyle w:val="style3"/>
        <w:spacing w:lineRule="auto" w:line="480"/>
        <w:rPr/>
      </w:pPr>
      <w:r>
        <w:t>Theme 3: Key Components of Effective Community-Based Programmes</w:t>
      </w:r>
      <w:bookmarkEnd w:id="67"/>
    </w:p>
    <w:p>
      <w:pPr>
        <w:pStyle w:val="style0"/>
        <w:rPr/>
      </w:pPr>
      <w:r>
        <w:t>The results highlight various key elements that contribute to the effectiveness of community-based mental health awareness programmes, such as relational approaches, peer support, co-production, and cultural sensitivity. These results are very consistent with the available literature, yet they also allow more profound insights into the efficiency of these components.</w:t>
      </w:r>
    </w:p>
    <w:p>
      <w:pPr>
        <w:pStyle w:val="style0"/>
        <w:rPr/>
      </w:pPr>
      <w:r>
        <w:t xml:space="preserve">Relational approaches, which included empathy, trust, and non-judgmental communication, were also found to be especially effective. This supports Humphrey </w:t>
      </w:r>
      <w:r>
        <w:rPr>
          <w:i/>
        </w:rPr>
        <w:t>et al.</w:t>
      </w:r>
      <w:r>
        <w:t xml:space="preserve"> (2020), who highlight the importance of social interaction in mental health interventions. In addition, the contact-based interventions are effective, which is consistent with Makhmud </w:t>
      </w:r>
      <w:r>
        <w:rPr>
          <w:i/>
        </w:rPr>
        <w:t>et al.</w:t>
      </w:r>
      <w:r>
        <w:t xml:space="preserve"> (2022), who identified the direct contact with individuals with lived experience to be more effective than education-only interventions. This paper, however, indicates that the success of such interventions lies in the quality and richness of interaction. Surface or shallow-level contact might not lead to significant changes in attitudes or behaviour.</w:t>
      </w:r>
    </w:p>
    <w:p>
      <w:pPr>
        <w:pStyle w:val="style0"/>
        <w:rPr/>
      </w:pPr>
      <w:r>
        <w:t xml:space="preserve">Another important strategy was also found to be peer-led interventions. The results show that young adults are more inclined towards programmes that are provided by </w:t>
      </w:r>
      <w:r>
        <w:t xml:space="preserve">peers because common experiences make them relatable and trust one another. This is in line with the results of Sun </w:t>
      </w:r>
      <w:r>
        <w:rPr>
          <w:i/>
        </w:rPr>
        <w:t>et al. (</w:t>
      </w:r>
      <w:r>
        <w:t>2022), who have discovered that peer-led methods decrease self-stigma and increase help-seeking behaviour. Nonetheless, this research will contribute to this finding by proposing that the peer influence works with the help of social identity processes, which makes the interventions more legit and acceptable.</w:t>
      </w:r>
    </w:p>
    <w:p>
      <w:pPr>
        <w:pStyle w:val="style0"/>
        <w:rPr/>
      </w:pPr>
      <w:r>
        <w:t xml:space="preserve">The effectiveness is further promoted by the co-production of programmes with the youth to make sure that they are relevant and responsive. This is consistent with user-centred recommendations in the field of public health, as well as a move to participatory intervention design. Also, cultural sensitivity was cited as a necessity, especially when it comes to covering various experiences of stigma among various populations (Ahad </w:t>
      </w:r>
      <w:r>
        <w:rPr>
          <w:i/>
        </w:rPr>
        <w:t>et al.,</w:t>
      </w:r>
      <w:r>
        <w:t xml:space="preserve"> 2023).</w:t>
      </w:r>
      <w:r>
        <w:t xml:space="preserve"> </w:t>
      </w:r>
      <w:r>
        <w:rPr>
          <w:color w:val="222222"/>
          <w:highlight w:val="yellow"/>
        </w:rPr>
        <w:t>Therefore, the overall interpretation of the findings indicates a successful reduction of stigma, which requires proper programmes that help in making a passive delivery of awareness towards youth participation and active social connection.</w:t>
      </w:r>
    </w:p>
    <w:bookmarkStart w:id="68" w:name="_Toc30923"/>
    <w:p>
      <w:pPr>
        <w:pStyle w:val="style3"/>
        <w:spacing w:lineRule="auto" w:line="480"/>
        <w:rPr/>
      </w:pPr>
      <w:r>
        <w:t>Theme 4: Gaps and Limitations in Existing Research and Practice</w:t>
      </w:r>
      <w:bookmarkEnd w:id="68"/>
    </w:p>
    <w:p>
      <w:pPr>
        <w:pStyle w:val="style0"/>
        <w:rPr/>
      </w:pPr>
      <w:r>
        <w:t xml:space="preserve">The results demonstrate that there are several fundamental gaps in research and practice. One of the significant shortcomings is the absence of longitudinal evidence of the effectiveness of awareness programmes in the long term. Although improvements are reported in the short term, no evidence has shown them to be measured in the long term (Crockett </w:t>
      </w:r>
      <w:r>
        <w:rPr>
          <w:i/>
        </w:rPr>
        <w:t>et al.,</w:t>
      </w:r>
      <w:r>
        <w:t xml:space="preserve"> 2025; Song </w:t>
      </w:r>
      <w:r>
        <w:rPr>
          <w:i/>
        </w:rPr>
        <w:t>et al.,</w:t>
      </w:r>
      <w:r>
        <w:t xml:space="preserve"> 2023). This brings up serious concerns regarding the real effects of such interventions.</w:t>
      </w:r>
    </w:p>
    <w:p>
      <w:pPr>
        <w:pStyle w:val="style0"/>
        <w:rPr/>
      </w:pPr>
      <w:r>
        <w:t>The other gap is that there is little attention paid to structural stigma. The majority of interventions aim to change the attitudes of individuals but do not consider more general societal and institutional aspects. This portrays a lack of linkage between theory and practice since the phenomenon of stigma is well-known as a multi-level phenomenon. The same argument is made by Walsh and Foster (2022): the effect of traditional programmes is limited because they do not tackle systemic inequalities.</w:t>
      </w:r>
    </w:p>
    <w:p>
      <w:pPr>
        <w:pStyle w:val="style0"/>
        <w:rPr/>
      </w:pPr>
      <w:r>
        <w:t xml:space="preserve">Another result of the findings is an awareness-to-action gap through which more knowledge does not result in behavioural change. This implies that awareness itself cannot be used to defy the highly entrenched social norms and power relations. This is supported by Henderson </w:t>
      </w:r>
      <w:r>
        <w:rPr>
          <w:i/>
        </w:rPr>
        <w:t>et al.</w:t>
      </w:r>
      <w:r>
        <w:t xml:space="preserve"> (2017), who note that behavioural change is not achieved through the provision of information only.</w:t>
      </w:r>
    </w:p>
    <w:p>
      <w:pPr>
        <w:pStyle w:val="style0"/>
        <w:rPr/>
      </w:pPr>
      <w:r>
        <w:t>Moreover, the absence of UK-based research that specifically targets young adults under the age of 25 implies that there is a significant gap in the literature. Many studies include broader age groups, limiting the applicability of findings to the target population. Moreover, small sample sizes and the use of self-reported data increase the methodological constraints of the research, thereby decreasing the generalisability and reliability of the results.</w:t>
      </w:r>
      <w:r>
        <w:rPr>
          <w:color w:val="222222"/>
        </w:rPr>
        <w:t xml:space="preserve"> </w:t>
      </w:r>
      <w:r>
        <w:rPr>
          <w:color w:val="222222"/>
          <w:highlight w:val="yellow"/>
        </w:rPr>
        <w:t>Furthermore, a decreased focus on culturally different populations and structural inequalities mainly indicates towards the currently existing interventions, which may not be able to fully reflect upon the complicated realities.</w:t>
      </w:r>
    </w:p>
    <w:bookmarkStart w:id="69" w:name="_Toc22980"/>
    <w:p>
      <w:pPr>
        <w:pStyle w:val="style3"/>
        <w:spacing w:lineRule="auto" w:line="480"/>
        <w:rPr/>
      </w:pPr>
      <w:r>
        <w:t>Critical Reflection of Research Method</w:t>
      </w:r>
      <w:bookmarkEnd w:id="69"/>
    </w:p>
    <w:p>
      <w:pPr>
        <w:pStyle w:val="style0"/>
        <w:rPr/>
      </w:pPr>
      <w:r>
        <w:t>When considering the method of the research, the systematic literature review was a systematic and transparent means of evidence synthesis. Nevertheless, the use of qualitative studies exclusively did not allow for detecting quantitative results and measuring effectiveness. This would have limited the scope of findings.</w:t>
      </w:r>
    </w:p>
    <w:p>
      <w:pPr>
        <w:pStyle w:val="style0"/>
        <w:rPr/>
      </w:pPr>
      <w:r>
        <w:t>Furthermore, the limitation of UK research studies maximised contextual relevance but minimised the applicability of results. It is suggested that the use of a small number of databases and the omission of grey literature could have caused selection and publication bias, as the research methodology emphasises.</w:t>
      </w:r>
    </w:p>
    <w:p>
      <w:pPr>
        <w:pStyle w:val="style0"/>
        <w:rPr/>
      </w:pPr>
      <w:r>
        <w:t>Despite these limitations, the thematic analysis approach enabled a rich and in-depth understanding of young adults’ experiences and perceptions. The results give beneficial information on the multifaceted character of stigma and the influencing factors of community-based intervention efficiency.</w:t>
      </w:r>
    </w:p>
    <w:p>
      <w:pPr>
        <w:pStyle w:val="style0"/>
        <w:rPr/>
      </w:pPr>
      <w:r>
        <w:rPr>
          <w:color w:val="222222"/>
          <w:highlight w:val="yellow"/>
        </w:rPr>
        <w:t>Although this review has provided appropriate insights into the perception related to stigma and lived experiences, and the perceptions associated with stigma. Therefore, all the findings in this dissertation need to be interpreted primarily as interpretive and exploratory aspect than being statistically generalisable.</w:t>
      </w:r>
    </w:p>
    <w:bookmarkStart w:id="70" w:name="_Toc16427"/>
    <w:p>
      <w:pPr>
        <w:pStyle w:val="style2"/>
        <w:spacing w:lineRule="auto" w:line="480"/>
        <w:rPr/>
      </w:pPr>
      <w:r>
        <w:t>6.3 Strengths and Limitations</w:t>
      </w:r>
      <w:bookmarkEnd w:id="70"/>
    </w:p>
    <w:p>
      <w:pPr>
        <w:pStyle w:val="style0"/>
        <w:rPr/>
      </w:pPr>
      <w:r>
        <w:t xml:space="preserve">In this research, a number of methodological strengths are presented based on a systematic literature review. The synthesising evidence was done through the use of an SLR, which provided the evidence with a clear, well-organised and repeatable procedure, which gives the evidence more credibility (Van Dinter </w:t>
      </w:r>
      <w:r>
        <w:rPr>
          <w:i/>
        </w:rPr>
        <w:t>et al.,</w:t>
      </w:r>
      <w:r>
        <w:t xml:space="preserve"> 2021; Carrera-Rivera </w:t>
      </w:r>
      <w:r>
        <w:rPr>
          <w:i/>
        </w:rPr>
        <w:t>et al.,</w:t>
      </w:r>
      <w:r>
        <w:t xml:space="preserve"> 2022; Jabbari, 2024). The PRISMA framework also enhanced greater transparency in the process of selecting and screening studies and provided an opportunity to trace the included studies with clarity (Haddaway </w:t>
      </w:r>
      <w:r>
        <w:rPr>
          <w:i/>
        </w:rPr>
        <w:t>et al.,</w:t>
      </w:r>
      <w:r>
        <w:t xml:space="preserve"> 2022; </w:t>
      </w:r>
      <w:r>
        <w:t>Nezameslami</w:t>
      </w:r>
      <w:r>
        <w:t xml:space="preserve"> </w:t>
      </w:r>
      <w:r>
        <w:rPr>
          <w:i/>
        </w:rPr>
        <w:t>et al.,</w:t>
      </w:r>
      <w:r>
        <w:t xml:space="preserve"> 2025; Ramasamy, 2022). Also, the application of the PEO </w:t>
      </w:r>
      <w:r>
        <w:t>framework enhanced harmonisation between the research question and search strategy as it concentrated on perceptions and experiences applicable to the qualitative inquiry (</w:t>
      </w:r>
      <w:r>
        <w:t>Anombem</w:t>
      </w:r>
      <w:r>
        <w:t xml:space="preserve"> </w:t>
      </w:r>
      <w:r>
        <w:rPr>
          <w:i/>
        </w:rPr>
        <w:t>et al.,</w:t>
      </w:r>
      <w:r>
        <w:t xml:space="preserve"> 2022; </w:t>
      </w:r>
      <w:r>
        <w:rPr>
          <w:lang w:val="en-IN"/>
        </w:rPr>
        <w:t>Capili, 2020</w:t>
      </w:r>
      <w:r>
        <w:t>). The systematic assessment of quality of the studies was also guaranteed through the addition of the CASP qualitative checklist, which improved the quality of the synthesis (CASP, 2024).</w:t>
      </w:r>
    </w:p>
    <w:p>
      <w:pPr>
        <w:pStyle w:val="style0"/>
        <w:rPr/>
      </w:pPr>
      <w:r>
        <w:t xml:space="preserve">Nevertheless, there are a number of limitations to be considered. The qualitative studies alone restrict the opportunity to measure the quantifiable effectiveness and make generalisations (Smith </w:t>
      </w:r>
      <w:r>
        <w:rPr>
          <w:i/>
        </w:rPr>
        <w:t>et al.,</w:t>
      </w:r>
      <w:r>
        <w:t xml:space="preserve"> 2021; Mwita, 2022; Mandal, 2018). The confinement to studies in the UK and English language creates the probability of selection bias and language bias (Shaheen </w:t>
      </w:r>
      <w:r>
        <w:rPr>
          <w:i/>
        </w:rPr>
        <w:t>et al.,</w:t>
      </w:r>
      <w:r>
        <w:t xml:space="preserve"> 2023; Lippens </w:t>
      </w:r>
      <w:r>
        <w:rPr>
          <w:i/>
        </w:rPr>
        <w:t xml:space="preserve">et al., </w:t>
      </w:r>
      <w:r>
        <w:t xml:space="preserve">2023). Moreover, the use of a few databases could have led to publication bias and the omission of pertinent research (Wright </w:t>
      </w:r>
      <w:r>
        <w:rPr>
          <w:i/>
        </w:rPr>
        <w:t>et al.,</w:t>
      </w:r>
      <w:r>
        <w:t xml:space="preserve"> 2015).</w:t>
      </w:r>
    </w:p>
    <w:bookmarkStart w:id="71" w:name="_Toc28598"/>
    <w:p>
      <w:pPr>
        <w:pStyle w:val="style2"/>
        <w:spacing w:lineRule="auto" w:line="480"/>
        <w:rPr/>
      </w:pPr>
      <w:r>
        <w:t>6.4 Chapter Summary</w:t>
      </w:r>
      <w:bookmarkEnd w:id="71"/>
    </w:p>
    <w:p>
      <w:pPr>
        <w:pStyle w:val="style0"/>
        <w:rPr/>
      </w:pPr>
      <w:r>
        <w:t xml:space="preserve">This chapter critically interpreted the results of the systematic literature review as per the current research and theoretical perspectives. The review showed that although community-based mental health awareness programmes are useful in enhancing knowledge and starting a discussion, the effect of these programmes on reducing stigmatisation in the long term is less significant. </w:t>
      </w:r>
      <w:r>
        <w:rPr>
          <w:color w:val="222222"/>
          <w:highlight w:val="yellow"/>
        </w:rPr>
        <w:t>Overall, this discussion chapter demonstrated that stigma is mainly shaped by complicated cultural, social, institutional, and emotional factors, indicating that awareness cannot fully manage the main issue.</w:t>
      </w:r>
    </w:p>
    <w:p>
      <w:pPr>
        <w:pStyle w:val="style0"/>
        <w:rPr/>
      </w:pPr>
      <w:r>
        <w:br w:type="page"/>
      </w:r>
    </w:p>
    <w:bookmarkStart w:id="72" w:name="_Toc31939"/>
    <w:p>
      <w:pPr>
        <w:pStyle w:val="style1"/>
        <w:spacing w:lineRule="auto" w:line="480"/>
        <w:rPr>
          <w:lang w:eastAsia="en-US"/>
        </w:rPr>
      </w:pPr>
      <w:r>
        <w:rPr>
          <w:lang w:eastAsia="en-US"/>
        </w:rPr>
        <w:t>CHAPTER 7: RECOMMENDATIONS AND CONCLUSION</w:t>
      </w:r>
      <w:bookmarkEnd w:id="72"/>
    </w:p>
    <w:bookmarkStart w:id="73" w:name="_Toc30400"/>
    <w:p>
      <w:pPr>
        <w:pStyle w:val="style2"/>
        <w:spacing w:lineRule="auto" w:line="480"/>
        <w:rPr/>
      </w:pPr>
      <w:r>
        <w:t>7.1 Introduction to Chapter</w:t>
      </w:r>
      <w:bookmarkEnd w:id="73"/>
    </w:p>
    <w:p>
      <w:pPr>
        <w:pStyle w:val="style0"/>
        <w:rPr/>
      </w:pPr>
      <w:r>
        <w:t xml:space="preserve">In this chapter, the last step of the systematic literature review is introduced with comments on the implications of the findings, recommendations on practice and future research, and a conclusion of the study. Based on the thematic analysis in Chapter 5 and the critical discussion in Chapter 6, this chapter is a synthesis of some of the central findings of the effectiveness of community-based mental health awareness programmes in the reduction of stigma amongst young adults in the United Kingdom. </w:t>
      </w:r>
    </w:p>
    <w:bookmarkStart w:id="74" w:name="_Toc2258"/>
    <w:p>
      <w:pPr>
        <w:pStyle w:val="style2"/>
        <w:spacing w:lineRule="auto" w:line="480"/>
        <w:rPr/>
      </w:pPr>
      <w:r>
        <w:t>7.2 Implications of Findings</w:t>
      </w:r>
      <w:bookmarkEnd w:id="74"/>
    </w:p>
    <w:p>
      <w:pPr>
        <w:pStyle w:val="style0"/>
        <w:rPr/>
      </w:pPr>
      <w:r>
        <w:t xml:space="preserve">This research has important implications for practice, policy and programme development in mental health. To begin with, the findings suggest that community-based awareness programmes are effective in enhancing mental health literacy but not so effective in the long-term behaviour change. This underscores the necessity of shifting attention away from interventions that are based on awareness to more elaborate interventions that target behavioural and structural aspects of stigma. Secondly, the research highlights the significance of social and cultural settings in the development of stigma, indicating that interventions should be differentiated by various groups of people, especially marginalised groups (Lee and Wong, 2024). </w:t>
      </w:r>
    </w:p>
    <w:bookmarkStart w:id="75" w:name="_Toc26671"/>
    <w:p>
      <w:pPr>
        <w:pStyle w:val="style2"/>
        <w:spacing w:lineRule="auto" w:line="480"/>
        <w:rPr/>
      </w:pPr>
      <w:r>
        <w:t>7.3 Recommendations for Practice</w:t>
      </w:r>
      <w:bookmarkEnd w:id="75"/>
    </w:p>
    <w:p>
      <w:pPr>
        <w:pStyle w:val="style0"/>
        <w:rPr/>
      </w:pPr>
      <w:r>
        <w:t xml:space="preserve">According to the results of this research, some recommendations about the practice can be suggested. To begin with, the multi-component approaches of mental health awareness, including the mixture of education and contact-based and peer-led interventions, should be implemented since it is shown to be more effective in preventing stigma levels (Makhmud </w:t>
      </w:r>
      <w:r>
        <w:rPr>
          <w:i/>
        </w:rPr>
        <w:t>et al.,</w:t>
      </w:r>
      <w:r>
        <w:t xml:space="preserve"> 2022; Sun </w:t>
      </w:r>
      <w:r>
        <w:rPr>
          <w:i/>
        </w:rPr>
        <w:t>et al.,</w:t>
      </w:r>
      <w:r>
        <w:t xml:space="preserve"> 2022). As an example of this, it could be stated that the universities and colleges in the UK should implement structured peer-led and contact-based mental health programmes within student wellbeing services, where individuals with lived experience are actively involved in programme delivery to enhance engagement and reduce social distance. Relational strategies, such as empathy, trust-building, and non-judgmental communication, should be prioritised in programmes to maximise engagement among young adults (Holding </w:t>
      </w:r>
      <w:r>
        <w:rPr>
          <w:i/>
        </w:rPr>
        <w:t>et al.,</w:t>
      </w:r>
      <w:r>
        <w:t xml:space="preserve"> 2022). </w:t>
      </w:r>
    </w:p>
    <w:p>
      <w:pPr>
        <w:pStyle w:val="style0"/>
        <w:rPr/>
      </w:pPr>
      <w:r>
        <w:t xml:space="preserve">Secondly, young people should be promoted to co-produce interventions to make sure that programmes are relevant and based on lived experiences (Ansell </w:t>
      </w:r>
      <w:r>
        <w:rPr>
          <w:i/>
        </w:rPr>
        <w:t>et al.,</w:t>
      </w:r>
      <w:r>
        <w:t xml:space="preserve"> 2024; </w:t>
      </w:r>
      <w:r>
        <w:t xml:space="preserve">Theodosopoulos </w:t>
      </w:r>
      <w:r>
        <w:rPr>
          <w:i/>
        </w:rPr>
        <w:t>et al.,</w:t>
      </w:r>
      <w:r>
        <w:t xml:space="preserve"> 2025; Vella-Brodrick </w:t>
      </w:r>
      <w:r>
        <w:rPr>
          <w:i/>
        </w:rPr>
        <w:t>et al.,</w:t>
      </w:r>
      <w:r>
        <w:t xml:space="preserve"> 2023). This can be achieved by involving young adults in programme design committees. </w:t>
      </w:r>
    </w:p>
    <w:p>
      <w:pPr>
        <w:pStyle w:val="style0"/>
        <w:rPr/>
      </w:pPr>
      <w:r>
        <w:t xml:space="preserve">Thirdly, inclusive and culturally sensitive strategies should be incorporated to consider the needs of various demographic groups (Ahad </w:t>
      </w:r>
      <w:r>
        <w:rPr>
          <w:i/>
        </w:rPr>
        <w:t>et al.,</w:t>
      </w:r>
      <w:r>
        <w:t xml:space="preserve"> 2023; Theodosopoulos </w:t>
      </w:r>
      <w:r>
        <w:rPr>
          <w:i/>
        </w:rPr>
        <w:t>et al.,</w:t>
      </w:r>
      <w:r>
        <w:t xml:space="preserve"> 2024; Lyons </w:t>
      </w:r>
      <w:r>
        <w:rPr>
          <w:i/>
        </w:rPr>
        <w:t>et al.,</w:t>
      </w:r>
      <w:r>
        <w:t xml:space="preserve"> 2025). Here, the development of the programmes while ensuring the alignment to reflect cultural diversity by incorporating language accessibility is needed. </w:t>
      </w:r>
    </w:p>
    <w:p>
      <w:pPr>
        <w:pStyle w:val="style0"/>
        <w:rPr/>
      </w:pPr>
      <w:r>
        <w:t>Further, the awareness campaigns ought to be supplemented with vivid avenues to professional support to reduce the gap between awareness and help-seeking behaviour. Lastly, policymakers must work on structural stigma using policy changes and social norms interventions because awareness is not enough to bring about changes that will be sustainable (Walsh and Foster, 2022).</w:t>
      </w:r>
    </w:p>
    <w:bookmarkStart w:id="76" w:name="_Toc2126"/>
    <w:p>
      <w:pPr>
        <w:pStyle w:val="style2"/>
        <w:spacing w:lineRule="auto" w:line="480"/>
        <w:rPr/>
      </w:pPr>
      <w:r>
        <w:t>7.4 Recommendations for Future Research</w:t>
      </w:r>
      <w:bookmarkEnd w:id="76"/>
    </w:p>
    <w:p>
      <w:pPr>
        <w:pStyle w:val="style0"/>
        <w:rPr/>
      </w:pPr>
      <w:r>
        <w:t xml:space="preserve">The research finds that there are a number of areas in which the research can be carried out in future. First, longitudinal studies are required to assess the effectiveness of community-based awareness programmes over the long term since most of the existing evidence is short-term (Crockett </w:t>
      </w:r>
      <w:r>
        <w:rPr>
          <w:i/>
        </w:rPr>
        <w:t>et al.,</w:t>
      </w:r>
      <w:r>
        <w:t xml:space="preserve"> 2025; Hopwood </w:t>
      </w:r>
      <w:r>
        <w:rPr>
          <w:i/>
        </w:rPr>
        <w:t>et al.,</w:t>
      </w:r>
      <w:r>
        <w:t xml:space="preserve"> 2022; Stafford </w:t>
      </w:r>
      <w:r>
        <w:rPr>
          <w:i/>
        </w:rPr>
        <w:t>et al.,</w:t>
      </w:r>
      <w:r>
        <w:t xml:space="preserve"> 2022). Second, future studies must also integrate mixed-method designs to not only integrate qualitative data, but also quantify the effectiveness, thus enhancing the generalisability and strength (Smith </w:t>
      </w:r>
      <w:r>
        <w:rPr>
          <w:i/>
        </w:rPr>
        <w:t>et al.,</w:t>
      </w:r>
      <w:r>
        <w:t xml:space="preserve"> 2021; Chandrakumar and Vivek, 2023). Thirdly, there is a need to conduct more UK-based research with younger adults in the 16-25 age group, since most research tends to cover a wider group, which makes it less relevant to the context. Also, the combination of digital and community-based interventions should be considered in future research since digital platforms are heavily employed to provide mental health promotion but have not been proven to have a long-term effect (</w:t>
      </w:r>
      <w:r>
        <w:t>Draganidis</w:t>
      </w:r>
      <w:r>
        <w:t xml:space="preserve"> </w:t>
      </w:r>
      <w:r>
        <w:rPr>
          <w:i/>
        </w:rPr>
        <w:t>et al.,</w:t>
      </w:r>
      <w:r>
        <w:t xml:space="preserve"> 2024). In addition, the impact of structural aspects like socioeconomic inequality and cultural norms on stigma should also be studied since the area has not been adequately covered. </w:t>
      </w:r>
    </w:p>
    <w:bookmarkStart w:id="77" w:name="_Toc12411"/>
    <w:p>
      <w:pPr>
        <w:pStyle w:val="style2"/>
        <w:spacing w:lineRule="auto" w:line="480"/>
        <w:rPr/>
      </w:pPr>
      <w:r>
        <w:t>7.5 Conclusion</w:t>
      </w:r>
      <w:bookmarkEnd w:id="77"/>
    </w:p>
    <w:p>
      <w:pPr>
        <w:pStyle w:val="style0"/>
        <w:rPr/>
      </w:pPr>
      <w:r>
        <w:t>This study aimed to critically evaluate the effectiveness of community-based mental health awareness programmes in reducing stigma among young adults aged 16–25 in the United Kingdom. The main aim was to find</w:t>
      </w:r>
      <w:r>
        <w:rPr>
          <w:i/>
          <w:iCs/>
        </w:rPr>
        <w:t xml:space="preserve"> out the effect of community-based mental health awareness programmes on stigma reduction in young adults in the UK. </w:t>
      </w:r>
      <w:r>
        <w:t xml:space="preserve">Thematic analysis and systematic literature review revealed the presence of four </w:t>
      </w:r>
      <w:r>
        <w:t>important themes: the effectiveness of awareness programmes, lived experiences of stigma, key elements of successful interventions, and research and practice gaps.</w:t>
      </w:r>
    </w:p>
    <w:p>
      <w:pPr>
        <w:pStyle w:val="style0"/>
        <w:rPr/>
      </w:pPr>
      <w:r>
        <w:t>These results show that community-based awareness programmes are important in enhancing mental health literacy and de-stigmatising mental health discussions. Nevertheless, they are not very effective in bringing about long-term stigma reduction. This presents an important discrepancy between the heightened awareness and the real behavioural change, commonly known as the awareness-to-action gap. The research also indicates that stigma is a multi-dimensional problem, that is complex, and depends on social, cultural, and structural aspects, and that it cannot be solved by just being aware of it.</w:t>
      </w:r>
    </w:p>
    <w:p>
      <w:pPr>
        <w:pStyle w:val="style0"/>
        <w:rPr/>
      </w:pPr>
      <w:r>
        <w:t>Also, the study emphasises the significance of relational and context-specific intervention approaches, such as peer support, co-production, and culturally sensitive interventions. Such strategies are more effective in reaching out to youthful adults and treating the more social aspects of stigma. Nevertheless, the research also finds serious limitations to the current studies, such as the absence of longitudinal studies, the use of self-reported data, and UK-specific studies on young adults.</w:t>
      </w:r>
    </w:p>
    <w:p>
      <w:pPr>
        <w:pStyle w:val="style0"/>
        <w:rPr/>
      </w:pPr>
      <w:r>
        <w:t>This study is important as it contributes to the realisation of the constraints of existing awareness-based interventions and the necessity to implement more multi-level interventions. It underlines the fact that stigma reduction cannot be effective without the implementation of both knowledge and behavioural patterns and structural inequalities.</w:t>
      </w:r>
    </w:p>
    <w:p>
      <w:pPr>
        <w:pStyle w:val="style0"/>
        <w:rPr/>
      </w:pPr>
    </w:p>
    <w:p>
      <w:pPr>
        <w:pStyle w:val="style0"/>
        <w:rPr>
          <w:b/>
          <w:bCs/>
        </w:rPr>
      </w:pPr>
      <w:r>
        <w:rPr>
          <w:b/>
          <w:bCs/>
        </w:rPr>
        <w:t> </w:t>
      </w:r>
    </w:p>
    <w:p>
      <w:pPr>
        <w:pStyle w:val="style0"/>
        <w:rPr>
          <w:b/>
          <w:bCs/>
          <w:sz w:val="28"/>
          <w:szCs w:val="28"/>
        </w:rPr>
      </w:pPr>
      <w:r>
        <w:br w:type="page"/>
      </w:r>
    </w:p>
    <w:bookmarkStart w:id="78" w:name="_Toc5317"/>
    <w:p>
      <w:pPr>
        <w:pStyle w:val="style1"/>
        <w:spacing w:lineRule="auto" w:line="480"/>
        <w:rPr/>
      </w:pPr>
      <w:r>
        <w:t>References</w:t>
      </w:r>
      <w:bookmarkEnd w:id="78"/>
    </w:p>
    <w:p>
      <w:pPr>
        <w:pStyle w:val="style0"/>
        <w:rPr/>
      </w:pPr>
      <w:r>
        <w:t xml:space="preserve">Afifi, M., Stryhn, H. and Sánchez, J. (2023) ‘Data extraction and comparison for complex systematic reviews: a step-by-step guideline and an implementation example using open-source software’, </w:t>
      </w:r>
      <w:r>
        <w:rPr>
          <w:i/>
          <w:iCs/>
        </w:rPr>
        <w:t>Systematic Reviews</w:t>
      </w:r>
      <w:r>
        <w:t xml:space="preserve">, 12(1), pp. 1–14. </w:t>
      </w:r>
      <w:r>
        <w:rPr>
          <w:highlight w:val="white"/>
        </w:rPr>
        <w:t>Available at</w:t>
      </w:r>
      <w:r>
        <w:t xml:space="preserve">: </w:t>
      </w:r>
      <w:r>
        <w:rPr/>
        <w:fldChar w:fldCharType="begin"/>
      </w:r>
      <w:r>
        <w:instrText xml:space="preserve"> HYPERLINK "https://doi.org/10.1186/s13643-023-02322-1" </w:instrText>
      </w:r>
      <w:r>
        <w:rPr/>
        <w:fldChar w:fldCharType="separate"/>
      </w:r>
      <w:r>
        <w:rPr>
          <w:rFonts w:eastAsia="Helvetica Neue"/>
          <w:highlight w:val="white"/>
          <w:u w:val="single"/>
        </w:rPr>
        <w:t>https://doi.org/10.1186/s13643-023-02322-1</w:t>
      </w:r>
      <w:r>
        <w:rPr/>
        <w:fldChar w:fldCharType="end"/>
      </w:r>
    </w:p>
    <w:p>
      <w:pPr>
        <w:pStyle w:val="style0"/>
        <w:rPr/>
      </w:pPr>
      <w:r>
        <w:t>Ahad, A. A., Sanchez-Gonzalez, M., and Junquera, P. (2023) ‘Understanding and addressing mental health stigma across cultures for improving psychiatric care: A narrative review’, </w:t>
      </w:r>
      <w:r>
        <w:rPr>
          <w:i/>
          <w:iCs/>
        </w:rPr>
        <w:t>Cureus</w:t>
      </w:r>
      <w:r>
        <w:t>, </w:t>
      </w:r>
      <w:r>
        <w:rPr>
          <w:i/>
          <w:iCs/>
        </w:rPr>
        <w:t>15</w:t>
      </w:r>
      <w:r>
        <w:t>(5), pp.1-8.</w:t>
      </w:r>
    </w:p>
    <w:p>
      <w:pPr>
        <w:pStyle w:val="style0"/>
        <w:rPr/>
      </w:pPr>
      <w:r>
        <w:t>Almotairi</w:t>
      </w:r>
      <w:r>
        <w:t xml:space="preserve">, K. M., </w:t>
      </w:r>
      <w:r>
        <w:t>Aljuaid</w:t>
      </w:r>
      <w:r>
        <w:t xml:space="preserve">, T. H., </w:t>
      </w:r>
      <w:r>
        <w:t>Alrashed</w:t>
      </w:r>
      <w:r>
        <w:t xml:space="preserve">, M. A., Alzahrani, N. S., </w:t>
      </w:r>
      <w:r>
        <w:t>Alhaosawi</w:t>
      </w:r>
      <w:r>
        <w:t xml:space="preserve">, M. E., </w:t>
      </w:r>
      <w:r>
        <w:t>Albalawi</w:t>
      </w:r>
      <w:r>
        <w:t>, M. A. S., ... and Alanazi, F. T. H. (2023) ‘Mental health and the impact of social isolation in the post-pandemic era’, </w:t>
      </w:r>
      <w:r>
        <w:rPr>
          <w:i/>
          <w:iCs/>
        </w:rPr>
        <w:t>International Journal of Health Sciences</w:t>
      </w:r>
      <w:r>
        <w:t>, </w:t>
      </w:r>
      <w:r>
        <w:rPr>
          <w:i/>
          <w:iCs/>
        </w:rPr>
        <w:t>7</w:t>
      </w:r>
      <w:r>
        <w:t>(S1), 3858-3880.</w:t>
      </w:r>
    </w:p>
    <w:p>
      <w:pPr>
        <w:pStyle w:val="style0"/>
        <w:rPr/>
      </w:pPr>
      <w:r>
        <w:t>Anindhita</w:t>
      </w:r>
      <w:r>
        <w:t xml:space="preserve">, M., Haniifah, M., Putri, A. M. N., Karnasih, A., </w:t>
      </w:r>
      <w:r>
        <w:t>Agiananda</w:t>
      </w:r>
      <w:r>
        <w:t xml:space="preserve">, F., Yani, F. F., ... and Wingfield, T. (2024) ‘Community-based psychosocial support interventions to reduce stigma and improve mental health of people with infectious diseases: a scoping review’, </w:t>
      </w:r>
      <w:r>
        <w:rPr>
          <w:i/>
          <w:iCs/>
        </w:rPr>
        <w:t>Infectious diseases of poverty, 13</w:t>
      </w:r>
      <w:r>
        <w:t>(1), 90.</w:t>
      </w:r>
    </w:p>
    <w:p>
      <w:pPr>
        <w:pStyle w:val="style0"/>
        <w:rPr/>
      </w:pPr>
      <w:r>
        <w:t>Anombem</w:t>
      </w:r>
      <w:r>
        <w:t xml:space="preserve">, O.M., Ozor, C.I., </w:t>
      </w:r>
      <w:r>
        <w:t>Eniekop</w:t>
      </w:r>
      <w:r>
        <w:t xml:space="preserve">, G.P., </w:t>
      </w:r>
      <w:r>
        <w:t>Anaesiuba</w:t>
      </w:r>
      <w:r>
        <w:t xml:space="preserve">, I.L., Amah, J.I. and </w:t>
      </w:r>
      <w:r>
        <w:t>Obiaghanwa</w:t>
      </w:r>
      <w:r>
        <w:t xml:space="preserve">, O.E. (2022) ‘Prevention Strategies for Addiction in Adults: An Updated Literature Review of Mindfulness and Exercise-Based Strategies’, </w:t>
      </w:r>
      <w:r>
        <w:rPr>
          <w:i/>
          <w:iCs/>
        </w:rPr>
        <w:t>International Journal of Scientific Advances</w:t>
      </w:r>
      <w:r>
        <w:t xml:space="preserve">, 3(4), 651-653. </w:t>
      </w:r>
      <w:r>
        <w:rPr>
          <w:highlight w:val="white"/>
        </w:rPr>
        <w:t>Available at</w:t>
      </w:r>
      <w:r>
        <w:t xml:space="preserve">: </w:t>
      </w:r>
      <w:r>
        <w:rPr/>
        <w:fldChar w:fldCharType="begin"/>
      </w:r>
      <w:r>
        <w:instrText xml:space="preserve"> HYPERLINK "https://doi.org/10.51542/ijscia.v3i4.34" </w:instrText>
      </w:r>
      <w:r>
        <w:rPr/>
        <w:fldChar w:fldCharType="separate"/>
      </w:r>
      <w:r>
        <w:rPr>
          <w:rFonts w:eastAsia="Calibri"/>
          <w:u w:val="single"/>
        </w:rPr>
        <w:t>https://doi.org/10.51542/ijscia.v3i4.34</w:t>
      </w:r>
      <w:r>
        <w:rPr/>
        <w:fldChar w:fldCharType="end"/>
      </w:r>
    </w:p>
    <w:p>
      <w:pPr>
        <w:pStyle w:val="style0"/>
        <w:spacing w:after="200"/>
        <w:rPr/>
      </w:pPr>
      <w:r>
        <w:t xml:space="preserve">Ansell, M. E., Finlay-Jones, A. L., Bayliss, D. M., and Ohan, J. L. (2024). “It Just Makes You Feel Horrible”: A Thematic Analysis of the Stigma Experiences of Youth with Anxiety and Depression, Journal of Child and Family Studies, 33(7), 2121-2133. Available at: </w:t>
      </w:r>
      <w:r>
        <w:rPr/>
        <w:fldChar w:fldCharType="begin"/>
      </w:r>
      <w:r>
        <w:instrText xml:space="preserve"> HYPERLINK "https://link.springer.com/content/pdf/10.1007/s10826-024-02877-0.pdf" </w:instrText>
      </w:r>
      <w:r>
        <w:rPr/>
        <w:fldChar w:fldCharType="separate"/>
      </w:r>
      <w:r>
        <w:rPr>
          <w:u w:val="single"/>
        </w:rPr>
        <w:t>https://link.springer.com/content/pdf/10.1007/s10826-024-02877-0.pdf</w:t>
      </w:r>
      <w:r>
        <w:rPr/>
        <w:fldChar w:fldCharType="end"/>
      </w:r>
    </w:p>
    <w:p>
      <w:pPr>
        <w:pStyle w:val="style0"/>
        <w:rPr>
          <w:highlight w:val="white"/>
        </w:rPr>
      </w:pPr>
      <w:r>
        <w:rPr>
          <w:highlight w:val="white"/>
        </w:rPr>
        <w:t>Aranda, A. M., Helms, W. S., Patterson, K. D., Roulet, T. J., and Hudson, B. A. (2023) ‘Standing on the shoulders of Goffman: Advancing a relational research agenda on stigma’, </w:t>
      </w:r>
      <w:r>
        <w:rPr>
          <w:i/>
          <w:iCs/>
          <w:highlight w:val="white"/>
        </w:rPr>
        <w:t>Business &amp; Society</w:t>
      </w:r>
      <w:r>
        <w:rPr>
          <w:highlight w:val="white"/>
        </w:rPr>
        <w:t>, </w:t>
      </w:r>
      <w:r>
        <w:rPr>
          <w:i/>
          <w:iCs/>
          <w:highlight w:val="white"/>
        </w:rPr>
        <w:t>62</w:t>
      </w:r>
      <w:r>
        <w:rPr>
          <w:highlight w:val="white"/>
        </w:rPr>
        <w:t>(7), pp.1339-1377.</w:t>
      </w:r>
    </w:p>
    <w:p>
      <w:pPr>
        <w:pStyle w:val="style0"/>
        <w:rPr/>
      </w:pPr>
      <w:r>
        <w:rPr>
          <w:highlight w:val="white"/>
        </w:rPr>
        <w:t>Atkinson, L. Z., and Cipriani, A. (2018) ‘How to carry out a literature search for a systematic review: a practical guide’, </w:t>
      </w:r>
      <w:r>
        <w:rPr>
          <w:i/>
          <w:iCs/>
          <w:highlight w:val="white"/>
        </w:rPr>
        <w:t>BJPsych</w:t>
      </w:r>
      <w:r>
        <w:rPr>
          <w:i/>
          <w:iCs/>
          <w:highlight w:val="white"/>
        </w:rPr>
        <w:t xml:space="preserve"> advances</w:t>
      </w:r>
      <w:r>
        <w:rPr>
          <w:highlight w:val="white"/>
        </w:rPr>
        <w:t>, </w:t>
      </w:r>
      <w:r>
        <w:rPr>
          <w:i/>
          <w:iCs/>
          <w:highlight w:val="white"/>
        </w:rPr>
        <w:t>24</w:t>
      </w:r>
      <w:r>
        <w:rPr>
          <w:highlight w:val="white"/>
        </w:rPr>
        <w:t>(2), 74-82. Available at</w:t>
      </w:r>
      <w:r>
        <w:t xml:space="preserve">: </w:t>
      </w:r>
      <w:r>
        <w:rPr/>
        <w:fldChar w:fldCharType="begin"/>
      </w:r>
      <w:r>
        <w:instrText xml:space="preserve"> HYPERLINK "https://doi.org/10.1192/bja.2017.3" </w:instrText>
      </w:r>
      <w:r>
        <w:rPr/>
        <w:fldChar w:fldCharType="separate"/>
      </w:r>
      <w:r>
        <w:rPr>
          <w:rFonts w:eastAsia="Calibri"/>
          <w:u w:val="single"/>
        </w:rPr>
        <w:t>https://doi.org/10.1192/bja.2017.3</w:t>
      </w:r>
      <w:r>
        <w:rPr/>
        <w:fldChar w:fldCharType="end"/>
      </w:r>
    </w:p>
    <w:p>
      <w:pPr>
        <w:pStyle w:val="style0"/>
        <w:rPr/>
      </w:pPr>
      <w:r>
        <w:rPr>
          <w:highlight w:val="white"/>
        </w:rPr>
        <w:t>Azarian, M., Yu, H., Shiferaw, A. T., and Stevik, T. K. (2023). Do we perform a systematic literature review correctly? A scientific mapping and methodological assessment, </w:t>
      </w:r>
      <w:r>
        <w:rPr>
          <w:i/>
          <w:iCs/>
          <w:highlight w:val="white"/>
        </w:rPr>
        <w:t>Logistics</w:t>
      </w:r>
      <w:r>
        <w:rPr>
          <w:highlight w:val="white"/>
        </w:rPr>
        <w:t>, </w:t>
      </w:r>
      <w:r>
        <w:rPr>
          <w:i/>
          <w:iCs/>
          <w:highlight w:val="white"/>
        </w:rPr>
        <w:t>7</w:t>
      </w:r>
      <w:r>
        <w:rPr>
          <w:highlight w:val="white"/>
        </w:rPr>
        <w:t>(4), 1-32. Available at</w:t>
      </w:r>
      <w:r>
        <w:t xml:space="preserve">: </w:t>
      </w:r>
      <w:r>
        <w:rPr/>
        <w:fldChar w:fldCharType="begin"/>
      </w:r>
      <w:r>
        <w:instrText xml:space="preserve"> HYPERLINK "https://doi.org/10.3390/logistics7040089" </w:instrText>
      </w:r>
      <w:r>
        <w:rPr/>
        <w:fldChar w:fldCharType="separate"/>
      </w:r>
      <w:r>
        <w:rPr>
          <w:rFonts w:eastAsia="Calibri"/>
          <w:highlight w:val="white"/>
          <w:u w:val="single"/>
        </w:rPr>
        <w:t>https://doi.org/10.3390/logistics7040089</w:t>
      </w:r>
      <w:r>
        <w:rPr/>
        <w:fldChar w:fldCharType="end"/>
      </w:r>
    </w:p>
    <w:p>
      <w:pPr>
        <w:pStyle w:val="style0"/>
        <w:rPr/>
      </w:pPr>
      <w:r>
        <w:t xml:space="preserve">Baskin, C., Zijlstra, G., McGrath, M., Lee, C., Duncan, F. H., Oliver, E. J., ... and Gnani, S. (2021). ‘Community-centred interventions for improving public mental health among adults from ethnic minority populations in the UK: a scoping review’, </w:t>
      </w:r>
      <w:r>
        <w:rPr>
          <w:i/>
          <w:iCs/>
        </w:rPr>
        <w:t>BMJ Open</w:t>
      </w:r>
      <w:r>
        <w:t>, 11(4), pp.1-11.</w:t>
      </w:r>
    </w:p>
    <w:p>
      <w:pPr>
        <w:pStyle w:val="style0"/>
        <w:rPr>
          <w:highlight w:val="white"/>
        </w:rPr>
      </w:pPr>
      <w:r>
        <w:rPr>
          <w:highlight w:val="white"/>
        </w:rPr>
        <w:t xml:space="preserve">Bharadwaj, P., Pai, M. M., and </w:t>
      </w:r>
      <w:r>
        <w:rPr>
          <w:highlight w:val="white"/>
        </w:rPr>
        <w:t>Suziedelyte</w:t>
      </w:r>
      <w:r>
        <w:rPr>
          <w:highlight w:val="white"/>
        </w:rPr>
        <w:t>, A. (2017) ‘Mental health stigma’, </w:t>
      </w:r>
      <w:r>
        <w:rPr>
          <w:i/>
          <w:iCs/>
          <w:highlight w:val="white"/>
        </w:rPr>
        <w:t>Economics Letters</w:t>
      </w:r>
      <w:r>
        <w:rPr>
          <w:highlight w:val="white"/>
        </w:rPr>
        <w:t>, </w:t>
      </w:r>
      <w:r>
        <w:rPr>
          <w:i/>
          <w:iCs/>
          <w:highlight w:val="white"/>
        </w:rPr>
        <w:t>159</w:t>
      </w:r>
      <w:r>
        <w:rPr>
          <w:highlight w:val="white"/>
        </w:rPr>
        <w:t>, pp. 1-47.</w:t>
      </w:r>
    </w:p>
    <w:p>
      <w:pPr>
        <w:pStyle w:val="style0"/>
        <w:rPr/>
      </w:pPr>
      <w:r>
        <w:t xml:space="preserve">Birken, M., Chipp, B., Shah, P., Olive, R.R., </w:t>
      </w:r>
      <w:r>
        <w:t>Nyikavaranda</w:t>
      </w:r>
      <w:r>
        <w:t xml:space="preserve">, P., Hardy, J., </w:t>
      </w:r>
      <w:r>
        <w:t>Chhapia</w:t>
      </w:r>
      <w:r>
        <w:t xml:space="preserve">, A., Barber, N., Lee, S., Pearce, E. and Lloyd-Evans, B., (2023) ‘Exploring the experiences of loneliness in adults with mental health problems: A participatory qualitative interview study’, </w:t>
      </w:r>
      <w:r>
        <w:t>PLoS</w:t>
      </w:r>
      <w:r>
        <w:t xml:space="preserve"> One, 18(3), p.e0280946. Available at: </w:t>
      </w:r>
      <w:r>
        <w:rPr/>
        <w:fldChar w:fldCharType="begin"/>
      </w:r>
      <w:r>
        <w:instrText xml:space="preserve"> HYPERLINK "https://doi.org/10.1371/journal.pone.0280946" </w:instrText>
      </w:r>
      <w:r>
        <w:rPr/>
        <w:fldChar w:fldCharType="separate"/>
      </w:r>
      <w:r>
        <w:rPr>
          <w:u w:val="single"/>
        </w:rPr>
        <w:t>https://doi.org/10.1371/journal.pone.0280946</w:t>
      </w:r>
      <w:r>
        <w:rPr/>
        <w:fldChar w:fldCharType="end"/>
      </w:r>
    </w:p>
    <w:p>
      <w:pPr>
        <w:pStyle w:val="style0"/>
        <w:rPr/>
      </w:pPr>
      <w:r>
        <w:t xml:space="preserve">Boardman, J., </w:t>
      </w:r>
      <w:r>
        <w:t>Killaspy</w:t>
      </w:r>
      <w:r>
        <w:t xml:space="preserve">, H. and Mezey, G. (2022). </w:t>
      </w:r>
      <w:r>
        <w:rPr>
          <w:i/>
          <w:iCs/>
        </w:rPr>
        <w:t>Social inclusion and mental health: Understanding poverty, inequality and social exclusion</w:t>
      </w:r>
      <w:r>
        <w:t xml:space="preserve">. </w:t>
      </w:r>
      <w:r>
        <w:t>RCPsych</w:t>
      </w:r>
      <w:r>
        <w:t xml:space="preserve"> Publications.</w:t>
      </w:r>
    </w:p>
    <w:p>
      <w:pPr>
        <w:pStyle w:val="style0"/>
        <w:rPr/>
      </w:pPr>
      <w:r>
        <w:rPr>
          <w:highlight w:val="white"/>
        </w:rPr>
        <w:t xml:space="preserve">Bramer, W. M., De Jonge, G. B., </w:t>
      </w:r>
      <w:r>
        <w:rPr>
          <w:highlight w:val="white"/>
        </w:rPr>
        <w:t>Rethlefsen</w:t>
      </w:r>
      <w:r>
        <w:rPr>
          <w:highlight w:val="white"/>
        </w:rPr>
        <w:t>, M. L., Mast, F., and Kleijnen, J. (2018) ‘A systematic approach to searching: an efficient and complete method to develop literature searches’, Journal</w:t>
      </w:r>
      <w:r>
        <w:rPr>
          <w:i/>
          <w:iCs/>
          <w:highlight w:val="white"/>
        </w:rPr>
        <w:t xml:space="preserve"> of the Medical Library Association: JMLA</w:t>
      </w:r>
      <w:r>
        <w:rPr>
          <w:highlight w:val="white"/>
        </w:rPr>
        <w:t>, </w:t>
      </w:r>
      <w:r>
        <w:rPr>
          <w:i/>
          <w:iCs/>
          <w:highlight w:val="white"/>
        </w:rPr>
        <w:t>106</w:t>
      </w:r>
      <w:r>
        <w:rPr>
          <w:highlight w:val="white"/>
        </w:rPr>
        <w:t>(4), 531-541. Available at</w:t>
      </w:r>
      <w:r>
        <w:t xml:space="preserve">: </w:t>
      </w:r>
      <w:r>
        <w:rPr/>
        <w:fldChar w:fldCharType="begin"/>
      </w:r>
      <w:r>
        <w:instrText xml:space="preserve"> HYPERLINK "https://pmc.ncbi.nlm.nih.gov/articles/PMC6148622/pdf/jmla-106-531.pdf" </w:instrText>
      </w:r>
      <w:r>
        <w:rPr/>
        <w:fldChar w:fldCharType="separate"/>
      </w:r>
      <w:r>
        <w:rPr>
          <w:rFonts w:eastAsia="Calibri"/>
          <w:u w:val="single"/>
        </w:rPr>
        <w:t>https://pmc.ncbi.nlm.nih.gov/articles/PMC6148622/pdf/jmla-106-531.pdf</w:t>
      </w:r>
      <w:r>
        <w:rPr/>
        <w:fldChar w:fldCharType="end"/>
      </w:r>
    </w:p>
    <w:p>
      <w:pPr>
        <w:pStyle w:val="style0"/>
        <w:rPr/>
      </w:pPr>
      <w:r>
        <w:t xml:space="preserve">Buccheri, R.K. and Sharifi, C. (2017) ‘Critical Appraisal Tools and Reporting Guidelines for Evidence-Based Practice’, </w:t>
      </w:r>
      <w:r>
        <w:rPr>
          <w:i/>
          <w:iCs/>
        </w:rPr>
        <w:t>Worldviews on Evidence-Based Nursing</w:t>
      </w:r>
      <w:r>
        <w:t xml:space="preserve">, 14(6), pp. 463–472. </w:t>
      </w:r>
    </w:p>
    <w:p>
      <w:pPr>
        <w:pStyle w:val="style0"/>
        <w:rPr/>
      </w:pPr>
      <w:r>
        <w:t>Büchter</w:t>
      </w:r>
      <w:r>
        <w:t xml:space="preserve">, R.B., Weise, A. and Pieper, D. (2020) ‘Development, Testing and Use of Data Extraction Forms in Systematic reviews: a Review of Methodological Guidance’, </w:t>
      </w:r>
      <w:r>
        <w:rPr>
          <w:i/>
          <w:iCs/>
        </w:rPr>
        <w:t>BMC Medical Research Methodology</w:t>
      </w:r>
      <w:r>
        <w:t xml:space="preserve">, 20(1), pp. 1–14. </w:t>
      </w:r>
    </w:p>
    <w:p>
      <w:pPr>
        <w:pStyle w:val="style0"/>
        <w:spacing w:lineRule="auto" w:line="259"/>
        <w:rPr>
          <w:lang w:val="en-IN"/>
        </w:rPr>
      </w:pPr>
      <w:r>
        <w:rPr>
          <w:lang w:val="en-IN"/>
        </w:rPr>
        <w:t xml:space="preserve">Capili, B. (2020). How does research start? </w:t>
      </w:r>
      <w:r>
        <w:rPr>
          <w:i/>
          <w:iCs/>
          <w:lang w:val="en-IN"/>
        </w:rPr>
        <w:t>AJN American Journal of Nursing</w:t>
      </w:r>
      <w:r>
        <w:rPr>
          <w:lang w:val="en-IN"/>
        </w:rPr>
        <w:t xml:space="preserve">, </w:t>
      </w:r>
      <w:r>
        <w:rPr>
          <w:i/>
          <w:iCs/>
          <w:lang w:val="en-IN"/>
        </w:rPr>
        <w:t>120</w:t>
      </w:r>
      <w:r>
        <w:rPr>
          <w:lang w:val="en-IN"/>
        </w:rPr>
        <w:t xml:space="preserve">(10), 41–44. </w:t>
      </w:r>
    </w:p>
    <w:p>
      <w:pPr>
        <w:pStyle w:val="style0"/>
        <w:rPr/>
      </w:pPr>
      <w:r>
        <w:t>Carrera-Rivera, A., Ochoa, W., Larrinaga, F. and Lasa, G. (2022). How to conduct a systematic literature review: A quick guide for computer science research. </w:t>
      </w:r>
      <w:r>
        <w:rPr>
          <w:i/>
          <w:iCs/>
        </w:rPr>
        <w:t>MethodsX</w:t>
      </w:r>
      <w:r>
        <w:t>, </w:t>
      </w:r>
      <w:r>
        <w:rPr>
          <w:i/>
          <w:iCs/>
        </w:rPr>
        <w:t>9</w:t>
      </w:r>
      <w:r>
        <w:t>, 101895.</w:t>
      </w:r>
    </w:p>
    <w:p>
      <w:pPr>
        <w:pStyle w:val="style0"/>
        <w:spacing w:after="240"/>
        <w:rPr/>
      </w:pPr>
      <w:r>
        <w:t xml:space="preserve">CASP (2024). </w:t>
      </w:r>
      <w:r>
        <w:rPr>
          <w:i/>
          <w:iCs/>
        </w:rPr>
        <w:t>About Us - CASP - Critical Appraisal Skills Programme</w:t>
      </w:r>
      <w:r>
        <w:t>. [online] CASP - Critical Appraisal Skills Programme. Available at: https://casp-uk.net/aboutus/ [ACCESSED 19 Feb. 2026].</w:t>
      </w:r>
    </w:p>
    <w:p>
      <w:pPr>
        <w:pStyle w:val="style0"/>
        <w:rPr/>
      </w:pPr>
      <w:r>
        <w:t xml:space="preserve">Centre for Mental Health (2025). </w:t>
      </w:r>
      <w:r>
        <w:rPr>
          <w:i/>
          <w:iCs/>
        </w:rPr>
        <w:t>The Big Mental Health Report 2025</w:t>
      </w:r>
      <w:r>
        <w:t xml:space="preserve">, </w:t>
      </w:r>
      <w:r>
        <w:rPr>
          <w:i/>
          <w:iCs/>
        </w:rPr>
        <w:t>Centre for Mental Health</w:t>
      </w:r>
      <w:r>
        <w:t>. Available at: https://www.centreformentalhealth.org.uk/publications/the-big-mental-health-report-2025/ (Accessed: 20 March 2026).</w:t>
      </w:r>
    </w:p>
    <w:p>
      <w:pPr>
        <w:pStyle w:val="style0"/>
        <w:rPr>
          <w:highlight w:val="white"/>
        </w:rPr>
      </w:pPr>
      <w:r>
        <w:rPr>
          <w:highlight w:val="white"/>
        </w:rPr>
        <w:t>Cerully</w:t>
      </w:r>
      <w:r>
        <w:rPr>
          <w:highlight w:val="white"/>
        </w:rPr>
        <w:t>, J. L., Acosta, J. D., and Sloan, J. (2018) ‘Mental health stigma and its effects on treatment-related outcomes: a narrative review’, </w:t>
      </w:r>
      <w:r>
        <w:rPr>
          <w:i/>
          <w:iCs/>
          <w:highlight w:val="white"/>
        </w:rPr>
        <w:t>Military medicine</w:t>
      </w:r>
      <w:r>
        <w:rPr>
          <w:highlight w:val="white"/>
        </w:rPr>
        <w:t>, </w:t>
      </w:r>
      <w:r>
        <w:rPr>
          <w:i/>
          <w:iCs/>
          <w:highlight w:val="white"/>
        </w:rPr>
        <w:t>183</w:t>
      </w:r>
      <w:r>
        <w:rPr>
          <w:highlight w:val="white"/>
        </w:rPr>
        <w:t xml:space="preserve">(11-12), </w:t>
      </w:r>
      <w:r>
        <w:rPr>
          <w:highlight w:val="white"/>
        </w:rPr>
        <w:t>pp.e</w:t>
      </w:r>
      <w:r>
        <w:rPr>
          <w:highlight w:val="white"/>
        </w:rPr>
        <w:t>427-e437.</w:t>
      </w:r>
    </w:p>
    <w:p>
      <w:pPr>
        <w:pStyle w:val="style0"/>
        <w:rPr/>
      </w:pPr>
      <w:r>
        <w:t>Chandrakumar, S., and Vivek, R. (2023). A critical review of the mixed method application and its criticism. </w:t>
      </w:r>
      <w:r>
        <w:rPr>
          <w:i/>
          <w:iCs/>
        </w:rPr>
        <w:t>Social work and education</w:t>
      </w:r>
      <w:r>
        <w:t>, </w:t>
      </w:r>
      <w:r>
        <w:rPr>
          <w:i/>
          <w:iCs/>
        </w:rPr>
        <w:t>10</w:t>
      </w:r>
      <w:r>
        <w:t>(2), 242-253.</w:t>
      </w:r>
    </w:p>
    <w:p>
      <w:pPr>
        <w:pStyle w:val="style0"/>
        <w:rPr>
          <w:highlight w:val="white"/>
        </w:rPr>
      </w:pPr>
      <w:r>
        <w:rPr>
          <w:highlight w:val="white"/>
        </w:rPr>
        <w:t xml:space="preserve">Ching, C. Y., </w:t>
      </w:r>
      <w:r>
        <w:rPr>
          <w:highlight w:val="white"/>
        </w:rPr>
        <w:t>Motevalli</w:t>
      </w:r>
      <w:r>
        <w:rPr>
          <w:highlight w:val="white"/>
        </w:rPr>
        <w:t xml:space="preserve">, S., Talib, M. A., and Ishak, Z. (2024) ‘The Mediating Role of Self-Stigma in Perceived Public Stigma and Attitudes Toward Mental Health Help-Seeking Among Adults in Malaysia’, </w:t>
      </w:r>
      <w:r>
        <w:rPr>
          <w:i/>
          <w:iCs/>
          <w:highlight w:val="white"/>
        </w:rPr>
        <w:t>International Journal of Education and Cognitive Sciences</w:t>
      </w:r>
      <w:r>
        <w:rPr>
          <w:highlight w:val="white"/>
        </w:rPr>
        <w:t>, </w:t>
      </w:r>
      <w:r>
        <w:rPr>
          <w:i/>
          <w:iCs/>
          <w:highlight w:val="white"/>
        </w:rPr>
        <w:t>5</w:t>
      </w:r>
      <w:r>
        <w:rPr>
          <w:highlight w:val="white"/>
        </w:rPr>
        <w:t>(1), pp. 16-24.</w:t>
      </w:r>
    </w:p>
    <w:p>
      <w:pPr>
        <w:pStyle w:val="style0"/>
        <w:rPr/>
      </w:pPr>
      <w:r>
        <w:t>Çilek</w:t>
      </w:r>
      <w:r>
        <w:t>, N. Z. and Akkaya, C. (2022) ‘A review on mental illness and stigma’, </w:t>
      </w:r>
      <w:r>
        <w:rPr>
          <w:i/>
          <w:iCs/>
        </w:rPr>
        <w:t>PsikiyatrideGüncelYaklaşımlar</w:t>
      </w:r>
      <w:r>
        <w:t>, </w:t>
      </w:r>
      <w:r>
        <w:rPr>
          <w:i/>
          <w:iCs/>
        </w:rPr>
        <w:t>14</w:t>
      </w:r>
      <w:r>
        <w:t>(4), 545-554.</w:t>
      </w:r>
    </w:p>
    <w:p>
      <w:pPr>
        <w:pStyle w:val="style0"/>
        <w:rPr>
          <w:highlight w:val="white"/>
        </w:rPr>
      </w:pPr>
      <w:r>
        <w:rPr>
          <w:highlight w:val="white"/>
        </w:rPr>
        <w:t xml:space="preserve">Clarke, V., and Braun, V. (2017) ‘Thematic analysis’, </w:t>
      </w:r>
      <w:r>
        <w:rPr>
          <w:i/>
          <w:iCs/>
          <w:highlight w:val="white"/>
        </w:rPr>
        <w:t>The Journal of Positive Psychology</w:t>
      </w:r>
      <w:r>
        <w:rPr>
          <w:highlight w:val="white"/>
        </w:rPr>
        <w:t>, </w:t>
      </w:r>
      <w:r>
        <w:rPr>
          <w:i/>
          <w:iCs/>
          <w:highlight w:val="white"/>
        </w:rPr>
        <w:t>12</w:t>
      </w:r>
      <w:r>
        <w:rPr>
          <w:highlight w:val="white"/>
        </w:rPr>
        <w:t xml:space="preserve">(3), 297-298. </w:t>
      </w:r>
      <w:r>
        <w:t xml:space="preserve">Available at: </w:t>
      </w:r>
      <w:r>
        <w:rPr/>
        <w:fldChar w:fldCharType="begin"/>
      </w:r>
      <w:r>
        <w:instrText xml:space="preserve"> HYPERLINK "https://doi.org/10.1080/17439760.2016.1262613" </w:instrText>
      </w:r>
      <w:r>
        <w:rPr/>
        <w:fldChar w:fldCharType="separate"/>
      </w:r>
      <w:r>
        <w:rPr>
          <w:u w:val="single"/>
        </w:rPr>
        <w:t>https://doi.org/10.1080/17439760.2016.1262613</w:t>
      </w:r>
      <w:r>
        <w:rPr/>
        <w:fldChar w:fldCharType="end"/>
      </w:r>
    </w:p>
    <w:p>
      <w:pPr>
        <w:pStyle w:val="style0"/>
        <w:rPr/>
      </w:pPr>
      <w:r>
        <w:t xml:space="preserve">Critical Appraisal Skills Programme (2024) </w:t>
      </w:r>
      <w:r>
        <w:rPr>
          <w:i/>
          <w:iCs/>
        </w:rPr>
        <w:t>CASP Qualitative Studies Checklist</w:t>
      </w:r>
      <w:r>
        <w:t xml:space="preserve">, </w:t>
      </w:r>
      <w:r>
        <w:rPr>
          <w:i/>
          <w:iCs/>
        </w:rPr>
        <w:t>CASP - Critical Appraisal Skills Programme</w:t>
      </w:r>
      <w:r>
        <w:t>. Available at: https://casp-uk.net/casp-tools-checklists/qualitative-studies-checklist/ [Accessed 28 Feb. 2026].</w:t>
      </w:r>
    </w:p>
    <w:p>
      <w:pPr>
        <w:pStyle w:val="style0"/>
        <w:rPr/>
      </w:pPr>
      <w:r>
        <w:t xml:space="preserve">Crockett, M. A., Núñez, D., Martínez, P., </w:t>
      </w:r>
      <w:r>
        <w:t>Borghero</w:t>
      </w:r>
      <w:r>
        <w:t xml:space="preserve">, F., Campos, S., Langer, Á. I., ... y Martínez, V. (2025). ‘Interventions to reduce mental health stigma in young people: A systematic review and meta-analysis’, </w:t>
      </w:r>
      <w:r>
        <w:rPr>
          <w:i/>
          <w:iCs/>
        </w:rPr>
        <w:t>JAMA Network Open,</w:t>
      </w:r>
      <w:r>
        <w:t xml:space="preserve"> 8(1), pp.1-17.</w:t>
      </w:r>
    </w:p>
    <w:p>
      <w:pPr>
        <w:pStyle w:val="style0"/>
        <w:rPr/>
      </w:pPr>
      <w:r>
        <w:t xml:space="preserve">CYPMHC (2023) </w:t>
      </w:r>
      <w:r>
        <w:rPr>
          <w:i/>
          <w:iCs/>
        </w:rPr>
        <w:t>Facts and Figures</w:t>
      </w:r>
      <w:r>
        <w:t xml:space="preserve">, </w:t>
      </w:r>
      <w:r>
        <w:rPr>
          <w:i/>
          <w:iCs/>
        </w:rPr>
        <w:t>CYPMHC</w:t>
      </w:r>
      <w:r>
        <w:t>. Available at: https://cypmhc.org.uk/resources/facts-and-figures/ (Accessed: 20 March 2026).</w:t>
      </w:r>
    </w:p>
    <w:p>
      <w:pPr>
        <w:pStyle w:val="style0"/>
        <w:rPr/>
      </w:pPr>
      <w:r>
        <w:t>Draganidis</w:t>
      </w:r>
      <w:r>
        <w:t xml:space="preserve">, A., Fernando, A. N., West, M. L., and Sharp, G. (2024). ‘Social media delivered mental health campaigns and public service announcements: A systematic literature review of public engagement and help-seeking behaviours’, </w:t>
      </w:r>
      <w:r>
        <w:rPr>
          <w:i/>
          <w:iCs/>
        </w:rPr>
        <w:t>Social Science &amp; Medicine</w:t>
      </w:r>
      <w:r>
        <w:t>, pp. 1-18.</w:t>
      </w:r>
    </w:p>
    <w:p>
      <w:pPr>
        <w:pStyle w:val="style0"/>
        <w:rPr/>
      </w:pPr>
      <w:r>
        <w:t xml:space="preserve">Enell, S. (2023) ‘“Doing” research relationships: reflections on a qualitative longitudinal project with young people leaving secure care’, </w:t>
      </w:r>
      <w:r>
        <w:rPr>
          <w:i/>
          <w:iCs/>
        </w:rPr>
        <w:t>Nordic Social Work Research</w:t>
      </w:r>
      <w:r>
        <w:t xml:space="preserve">, pp. 1–13. </w:t>
      </w:r>
    </w:p>
    <w:p>
      <w:pPr>
        <w:pStyle w:val="style0"/>
        <w:rPr/>
      </w:pPr>
      <w:r>
        <w:t xml:space="preserve">Finan, S. and Foulkes, L., (2025) ‘Disingenuous ‘box‐ticking’: Undergraduate students' attitudes towards university mental health awareness efforts’, British Educational Research Journal. Available at: </w:t>
      </w:r>
      <w:r>
        <w:rPr/>
        <w:fldChar w:fldCharType="begin"/>
      </w:r>
      <w:r>
        <w:instrText xml:space="preserve"> HYPERLINK "https://doi.org/10.1002/berj.70042" </w:instrText>
      </w:r>
      <w:r>
        <w:rPr/>
        <w:fldChar w:fldCharType="separate"/>
      </w:r>
      <w:r>
        <w:rPr>
          <w:u w:val="single"/>
        </w:rPr>
        <w:t>https://doi.org/10.1002/berj.70042</w:t>
      </w:r>
      <w:r>
        <w:rPr/>
        <w:fldChar w:fldCharType="end"/>
      </w:r>
    </w:p>
    <w:p>
      <w:pPr>
        <w:pStyle w:val="style0"/>
        <w:rPr/>
      </w:pPr>
      <w:r>
        <w:t>Goodwin, R. D., Weinberger, A. H., Kim, J. H., Wu, M. and Galea, S. (2020) ‘Trends in anxiety among adults in the United States, 2008–2018: Rapid increases among young adults’, </w:t>
      </w:r>
      <w:r>
        <w:rPr>
          <w:i/>
          <w:iCs/>
        </w:rPr>
        <w:t>Journal of psychiatric research</w:t>
      </w:r>
      <w:r>
        <w:t>, </w:t>
      </w:r>
      <w:r>
        <w:rPr>
          <w:i/>
          <w:iCs/>
        </w:rPr>
        <w:t>130</w:t>
      </w:r>
      <w:r>
        <w:t>, 441-446.</w:t>
      </w:r>
    </w:p>
    <w:p>
      <w:pPr>
        <w:pStyle w:val="style0"/>
        <w:rPr/>
      </w:pPr>
      <w:r>
        <w:t xml:space="preserve">Grierson, J. and Stacey, K. (2026). </w:t>
      </w:r>
      <w:r>
        <w:rPr>
          <w:i/>
          <w:iCs/>
        </w:rPr>
        <w:t>Sharp rise in young Britons saying ill health is reason they are jobless, study finds</w:t>
      </w:r>
      <w:r>
        <w:t xml:space="preserve">, </w:t>
      </w:r>
      <w:r>
        <w:rPr>
          <w:i/>
          <w:iCs/>
        </w:rPr>
        <w:t>The Guardian</w:t>
      </w:r>
      <w:r>
        <w:t>. The Guardian. Available at: https://www.theguardian.com/society/2026/mar/15/sharp-rise-young-britons-ill-health-reason-jobless-study (Accessed: 20 March 2026).</w:t>
      </w:r>
    </w:p>
    <w:p>
      <w:pPr>
        <w:pStyle w:val="style0"/>
        <w:rPr/>
      </w:pPr>
      <w:r>
        <w:t>Haddaway, N. R., Page, M. J., Pritchard, C. C., and McGuinness, L. A. (2022) ‘PRISMA2020: An R package and Shiny app for producing PRISMA 2020‐compliant flow diagrams, with interactivity for optimised digital transparency and Open Synthesis’, </w:t>
      </w:r>
      <w:r>
        <w:rPr>
          <w:i/>
          <w:iCs/>
        </w:rPr>
        <w:t>Campbell systematic reviews</w:t>
      </w:r>
      <w:r>
        <w:t>, </w:t>
      </w:r>
      <w:r>
        <w:rPr>
          <w:i/>
          <w:iCs/>
        </w:rPr>
        <w:t>18</w:t>
      </w:r>
      <w:r>
        <w:t xml:space="preserve">(2), pp. 1–12. Available at: </w:t>
      </w:r>
      <w:r>
        <w:rPr/>
        <w:fldChar w:fldCharType="begin"/>
      </w:r>
      <w:r>
        <w:instrText xml:space="preserve"> HYPERLINK "https://doi.org/10.1002/cl2.1230" </w:instrText>
      </w:r>
      <w:r>
        <w:rPr/>
        <w:fldChar w:fldCharType="separate"/>
      </w:r>
      <w:r>
        <w:rPr>
          <w:u w:val="single"/>
        </w:rPr>
        <w:t>https://doi.org/10.1002/cl2.1230</w:t>
      </w:r>
      <w:r>
        <w:rPr/>
        <w:fldChar w:fldCharType="end"/>
      </w:r>
    </w:p>
    <w:p>
      <w:pPr>
        <w:pStyle w:val="style0"/>
        <w:rPr/>
      </w:pPr>
      <w:r>
        <w:rPr>
          <w:highlight w:val="white"/>
        </w:rPr>
        <w:t>Hammarberg, K., Kirkman, M., and De Lacey, S. (2016) ‘Qualitative research methods: when to use them and how to judge them’, </w:t>
      </w:r>
      <w:r>
        <w:rPr>
          <w:i/>
          <w:iCs/>
          <w:highlight w:val="white"/>
        </w:rPr>
        <w:t>Human Reproduction</w:t>
      </w:r>
      <w:r>
        <w:rPr>
          <w:highlight w:val="white"/>
        </w:rPr>
        <w:t>, </w:t>
      </w:r>
      <w:r>
        <w:rPr>
          <w:i/>
          <w:iCs/>
          <w:highlight w:val="white"/>
        </w:rPr>
        <w:t>31</w:t>
      </w:r>
      <w:r>
        <w:rPr>
          <w:highlight w:val="white"/>
        </w:rPr>
        <w:t>(3), 498-501.</w:t>
      </w:r>
    </w:p>
    <w:p>
      <w:pPr>
        <w:pStyle w:val="style0"/>
        <w:rPr/>
      </w:pPr>
      <w:r>
        <w:t xml:space="preserve">Henderson, C., and Gronholm, P. C. (2018). ‘Mental health related stigma as a ‘wicked problem’: The need to address stigma and consider the consequences’, </w:t>
      </w:r>
      <w:r>
        <w:rPr>
          <w:i/>
          <w:iCs/>
        </w:rPr>
        <w:t>International Journal of Environmental Research and Public Health</w:t>
      </w:r>
      <w:r>
        <w:t>, 15(6), pp.1-13.</w:t>
      </w:r>
    </w:p>
    <w:p>
      <w:pPr>
        <w:pStyle w:val="style0"/>
        <w:rPr/>
      </w:pPr>
      <w:r>
        <w:t>Henderson, C., Evans-Lacko, S. and Thornicroft, G. (2013) ‘Mental illness stigma, help seeking, and public health programs’, </w:t>
      </w:r>
      <w:r>
        <w:rPr>
          <w:i/>
          <w:iCs/>
        </w:rPr>
        <w:t>American journal of public health</w:t>
      </w:r>
      <w:r>
        <w:t>, </w:t>
      </w:r>
      <w:r>
        <w:rPr>
          <w:i/>
          <w:iCs/>
        </w:rPr>
        <w:t>103</w:t>
      </w:r>
      <w:r>
        <w:t>(5), 777-780.</w:t>
      </w:r>
    </w:p>
    <w:p>
      <w:pPr>
        <w:pStyle w:val="style0"/>
        <w:rPr/>
      </w:pPr>
      <w:r>
        <w:t xml:space="preserve">Henderson, C., Robinson, E., Evans-Lacko, S., and Thornicroft, G. (2017). ‘Relationships between anti-stigma programme awareness, disclosure comfort and intended help-seeking regarding a mental health problem’, </w:t>
      </w:r>
      <w:r>
        <w:rPr>
          <w:i/>
          <w:iCs/>
        </w:rPr>
        <w:t>The British Journal of Psychiatry</w:t>
      </w:r>
      <w:r>
        <w:t>, 211(5), pp.316-322.</w:t>
      </w:r>
    </w:p>
    <w:p>
      <w:pPr>
        <w:pStyle w:val="style0"/>
        <w:rPr/>
      </w:pPr>
      <w:r>
        <w:t xml:space="preserve">Holding, E., Crowder, M., Woodrow, N., Griffin, N., Knights, N., Goyder, E., ... and Fairbrother, H. (2022) ‘Exploring young people's perspectives on mental health support: A qualitative study across three geographical areas in England, UK’, Health </w:t>
      </w:r>
      <w:r>
        <w:t xml:space="preserve">&amp; Social Care in the Community, 30(6), e6366-e6375. Available </w:t>
      </w:r>
      <w:r>
        <w:t>at:</w:t>
      </w:r>
      <w:r>
        <w:rPr/>
        <w:fldChar w:fldCharType="begin"/>
      </w:r>
      <w:r>
        <w:instrText xml:space="preserve"> HYPERLINK "https://doi.org/10.1111/hsc.14078" </w:instrText>
      </w:r>
      <w:r>
        <w:rPr/>
        <w:fldChar w:fldCharType="separate"/>
      </w:r>
      <w:r>
        <w:rPr>
          <w:u w:val="single"/>
        </w:rPr>
        <w:t>https</w:t>
      </w:r>
      <w:r>
        <w:rPr>
          <w:u w:val="single"/>
        </w:rPr>
        <w:t>://doi.org/10.1111/hsc.14078</w:t>
      </w:r>
      <w:r>
        <w:rPr/>
        <w:fldChar w:fldCharType="end"/>
      </w:r>
    </w:p>
    <w:p>
      <w:pPr>
        <w:pStyle w:val="style0"/>
        <w:rPr/>
      </w:pPr>
      <w:r>
        <w:t xml:space="preserve">Hong, Q.N. and </w:t>
      </w:r>
      <w:r>
        <w:t>Pluye</w:t>
      </w:r>
      <w:r>
        <w:t xml:space="preserve">, P. (2018) ‘A Conceptual Framework for Critical Appraisal in Systematic Mixed Studies Reviews’, </w:t>
      </w:r>
      <w:r>
        <w:rPr>
          <w:i/>
          <w:iCs/>
        </w:rPr>
        <w:t>Journal of Mixed Methods Research</w:t>
      </w:r>
      <w:r>
        <w:t xml:space="preserve">, 13(4), pp. 446–460. </w:t>
      </w:r>
    </w:p>
    <w:p>
      <w:pPr>
        <w:pStyle w:val="style0"/>
        <w:rPr/>
      </w:pPr>
      <w:r>
        <w:t xml:space="preserve">Hopwood, C. J., </w:t>
      </w:r>
      <w:r>
        <w:t>Bleidorn</w:t>
      </w:r>
      <w:r>
        <w:t>, W., and Wright, A. G. (2022). Connecting theory to methods in longitudinal research. </w:t>
      </w:r>
      <w:r>
        <w:rPr>
          <w:i/>
          <w:iCs/>
        </w:rPr>
        <w:t>Perspectives on Psychological Science</w:t>
      </w:r>
      <w:r>
        <w:t>, </w:t>
      </w:r>
      <w:r>
        <w:rPr>
          <w:i/>
          <w:iCs/>
        </w:rPr>
        <w:t>17</w:t>
      </w:r>
      <w:r>
        <w:t>(3), 884-894.</w:t>
      </w:r>
    </w:p>
    <w:p>
      <w:pPr>
        <w:pStyle w:val="style0"/>
        <w:rPr/>
      </w:pPr>
      <w:r>
        <w:t xml:space="preserve">Huggett, C., Birtel, M.D., </w:t>
      </w:r>
      <w:r>
        <w:t>Awenat</w:t>
      </w:r>
      <w:r>
        <w:t xml:space="preserve">, Y.F., Fleming, P., Wilkes, S., Williams, S. and Haddock, G., (2018) ‘A qualitative study: experiences of stigma by people with mental health problems’, Psychology and Psychotherapy: Theory, Research and Practice, 91(3), pp.380-397. Available at: </w:t>
      </w:r>
      <w:r>
        <w:rPr/>
        <w:fldChar w:fldCharType="begin"/>
      </w:r>
      <w:r>
        <w:instrText xml:space="preserve"> HYPERLINK "https://doi.org/10.1111/papt.12167" </w:instrText>
      </w:r>
      <w:r>
        <w:rPr/>
        <w:fldChar w:fldCharType="separate"/>
      </w:r>
      <w:r>
        <w:rPr>
          <w:u w:val="single"/>
        </w:rPr>
        <w:t>https://doi.org/10.1111/papt.12167</w:t>
      </w:r>
      <w:r>
        <w:rPr/>
        <w:fldChar w:fldCharType="end"/>
      </w:r>
    </w:p>
    <w:p>
      <w:pPr>
        <w:pStyle w:val="style0"/>
        <w:rPr>
          <w:highlight w:val="white"/>
        </w:rPr>
      </w:pPr>
      <w:r>
        <w:rPr>
          <w:highlight w:val="white"/>
        </w:rPr>
        <w:t xml:space="preserve">Humphrey, A., </w:t>
      </w:r>
      <w:r>
        <w:rPr>
          <w:highlight w:val="white"/>
        </w:rPr>
        <w:t>Bliuc</w:t>
      </w:r>
      <w:r>
        <w:rPr>
          <w:highlight w:val="white"/>
        </w:rPr>
        <w:t xml:space="preserve">, A. M., and </w:t>
      </w:r>
      <w:r>
        <w:rPr>
          <w:highlight w:val="white"/>
        </w:rPr>
        <w:t>Molenberghs</w:t>
      </w:r>
      <w:r>
        <w:rPr>
          <w:highlight w:val="white"/>
        </w:rPr>
        <w:t xml:space="preserve">, P. (2020) ‘The social contract revisited: A re-examination of the influence individualistic and collectivistic value systems </w:t>
      </w:r>
      <w:r>
        <w:rPr>
          <w:highlight w:val="white"/>
        </w:rPr>
        <w:t>have</w:t>
      </w:r>
      <w:r>
        <w:rPr>
          <w:highlight w:val="white"/>
        </w:rPr>
        <w:t xml:space="preserve"> on the psychological wellbeing of young people’, </w:t>
      </w:r>
      <w:r>
        <w:rPr>
          <w:i/>
          <w:iCs/>
          <w:highlight w:val="white"/>
        </w:rPr>
        <w:t>Journal of Youth Studies</w:t>
      </w:r>
      <w:r>
        <w:rPr>
          <w:highlight w:val="white"/>
        </w:rPr>
        <w:t>, </w:t>
      </w:r>
      <w:r>
        <w:rPr>
          <w:i/>
          <w:iCs/>
          <w:highlight w:val="white"/>
        </w:rPr>
        <w:t>23</w:t>
      </w:r>
      <w:r>
        <w:rPr>
          <w:highlight w:val="white"/>
        </w:rPr>
        <w:t>(2), pp.1-10.</w:t>
      </w:r>
    </w:p>
    <w:p>
      <w:pPr>
        <w:pStyle w:val="style0"/>
        <w:rPr/>
      </w:pPr>
      <w:r>
        <w:t>Jabbari, S. (2024). The Pinnacle of Evidence–Systematic Reviews and Their Superior Impact and Reliability. </w:t>
      </w:r>
      <w:r>
        <w:rPr>
          <w:i/>
          <w:iCs/>
        </w:rPr>
        <w:t>Gastrointestinal Oncology: Management and Care</w:t>
      </w:r>
      <w:r>
        <w:t>, </w:t>
      </w:r>
      <w:r>
        <w:rPr>
          <w:i/>
          <w:iCs/>
        </w:rPr>
        <w:t>1</w:t>
      </w:r>
      <w:r>
        <w:t>(1), 2403790.</w:t>
      </w:r>
    </w:p>
    <w:p>
      <w:pPr>
        <w:pStyle w:val="style0"/>
        <w:rPr/>
      </w:pPr>
      <w:r>
        <w:t>Joanna Briggs Institute (2020</w:t>
      </w:r>
      <w:r>
        <w:t>).</w:t>
      </w:r>
      <w:r>
        <w:rPr>
          <w:i/>
          <w:iCs/>
        </w:rPr>
        <w:t>Critical</w:t>
      </w:r>
      <w:r>
        <w:rPr>
          <w:i/>
          <w:iCs/>
        </w:rPr>
        <w:t xml:space="preserve"> Appraisal Tools</w:t>
      </w:r>
      <w:r>
        <w:t xml:space="preserve">, </w:t>
      </w:r>
      <w:r>
        <w:rPr>
          <w:i/>
          <w:iCs/>
        </w:rPr>
        <w:t>JBI</w:t>
      </w:r>
      <w:r>
        <w:t>. Available at: https://jbi.global/critical-appraisal-tools [Accessed 28 Feb. 2026].</w:t>
      </w:r>
    </w:p>
    <w:p>
      <w:pPr>
        <w:pStyle w:val="style0"/>
        <w:rPr>
          <w:highlight w:val="white"/>
        </w:rPr>
      </w:pPr>
      <w:r>
        <w:rPr>
          <w:highlight w:val="white"/>
        </w:rPr>
        <w:t xml:space="preserve">Jordan, A., Nguyen, K., Carandang, M. B., and Hikmat, W. (2023) ‘Novel approaches to community-based psychoeducation to improve mental health awareness in diverse settings’, </w:t>
      </w:r>
      <w:r>
        <w:rPr>
          <w:i/>
          <w:iCs/>
          <w:highlight w:val="white"/>
        </w:rPr>
        <w:t>World Social Psychiatry</w:t>
      </w:r>
      <w:r>
        <w:rPr>
          <w:highlight w:val="white"/>
        </w:rPr>
        <w:t>, </w:t>
      </w:r>
      <w:r>
        <w:rPr>
          <w:i/>
          <w:iCs/>
          <w:highlight w:val="white"/>
        </w:rPr>
        <w:t>5</w:t>
      </w:r>
      <w:r>
        <w:rPr>
          <w:highlight w:val="white"/>
        </w:rPr>
        <w:t>(1), pp. 36-41.</w:t>
      </w:r>
    </w:p>
    <w:p>
      <w:pPr>
        <w:pStyle w:val="style0"/>
        <w:rPr/>
      </w:pPr>
      <w:r>
        <w:t xml:space="preserve">Jowsey, T., Deng, C. and Weller, J. (2021) ‘General-purpose Thematic analysis: a Useful Qualitative Method for Anaesthesia Research’, </w:t>
      </w:r>
      <w:r>
        <w:rPr>
          <w:i/>
          <w:iCs/>
        </w:rPr>
        <w:t>BJA Education</w:t>
      </w:r>
      <w:r>
        <w:t xml:space="preserve">, 21(12), pp. 472–478. </w:t>
      </w:r>
    </w:p>
    <w:p>
      <w:pPr>
        <w:pStyle w:val="style0"/>
        <w:rPr/>
      </w:pPr>
      <w:r>
        <w:t xml:space="preserve">King's College London (2024). </w:t>
      </w:r>
      <w:r>
        <w:rPr>
          <w:i/>
          <w:iCs/>
        </w:rPr>
        <w:t>Public attitudes to mental health decline for the first time in 10 years</w:t>
      </w:r>
      <w:r>
        <w:t xml:space="preserve">, </w:t>
      </w:r>
      <w:r>
        <w:rPr>
          <w:i/>
          <w:iCs/>
        </w:rPr>
        <w:t>King’s College London</w:t>
      </w:r>
      <w:r>
        <w:t>. Available at: https://www.kcl.ac.uk/news/public-attitudes-to-mental-health-decline-for-the-first-time-in-10-years (Accessed: 20 March 2026).</w:t>
      </w:r>
    </w:p>
    <w:p>
      <w:pPr>
        <w:pStyle w:val="style0"/>
        <w:rPr/>
      </w:pPr>
      <w:r>
        <w:t xml:space="preserve">King's College London (2025). </w:t>
      </w:r>
      <w:r>
        <w:rPr>
          <w:i/>
          <w:iCs/>
        </w:rPr>
        <w:t>Public attitudes to mental health are going backwards, warns Mind</w:t>
      </w:r>
      <w:r>
        <w:t xml:space="preserve">, </w:t>
      </w:r>
      <w:r>
        <w:rPr>
          <w:i/>
          <w:iCs/>
        </w:rPr>
        <w:t>King’s College London</w:t>
      </w:r>
      <w:r>
        <w:t>. Available at: https://www.kcl.ac.uk/news/public-</w:t>
      </w:r>
      <w:r>
        <w:t>attitudes-to-mental-health-are-going-backwards-warns-mind (Accessed: 20 March 2026).</w:t>
      </w:r>
    </w:p>
    <w:p>
      <w:pPr>
        <w:pStyle w:val="style0"/>
        <w:rPr/>
      </w:pPr>
      <w:r>
        <w:t>Knolle, F., Ronan, L. and Murray, G. K. (2021) ‘The impact of the COVID-19 pandemic on mental health in the general population: a comparison between Germany and the UK’, </w:t>
      </w:r>
      <w:r>
        <w:rPr>
          <w:i/>
          <w:iCs/>
        </w:rPr>
        <w:t>BMC psychology</w:t>
      </w:r>
      <w:r>
        <w:t>, </w:t>
      </w:r>
      <w:r>
        <w:rPr>
          <w:i/>
          <w:iCs/>
        </w:rPr>
        <w:t>9</w:t>
      </w:r>
      <w:r>
        <w:t xml:space="preserve">(1), 60. </w:t>
      </w:r>
      <w:r>
        <w:rPr/>
        <w:fldChar w:fldCharType="begin"/>
      </w:r>
      <w:r>
        <w:instrText xml:space="preserve"> HYPERLINK "https://link.springer.com/article/10.1186/s40359-021-00565-y" </w:instrText>
      </w:r>
      <w:r>
        <w:rPr/>
        <w:fldChar w:fldCharType="separate"/>
      </w:r>
      <w:r>
        <w:rPr>
          <w:u w:val="single"/>
        </w:rPr>
        <w:t>https://link.springer.com/article/10.1186/s40359-021-00565-y</w:t>
      </w:r>
      <w:r>
        <w:rPr/>
        <w:fldChar w:fldCharType="end"/>
      </w:r>
    </w:p>
    <w:p>
      <w:pPr>
        <w:pStyle w:val="style0"/>
        <w:rPr/>
      </w:pPr>
      <w:r>
        <w:t>Kolstoe</w:t>
      </w:r>
      <w:r>
        <w:t xml:space="preserve">, S. (2023) ‘Why authors must provide evidence of ethical research practice’, </w:t>
      </w:r>
      <w:r>
        <w:rPr>
          <w:i/>
          <w:iCs/>
        </w:rPr>
        <w:t>Heliyon</w:t>
      </w:r>
      <w:r>
        <w:t>, 9(10), pp. e20476–e20476. Available at: https://doi.org/10.1016/j.heliyon.2023.e20476.</w:t>
      </w:r>
    </w:p>
    <w:p>
      <w:pPr>
        <w:pStyle w:val="style0"/>
        <w:rPr/>
      </w:pPr>
      <w:r>
        <w:t xml:space="preserve">Kumar, A. (2022) ‘Results: Establishing credibility’, </w:t>
      </w:r>
      <w:r>
        <w:rPr>
          <w:i/>
          <w:iCs/>
        </w:rPr>
        <w:t>Journal of Indian Society of Periodontology</w:t>
      </w:r>
      <w:r>
        <w:t xml:space="preserve">, 26(4), pp. 303–304. </w:t>
      </w:r>
    </w:p>
    <w:p>
      <w:pPr>
        <w:pStyle w:val="style0"/>
        <w:rPr/>
      </w:pPr>
      <w:r>
        <w:t xml:space="preserve">Laidlaw, A., McLellan, J. and </w:t>
      </w:r>
      <w:r>
        <w:t>Ozakinci</w:t>
      </w:r>
      <w:r>
        <w:t xml:space="preserve">, G., (2016) ‘Understanding undergraduate student perceptions of mental health, mental well-being and help-seeking behaviour’, Studies in higher education, 41(12), pp.2156-2168.  Available at: </w:t>
      </w:r>
      <w:r>
        <w:rPr/>
        <w:fldChar w:fldCharType="begin"/>
      </w:r>
      <w:r>
        <w:instrText xml:space="preserve"> HYPERLINK "https://doi.org/10.1080/03075079.2015.1026890" </w:instrText>
      </w:r>
      <w:r>
        <w:rPr/>
        <w:fldChar w:fldCharType="separate"/>
      </w:r>
      <w:r>
        <w:rPr>
          <w:u w:val="single"/>
        </w:rPr>
        <w:t>https://doi.org/10.1080/03075079.2015.1026890</w:t>
      </w:r>
      <w:r>
        <w:rPr/>
        <w:fldChar w:fldCharType="end"/>
      </w:r>
    </w:p>
    <w:p>
      <w:pPr>
        <w:pStyle w:val="style0"/>
        <w:rPr/>
      </w:pPr>
      <w:r>
        <w:t xml:space="preserve">Lazzat Zhamaliyeva, Nurgul </w:t>
      </w:r>
      <w:r>
        <w:t>Ablakimova</w:t>
      </w:r>
      <w:r>
        <w:t xml:space="preserve">, </w:t>
      </w:r>
      <w:r>
        <w:t>Assemgul</w:t>
      </w:r>
      <w:r>
        <w:t xml:space="preserve"> </w:t>
      </w:r>
      <w:r>
        <w:t>Batyrova</w:t>
      </w:r>
      <w:r>
        <w:t xml:space="preserve">, </w:t>
      </w:r>
      <w:r>
        <w:t>Veklenko</w:t>
      </w:r>
      <w:r>
        <w:t xml:space="preserve">, G., Grjibovski, A.M., </w:t>
      </w:r>
      <w:r>
        <w:t>Sandugash</w:t>
      </w:r>
      <w:r>
        <w:t xml:space="preserve"> Kudaibergenova, and Nursultan </w:t>
      </w:r>
      <w:r>
        <w:t>Seksenbayev</w:t>
      </w:r>
      <w:r>
        <w:t xml:space="preserve"> (2025) ‘Interventions to Reduce Mental Health Stigma Among Health Care Professionals in Primary Health Care: A Systematic Review and Meta-Analysis’,</w:t>
      </w:r>
      <w:r>
        <w:rPr>
          <w:i/>
          <w:iCs/>
        </w:rPr>
        <w:t xml:space="preserve"> International Journal of Environmental Research and Public Health</w:t>
      </w:r>
      <w:r>
        <w:t>, 22(9), pp. 1–22. </w:t>
      </w:r>
    </w:p>
    <w:p>
      <w:pPr>
        <w:pStyle w:val="style0"/>
        <w:rPr/>
      </w:pPr>
      <w:r>
        <w:t xml:space="preserve">Lee, J., and Wong, K. K. Y. (2024) ‘Mental health inequalities, challenges and support needs during COVID-19: a qualitative study of 14-to-25-year-olds in London’, BMJ open, 14(4), e080161. Available at: </w:t>
      </w:r>
      <w:r>
        <w:rPr/>
        <w:fldChar w:fldCharType="begin"/>
      </w:r>
      <w:r>
        <w:instrText xml:space="preserve"> HYPERLINK "https://bmjopen.bmj.com/content/bmjopen/14/4/e080161.full.pdf" </w:instrText>
      </w:r>
      <w:r>
        <w:rPr/>
        <w:fldChar w:fldCharType="separate"/>
      </w:r>
      <w:r>
        <w:rPr>
          <w:u w:val="single"/>
        </w:rPr>
        <w:t>https://bmjopen.bmj.com/content/bmjopen/14/4/e080161.full.pdf</w:t>
      </w:r>
      <w:r>
        <w:rPr/>
        <w:fldChar w:fldCharType="end"/>
      </w:r>
    </w:p>
    <w:p>
      <w:pPr>
        <w:pStyle w:val="style0"/>
        <w:rPr/>
      </w:pPr>
      <w:r>
        <w:t>Lippens, L., Vermeiren, S., and Baert, S. (2023). The state of hiring discrimination: A meta-analysis of (almost) all recent correspondence experiments. </w:t>
      </w:r>
      <w:r>
        <w:rPr>
          <w:i/>
          <w:iCs/>
        </w:rPr>
        <w:t>European Economic Review</w:t>
      </w:r>
      <w:r>
        <w:t>, </w:t>
      </w:r>
      <w:r>
        <w:rPr>
          <w:i/>
          <w:iCs/>
        </w:rPr>
        <w:t>151</w:t>
      </w:r>
      <w:r>
        <w:t>, 104315.</w:t>
      </w:r>
    </w:p>
    <w:p>
      <w:pPr>
        <w:pStyle w:val="style0"/>
        <w:rPr/>
      </w:pPr>
      <w:r>
        <w:t xml:space="preserve">Long, H.A., French, D.P. and Brooks, J.M. (2020) ‘Optimising the Value of the Critical Appraisal Skills Programme (CASP) Tool for Quality Appraisal in Qualitative Evidence Synthesis’, </w:t>
      </w:r>
      <w:r>
        <w:rPr>
          <w:i/>
          <w:iCs/>
        </w:rPr>
        <w:t>Research Methods in Medicine &amp; Health Sciences</w:t>
      </w:r>
      <w:r>
        <w:t xml:space="preserve">, 1(1), pp. 31–42. </w:t>
      </w:r>
    </w:p>
    <w:p>
      <w:pPr>
        <w:pStyle w:val="style0"/>
        <w:rPr/>
      </w:pPr>
      <w:r>
        <w:t>Lyons, P., Edwardes, A., Bladon, L., and Abel, K. M. (2025). Culturally sensitive mental health research: a scoping review. </w:t>
      </w:r>
      <w:r>
        <w:rPr>
          <w:i/>
          <w:iCs/>
        </w:rPr>
        <w:t>BMC psychiatry</w:t>
      </w:r>
      <w:r>
        <w:t>, </w:t>
      </w:r>
      <w:r>
        <w:rPr>
          <w:i/>
          <w:iCs/>
        </w:rPr>
        <w:t>25</w:t>
      </w:r>
      <w:r>
        <w:t>(1), 190.</w:t>
      </w:r>
    </w:p>
    <w:p>
      <w:pPr>
        <w:pStyle w:val="style0"/>
        <w:rPr>
          <w:highlight w:val="white"/>
        </w:rPr>
      </w:pPr>
      <w:r>
        <w:rPr>
          <w:highlight w:val="white"/>
        </w:rPr>
        <w:t xml:space="preserve">MacFarlane, A., Russell-Rose, T., and </w:t>
      </w:r>
      <w:r>
        <w:rPr>
          <w:highlight w:val="white"/>
        </w:rPr>
        <w:t>Shokraneh</w:t>
      </w:r>
      <w:r>
        <w:rPr>
          <w:highlight w:val="white"/>
        </w:rPr>
        <w:t>, F. (2022) ‘Search strategy formulation for systematic reviews: Issues, challenges and opportunities’, </w:t>
      </w:r>
      <w:r>
        <w:rPr>
          <w:i/>
          <w:iCs/>
          <w:highlight w:val="white"/>
        </w:rPr>
        <w:t>Intelligent Systems with Applications</w:t>
      </w:r>
      <w:r>
        <w:rPr>
          <w:highlight w:val="white"/>
        </w:rPr>
        <w:t>, </w:t>
      </w:r>
      <w:r>
        <w:rPr>
          <w:i/>
          <w:iCs/>
          <w:highlight w:val="white"/>
        </w:rPr>
        <w:t>15</w:t>
      </w:r>
      <w:r>
        <w:rPr>
          <w:highlight w:val="white"/>
        </w:rPr>
        <w:t>, 1-10. Available at</w:t>
      </w:r>
      <w:r>
        <w:t xml:space="preserve">: </w:t>
      </w:r>
      <w:r>
        <w:rPr/>
        <w:fldChar w:fldCharType="begin"/>
      </w:r>
      <w:r>
        <w:instrText xml:space="preserve"> HYPERLINK "https://doi.org/10.1016/j.iswa.2022.200091" </w:instrText>
      </w:r>
      <w:r>
        <w:rPr/>
        <w:fldChar w:fldCharType="separate"/>
      </w:r>
      <w:r>
        <w:rPr>
          <w:rFonts w:eastAsia="Calibri"/>
          <w:highlight w:val="white"/>
          <w:u w:val="single"/>
        </w:rPr>
        <w:t>https://doi.org/10.1016/j.iswa.2022.200091</w:t>
      </w:r>
      <w:r>
        <w:rPr/>
        <w:fldChar w:fldCharType="end"/>
      </w:r>
    </w:p>
    <w:p>
      <w:pPr>
        <w:pStyle w:val="style0"/>
        <w:rPr/>
      </w:pPr>
      <w:r>
        <w:t>Maghfour</w:t>
      </w:r>
      <w:r>
        <w:t xml:space="preserve">, J., Liu, V., Parks-Miller, A. and </w:t>
      </w:r>
      <w:r>
        <w:t>Hamzavi</w:t>
      </w:r>
      <w:r>
        <w:t xml:space="preserve">, I.H. (2023) ‘Evaluating the Impact of Exclusion Criteria on the Generalizability of Hidradenitis Suppurativa Treatment Research’, </w:t>
      </w:r>
      <w:r>
        <w:rPr>
          <w:i/>
          <w:iCs/>
        </w:rPr>
        <w:t>JID Innovations</w:t>
      </w:r>
      <w:r>
        <w:t xml:space="preserve">, 3(3), pp. 1–14. Available at: </w:t>
      </w:r>
      <w:r>
        <w:rPr/>
        <w:fldChar w:fldCharType="begin"/>
      </w:r>
      <w:r>
        <w:instrText xml:space="preserve"> HYPERLINK "https://doi.org/10.1016/j.xjidi.2023.100192" </w:instrText>
      </w:r>
      <w:r>
        <w:rPr/>
        <w:fldChar w:fldCharType="separate"/>
      </w:r>
      <w:r>
        <w:rPr>
          <w:u w:val="single"/>
        </w:rPr>
        <w:t>https://doi.org/10.1016/j.xjidi.2023.100192</w:t>
      </w:r>
      <w:r>
        <w:rPr/>
        <w:fldChar w:fldCharType="end"/>
      </w:r>
      <w:r>
        <w:t>.</w:t>
      </w:r>
    </w:p>
    <w:p>
      <w:pPr>
        <w:pStyle w:val="style0"/>
        <w:rPr/>
      </w:pPr>
      <w:r>
        <w:t>Mak, S., and Thomas, A. (2022). An introduction to scoping reviews. </w:t>
      </w:r>
      <w:r>
        <w:rPr>
          <w:i/>
          <w:iCs/>
        </w:rPr>
        <w:t>Journal of Graduate Medical Education</w:t>
      </w:r>
      <w:r>
        <w:t>, </w:t>
      </w:r>
      <w:r>
        <w:rPr>
          <w:i/>
          <w:iCs/>
        </w:rPr>
        <w:t>14</w:t>
      </w:r>
      <w:r>
        <w:t>(5), 561-564.</w:t>
      </w:r>
    </w:p>
    <w:p>
      <w:pPr>
        <w:pStyle w:val="style0"/>
        <w:rPr/>
      </w:pPr>
      <w:r>
        <w:t xml:space="preserve">Makhmud, A., Thornicroft, G. and Gronholm, P.C. (2022) ‘Indirect social contact interventions to reduce mental health-related stigma in low- and middle-income countries: systematic review’, </w:t>
      </w:r>
      <w:r>
        <w:rPr>
          <w:i/>
          <w:iCs/>
        </w:rPr>
        <w:t>Epidemiology and Psychiatric Sciences</w:t>
      </w:r>
      <w:r>
        <w:t>, 31, pp.1-10. </w:t>
      </w:r>
    </w:p>
    <w:p>
      <w:pPr>
        <w:pStyle w:val="style0"/>
        <w:rPr/>
      </w:pPr>
      <w:r>
        <w:t>Mandal, P. C. (2018). Saturation in qualitative research: Considerations and limitations. </w:t>
      </w:r>
      <w:r>
        <w:rPr>
          <w:i/>
          <w:iCs/>
        </w:rPr>
        <w:t>International Journal of Academic Research and Development</w:t>
      </w:r>
      <w:r>
        <w:t>, </w:t>
      </w:r>
      <w:r>
        <w:rPr>
          <w:i/>
          <w:iCs/>
        </w:rPr>
        <w:t>3</w:t>
      </w:r>
      <w:r>
        <w:t>(2), 624-628.</w:t>
      </w:r>
    </w:p>
    <w:p>
      <w:pPr>
        <w:pStyle w:val="style0"/>
        <w:rPr/>
      </w:pPr>
      <w:r>
        <w:t xml:space="preserve">Mendes, J. A. D. A., Mahamud, A., Doherty, S., Lucassen, M., Lockwood, J., Townsend, E., ... and </w:t>
      </w:r>
      <w:r>
        <w:t>Jirotka</w:t>
      </w:r>
      <w:r>
        <w:t>, M. (2025). ‘Co</w:t>
      </w:r>
      <w:r>
        <w:rPr>
          <w:rFonts w:ascii="Cambria Math" w:cs="Cambria Math" w:hAnsi="Cambria Math"/>
        </w:rPr>
        <w:t>‐</w:t>
      </w:r>
      <w:r>
        <w:t>Production Is Caring’: Young People's Reflections on Responsible and Dialogic Co</w:t>
      </w:r>
      <w:r>
        <w:rPr>
          <w:rFonts w:ascii="Cambria Math" w:cs="Cambria Math" w:hAnsi="Cambria Math"/>
        </w:rPr>
        <w:t>‐</w:t>
      </w:r>
      <w:r>
        <w:t>Production in Youth Mental Health. </w:t>
      </w:r>
      <w:r>
        <w:rPr>
          <w:i/>
          <w:iCs/>
        </w:rPr>
        <w:t>Health Expectations</w:t>
      </w:r>
      <w:r>
        <w:t>, </w:t>
      </w:r>
      <w:r>
        <w:rPr>
          <w:i/>
          <w:iCs/>
        </w:rPr>
        <w:t>28</w:t>
      </w:r>
      <w:r>
        <w:t>(6), e70488.</w:t>
      </w:r>
    </w:p>
    <w:p>
      <w:pPr>
        <w:pStyle w:val="style0"/>
        <w:rPr/>
      </w:pPr>
      <w:r>
        <w:t xml:space="preserve">Mind (2025). </w:t>
      </w:r>
      <w:r>
        <w:rPr>
          <w:i/>
          <w:iCs/>
        </w:rPr>
        <w:t>The Big Mental Health Report</w:t>
      </w:r>
      <w:r>
        <w:t xml:space="preserve">, </w:t>
      </w:r>
      <w:r>
        <w:rPr>
          <w:i/>
          <w:iCs/>
        </w:rPr>
        <w:t>Mind.org.uk</w:t>
      </w:r>
      <w:r>
        <w:t>. Available at: https://www.mind.org.uk/about-us/our-policy-work/the-big-mental-health-report/ (Accessed: 20 March 2026).</w:t>
      </w:r>
    </w:p>
    <w:p>
      <w:pPr>
        <w:pStyle w:val="style0"/>
        <w:rPr/>
      </w:pPr>
      <w:r>
        <w:t xml:space="preserve">Murray, J. (2025) </w:t>
      </w:r>
      <w:r>
        <w:rPr>
          <w:i/>
          <w:iCs/>
        </w:rPr>
        <w:t>‘Alarming rise’ in mental health stigma in England, research shows</w:t>
      </w:r>
      <w:r>
        <w:t xml:space="preserve">, </w:t>
      </w:r>
      <w:r>
        <w:rPr>
          <w:i/>
          <w:iCs/>
        </w:rPr>
        <w:t>The Guardian</w:t>
      </w:r>
      <w:r>
        <w:t>. The Guardian. Available at: https://www.theguardian.com/society/2025/oct/15/alarming-rise-in-mental-health-stigma-in-england-research-shows (Accessed: 20 March 2026).</w:t>
      </w:r>
    </w:p>
    <w:p>
      <w:pPr>
        <w:pStyle w:val="style0"/>
        <w:rPr/>
      </w:pPr>
      <w:r>
        <w:t>Mwita, K. (2022). Strengths and weaknesses of qualitative research in social science studies. </w:t>
      </w:r>
      <w:r>
        <w:rPr>
          <w:i/>
          <w:iCs/>
        </w:rPr>
        <w:t>International Journal of Research in Business and Social Science 11</w:t>
      </w:r>
      <w:r>
        <w:t>(6), 618-625.</w:t>
      </w:r>
    </w:p>
    <w:p>
      <w:pPr>
        <w:pStyle w:val="style0"/>
        <w:rPr/>
      </w:pPr>
      <w:r>
        <w:t>Nezameslami</w:t>
      </w:r>
      <w:r>
        <w:t xml:space="preserve">, R., </w:t>
      </w:r>
      <w:r>
        <w:t>Nezameslami</w:t>
      </w:r>
      <w:r>
        <w:t xml:space="preserve">, A., </w:t>
      </w:r>
      <w:r>
        <w:t>Mehdikhani</w:t>
      </w:r>
      <w:r>
        <w:t xml:space="preserve">, B., </w:t>
      </w:r>
      <w:r>
        <w:t>Mosavi-Jarrahi</w:t>
      </w:r>
      <w:r>
        <w:t xml:space="preserve">, A., Shahbazi, A., Rahmani, A., ... and </w:t>
      </w:r>
      <w:r>
        <w:t>Neamatzadeh</w:t>
      </w:r>
      <w:r>
        <w:t xml:space="preserve">, H. (2025). Adapting PRISMA Guidelines to </w:t>
      </w:r>
      <w:r>
        <w:t>Enhance Reporting Quality in Genetic Association Studies: A Framework Proposal. </w:t>
      </w:r>
      <w:r>
        <w:rPr>
          <w:i/>
          <w:iCs/>
        </w:rPr>
        <w:t>Asian Pacific Journal of Cancer Prevention: APJCP</w:t>
      </w:r>
      <w:r>
        <w:t>, </w:t>
      </w:r>
      <w:r>
        <w:rPr>
          <w:i/>
          <w:iCs/>
        </w:rPr>
        <w:t>26</w:t>
      </w:r>
      <w:r>
        <w:t>(5), 1641.</w:t>
      </w:r>
    </w:p>
    <w:p>
      <w:pPr>
        <w:pStyle w:val="style0"/>
        <w:rPr/>
      </w:pPr>
      <w:r>
        <w:t>Pescosolido, B. A., Manago, B. and Monahan, J. (2019) ‘Evolving public views on the likelihood of violence from people with mental illness: Stigma and its consequences’, </w:t>
      </w:r>
      <w:r>
        <w:rPr>
          <w:i/>
          <w:iCs/>
        </w:rPr>
        <w:t>Health Affairs</w:t>
      </w:r>
      <w:r>
        <w:t>, </w:t>
      </w:r>
      <w:r>
        <w:rPr>
          <w:i/>
          <w:iCs/>
        </w:rPr>
        <w:t>38</w:t>
      </w:r>
      <w:r>
        <w:t>(10), 1735-1743.</w:t>
      </w:r>
    </w:p>
    <w:p>
      <w:pPr>
        <w:pStyle w:val="style0"/>
        <w:rPr/>
      </w:pPr>
      <w:r>
        <w:t>Pollock, D., Evans, C., Jia, R. M., Alexander, L., Pieper, D., de Moraes, É. B., ... and Munn, Z. (2024). “How-to”: scoping review? </w:t>
      </w:r>
      <w:r>
        <w:rPr>
          <w:i/>
          <w:iCs/>
        </w:rPr>
        <w:t>Journal of Clinical Epidemiology</w:t>
      </w:r>
      <w:r>
        <w:t>, </w:t>
      </w:r>
      <w:r>
        <w:rPr>
          <w:i/>
          <w:iCs/>
        </w:rPr>
        <w:t>176</w:t>
      </w:r>
      <w:r>
        <w:t>, 111572.</w:t>
      </w:r>
    </w:p>
    <w:p>
      <w:pPr>
        <w:pStyle w:val="style0"/>
        <w:rPr>
          <w:highlight w:val="white"/>
        </w:rPr>
      </w:pPr>
      <w:r>
        <w:rPr>
          <w:highlight w:val="white"/>
        </w:rPr>
        <w:t>Prizeman, K., McCabe, C., and Weinstein, N. (2024). Stigma and its impact on disclosure and mental health secrecy in young people with clinical depression symptoms: A qualitative analysis. </w:t>
      </w:r>
      <w:r>
        <w:rPr>
          <w:i/>
          <w:iCs/>
          <w:highlight w:val="white"/>
        </w:rPr>
        <w:t>Plos</w:t>
      </w:r>
      <w:r>
        <w:rPr>
          <w:i/>
          <w:iCs/>
          <w:highlight w:val="white"/>
        </w:rPr>
        <w:t xml:space="preserve"> one</w:t>
      </w:r>
      <w:r>
        <w:rPr>
          <w:highlight w:val="white"/>
        </w:rPr>
        <w:t>, </w:t>
      </w:r>
      <w:r>
        <w:rPr>
          <w:i/>
          <w:iCs/>
          <w:highlight w:val="white"/>
        </w:rPr>
        <w:t>19</w:t>
      </w:r>
      <w:r>
        <w:rPr>
          <w:highlight w:val="white"/>
        </w:rPr>
        <w:t xml:space="preserve">(1), 1-22. </w:t>
      </w:r>
      <w:r>
        <w:rPr/>
        <w:fldChar w:fldCharType="begin"/>
      </w:r>
      <w:r>
        <w:instrText xml:space="preserve"> HYPERLINK "https://doi.org/10.1371/journal.pone.0296221" </w:instrText>
      </w:r>
      <w:r>
        <w:rPr/>
        <w:fldChar w:fldCharType="separate"/>
      </w:r>
      <w:r>
        <w:rPr>
          <w:highlight w:val="white"/>
          <w:u w:val="single"/>
        </w:rPr>
        <w:t>https://doi.org/10.1371/journal.pone.0296221</w:t>
      </w:r>
      <w:r>
        <w:rPr/>
        <w:fldChar w:fldCharType="end"/>
      </w:r>
    </w:p>
    <w:p>
      <w:pPr>
        <w:pStyle w:val="style0"/>
        <w:rPr/>
      </w:pPr>
      <w:r>
        <w:t>Ramasamy, A. (2022). Prisma 2020: Key changes and implementation aspects. </w:t>
      </w:r>
      <w:r>
        <w:rPr>
          <w:i/>
          <w:iCs/>
        </w:rPr>
        <w:t>Journal of Oral and Maxillofacial Surgery</w:t>
      </w:r>
      <w:r>
        <w:t>, </w:t>
      </w:r>
      <w:r>
        <w:rPr>
          <w:i/>
          <w:iCs/>
        </w:rPr>
        <w:t>80</w:t>
      </w:r>
      <w:r>
        <w:t>(5), 795-797.</w:t>
      </w:r>
    </w:p>
    <w:p>
      <w:pPr>
        <w:pStyle w:val="style0"/>
        <w:rPr/>
      </w:pPr>
      <w:r>
        <w:t xml:space="preserve">Rethink Mental Illness (2023) </w:t>
      </w:r>
      <w:r>
        <w:rPr>
          <w:i/>
          <w:iCs/>
        </w:rPr>
        <w:t>The stigma of mental illness in numbers</w:t>
      </w:r>
      <w:r>
        <w:t xml:space="preserve">, </w:t>
      </w:r>
      <w:r>
        <w:rPr>
          <w:i/>
          <w:iCs/>
        </w:rPr>
        <w:t>The stigma of mental illness in numbers</w:t>
      </w:r>
      <w:r>
        <w:t>. Available at: https://www.rethink.org/campaigns-and-policy/policy-and-influencing/stigma-and-discrimination/the-stigma-of-mental-illness-in-numbers/ (Accessed: 20 March 2026).</w:t>
      </w:r>
    </w:p>
    <w:p>
      <w:pPr>
        <w:pStyle w:val="style0"/>
        <w:rPr>
          <w:highlight w:val="white"/>
        </w:rPr>
      </w:pPr>
      <w:r>
        <w:rPr>
          <w:highlight w:val="white"/>
        </w:rPr>
        <w:t xml:space="preserve">Riger, S. T. E. P. H. A. N. I. E., and </w:t>
      </w:r>
      <w:r>
        <w:rPr>
          <w:highlight w:val="white"/>
        </w:rPr>
        <w:t>Sigurvinsdottir</w:t>
      </w:r>
      <w:r>
        <w:rPr>
          <w:highlight w:val="white"/>
        </w:rPr>
        <w:t>, R. A. N. N. V. E. I. G. (2016) ‘Thematic analysis’, </w:t>
      </w:r>
      <w:r>
        <w:rPr>
          <w:i/>
          <w:iCs/>
          <w:highlight w:val="white"/>
        </w:rPr>
        <w:t>Handbook of methodological approaches to community-based research: Qualitative, quantitative, and mixed methods</w:t>
      </w:r>
      <w:r>
        <w:rPr>
          <w:highlight w:val="white"/>
        </w:rPr>
        <w:t xml:space="preserve">, 33-41. </w:t>
      </w:r>
      <w:r>
        <w:rPr/>
        <w:fldChar w:fldCharType="begin"/>
      </w:r>
      <w:r>
        <w:instrText xml:space="preserve"> HYPERLINK "https://repository.unar.ac.id/jspui/bitstream/123456789/5294/1/Handbook%20of%20methodological%20approaches%20to%20community-based%20research%20%20qualitative%2C%20quantitative%2C%20and%20mixed%20methods%20by%20Leonard%20A.%20Jason%2C%20David%20S.%20Glenwick%20%28z-lib.org%29.pdf" \l "page=54" </w:instrText>
      </w:r>
      <w:r>
        <w:rPr/>
        <w:fldChar w:fldCharType="separate"/>
      </w:r>
      <w:r>
        <w:rPr>
          <w:highlight w:val="white"/>
          <w:u w:val="single"/>
        </w:rPr>
        <w:t>https://repository.unar.ac.id/jspui/bitstream/123456789/5294/1/Handbook%20of%20methodological%20approaches%20to%20community-based%20research%20%20qualitative%2C%20quantitative%2C%20and%20mixed%20methods%20by%20Leonard%20A.%20Jason%2C%20David%20S.%20Glenwick%20%28z-lib.org%29.pdf#page=54</w:t>
      </w:r>
      <w:r>
        <w:rPr/>
        <w:fldChar w:fldCharType="end"/>
      </w:r>
    </w:p>
    <w:p>
      <w:pPr>
        <w:pStyle w:val="style0"/>
        <w:rPr/>
      </w:pPr>
      <w:r>
        <w:t>Saaiq, M., and Ashraf, B. (2024). CRITICAL APPRAISAL TOOLS FOR QUALITATIVE SYSTEMATIC REVIEWS IN MEDICAL EDUCATION. </w:t>
      </w:r>
      <w:r>
        <w:rPr>
          <w:i/>
          <w:iCs/>
        </w:rPr>
        <w:t>Journal of Health Professions Education and Innovation</w:t>
      </w:r>
      <w:r>
        <w:t>, </w:t>
      </w:r>
      <w:r>
        <w:rPr>
          <w:i/>
          <w:iCs/>
        </w:rPr>
        <w:t>1</w:t>
      </w:r>
      <w:r>
        <w:t>(2), 38-46.</w:t>
      </w:r>
    </w:p>
    <w:p>
      <w:pPr>
        <w:pStyle w:val="style0"/>
        <w:rPr>
          <w:highlight w:val="white"/>
        </w:rPr>
      </w:pPr>
      <w:r>
        <w:rPr>
          <w:highlight w:val="white"/>
        </w:rPr>
        <w:t>Schiavenato</w:t>
      </w:r>
      <w:r>
        <w:rPr>
          <w:highlight w:val="white"/>
        </w:rPr>
        <w:t>, M., and Chu, F. (2021). PICO: What it is and what it is not. </w:t>
      </w:r>
      <w:r>
        <w:rPr>
          <w:i/>
          <w:iCs/>
          <w:highlight w:val="white"/>
        </w:rPr>
        <w:t>Nurse education in practice</w:t>
      </w:r>
      <w:r>
        <w:rPr>
          <w:highlight w:val="white"/>
        </w:rPr>
        <w:t>, </w:t>
      </w:r>
      <w:r>
        <w:rPr>
          <w:i/>
          <w:iCs/>
          <w:highlight w:val="white"/>
        </w:rPr>
        <w:t>56</w:t>
      </w:r>
      <w:r>
        <w:rPr>
          <w:highlight w:val="white"/>
        </w:rPr>
        <w:t xml:space="preserve">, 1-4. </w:t>
      </w:r>
      <w:r>
        <w:rPr/>
        <w:fldChar w:fldCharType="begin"/>
      </w:r>
      <w:r>
        <w:instrText xml:space="preserve"> HYPERLINK "https://doi.org/10.1016/j.nepr.2021.103194" </w:instrText>
      </w:r>
      <w:r>
        <w:rPr/>
        <w:fldChar w:fldCharType="separate"/>
      </w:r>
      <w:r>
        <w:rPr>
          <w:highlight w:val="white"/>
          <w:u w:val="single"/>
        </w:rPr>
        <w:t>https://doi.org/10.1016/j.nepr.2021.103194</w:t>
      </w:r>
      <w:r>
        <w:rPr/>
        <w:fldChar w:fldCharType="end"/>
      </w:r>
    </w:p>
    <w:p>
      <w:pPr>
        <w:pStyle w:val="style0"/>
        <w:rPr/>
      </w:pPr>
      <w:r>
        <w:t>Seamark, D., and Gabriel, L. (2018) ‘Barriers to support: a qualitative exploration into the help-seeking and avoidance factors of young adults’, </w:t>
      </w:r>
      <w:r>
        <w:rPr>
          <w:i/>
          <w:iCs/>
        </w:rPr>
        <w:t>British Journal of Guidance &amp; Counselling</w:t>
      </w:r>
      <w:r>
        <w:t>, </w:t>
      </w:r>
      <w:r>
        <w:rPr>
          <w:i/>
          <w:iCs/>
        </w:rPr>
        <w:t>46</w:t>
      </w:r>
      <w:r>
        <w:t>(1), pp.120-131.</w:t>
      </w:r>
    </w:p>
    <w:p>
      <w:pPr>
        <w:pStyle w:val="style0"/>
        <w:rPr/>
      </w:pPr>
      <w:r>
        <w:t xml:space="preserve">Selcuk, A.A. (2019) ‘A Guide for Systematic Reviews: PRISMA’, </w:t>
      </w:r>
      <w:r>
        <w:rPr>
          <w:i/>
          <w:iCs/>
        </w:rPr>
        <w:t>Turkish Archives of Otorhinolaryngology</w:t>
      </w:r>
      <w:r>
        <w:t>, 57(1), pp. 57–58. Available at: https://doi.org/10.5152/tao.2019.4058.</w:t>
      </w:r>
    </w:p>
    <w:p>
      <w:pPr>
        <w:pStyle w:val="style0"/>
        <w:rPr/>
      </w:pPr>
      <w:r>
        <w:t xml:space="preserve">Shaheen, N., Shaheen, A., Ramadan, A., </w:t>
      </w:r>
      <w:r>
        <w:t>Hefnawy</w:t>
      </w:r>
      <w:r>
        <w:t xml:space="preserve">, M. T., Ramadan, A., Ibrahim, I. A., ... and </w:t>
      </w:r>
      <w:r>
        <w:t>Flouty</w:t>
      </w:r>
      <w:r>
        <w:t>, O. (2023) ‘Appraising systematic reviews: a comprehensive guide to ensuring validity and reliability’, </w:t>
      </w:r>
      <w:r>
        <w:rPr>
          <w:i/>
          <w:iCs/>
        </w:rPr>
        <w:t>Frontiers in research metrics and analytics</w:t>
      </w:r>
      <w:r>
        <w:t>, </w:t>
      </w:r>
      <w:r>
        <w:rPr>
          <w:i/>
          <w:iCs/>
        </w:rPr>
        <w:t>8</w:t>
      </w:r>
      <w:r>
        <w:t xml:space="preserve">, 1-9. </w:t>
      </w:r>
      <w:r>
        <w:rPr>
          <w:highlight w:val="white"/>
        </w:rPr>
        <w:t>Available at</w:t>
      </w:r>
      <w:r>
        <w:t>: https://doi.org/10.3389/frma.2023.1268045</w:t>
      </w:r>
    </w:p>
    <w:p>
      <w:pPr>
        <w:pStyle w:val="style0"/>
        <w:rPr/>
      </w:pPr>
      <w:r>
        <w:t>Smith, E. A., Cooper, N. J., Sutton, A. J., Abrams, K. R., and Hubbard, S. J. (2021) ‘A review of the quantitative effectiveness evidence synthesis methods used in public health intervention guidelines’, </w:t>
      </w:r>
      <w:r>
        <w:rPr>
          <w:i/>
          <w:iCs/>
        </w:rPr>
        <w:t>BMC Public Health</w:t>
      </w:r>
      <w:r>
        <w:t>, </w:t>
      </w:r>
      <w:r>
        <w:rPr>
          <w:i/>
          <w:iCs/>
        </w:rPr>
        <w:t>21</w:t>
      </w:r>
      <w:r>
        <w:t xml:space="preserve">(1), 1-25. </w:t>
      </w:r>
      <w:r>
        <w:rPr>
          <w:highlight w:val="white"/>
        </w:rPr>
        <w:t>Available at</w:t>
      </w:r>
      <w:r>
        <w:t xml:space="preserve">: </w:t>
      </w:r>
      <w:r>
        <w:rPr/>
        <w:fldChar w:fldCharType="begin"/>
      </w:r>
      <w:r>
        <w:instrText xml:space="preserve"> HYPERLINK "https://doi.org/10.1186/s12889-021-10162-8" </w:instrText>
      </w:r>
      <w:r>
        <w:rPr/>
        <w:fldChar w:fldCharType="separate"/>
      </w:r>
      <w:r>
        <w:rPr>
          <w:szCs w:val="22"/>
          <w:u w:val="single"/>
        </w:rPr>
        <w:t>https://doi.org/10.1186/s12889-021-10162-8</w:t>
      </w:r>
      <w:r>
        <w:rPr/>
        <w:fldChar w:fldCharType="end"/>
      </w:r>
    </w:p>
    <w:p>
      <w:pPr>
        <w:pStyle w:val="style0"/>
        <w:rPr/>
      </w:pPr>
      <w:r>
        <w:t xml:space="preserve">Song, N., Hugh-Jones, S., West, R. M., Pickavance, J., and Mir, G. (2023). ‘The effectiveness of anti-stigma interventions for reducing mental health stigma in young people: A systematic review and meta-analysis’, </w:t>
      </w:r>
      <w:r>
        <w:rPr>
          <w:i/>
          <w:iCs/>
        </w:rPr>
        <w:t>Cambridge Prisms: Global Mental Health,</w:t>
      </w:r>
      <w:r>
        <w:t xml:space="preserve"> 10, 1-16.</w:t>
      </w:r>
    </w:p>
    <w:p>
      <w:pPr>
        <w:pStyle w:val="style0"/>
        <w:rPr/>
      </w:pPr>
      <w:r>
        <w:t xml:space="preserve">Stafford, J., Chung, W. T., </w:t>
      </w:r>
      <w:r>
        <w:t>Sommerlad</w:t>
      </w:r>
      <w:r>
        <w:t>, A., Kirkbride, J. B., and Howard, R. (2022). Psychiatric disorders and risk of subsequent dementia: systematic review and meta</w:t>
      </w:r>
      <w:r>
        <w:rPr>
          <w:rFonts w:ascii="Cambria Math" w:cs="Cambria Math" w:hAnsi="Cambria Math"/>
        </w:rPr>
        <w:t>‐</w:t>
      </w:r>
      <w:r>
        <w:t>analysis of longitudinal studies. </w:t>
      </w:r>
      <w:r>
        <w:rPr>
          <w:i/>
          <w:iCs/>
        </w:rPr>
        <w:t>International Journal of Geriatric Psychiatry</w:t>
      </w:r>
      <w:r>
        <w:t>, </w:t>
      </w:r>
      <w:r>
        <w:rPr>
          <w:i/>
          <w:iCs/>
        </w:rPr>
        <w:t>37</w:t>
      </w:r>
      <w:r>
        <w:t>(5).</w:t>
      </w:r>
    </w:p>
    <w:p>
      <w:pPr>
        <w:pStyle w:val="style0"/>
        <w:rPr/>
      </w:pPr>
      <w:r>
        <w:t xml:space="preserve">Stuart, R., Shah, P., Olive, R.R., Trevillion, K. and Henderson, C., (2023) ‘Experiences of Every Mind Matters, Public Health England’s adult mental health literacy campaign: a qualitative interview study’, BMC Public Health, 23(1), p.398. Available at: </w:t>
      </w:r>
      <w:r>
        <w:rPr/>
        <w:fldChar w:fldCharType="begin"/>
      </w:r>
      <w:r>
        <w:instrText xml:space="preserve"> HYPERLINK "https://doi.org/10.1186/s12889-023-15280-z" </w:instrText>
      </w:r>
      <w:r>
        <w:rPr/>
        <w:fldChar w:fldCharType="separate"/>
      </w:r>
      <w:r>
        <w:rPr>
          <w:u w:val="single"/>
        </w:rPr>
        <w:t>https://doi.org/10.1186/s12889-023-15280-z</w:t>
      </w:r>
      <w:r>
        <w:rPr/>
        <w:fldChar w:fldCharType="end"/>
      </w:r>
    </w:p>
    <w:p>
      <w:pPr>
        <w:pStyle w:val="style0"/>
        <w:rPr/>
      </w:pPr>
      <w:r>
        <w:t xml:space="preserve">Sun, J., Yin, X., Li, C., Liu, W., and Sun, H. (2022). ‘Stigma and peer-led interventions: a systematic review and meta-analysis’, </w:t>
      </w:r>
      <w:r>
        <w:rPr>
          <w:i/>
          <w:iCs/>
        </w:rPr>
        <w:t>Frontiers in psychiatry,</w:t>
      </w:r>
      <w:r>
        <w:t xml:space="preserve"> 13, pp.1-12.</w:t>
      </w:r>
    </w:p>
    <w:p>
      <w:pPr>
        <w:pStyle w:val="style0"/>
        <w:rPr>
          <w:highlight w:val="white"/>
        </w:rPr>
      </w:pPr>
      <w:r>
        <w:rPr>
          <w:highlight w:val="white"/>
        </w:rPr>
        <w:t>Taherdoost</w:t>
      </w:r>
      <w:r>
        <w:rPr>
          <w:highlight w:val="white"/>
        </w:rPr>
        <w:t>, H. (2021) ‘Data collection methods and tools for research; a step-by-step guide to choose data collection technique for academic and business research projects’, </w:t>
      </w:r>
      <w:r>
        <w:rPr>
          <w:i/>
          <w:iCs/>
          <w:highlight w:val="white"/>
        </w:rPr>
        <w:t>International Journal of Academic Research in Management (IJARM)</w:t>
      </w:r>
      <w:r>
        <w:rPr>
          <w:highlight w:val="white"/>
        </w:rPr>
        <w:t>, </w:t>
      </w:r>
      <w:r>
        <w:rPr>
          <w:i/>
          <w:iCs/>
          <w:highlight w:val="white"/>
        </w:rPr>
        <w:t>10</w:t>
      </w:r>
      <w:r>
        <w:rPr>
          <w:highlight w:val="white"/>
        </w:rPr>
        <w:t xml:space="preserve">(1), 10-38. </w:t>
      </w:r>
      <w:r>
        <w:rPr/>
        <w:fldChar w:fldCharType="begin"/>
      </w:r>
      <w:r>
        <w:instrText xml:space="preserve"> HYPERLINK "https://hal.science/hal-03741847v1/file/Data%20Collection%20Methods%20and%20Tools%20for%20Research%20.pdf" </w:instrText>
      </w:r>
      <w:r>
        <w:rPr/>
        <w:fldChar w:fldCharType="separate"/>
      </w:r>
      <w:r>
        <w:rPr>
          <w:highlight w:val="white"/>
          <w:u w:val="single"/>
        </w:rPr>
        <w:t>https://hal.science/hal-03741847v1/file/Data%20Collection%20Methods%20and%20Tools%20for%20Research%20.pdf</w:t>
      </w:r>
      <w:r>
        <w:rPr/>
        <w:fldChar w:fldCharType="end"/>
      </w:r>
    </w:p>
    <w:p>
      <w:pPr>
        <w:pStyle w:val="style0"/>
        <w:rPr/>
      </w:pPr>
      <w:r>
        <w:t xml:space="preserve">Tam, M. T., Wu, J. M., Zhang, C. C., Pawliuk, C., and Robillard, J. M. (2024). ‘A systematic review of the impacts of media mental health awareness campaigns on young people’, </w:t>
      </w:r>
      <w:r>
        <w:rPr>
          <w:i/>
          <w:iCs/>
        </w:rPr>
        <w:t>Health promotion practice</w:t>
      </w:r>
      <w:r>
        <w:t>, 25(5), pp.907-920.</w:t>
      </w:r>
    </w:p>
    <w:p>
      <w:pPr>
        <w:pStyle w:val="style0"/>
        <w:rPr>
          <w:highlight w:val="white"/>
        </w:rPr>
      </w:pPr>
      <w:r>
        <w:rPr>
          <w:highlight w:val="white"/>
        </w:rPr>
        <w:t>Terry, G., Hayfield, N., Clarke, V., and Braun, V. (2017) ‘Thematic analysis’, </w:t>
      </w:r>
      <w:r>
        <w:rPr>
          <w:i/>
          <w:iCs/>
          <w:highlight w:val="white"/>
        </w:rPr>
        <w:t>The SAGE handbook of qualitative research in psychology</w:t>
      </w:r>
      <w:r>
        <w:rPr>
          <w:highlight w:val="white"/>
        </w:rPr>
        <w:t>, </w:t>
      </w:r>
      <w:r>
        <w:rPr>
          <w:i/>
          <w:iCs/>
          <w:highlight w:val="white"/>
        </w:rPr>
        <w:t>2</w:t>
      </w:r>
      <w:r>
        <w:rPr>
          <w:highlight w:val="white"/>
        </w:rPr>
        <w:t xml:space="preserve">(17-37), 25. </w:t>
      </w:r>
      <w:r>
        <w:rPr/>
        <w:fldChar w:fldCharType="begin"/>
      </w:r>
      <w:r>
        <w:instrText xml:space="preserve"> HYPERLINK "https://doi.org/10.4135/9781526405555.n2" </w:instrText>
      </w:r>
      <w:r>
        <w:rPr/>
        <w:fldChar w:fldCharType="separate"/>
      </w:r>
      <w:r>
        <w:rPr>
          <w:highlight w:val="white"/>
          <w:u w:val="single"/>
        </w:rPr>
        <w:t>https://doi.org/10.4135/9781526405555.n2</w:t>
      </w:r>
      <w:r>
        <w:rPr/>
        <w:fldChar w:fldCharType="end"/>
      </w:r>
    </w:p>
    <w:p>
      <w:pPr>
        <w:pStyle w:val="style0"/>
        <w:rPr/>
      </w:pPr>
      <w:r>
        <w:t xml:space="preserve">Theodosopoulos, L., </w:t>
      </w:r>
      <w:r>
        <w:t>Fradelos</w:t>
      </w:r>
      <w:r>
        <w:t xml:space="preserve">, E. C., Panagiotou, A., </w:t>
      </w:r>
      <w:r>
        <w:t>Dreliozi</w:t>
      </w:r>
      <w:r>
        <w:t>, A., and Tzavella, F. (2024). Delivering culturally competent care to migrants by healthcare personnel: A crucial aspect of delivering culturally sensitive care. </w:t>
      </w:r>
      <w:r>
        <w:rPr>
          <w:i/>
          <w:iCs/>
        </w:rPr>
        <w:t>Social Sciences</w:t>
      </w:r>
      <w:r>
        <w:t>, </w:t>
      </w:r>
      <w:r>
        <w:rPr>
          <w:i/>
          <w:iCs/>
        </w:rPr>
        <w:t>13</w:t>
      </w:r>
      <w:r>
        <w:t>(10), 530.</w:t>
      </w:r>
    </w:p>
    <w:p>
      <w:pPr>
        <w:pStyle w:val="style0"/>
        <w:rPr/>
      </w:pPr>
      <w:r>
        <w:t xml:space="preserve">Tod, D., Booth, A. and Smith, B. (2021) ‘Critical Appraisal’, </w:t>
      </w:r>
      <w:r>
        <w:rPr>
          <w:i/>
          <w:iCs/>
        </w:rPr>
        <w:t>International Review of Sport and Exercise Psychology,</w:t>
      </w:r>
      <w:r>
        <w:t xml:space="preserve"> 15(1), pp. 52–72. </w:t>
      </w:r>
    </w:p>
    <w:p>
      <w:pPr>
        <w:pStyle w:val="style0"/>
        <w:rPr>
          <w:highlight w:val="white"/>
        </w:rPr>
      </w:pPr>
      <w:r>
        <w:rPr>
          <w:highlight w:val="white"/>
        </w:rPr>
        <w:t>Tricco</w:t>
      </w:r>
      <w:r>
        <w:rPr>
          <w:highlight w:val="white"/>
        </w:rPr>
        <w:t xml:space="preserve">, A. C., Lillie, E., Zarin, W., </w:t>
      </w:r>
      <w:r>
        <w:rPr>
          <w:highlight w:val="white"/>
        </w:rPr>
        <w:t>O’brien</w:t>
      </w:r>
      <w:r>
        <w:rPr>
          <w:highlight w:val="white"/>
        </w:rPr>
        <w:t>, K., Colquhoun, H., Kastner, M., ... and Straus, S. E. (2016) ‘A scoping review on the conduct and reporting of scoping reviews’, </w:t>
      </w:r>
      <w:r>
        <w:rPr>
          <w:i/>
          <w:iCs/>
          <w:highlight w:val="white"/>
        </w:rPr>
        <w:t>BMC medical research methodology</w:t>
      </w:r>
      <w:r>
        <w:rPr>
          <w:highlight w:val="white"/>
        </w:rPr>
        <w:t>, </w:t>
      </w:r>
      <w:r>
        <w:rPr>
          <w:i/>
          <w:iCs/>
          <w:highlight w:val="white"/>
        </w:rPr>
        <w:t>16</w:t>
      </w:r>
      <w:r>
        <w:rPr>
          <w:highlight w:val="white"/>
        </w:rPr>
        <w:t xml:space="preserve">(1), 1-10. </w:t>
      </w:r>
      <w:r>
        <w:rPr/>
        <w:fldChar w:fldCharType="begin"/>
      </w:r>
      <w:r>
        <w:instrText xml:space="preserve"> HYPERLINK "https://link.springer.com/content/pdf/10.1186/s12874-016-0116-4.pdf" </w:instrText>
      </w:r>
      <w:r>
        <w:rPr/>
        <w:fldChar w:fldCharType="separate"/>
      </w:r>
      <w:r>
        <w:rPr>
          <w:highlight w:val="white"/>
          <w:u w:val="single"/>
        </w:rPr>
        <w:t>https://link.springer.com/content/pdf/10.1186/s12874-016-0116-4.pdf</w:t>
      </w:r>
      <w:r>
        <w:rPr/>
        <w:fldChar w:fldCharType="end"/>
      </w:r>
    </w:p>
    <w:p>
      <w:pPr>
        <w:pStyle w:val="style0"/>
        <w:rPr/>
      </w:pPr>
      <w:r>
        <w:t>Trilles</w:t>
      </w:r>
      <w:r>
        <w:t xml:space="preserve">, S., Sahibzada Saadoon Hammad and </w:t>
      </w:r>
      <w:r>
        <w:t>DitsuhiIskandaryan</w:t>
      </w:r>
      <w:r>
        <w:t xml:space="preserve"> (2024) ‘Anomaly detection based on Artificial Intelligence of Things: A Systematic Literature Mapping’, </w:t>
      </w:r>
      <w:r>
        <w:rPr>
          <w:i/>
          <w:iCs/>
        </w:rPr>
        <w:t>Internet of Things</w:t>
      </w:r>
      <w:r>
        <w:t>, 25, pp. 1-20. Available at: https://doi.org/10.1016/j.iot.2024.101063.</w:t>
      </w:r>
    </w:p>
    <w:p>
      <w:pPr>
        <w:pStyle w:val="style0"/>
        <w:rPr>
          <w:highlight w:val="white"/>
        </w:rPr>
      </w:pPr>
      <w:r>
        <w:rPr>
          <w:highlight w:val="white"/>
        </w:rPr>
        <w:t>Tuaf</w:t>
      </w:r>
      <w:r>
        <w:rPr>
          <w:highlight w:val="white"/>
        </w:rPr>
        <w:t xml:space="preserve">, H., and </w:t>
      </w:r>
      <w:r>
        <w:rPr>
          <w:highlight w:val="white"/>
        </w:rPr>
        <w:t>Orkibi</w:t>
      </w:r>
      <w:r>
        <w:rPr>
          <w:highlight w:val="white"/>
        </w:rPr>
        <w:t>, H. (2023). Community-based programs for youth with mental health conditions: a scoping review and practical implications. </w:t>
      </w:r>
      <w:r>
        <w:rPr>
          <w:i/>
          <w:iCs/>
          <w:highlight w:val="white"/>
        </w:rPr>
        <w:t>Frontiers in Public Health</w:t>
      </w:r>
      <w:r>
        <w:rPr>
          <w:highlight w:val="white"/>
        </w:rPr>
        <w:t>, </w:t>
      </w:r>
      <w:r>
        <w:rPr>
          <w:i/>
          <w:iCs/>
          <w:highlight w:val="white"/>
        </w:rPr>
        <w:t>11</w:t>
      </w:r>
      <w:r>
        <w:rPr>
          <w:highlight w:val="white"/>
        </w:rPr>
        <w:t>, pp. 1-12.</w:t>
      </w:r>
    </w:p>
    <w:p>
      <w:pPr>
        <w:pStyle w:val="style0"/>
        <w:rPr/>
      </w:pPr>
      <w:r>
        <w:t xml:space="preserve">UK Parliament (2015) </w:t>
      </w:r>
      <w:r>
        <w:rPr>
          <w:i/>
          <w:iCs/>
        </w:rPr>
        <w:t>Mental health stigma</w:t>
      </w:r>
      <w:r>
        <w:t xml:space="preserve">, </w:t>
      </w:r>
      <w:r>
        <w:rPr>
          <w:i/>
          <w:iCs/>
        </w:rPr>
        <w:t>UK Parliament</w:t>
      </w:r>
      <w:r>
        <w:t>. Available at: https://www.parliament.uk/business/publications/research/key-issues-parliament-2015/social-change/mental-health-stigma/ (Accessed: 20 March 2026).</w:t>
      </w:r>
    </w:p>
    <w:p>
      <w:pPr>
        <w:pStyle w:val="style0"/>
        <w:rPr>
          <w:highlight w:val="white"/>
        </w:rPr>
      </w:pPr>
      <w:r>
        <w:rPr>
          <w:highlight w:val="white"/>
        </w:rPr>
        <w:t xml:space="preserve">Van Dinter, R., </w:t>
      </w:r>
      <w:r>
        <w:rPr>
          <w:highlight w:val="white"/>
        </w:rPr>
        <w:t>Tekinerdogan</w:t>
      </w:r>
      <w:r>
        <w:rPr>
          <w:highlight w:val="white"/>
        </w:rPr>
        <w:t xml:space="preserve">, B., and </w:t>
      </w:r>
      <w:r>
        <w:rPr>
          <w:highlight w:val="white"/>
        </w:rPr>
        <w:t>Catal</w:t>
      </w:r>
      <w:r>
        <w:rPr>
          <w:highlight w:val="white"/>
        </w:rPr>
        <w:t>, C. (2021) ‘Automation of systematic literature reviews: A systematic literature review’, </w:t>
      </w:r>
      <w:r>
        <w:rPr>
          <w:i/>
          <w:iCs/>
          <w:highlight w:val="white"/>
        </w:rPr>
        <w:t>Information and Software Technology</w:t>
      </w:r>
      <w:r>
        <w:rPr>
          <w:highlight w:val="white"/>
        </w:rPr>
        <w:t>, </w:t>
      </w:r>
      <w:r>
        <w:rPr>
          <w:i/>
          <w:iCs/>
          <w:highlight w:val="white"/>
        </w:rPr>
        <w:t>136</w:t>
      </w:r>
      <w:r>
        <w:rPr>
          <w:highlight w:val="white"/>
        </w:rPr>
        <w:t>, 1-16. Available at</w:t>
      </w:r>
      <w:r>
        <w:t xml:space="preserve">: </w:t>
      </w:r>
      <w:r>
        <w:rPr/>
        <w:fldChar w:fldCharType="begin"/>
      </w:r>
      <w:r>
        <w:instrText xml:space="preserve"> HYPERLINK "https://doi.org/10.1016/j.infsof.2021.106589" </w:instrText>
      </w:r>
      <w:r>
        <w:rPr/>
        <w:fldChar w:fldCharType="separate"/>
      </w:r>
      <w:r>
        <w:rPr>
          <w:rFonts w:eastAsia="Calibri"/>
          <w:highlight w:val="white"/>
          <w:u w:val="single"/>
        </w:rPr>
        <w:t>https://doi.org/10.1016/j.infsof.2021.106589</w:t>
      </w:r>
      <w:r>
        <w:rPr/>
        <w:fldChar w:fldCharType="end"/>
      </w:r>
    </w:p>
    <w:p>
      <w:pPr>
        <w:pStyle w:val="style0"/>
        <w:rPr/>
      </w:pPr>
      <w:r>
        <w:t>Vella-Brodrick, D., Patrick, K., Jacques-Hamilton, R., Ng, A., Chin, T. C., O’Connor, M., ... and Hattie, J. (2023). Youth experiences of co-designing a well-being intervention: reflections, learnings and recommendations. </w:t>
      </w:r>
      <w:r>
        <w:rPr>
          <w:i/>
          <w:iCs/>
        </w:rPr>
        <w:t>Oxford Review of Education</w:t>
      </w:r>
      <w:r>
        <w:t>, </w:t>
      </w:r>
      <w:r>
        <w:rPr>
          <w:i/>
          <w:iCs/>
        </w:rPr>
        <w:t>49</w:t>
      </w:r>
      <w:r>
        <w:t>(6), 838-857.</w:t>
      </w:r>
    </w:p>
    <w:p>
      <w:pPr>
        <w:pStyle w:val="style0"/>
        <w:rPr/>
      </w:pPr>
      <w:r>
        <w:t xml:space="preserve">Walsh, D. and Foster, J., (2022) ‘Charting an alternative course for mental health-related anti-stigma social and behaviour change programmes’, International Journal of Environmental Research and Public Health, 19(17), p.10618. Available at: </w:t>
      </w:r>
      <w:r>
        <w:rPr/>
        <w:fldChar w:fldCharType="begin"/>
      </w:r>
      <w:r>
        <w:instrText xml:space="preserve"> HYPERLINK "https://doi.org/10.3390/ijerph191710618" </w:instrText>
      </w:r>
      <w:r>
        <w:rPr/>
        <w:fldChar w:fldCharType="separate"/>
      </w:r>
      <w:r>
        <w:rPr>
          <w:u w:val="single"/>
        </w:rPr>
        <w:t>https://doi.org/10.3390/ijerph191710618</w:t>
      </w:r>
      <w:r>
        <w:rPr/>
        <w:fldChar w:fldCharType="end"/>
      </w:r>
    </w:p>
    <w:p>
      <w:pPr>
        <w:pStyle w:val="style0"/>
        <w:rPr/>
      </w:pPr>
      <w:r>
        <w:t>Wanniarachchi, V. U., Greenhalgh, C., and Warren, J. (2025) ‘Adolescents' and youths' perceived barriers and facilitators to engaging with digital mental health interventions for depression and anxiety: A scoping review’, </w:t>
      </w:r>
      <w:r>
        <w:rPr>
          <w:i/>
          <w:iCs/>
        </w:rPr>
        <w:t>Internet Interventions</w:t>
      </w:r>
      <w:r>
        <w:t>, </w:t>
      </w:r>
      <w:r>
        <w:rPr>
          <w:i/>
          <w:iCs/>
        </w:rPr>
        <w:t>42</w:t>
      </w:r>
      <w:r>
        <w:t>, pp.1-13.</w:t>
      </w:r>
    </w:p>
    <w:p>
      <w:pPr>
        <w:pStyle w:val="style0"/>
        <w:rPr/>
      </w:pPr>
      <w:r>
        <w:t xml:space="preserve">World Health Organisation (2025) </w:t>
      </w:r>
      <w:r>
        <w:rPr>
          <w:i/>
          <w:iCs/>
        </w:rPr>
        <w:t xml:space="preserve">Mental </w:t>
      </w:r>
      <w:r>
        <w:rPr>
          <w:i/>
          <w:iCs/>
        </w:rPr>
        <w:t>health</w:t>
      </w:r>
      <w:r>
        <w:t>.Available</w:t>
      </w:r>
      <w:r>
        <w:t xml:space="preserve"> at:  https://www.who.int/news-room/fact-sheets/detail/mental-health-strengthening-our-response (Accessed: March 20, 2026).</w:t>
      </w:r>
    </w:p>
    <w:p>
      <w:pPr>
        <w:pStyle w:val="style0"/>
        <w:rPr/>
      </w:pPr>
      <w:r>
        <w:rPr>
          <w:highlight w:val="white"/>
        </w:rPr>
        <w:t>Wright, K., Golder, S., and Lewis-Light, K. (2015) ‘What value is the CINAHL database when searching for systematic reviews of qualitative studies?’, </w:t>
      </w:r>
      <w:r>
        <w:rPr>
          <w:i/>
          <w:iCs/>
          <w:highlight w:val="white"/>
        </w:rPr>
        <w:t>Systematic reviews</w:t>
      </w:r>
      <w:r>
        <w:rPr>
          <w:highlight w:val="white"/>
        </w:rPr>
        <w:t>, </w:t>
      </w:r>
      <w:r>
        <w:rPr>
          <w:i/>
          <w:iCs/>
          <w:highlight w:val="white"/>
        </w:rPr>
        <w:t>4</w:t>
      </w:r>
      <w:r>
        <w:rPr>
          <w:highlight w:val="white"/>
        </w:rPr>
        <w:t>(1), 1-8. Available at</w:t>
      </w:r>
      <w:r>
        <w:t xml:space="preserve">: </w:t>
      </w:r>
      <w:r>
        <w:rPr/>
        <w:fldChar w:fldCharType="begin"/>
      </w:r>
      <w:r>
        <w:instrText xml:space="preserve"> HYPERLINK "https://link.springer.com/content/pdf/10.1186/s13643-015-0069-4.pdf" </w:instrText>
      </w:r>
      <w:r>
        <w:rPr/>
        <w:fldChar w:fldCharType="separate"/>
      </w:r>
      <w:r>
        <w:rPr>
          <w:rFonts w:eastAsia="Calibri"/>
          <w:highlight w:val="white"/>
          <w:u w:val="single"/>
        </w:rPr>
        <w:t>https://link.springer.com/content/pdf/10.1186/s13643-015-0069-4.pdf</w:t>
      </w:r>
      <w:r>
        <w:rPr/>
        <w:fldChar w:fldCharType="end"/>
      </w:r>
    </w:p>
    <w:p>
      <w:pPr>
        <w:pStyle w:val="style0"/>
        <w:rPr/>
      </w:pPr>
      <w:r>
        <w:t xml:space="preserve">Young Minds (2022). </w:t>
      </w:r>
      <w:r>
        <w:rPr>
          <w:i/>
          <w:iCs/>
        </w:rPr>
        <w:t>Over a third of young people face discrimination</w:t>
      </w:r>
      <w:r>
        <w:t xml:space="preserve">, </w:t>
      </w:r>
      <w:r>
        <w:rPr>
          <w:i/>
          <w:iCs/>
        </w:rPr>
        <w:t>YoungMinds</w:t>
      </w:r>
      <w:r>
        <w:t>. Available at: https://www.youngminds.org.uk/about-us/media-centre/press-releases/over-a-third-of-young-people-experience-stigma-and-discrimination-when-seeking-mental-health-support/ (Accessed: 20 March 2026).</w:t>
      </w:r>
    </w:p>
    <w:p>
      <w:pPr>
        <w:pStyle w:val="style0"/>
        <w:rPr/>
      </w:pPr>
    </w:p>
    <w:bookmarkStart w:id="79" w:name="_heading=h.36zany5jw88y" w:colFirst="0" w:colLast="0"/>
    <w:bookmarkEnd w:id="79"/>
    <w:p>
      <w:pPr>
        <w:pStyle w:val="style0"/>
        <w:spacing w:lineRule="auto" w:line="259"/>
        <w:jc w:val="left"/>
        <w:rPr>
          <w:b/>
          <w:bCs/>
          <w:sz w:val="28"/>
          <w:szCs w:val="28"/>
        </w:rPr>
      </w:pPr>
    </w:p>
    <w:p>
      <w:pPr>
        <w:pStyle w:val="style0"/>
        <w:spacing w:lineRule="auto" w:line="259"/>
        <w:jc w:val="left"/>
        <w:rPr>
          <w:b/>
          <w:bCs/>
          <w:sz w:val="28"/>
          <w:szCs w:val="28"/>
        </w:rPr>
      </w:pPr>
      <w:r>
        <w:br w:type="page"/>
      </w:r>
    </w:p>
    <w:bookmarkStart w:id="80" w:name="_Toc11815"/>
    <w:p>
      <w:pPr>
        <w:pStyle w:val="style1"/>
        <w:spacing w:lineRule="auto" w:line="480"/>
        <w:rPr/>
      </w:pPr>
      <w:r>
        <w:t>Appendices</w:t>
      </w:r>
      <w:bookmarkEnd w:id="80"/>
    </w:p>
    <w:bookmarkStart w:id="81" w:name="_Toc14638"/>
    <w:p>
      <w:pPr>
        <w:pStyle w:val="style2"/>
        <w:spacing w:lineRule="auto" w:line="480"/>
        <w:rPr/>
      </w:pPr>
      <w:r>
        <w:t>Appendix 1: CASP Checklist</w:t>
      </w:r>
      <w:bookmarkEnd w:id="81"/>
    </w:p>
    <w:tbl>
      <w:tblPr>
        <w:tblStyle w:val="style4103"/>
        <w:tblW w:w="9242"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197"/>
        <w:gridCol w:w="711"/>
        <w:gridCol w:w="731"/>
        <w:gridCol w:w="863"/>
        <w:gridCol w:w="749"/>
        <w:gridCol w:w="711"/>
        <w:gridCol w:w="864"/>
        <w:gridCol w:w="844"/>
        <w:gridCol w:w="978"/>
        <w:gridCol w:w="740"/>
        <w:gridCol w:w="854"/>
      </w:tblGrid>
      <w:tr>
        <w:trPr>
          <w:jc w:val="center"/>
        </w:trPr>
        <w:tc>
          <w:tcPr>
            <w:tcW w:w="1197" w:type="dxa"/>
            <w:tcBorders/>
          </w:tcPr>
          <w:p>
            <w:pPr>
              <w:pStyle w:val="style0"/>
              <w:spacing w:after="0" w:lineRule="auto" w:line="240"/>
              <w:jc w:val="center"/>
              <w:rPr>
                <w:b/>
                <w:bCs/>
              </w:rPr>
            </w:pPr>
            <w:r>
              <w:rPr>
                <w:b/>
                <w:bCs/>
              </w:rPr>
              <w:t>CASP Questions</w:t>
            </w:r>
          </w:p>
        </w:tc>
        <w:tc>
          <w:tcPr>
            <w:tcW w:w="711" w:type="dxa"/>
            <w:tcBorders/>
          </w:tcPr>
          <w:p>
            <w:pPr>
              <w:pStyle w:val="style0"/>
              <w:spacing w:after="0" w:lineRule="auto" w:line="240"/>
              <w:jc w:val="center"/>
              <w:rPr>
                <w:b/>
                <w:bCs/>
              </w:rPr>
            </w:pPr>
            <w:r>
              <w:rPr>
                <w:b/>
                <w:bCs/>
              </w:rPr>
              <w:t>Lee &amp; Wong (2024)</w:t>
            </w:r>
          </w:p>
        </w:tc>
        <w:tc>
          <w:tcPr>
            <w:tcW w:w="731" w:type="dxa"/>
            <w:tcBorders/>
          </w:tcPr>
          <w:p>
            <w:pPr>
              <w:pStyle w:val="style0"/>
              <w:spacing w:after="0" w:lineRule="auto" w:line="240"/>
              <w:jc w:val="center"/>
              <w:rPr>
                <w:b/>
                <w:bCs/>
              </w:rPr>
            </w:pPr>
            <w:r>
              <w:rPr>
                <w:b/>
                <w:bCs/>
              </w:rPr>
              <w:t>Ansell et al. (2024)</w:t>
            </w:r>
          </w:p>
        </w:tc>
        <w:tc>
          <w:tcPr>
            <w:tcW w:w="863" w:type="dxa"/>
            <w:tcBorders/>
          </w:tcPr>
          <w:p>
            <w:pPr>
              <w:pStyle w:val="style0"/>
              <w:spacing w:after="0" w:lineRule="auto" w:line="240"/>
              <w:jc w:val="center"/>
              <w:rPr>
                <w:b/>
                <w:bCs/>
              </w:rPr>
            </w:pPr>
            <w:r>
              <w:rPr>
                <w:b/>
                <w:bCs/>
              </w:rPr>
              <w:t>Huggett et al. (2018)</w:t>
            </w:r>
          </w:p>
        </w:tc>
        <w:tc>
          <w:tcPr>
            <w:tcW w:w="749" w:type="dxa"/>
            <w:tcBorders/>
          </w:tcPr>
          <w:p>
            <w:pPr>
              <w:pStyle w:val="style0"/>
              <w:spacing w:after="0" w:lineRule="auto" w:line="240"/>
              <w:jc w:val="center"/>
              <w:rPr>
                <w:b/>
                <w:bCs/>
              </w:rPr>
            </w:pPr>
            <w:r>
              <w:rPr>
                <w:b/>
                <w:bCs/>
              </w:rPr>
              <w:t>Birken et al. (2023)</w:t>
            </w:r>
          </w:p>
        </w:tc>
        <w:tc>
          <w:tcPr>
            <w:tcW w:w="711" w:type="dxa"/>
            <w:tcBorders/>
          </w:tcPr>
          <w:p>
            <w:pPr>
              <w:pStyle w:val="style0"/>
              <w:spacing w:after="0" w:lineRule="auto" w:line="240"/>
              <w:jc w:val="center"/>
              <w:rPr>
                <w:b/>
                <w:bCs/>
              </w:rPr>
            </w:pPr>
            <w:r>
              <w:rPr>
                <w:b/>
                <w:bCs/>
              </w:rPr>
              <w:t>Stuart et al. (2023)</w:t>
            </w:r>
          </w:p>
        </w:tc>
        <w:tc>
          <w:tcPr>
            <w:tcW w:w="864" w:type="dxa"/>
            <w:tcBorders/>
          </w:tcPr>
          <w:p>
            <w:pPr>
              <w:pStyle w:val="style0"/>
              <w:spacing w:after="0" w:lineRule="auto" w:line="240"/>
              <w:jc w:val="center"/>
              <w:rPr>
                <w:b/>
                <w:bCs/>
              </w:rPr>
            </w:pPr>
            <w:r>
              <w:rPr>
                <w:b/>
                <w:bCs/>
              </w:rPr>
              <w:t>Finan&amp; Foulkes (2025)</w:t>
            </w:r>
          </w:p>
        </w:tc>
        <w:tc>
          <w:tcPr>
            <w:tcW w:w="844" w:type="dxa"/>
            <w:tcBorders/>
          </w:tcPr>
          <w:p>
            <w:pPr>
              <w:pStyle w:val="style0"/>
              <w:spacing w:after="0" w:lineRule="auto" w:line="240"/>
              <w:jc w:val="center"/>
              <w:rPr>
                <w:b/>
                <w:bCs/>
              </w:rPr>
            </w:pPr>
            <w:r>
              <w:rPr>
                <w:b/>
                <w:bCs/>
              </w:rPr>
              <w:t>Laidlaw et al. (2024)</w:t>
            </w:r>
          </w:p>
        </w:tc>
        <w:tc>
          <w:tcPr>
            <w:tcW w:w="978" w:type="dxa"/>
            <w:tcBorders/>
          </w:tcPr>
          <w:p>
            <w:pPr>
              <w:pStyle w:val="style0"/>
              <w:spacing w:after="0" w:lineRule="auto" w:line="240"/>
              <w:jc w:val="center"/>
              <w:rPr>
                <w:b/>
                <w:bCs/>
              </w:rPr>
            </w:pPr>
            <w:r>
              <w:rPr>
                <w:b/>
                <w:bCs/>
              </w:rPr>
              <w:t>Prizeman et al. (2024)</w:t>
            </w:r>
          </w:p>
        </w:tc>
        <w:tc>
          <w:tcPr>
            <w:tcW w:w="740" w:type="dxa"/>
            <w:tcBorders/>
          </w:tcPr>
          <w:p>
            <w:pPr>
              <w:pStyle w:val="style0"/>
              <w:spacing w:after="0" w:lineRule="auto" w:line="240"/>
              <w:jc w:val="center"/>
              <w:rPr>
                <w:b/>
                <w:bCs/>
              </w:rPr>
            </w:pPr>
            <w:r>
              <w:rPr>
                <w:b/>
                <w:bCs/>
              </w:rPr>
              <w:t>Walsh &amp; Foster (2022)</w:t>
            </w:r>
          </w:p>
        </w:tc>
        <w:tc>
          <w:tcPr>
            <w:tcW w:w="854" w:type="dxa"/>
            <w:tcBorders/>
          </w:tcPr>
          <w:p>
            <w:pPr>
              <w:pStyle w:val="style0"/>
              <w:spacing w:after="0" w:lineRule="auto" w:line="240"/>
              <w:jc w:val="center"/>
              <w:rPr>
                <w:b/>
                <w:bCs/>
              </w:rPr>
            </w:pPr>
            <w:r>
              <w:rPr>
                <w:b/>
                <w:bCs/>
              </w:rPr>
              <w:t>Holding et al. (2022)</w:t>
            </w:r>
          </w:p>
        </w:tc>
      </w:tr>
      <w:tr>
        <w:tblPrEx/>
        <w:trPr>
          <w:jc w:val="center"/>
        </w:trPr>
        <w:tc>
          <w:tcPr>
            <w:tcW w:w="1197" w:type="dxa"/>
            <w:tcBorders/>
          </w:tcPr>
          <w:p>
            <w:pPr>
              <w:pStyle w:val="style0"/>
              <w:spacing w:after="0" w:lineRule="auto" w:line="240"/>
              <w:jc w:val="center"/>
              <w:rPr/>
            </w:pPr>
            <w:r>
              <w:t>1. Clear statement of aims</w:t>
            </w:r>
          </w:p>
        </w:tc>
        <w:tc>
          <w:tcPr>
            <w:tcW w:w="711" w:type="dxa"/>
            <w:tcBorders/>
          </w:tcPr>
          <w:p>
            <w:pPr>
              <w:pStyle w:val="style0"/>
              <w:spacing w:after="0" w:lineRule="auto" w:line="240"/>
              <w:jc w:val="center"/>
              <w:rPr/>
            </w:pPr>
            <w:r>
              <w:rPr>
                <w:rFonts w:eastAsia="Arial Unicode MS" w:hAnsi="Arial Unicode MS"/>
              </w:rPr>
              <w:t>✔</w:t>
            </w:r>
          </w:p>
        </w:tc>
        <w:tc>
          <w:tcPr>
            <w:tcW w:w="731" w:type="dxa"/>
            <w:tcBorders/>
          </w:tcPr>
          <w:p>
            <w:pPr>
              <w:pStyle w:val="style0"/>
              <w:spacing w:after="0" w:lineRule="auto" w:line="240"/>
              <w:jc w:val="center"/>
              <w:rPr/>
            </w:pPr>
            <w:r>
              <w:rPr>
                <w:rFonts w:eastAsia="Arial Unicode MS" w:hAnsi="Arial Unicode MS"/>
              </w:rPr>
              <w:t>✔</w:t>
            </w:r>
          </w:p>
        </w:tc>
        <w:tc>
          <w:tcPr>
            <w:tcW w:w="863" w:type="dxa"/>
            <w:tcBorders/>
          </w:tcPr>
          <w:p>
            <w:pPr>
              <w:pStyle w:val="style0"/>
              <w:spacing w:after="0" w:lineRule="auto" w:line="240"/>
              <w:jc w:val="center"/>
              <w:rPr/>
            </w:pPr>
            <w:r>
              <w:rPr>
                <w:rFonts w:eastAsia="Arial Unicode MS" w:hAnsi="Arial Unicode MS"/>
              </w:rPr>
              <w:t>✔</w:t>
            </w:r>
          </w:p>
        </w:tc>
        <w:tc>
          <w:tcPr>
            <w:tcW w:w="749" w:type="dxa"/>
            <w:tcBorders/>
          </w:tcPr>
          <w:p>
            <w:pPr>
              <w:pStyle w:val="style0"/>
              <w:spacing w:after="0" w:lineRule="auto" w:line="240"/>
              <w:jc w:val="center"/>
              <w:rPr/>
            </w:pPr>
            <w:r>
              <w:rPr>
                <w:rFonts w:eastAsia="Arial Unicode MS" w:hAnsi="Arial Unicode MS"/>
              </w:rPr>
              <w:t>✔</w:t>
            </w:r>
          </w:p>
        </w:tc>
        <w:tc>
          <w:tcPr>
            <w:tcW w:w="711" w:type="dxa"/>
            <w:tcBorders/>
          </w:tcPr>
          <w:p>
            <w:pPr>
              <w:pStyle w:val="style0"/>
              <w:spacing w:after="0" w:lineRule="auto" w:line="240"/>
              <w:jc w:val="center"/>
              <w:rPr/>
            </w:pPr>
            <w:r>
              <w:rPr>
                <w:rFonts w:eastAsia="Arial Unicode MS" w:hAnsi="Arial Unicode MS"/>
              </w:rPr>
              <w:t>✔</w:t>
            </w:r>
          </w:p>
        </w:tc>
        <w:tc>
          <w:tcPr>
            <w:tcW w:w="864" w:type="dxa"/>
            <w:tcBorders/>
          </w:tcPr>
          <w:p>
            <w:pPr>
              <w:pStyle w:val="style0"/>
              <w:spacing w:after="0" w:lineRule="auto" w:line="240"/>
              <w:jc w:val="center"/>
              <w:rPr/>
            </w:pPr>
            <w:r>
              <w:rPr>
                <w:rFonts w:eastAsia="Arial Unicode MS" w:hAnsi="Arial Unicode MS"/>
              </w:rPr>
              <w:t>✔</w:t>
            </w:r>
          </w:p>
        </w:tc>
        <w:tc>
          <w:tcPr>
            <w:tcW w:w="844" w:type="dxa"/>
            <w:tcBorders/>
          </w:tcPr>
          <w:p>
            <w:pPr>
              <w:pStyle w:val="style0"/>
              <w:spacing w:after="0" w:lineRule="auto" w:line="240"/>
              <w:jc w:val="center"/>
              <w:rPr/>
            </w:pPr>
            <w:r>
              <w:rPr>
                <w:rFonts w:eastAsia="Arial Unicode MS" w:hAnsi="Arial Unicode MS"/>
              </w:rPr>
              <w:t>✔</w:t>
            </w:r>
          </w:p>
        </w:tc>
        <w:tc>
          <w:tcPr>
            <w:tcW w:w="978" w:type="dxa"/>
            <w:tcBorders/>
          </w:tcPr>
          <w:p>
            <w:pPr>
              <w:pStyle w:val="style0"/>
              <w:spacing w:after="0" w:lineRule="auto" w:line="240"/>
              <w:jc w:val="center"/>
              <w:rPr/>
            </w:pPr>
            <w:r>
              <w:rPr>
                <w:rFonts w:eastAsia="Arial Unicode MS" w:hAnsi="Arial Unicode MS"/>
              </w:rPr>
              <w:t>✔</w:t>
            </w:r>
          </w:p>
        </w:tc>
        <w:tc>
          <w:tcPr>
            <w:tcW w:w="740" w:type="dxa"/>
            <w:tcBorders/>
          </w:tcPr>
          <w:p>
            <w:pPr>
              <w:pStyle w:val="style0"/>
              <w:spacing w:after="0" w:lineRule="auto" w:line="240"/>
              <w:jc w:val="center"/>
              <w:rPr/>
            </w:pPr>
            <w:r>
              <w:rPr>
                <w:rFonts w:eastAsia="Arial Unicode MS" w:hAnsi="Arial Unicode MS"/>
              </w:rPr>
              <w:t>✔</w:t>
            </w:r>
          </w:p>
        </w:tc>
        <w:tc>
          <w:tcPr>
            <w:tcW w:w="854" w:type="dxa"/>
            <w:tcBorders/>
          </w:tcPr>
          <w:p>
            <w:pPr>
              <w:pStyle w:val="style0"/>
              <w:spacing w:after="0" w:lineRule="auto" w:line="240"/>
              <w:jc w:val="center"/>
              <w:rPr/>
            </w:pPr>
            <w:r>
              <w:rPr>
                <w:rFonts w:eastAsia="Arial Unicode MS" w:hAnsi="Arial Unicode MS"/>
              </w:rPr>
              <w:t>✔</w:t>
            </w:r>
          </w:p>
        </w:tc>
      </w:tr>
      <w:tr>
        <w:tblPrEx/>
        <w:trPr>
          <w:jc w:val="center"/>
        </w:trPr>
        <w:tc>
          <w:tcPr>
            <w:tcW w:w="1197" w:type="dxa"/>
            <w:tcBorders/>
          </w:tcPr>
          <w:p>
            <w:pPr>
              <w:pStyle w:val="style0"/>
              <w:spacing w:after="0" w:lineRule="auto" w:line="240"/>
              <w:jc w:val="center"/>
              <w:rPr/>
            </w:pPr>
            <w:r>
              <w:t>2. Qualitative methodology is appropriate</w:t>
            </w:r>
          </w:p>
        </w:tc>
        <w:tc>
          <w:tcPr>
            <w:tcW w:w="711" w:type="dxa"/>
            <w:tcBorders/>
          </w:tcPr>
          <w:p>
            <w:pPr>
              <w:pStyle w:val="style0"/>
              <w:spacing w:after="0" w:lineRule="auto" w:line="240"/>
              <w:jc w:val="center"/>
              <w:rPr/>
            </w:pPr>
            <w:r>
              <w:rPr>
                <w:rFonts w:eastAsia="Arial Unicode MS" w:hAnsi="Arial Unicode MS"/>
              </w:rPr>
              <w:t>✔</w:t>
            </w:r>
          </w:p>
        </w:tc>
        <w:tc>
          <w:tcPr>
            <w:tcW w:w="731" w:type="dxa"/>
            <w:tcBorders/>
          </w:tcPr>
          <w:p>
            <w:pPr>
              <w:pStyle w:val="style0"/>
              <w:spacing w:after="0" w:lineRule="auto" w:line="240"/>
              <w:jc w:val="center"/>
              <w:rPr/>
            </w:pPr>
            <w:r>
              <w:rPr>
                <w:rFonts w:eastAsia="Arial Unicode MS" w:hAnsi="Arial Unicode MS"/>
              </w:rPr>
              <w:t>✔</w:t>
            </w:r>
          </w:p>
        </w:tc>
        <w:tc>
          <w:tcPr>
            <w:tcW w:w="863" w:type="dxa"/>
            <w:tcBorders/>
          </w:tcPr>
          <w:p>
            <w:pPr>
              <w:pStyle w:val="style0"/>
              <w:spacing w:after="0" w:lineRule="auto" w:line="240"/>
              <w:jc w:val="center"/>
              <w:rPr/>
            </w:pPr>
            <w:r>
              <w:rPr>
                <w:rFonts w:eastAsia="Arial Unicode MS" w:hAnsi="Arial Unicode MS"/>
              </w:rPr>
              <w:t>✔</w:t>
            </w:r>
          </w:p>
        </w:tc>
        <w:tc>
          <w:tcPr>
            <w:tcW w:w="749" w:type="dxa"/>
            <w:tcBorders/>
          </w:tcPr>
          <w:p>
            <w:pPr>
              <w:pStyle w:val="style0"/>
              <w:spacing w:after="0" w:lineRule="auto" w:line="240"/>
              <w:jc w:val="center"/>
              <w:rPr/>
            </w:pPr>
            <w:r>
              <w:rPr>
                <w:rFonts w:eastAsia="Arial Unicode MS" w:hAnsi="Arial Unicode MS"/>
              </w:rPr>
              <w:t>✔</w:t>
            </w:r>
          </w:p>
        </w:tc>
        <w:tc>
          <w:tcPr>
            <w:tcW w:w="711" w:type="dxa"/>
            <w:tcBorders/>
          </w:tcPr>
          <w:p>
            <w:pPr>
              <w:pStyle w:val="style0"/>
              <w:spacing w:after="0" w:lineRule="auto" w:line="240"/>
              <w:jc w:val="center"/>
              <w:rPr/>
            </w:pPr>
            <w:r>
              <w:rPr>
                <w:rFonts w:eastAsia="Arial Unicode MS" w:hAnsi="Arial Unicode MS"/>
              </w:rPr>
              <w:t>✔</w:t>
            </w:r>
          </w:p>
        </w:tc>
        <w:tc>
          <w:tcPr>
            <w:tcW w:w="864" w:type="dxa"/>
            <w:tcBorders/>
          </w:tcPr>
          <w:p>
            <w:pPr>
              <w:pStyle w:val="style0"/>
              <w:spacing w:after="0" w:lineRule="auto" w:line="240"/>
              <w:jc w:val="center"/>
              <w:rPr/>
            </w:pPr>
            <w:r>
              <w:rPr>
                <w:rFonts w:eastAsia="Arial Unicode MS" w:hAnsi="Arial Unicode MS"/>
              </w:rPr>
              <w:t>✔</w:t>
            </w:r>
          </w:p>
        </w:tc>
        <w:tc>
          <w:tcPr>
            <w:tcW w:w="844" w:type="dxa"/>
            <w:tcBorders/>
          </w:tcPr>
          <w:p>
            <w:pPr>
              <w:pStyle w:val="style0"/>
              <w:spacing w:after="0" w:lineRule="auto" w:line="240"/>
              <w:jc w:val="center"/>
              <w:rPr/>
            </w:pPr>
            <w:r>
              <w:rPr>
                <w:rFonts w:eastAsia="Arial Unicode MS" w:hAnsi="Arial Unicode MS"/>
              </w:rPr>
              <w:t>✔</w:t>
            </w:r>
          </w:p>
        </w:tc>
        <w:tc>
          <w:tcPr>
            <w:tcW w:w="978" w:type="dxa"/>
            <w:tcBorders/>
          </w:tcPr>
          <w:p>
            <w:pPr>
              <w:pStyle w:val="style0"/>
              <w:spacing w:after="0" w:lineRule="auto" w:line="240"/>
              <w:jc w:val="center"/>
              <w:rPr/>
            </w:pPr>
            <w:r>
              <w:rPr>
                <w:rFonts w:eastAsia="Arial Unicode MS" w:hAnsi="Arial Unicode MS"/>
              </w:rPr>
              <w:t>✔</w:t>
            </w:r>
          </w:p>
        </w:tc>
        <w:tc>
          <w:tcPr>
            <w:tcW w:w="740" w:type="dxa"/>
            <w:tcBorders/>
          </w:tcPr>
          <w:p>
            <w:pPr>
              <w:pStyle w:val="style0"/>
              <w:spacing w:after="0" w:lineRule="auto" w:line="240"/>
              <w:jc w:val="center"/>
              <w:rPr/>
            </w:pPr>
            <w:r>
              <w:rPr>
                <w:rFonts w:eastAsia="Arial Unicode MS" w:hAnsi="Arial Unicode MS"/>
              </w:rPr>
              <w:t>✔</w:t>
            </w:r>
          </w:p>
        </w:tc>
        <w:tc>
          <w:tcPr>
            <w:tcW w:w="854" w:type="dxa"/>
            <w:tcBorders/>
          </w:tcPr>
          <w:p>
            <w:pPr>
              <w:pStyle w:val="style0"/>
              <w:spacing w:after="0" w:lineRule="auto" w:line="240"/>
              <w:jc w:val="center"/>
              <w:rPr/>
            </w:pPr>
            <w:r>
              <w:rPr>
                <w:rFonts w:eastAsia="Arial Unicode MS" w:hAnsi="Arial Unicode MS"/>
              </w:rPr>
              <w:t>✔</w:t>
            </w:r>
          </w:p>
        </w:tc>
      </w:tr>
      <w:tr>
        <w:tblPrEx/>
        <w:trPr>
          <w:jc w:val="center"/>
        </w:trPr>
        <w:tc>
          <w:tcPr>
            <w:tcW w:w="1197" w:type="dxa"/>
            <w:tcBorders/>
          </w:tcPr>
          <w:p>
            <w:pPr>
              <w:pStyle w:val="style0"/>
              <w:spacing w:after="0" w:lineRule="auto" w:line="240"/>
              <w:jc w:val="center"/>
              <w:rPr/>
            </w:pPr>
            <w:r>
              <w:t>3. Research a design appropriate</w:t>
            </w:r>
          </w:p>
        </w:tc>
        <w:tc>
          <w:tcPr>
            <w:tcW w:w="711" w:type="dxa"/>
            <w:tcBorders/>
          </w:tcPr>
          <w:p>
            <w:pPr>
              <w:pStyle w:val="style0"/>
              <w:spacing w:after="0" w:lineRule="auto" w:line="240"/>
              <w:jc w:val="center"/>
              <w:rPr/>
            </w:pPr>
            <w:r>
              <w:rPr>
                <w:rFonts w:eastAsia="Arial Unicode MS" w:hAnsi="Arial Unicode MS"/>
              </w:rPr>
              <w:t>✔</w:t>
            </w:r>
          </w:p>
        </w:tc>
        <w:tc>
          <w:tcPr>
            <w:tcW w:w="731" w:type="dxa"/>
            <w:tcBorders/>
          </w:tcPr>
          <w:p>
            <w:pPr>
              <w:pStyle w:val="style0"/>
              <w:spacing w:after="0" w:lineRule="auto" w:line="240"/>
              <w:jc w:val="center"/>
              <w:rPr/>
            </w:pPr>
            <w:r>
              <w:rPr>
                <w:rFonts w:eastAsia="Arial Unicode MS" w:hAnsi="Arial Unicode MS"/>
              </w:rPr>
              <w:t>✔</w:t>
            </w:r>
          </w:p>
        </w:tc>
        <w:tc>
          <w:tcPr>
            <w:tcW w:w="863" w:type="dxa"/>
            <w:tcBorders/>
          </w:tcPr>
          <w:p>
            <w:pPr>
              <w:pStyle w:val="style0"/>
              <w:spacing w:after="0" w:lineRule="auto" w:line="240"/>
              <w:jc w:val="center"/>
              <w:rPr/>
            </w:pPr>
            <w:r>
              <w:rPr>
                <w:rFonts w:eastAsia="Arial Unicode MS" w:hAnsi="Arial Unicode MS"/>
              </w:rPr>
              <w:t>✔</w:t>
            </w:r>
          </w:p>
        </w:tc>
        <w:tc>
          <w:tcPr>
            <w:tcW w:w="749" w:type="dxa"/>
            <w:tcBorders/>
          </w:tcPr>
          <w:p>
            <w:pPr>
              <w:pStyle w:val="style0"/>
              <w:spacing w:after="0" w:lineRule="auto" w:line="240"/>
              <w:jc w:val="center"/>
              <w:rPr/>
            </w:pPr>
            <w:r>
              <w:rPr>
                <w:rFonts w:eastAsia="Arial Unicode MS" w:hAnsi="Arial Unicode MS"/>
              </w:rPr>
              <w:t>✔</w:t>
            </w:r>
          </w:p>
        </w:tc>
        <w:tc>
          <w:tcPr>
            <w:tcW w:w="711" w:type="dxa"/>
            <w:tcBorders/>
          </w:tcPr>
          <w:p>
            <w:pPr>
              <w:pStyle w:val="style0"/>
              <w:spacing w:after="0" w:lineRule="auto" w:line="240"/>
              <w:jc w:val="center"/>
              <w:rPr/>
            </w:pPr>
            <w:r>
              <w:rPr>
                <w:rFonts w:eastAsia="Arial Unicode MS" w:hAnsi="Arial Unicode MS"/>
              </w:rPr>
              <w:t>✔</w:t>
            </w:r>
          </w:p>
        </w:tc>
        <w:tc>
          <w:tcPr>
            <w:tcW w:w="864" w:type="dxa"/>
            <w:tcBorders/>
          </w:tcPr>
          <w:p>
            <w:pPr>
              <w:pStyle w:val="style0"/>
              <w:spacing w:after="0" w:lineRule="auto" w:line="240"/>
              <w:jc w:val="center"/>
              <w:rPr/>
            </w:pPr>
            <w:r>
              <w:rPr>
                <w:rFonts w:eastAsia="Arial Unicode MS" w:hAnsi="Arial Unicode MS"/>
              </w:rPr>
              <w:t>✔</w:t>
            </w:r>
          </w:p>
        </w:tc>
        <w:tc>
          <w:tcPr>
            <w:tcW w:w="844" w:type="dxa"/>
            <w:tcBorders/>
          </w:tcPr>
          <w:p>
            <w:pPr>
              <w:pStyle w:val="style0"/>
              <w:spacing w:after="0" w:lineRule="auto" w:line="240"/>
              <w:jc w:val="center"/>
              <w:rPr/>
            </w:pPr>
            <w:r>
              <w:rPr>
                <w:rFonts w:eastAsia="Arial Unicode MS"/>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Arial Unicode MS"/>
              </w:rPr>
              <w:t>✔</w:t>
            </w:r>
          </w:p>
        </w:tc>
        <w:tc>
          <w:tcPr>
            <w:tcW w:w="854" w:type="dxa"/>
            <w:tcBorders/>
          </w:tcPr>
          <w:p>
            <w:pPr>
              <w:pStyle w:val="style0"/>
              <w:spacing w:after="0" w:lineRule="auto" w:line="240"/>
              <w:jc w:val="center"/>
              <w:rPr/>
            </w:pPr>
            <w:r>
              <w:rPr>
                <w:rFonts w:eastAsia="Arial Unicode MS"/>
              </w:rPr>
              <w:t>✔</w:t>
            </w:r>
          </w:p>
        </w:tc>
      </w:tr>
      <w:tr>
        <w:tblPrEx/>
        <w:trPr>
          <w:jc w:val="center"/>
        </w:trPr>
        <w:tc>
          <w:tcPr>
            <w:tcW w:w="1197" w:type="dxa"/>
            <w:tcBorders/>
          </w:tcPr>
          <w:p>
            <w:pPr>
              <w:pStyle w:val="style0"/>
              <w:spacing w:after="0" w:lineRule="auto" w:line="240"/>
              <w:jc w:val="center"/>
              <w:rPr/>
            </w:pPr>
            <w:r>
              <w:t>4. Recruitment strategy appropriate</w:t>
            </w:r>
          </w:p>
        </w:tc>
        <w:tc>
          <w:tcPr>
            <w:tcW w:w="711" w:type="dxa"/>
            <w:tcBorders/>
          </w:tcPr>
          <w:p>
            <w:pPr>
              <w:pStyle w:val="style0"/>
              <w:spacing w:after="0" w:lineRule="auto" w:line="240"/>
              <w:jc w:val="center"/>
              <w:rPr/>
            </w:pPr>
            <w:r>
              <w:rPr>
                <w:rFonts w:eastAsia="Cambria Math"/>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Cambria Math"/>
              </w:rPr>
              <w:t>◯</w:t>
            </w:r>
          </w:p>
        </w:tc>
        <w:tc>
          <w:tcPr>
            <w:tcW w:w="749" w:type="dxa"/>
            <w:tcBorders/>
          </w:tcPr>
          <w:p>
            <w:pPr>
              <w:pStyle w:val="style0"/>
              <w:spacing w:after="0" w:lineRule="auto" w:line="240"/>
              <w:jc w:val="center"/>
              <w:rPr/>
            </w:pPr>
            <w:r>
              <w:rPr>
                <w:rFonts w:eastAsia="Cambria Math"/>
              </w:rPr>
              <w:t>◯</w:t>
            </w:r>
          </w:p>
        </w:tc>
        <w:tc>
          <w:tcPr>
            <w:tcW w:w="711" w:type="dxa"/>
            <w:tcBorders/>
          </w:tcPr>
          <w:p>
            <w:pPr>
              <w:pStyle w:val="style0"/>
              <w:spacing w:after="0" w:lineRule="auto" w:line="240"/>
              <w:jc w:val="center"/>
              <w:rPr/>
            </w:pPr>
            <w:r>
              <w:rPr>
                <w:rFonts w:eastAsia="Cambria Math"/>
              </w:rPr>
              <w:t>◯</w:t>
            </w:r>
          </w:p>
        </w:tc>
        <w:tc>
          <w:tcPr>
            <w:tcW w:w="864" w:type="dxa"/>
            <w:tcBorders/>
          </w:tcPr>
          <w:p>
            <w:pPr>
              <w:pStyle w:val="style0"/>
              <w:spacing w:after="0" w:lineRule="auto" w:line="240"/>
              <w:jc w:val="center"/>
              <w:rPr/>
            </w:pPr>
            <w:r>
              <w:rPr>
                <w:rFonts w:eastAsia="Arial Unicode MS"/>
              </w:rPr>
              <w:t>✔</w:t>
            </w:r>
          </w:p>
        </w:tc>
        <w:tc>
          <w:tcPr>
            <w:tcW w:w="844" w:type="dxa"/>
            <w:tcBorders/>
          </w:tcPr>
          <w:p>
            <w:pPr>
              <w:pStyle w:val="style0"/>
              <w:spacing w:after="0" w:lineRule="auto" w:line="240"/>
              <w:jc w:val="center"/>
              <w:rPr/>
            </w:pPr>
            <w:r>
              <w:rPr>
                <w:rFonts w:eastAsia="Cambria Math"/>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Cambria Math"/>
              </w:rPr>
              <w:t>◯</w:t>
            </w:r>
          </w:p>
        </w:tc>
        <w:tc>
          <w:tcPr>
            <w:tcW w:w="854" w:type="dxa"/>
            <w:tcBorders/>
          </w:tcPr>
          <w:p>
            <w:pPr>
              <w:pStyle w:val="style0"/>
              <w:spacing w:after="0" w:lineRule="auto" w:line="240"/>
              <w:jc w:val="center"/>
              <w:rPr/>
            </w:pPr>
            <w:r>
              <w:rPr>
                <w:rFonts w:eastAsia="Cambria Math"/>
              </w:rPr>
              <w:t>◯</w:t>
            </w:r>
          </w:p>
        </w:tc>
      </w:tr>
      <w:tr>
        <w:tblPrEx/>
        <w:trPr>
          <w:jc w:val="center"/>
        </w:trPr>
        <w:tc>
          <w:tcPr>
            <w:tcW w:w="1197" w:type="dxa"/>
            <w:tcBorders/>
          </w:tcPr>
          <w:p>
            <w:pPr>
              <w:pStyle w:val="style0"/>
              <w:spacing w:after="0" w:lineRule="auto" w:line="240"/>
              <w:jc w:val="center"/>
              <w:rPr/>
            </w:pPr>
            <w:r>
              <w:t>5. Data collection is appropriate</w:t>
            </w:r>
          </w:p>
        </w:tc>
        <w:tc>
          <w:tcPr>
            <w:tcW w:w="711" w:type="dxa"/>
            <w:tcBorders/>
          </w:tcPr>
          <w:p>
            <w:pPr>
              <w:pStyle w:val="style0"/>
              <w:spacing w:after="0" w:lineRule="auto" w:line="240"/>
              <w:jc w:val="center"/>
              <w:rPr/>
            </w:pPr>
            <w:r>
              <w:rPr>
                <w:rFonts w:eastAsia="Arial Unicode MS"/>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Arial Unicode MS"/>
              </w:rPr>
              <w:t>✔</w:t>
            </w:r>
          </w:p>
        </w:tc>
        <w:tc>
          <w:tcPr>
            <w:tcW w:w="749" w:type="dxa"/>
            <w:tcBorders/>
          </w:tcPr>
          <w:p>
            <w:pPr>
              <w:pStyle w:val="style0"/>
              <w:spacing w:after="0" w:lineRule="auto" w:line="240"/>
              <w:jc w:val="center"/>
              <w:rPr/>
            </w:pPr>
            <w:r>
              <w:rPr>
                <w:rFonts w:eastAsia="Arial Unicode MS"/>
              </w:rPr>
              <w:t>✔</w:t>
            </w:r>
          </w:p>
        </w:tc>
        <w:tc>
          <w:tcPr>
            <w:tcW w:w="711" w:type="dxa"/>
            <w:tcBorders/>
          </w:tcPr>
          <w:p>
            <w:pPr>
              <w:pStyle w:val="style0"/>
              <w:spacing w:after="0" w:lineRule="auto" w:line="240"/>
              <w:jc w:val="center"/>
              <w:rPr/>
            </w:pPr>
            <w:r>
              <w:rPr>
                <w:rFonts w:eastAsia="Arial Unicode MS"/>
              </w:rPr>
              <w:t>✔</w:t>
            </w:r>
          </w:p>
        </w:tc>
        <w:tc>
          <w:tcPr>
            <w:tcW w:w="864" w:type="dxa"/>
            <w:tcBorders/>
          </w:tcPr>
          <w:p>
            <w:pPr>
              <w:pStyle w:val="style0"/>
              <w:spacing w:after="0" w:lineRule="auto" w:line="240"/>
              <w:jc w:val="center"/>
              <w:rPr/>
            </w:pPr>
            <w:r>
              <w:rPr>
                <w:rFonts w:eastAsia="Arial Unicode MS"/>
              </w:rPr>
              <w:t>✔</w:t>
            </w:r>
          </w:p>
        </w:tc>
        <w:tc>
          <w:tcPr>
            <w:tcW w:w="844" w:type="dxa"/>
            <w:tcBorders/>
          </w:tcPr>
          <w:p>
            <w:pPr>
              <w:pStyle w:val="style0"/>
              <w:spacing w:after="0" w:lineRule="auto" w:line="240"/>
              <w:jc w:val="center"/>
              <w:rPr/>
            </w:pPr>
            <w:r>
              <w:rPr>
                <w:rFonts w:eastAsia="Arial Unicode MS"/>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Arial Unicode MS"/>
              </w:rPr>
              <w:t>✔</w:t>
            </w:r>
          </w:p>
        </w:tc>
        <w:tc>
          <w:tcPr>
            <w:tcW w:w="854" w:type="dxa"/>
            <w:tcBorders/>
          </w:tcPr>
          <w:p>
            <w:pPr>
              <w:pStyle w:val="style0"/>
              <w:spacing w:after="0" w:lineRule="auto" w:line="240"/>
              <w:jc w:val="center"/>
              <w:rPr/>
            </w:pPr>
            <w:r>
              <w:rPr>
                <w:rFonts w:eastAsia="Arial Unicode MS"/>
              </w:rPr>
              <w:t>✔</w:t>
            </w:r>
          </w:p>
        </w:tc>
      </w:tr>
      <w:tr>
        <w:tblPrEx/>
        <w:trPr>
          <w:jc w:val="center"/>
        </w:trPr>
        <w:tc>
          <w:tcPr>
            <w:tcW w:w="1197" w:type="dxa"/>
            <w:tcBorders/>
          </w:tcPr>
          <w:p>
            <w:pPr>
              <w:pStyle w:val="style0"/>
              <w:spacing w:after="0" w:lineRule="auto" w:line="240"/>
              <w:jc w:val="center"/>
              <w:rPr/>
            </w:pPr>
            <w:r>
              <w:t>6. Reflexivity considered</w:t>
            </w:r>
          </w:p>
        </w:tc>
        <w:tc>
          <w:tcPr>
            <w:tcW w:w="711" w:type="dxa"/>
            <w:tcBorders/>
          </w:tcPr>
          <w:p>
            <w:pPr>
              <w:pStyle w:val="style0"/>
              <w:spacing w:after="0" w:lineRule="auto" w:line="240"/>
              <w:jc w:val="center"/>
              <w:rPr/>
            </w:pPr>
            <w:r>
              <w:rPr>
                <w:rFonts w:eastAsia="Cambria Math"/>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Cambria Math"/>
              </w:rPr>
              <w:t>◯</w:t>
            </w:r>
          </w:p>
        </w:tc>
        <w:tc>
          <w:tcPr>
            <w:tcW w:w="749" w:type="dxa"/>
            <w:tcBorders/>
          </w:tcPr>
          <w:p>
            <w:pPr>
              <w:pStyle w:val="style0"/>
              <w:spacing w:after="0" w:lineRule="auto" w:line="240"/>
              <w:jc w:val="center"/>
              <w:rPr/>
            </w:pPr>
            <w:r>
              <w:rPr>
                <w:rFonts w:eastAsia="Cambria Math"/>
              </w:rPr>
              <w:t>◯</w:t>
            </w:r>
          </w:p>
        </w:tc>
        <w:tc>
          <w:tcPr>
            <w:tcW w:w="711" w:type="dxa"/>
            <w:tcBorders/>
          </w:tcPr>
          <w:p>
            <w:pPr>
              <w:pStyle w:val="style0"/>
              <w:spacing w:after="0" w:lineRule="auto" w:line="240"/>
              <w:jc w:val="center"/>
              <w:rPr/>
            </w:pPr>
            <w:r>
              <w:rPr>
                <w:rFonts w:eastAsia="Cambria Math"/>
              </w:rPr>
              <w:t>◯</w:t>
            </w:r>
          </w:p>
        </w:tc>
        <w:tc>
          <w:tcPr>
            <w:tcW w:w="864" w:type="dxa"/>
            <w:tcBorders/>
          </w:tcPr>
          <w:p>
            <w:pPr>
              <w:pStyle w:val="style0"/>
              <w:spacing w:after="0" w:lineRule="auto" w:line="240"/>
              <w:jc w:val="center"/>
              <w:rPr/>
            </w:pPr>
            <w:r>
              <w:rPr>
                <w:rFonts w:eastAsia="Cambria Math"/>
              </w:rPr>
              <w:t>◯</w:t>
            </w:r>
          </w:p>
        </w:tc>
        <w:tc>
          <w:tcPr>
            <w:tcW w:w="844" w:type="dxa"/>
            <w:tcBorders/>
          </w:tcPr>
          <w:p>
            <w:pPr>
              <w:pStyle w:val="style0"/>
              <w:spacing w:after="0" w:lineRule="auto" w:line="240"/>
              <w:jc w:val="center"/>
              <w:rPr/>
            </w:pPr>
            <w:r>
              <w:rPr>
                <w:rFonts w:eastAsia="Cambria Math"/>
              </w:rPr>
              <w:t>◯</w:t>
            </w:r>
          </w:p>
        </w:tc>
        <w:tc>
          <w:tcPr>
            <w:tcW w:w="978" w:type="dxa"/>
            <w:tcBorders/>
          </w:tcPr>
          <w:p>
            <w:pPr>
              <w:pStyle w:val="style0"/>
              <w:spacing w:after="0" w:lineRule="auto" w:line="240"/>
              <w:jc w:val="center"/>
              <w:rPr/>
            </w:pPr>
            <w:r>
              <w:rPr>
                <w:rFonts w:eastAsia="Cambria Math"/>
              </w:rPr>
              <w:t>◯</w:t>
            </w:r>
          </w:p>
        </w:tc>
        <w:tc>
          <w:tcPr>
            <w:tcW w:w="740" w:type="dxa"/>
            <w:tcBorders/>
          </w:tcPr>
          <w:p>
            <w:pPr>
              <w:pStyle w:val="style0"/>
              <w:spacing w:after="0" w:lineRule="auto" w:line="240"/>
              <w:jc w:val="center"/>
              <w:rPr/>
            </w:pPr>
            <w:r>
              <w:rPr>
                <w:rFonts w:eastAsia="Cambria Math"/>
              </w:rPr>
              <w:t>◯</w:t>
            </w:r>
          </w:p>
        </w:tc>
        <w:tc>
          <w:tcPr>
            <w:tcW w:w="854" w:type="dxa"/>
            <w:tcBorders/>
          </w:tcPr>
          <w:p>
            <w:pPr>
              <w:pStyle w:val="style0"/>
              <w:spacing w:after="0" w:lineRule="auto" w:line="240"/>
              <w:jc w:val="center"/>
              <w:rPr/>
            </w:pPr>
            <w:r>
              <w:rPr>
                <w:rFonts w:eastAsia="Cambria Math"/>
              </w:rPr>
              <w:t>◯</w:t>
            </w:r>
          </w:p>
        </w:tc>
      </w:tr>
      <w:tr>
        <w:tblPrEx/>
        <w:trPr>
          <w:jc w:val="center"/>
        </w:trPr>
        <w:tc>
          <w:tcPr>
            <w:tcW w:w="1197" w:type="dxa"/>
            <w:tcBorders/>
          </w:tcPr>
          <w:p>
            <w:pPr>
              <w:pStyle w:val="style0"/>
              <w:spacing w:after="0" w:lineRule="auto" w:line="240"/>
              <w:jc w:val="center"/>
              <w:rPr/>
            </w:pPr>
            <w:r>
              <w:t>7. Ethical issues addressed</w:t>
            </w:r>
          </w:p>
        </w:tc>
        <w:tc>
          <w:tcPr>
            <w:tcW w:w="711" w:type="dxa"/>
            <w:tcBorders/>
          </w:tcPr>
          <w:p>
            <w:pPr>
              <w:pStyle w:val="style0"/>
              <w:spacing w:after="0" w:lineRule="auto" w:line="240"/>
              <w:jc w:val="center"/>
              <w:rPr/>
            </w:pPr>
            <w:r>
              <w:rPr>
                <w:rFonts w:eastAsia="Arial Unicode MS"/>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Arial Unicode MS"/>
              </w:rPr>
              <w:t>✔</w:t>
            </w:r>
          </w:p>
        </w:tc>
        <w:tc>
          <w:tcPr>
            <w:tcW w:w="749" w:type="dxa"/>
            <w:tcBorders/>
          </w:tcPr>
          <w:p>
            <w:pPr>
              <w:pStyle w:val="style0"/>
              <w:spacing w:after="0" w:lineRule="auto" w:line="240"/>
              <w:jc w:val="center"/>
              <w:rPr/>
            </w:pPr>
            <w:r>
              <w:rPr>
                <w:rFonts w:eastAsia="Arial Unicode MS"/>
              </w:rPr>
              <w:t>✔</w:t>
            </w:r>
          </w:p>
        </w:tc>
        <w:tc>
          <w:tcPr>
            <w:tcW w:w="711" w:type="dxa"/>
            <w:tcBorders/>
          </w:tcPr>
          <w:p>
            <w:pPr>
              <w:pStyle w:val="style0"/>
              <w:spacing w:after="0" w:lineRule="auto" w:line="240"/>
              <w:jc w:val="center"/>
              <w:rPr/>
            </w:pPr>
            <w:r>
              <w:rPr>
                <w:rFonts w:eastAsia="Arial Unicode MS"/>
              </w:rPr>
              <w:t>✔</w:t>
            </w:r>
          </w:p>
        </w:tc>
        <w:tc>
          <w:tcPr>
            <w:tcW w:w="864" w:type="dxa"/>
            <w:tcBorders/>
          </w:tcPr>
          <w:p>
            <w:pPr>
              <w:pStyle w:val="style0"/>
              <w:spacing w:after="0" w:lineRule="auto" w:line="240"/>
              <w:jc w:val="center"/>
              <w:rPr/>
            </w:pPr>
            <w:r>
              <w:rPr>
                <w:rFonts w:eastAsia="Cambria Math"/>
              </w:rPr>
              <w:t>◯</w:t>
            </w:r>
          </w:p>
        </w:tc>
        <w:tc>
          <w:tcPr>
            <w:tcW w:w="844" w:type="dxa"/>
            <w:tcBorders/>
          </w:tcPr>
          <w:p>
            <w:pPr>
              <w:pStyle w:val="style0"/>
              <w:spacing w:after="0" w:lineRule="auto" w:line="240"/>
              <w:jc w:val="center"/>
              <w:rPr/>
            </w:pPr>
            <w:r>
              <w:rPr>
                <w:rFonts w:eastAsia="Arial Unicode MS"/>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Cambria Math"/>
              </w:rPr>
              <w:t>◯</w:t>
            </w:r>
          </w:p>
        </w:tc>
        <w:tc>
          <w:tcPr>
            <w:tcW w:w="854" w:type="dxa"/>
            <w:tcBorders/>
          </w:tcPr>
          <w:p>
            <w:pPr>
              <w:pStyle w:val="style0"/>
              <w:spacing w:after="0" w:lineRule="auto" w:line="240"/>
              <w:jc w:val="center"/>
              <w:rPr/>
            </w:pPr>
            <w:r>
              <w:rPr>
                <w:rFonts w:eastAsia="Arial Unicode MS"/>
              </w:rPr>
              <w:t>✔</w:t>
            </w:r>
          </w:p>
        </w:tc>
      </w:tr>
      <w:tr>
        <w:tblPrEx/>
        <w:trPr>
          <w:jc w:val="center"/>
        </w:trPr>
        <w:tc>
          <w:tcPr>
            <w:tcW w:w="1197" w:type="dxa"/>
            <w:tcBorders/>
          </w:tcPr>
          <w:p>
            <w:pPr>
              <w:pStyle w:val="style0"/>
              <w:spacing w:after="0" w:lineRule="auto" w:line="240"/>
              <w:jc w:val="center"/>
              <w:rPr/>
            </w:pPr>
            <w:r>
              <w:t>8. Rigorous data analysis</w:t>
            </w:r>
          </w:p>
        </w:tc>
        <w:tc>
          <w:tcPr>
            <w:tcW w:w="711" w:type="dxa"/>
            <w:tcBorders/>
          </w:tcPr>
          <w:p>
            <w:pPr>
              <w:pStyle w:val="style0"/>
              <w:spacing w:after="0" w:lineRule="auto" w:line="240"/>
              <w:jc w:val="center"/>
              <w:rPr/>
            </w:pPr>
            <w:r>
              <w:rPr>
                <w:rFonts w:eastAsia="Arial Unicode MS"/>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Arial Unicode MS"/>
              </w:rPr>
              <w:t>✔</w:t>
            </w:r>
          </w:p>
        </w:tc>
        <w:tc>
          <w:tcPr>
            <w:tcW w:w="749" w:type="dxa"/>
            <w:tcBorders/>
          </w:tcPr>
          <w:p>
            <w:pPr>
              <w:pStyle w:val="style0"/>
              <w:spacing w:after="0" w:lineRule="auto" w:line="240"/>
              <w:jc w:val="center"/>
              <w:rPr/>
            </w:pPr>
            <w:r>
              <w:rPr>
                <w:rFonts w:eastAsia="Arial Unicode MS"/>
              </w:rPr>
              <w:t>✔</w:t>
            </w:r>
          </w:p>
        </w:tc>
        <w:tc>
          <w:tcPr>
            <w:tcW w:w="711" w:type="dxa"/>
            <w:tcBorders/>
          </w:tcPr>
          <w:p>
            <w:pPr>
              <w:pStyle w:val="style0"/>
              <w:spacing w:after="0" w:lineRule="auto" w:line="240"/>
              <w:jc w:val="center"/>
              <w:rPr/>
            </w:pPr>
            <w:r>
              <w:rPr>
                <w:rFonts w:eastAsia="Arial Unicode MS"/>
              </w:rPr>
              <w:t>✔</w:t>
            </w:r>
          </w:p>
        </w:tc>
        <w:tc>
          <w:tcPr>
            <w:tcW w:w="864" w:type="dxa"/>
            <w:tcBorders/>
          </w:tcPr>
          <w:p>
            <w:pPr>
              <w:pStyle w:val="style0"/>
              <w:spacing w:after="0" w:lineRule="auto" w:line="240"/>
              <w:jc w:val="center"/>
              <w:rPr/>
            </w:pPr>
            <w:r>
              <w:rPr>
                <w:rFonts w:eastAsia="Arial Unicode MS"/>
              </w:rPr>
              <w:t>✔</w:t>
            </w:r>
          </w:p>
        </w:tc>
        <w:tc>
          <w:tcPr>
            <w:tcW w:w="844" w:type="dxa"/>
            <w:tcBorders/>
          </w:tcPr>
          <w:p>
            <w:pPr>
              <w:pStyle w:val="style0"/>
              <w:spacing w:after="0" w:lineRule="auto" w:line="240"/>
              <w:jc w:val="center"/>
              <w:rPr/>
            </w:pPr>
            <w:r>
              <w:rPr>
                <w:rFonts w:eastAsia="Arial Unicode MS"/>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Arial Unicode MS"/>
              </w:rPr>
              <w:t>✔</w:t>
            </w:r>
          </w:p>
        </w:tc>
        <w:tc>
          <w:tcPr>
            <w:tcW w:w="854" w:type="dxa"/>
            <w:tcBorders/>
          </w:tcPr>
          <w:p>
            <w:pPr>
              <w:pStyle w:val="style0"/>
              <w:spacing w:after="0" w:lineRule="auto" w:line="240"/>
              <w:jc w:val="center"/>
              <w:rPr/>
            </w:pPr>
            <w:r>
              <w:rPr>
                <w:rFonts w:eastAsia="Arial Unicode MS"/>
              </w:rPr>
              <w:t>✔</w:t>
            </w:r>
          </w:p>
        </w:tc>
      </w:tr>
      <w:tr>
        <w:tblPrEx/>
        <w:trPr>
          <w:jc w:val="center"/>
        </w:trPr>
        <w:tc>
          <w:tcPr>
            <w:tcW w:w="1197" w:type="dxa"/>
            <w:tcBorders/>
          </w:tcPr>
          <w:p>
            <w:pPr>
              <w:pStyle w:val="style0"/>
              <w:spacing w:after="0" w:lineRule="auto" w:line="240"/>
              <w:jc w:val="center"/>
              <w:rPr/>
            </w:pPr>
            <w:r>
              <w:t>9. Clear statement of findings</w:t>
            </w:r>
          </w:p>
        </w:tc>
        <w:tc>
          <w:tcPr>
            <w:tcW w:w="711" w:type="dxa"/>
            <w:tcBorders/>
          </w:tcPr>
          <w:p>
            <w:pPr>
              <w:pStyle w:val="style0"/>
              <w:spacing w:after="0" w:lineRule="auto" w:line="240"/>
              <w:jc w:val="center"/>
              <w:rPr/>
            </w:pPr>
            <w:r>
              <w:rPr>
                <w:rFonts w:eastAsia="Arial Unicode MS"/>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Arial Unicode MS"/>
              </w:rPr>
              <w:t>✔</w:t>
            </w:r>
          </w:p>
        </w:tc>
        <w:tc>
          <w:tcPr>
            <w:tcW w:w="749" w:type="dxa"/>
            <w:tcBorders/>
          </w:tcPr>
          <w:p>
            <w:pPr>
              <w:pStyle w:val="style0"/>
              <w:spacing w:after="0" w:lineRule="auto" w:line="240"/>
              <w:jc w:val="center"/>
              <w:rPr/>
            </w:pPr>
            <w:r>
              <w:rPr>
                <w:rFonts w:eastAsia="Arial Unicode MS"/>
              </w:rPr>
              <w:t>✔</w:t>
            </w:r>
          </w:p>
        </w:tc>
        <w:tc>
          <w:tcPr>
            <w:tcW w:w="711" w:type="dxa"/>
            <w:tcBorders/>
          </w:tcPr>
          <w:p>
            <w:pPr>
              <w:pStyle w:val="style0"/>
              <w:spacing w:after="0" w:lineRule="auto" w:line="240"/>
              <w:jc w:val="center"/>
              <w:rPr/>
            </w:pPr>
            <w:r>
              <w:rPr>
                <w:rFonts w:eastAsia="Arial Unicode MS"/>
              </w:rPr>
              <w:t>✔</w:t>
            </w:r>
          </w:p>
        </w:tc>
        <w:tc>
          <w:tcPr>
            <w:tcW w:w="864" w:type="dxa"/>
            <w:tcBorders/>
          </w:tcPr>
          <w:p>
            <w:pPr>
              <w:pStyle w:val="style0"/>
              <w:spacing w:after="0" w:lineRule="auto" w:line="240"/>
              <w:jc w:val="center"/>
              <w:rPr/>
            </w:pPr>
            <w:r>
              <w:rPr>
                <w:rFonts w:eastAsia="Arial Unicode MS"/>
              </w:rPr>
              <w:t>✔</w:t>
            </w:r>
          </w:p>
        </w:tc>
        <w:tc>
          <w:tcPr>
            <w:tcW w:w="844" w:type="dxa"/>
            <w:tcBorders/>
          </w:tcPr>
          <w:p>
            <w:pPr>
              <w:pStyle w:val="style0"/>
              <w:spacing w:after="0" w:lineRule="auto" w:line="240"/>
              <w:jc w:val="center"/>
              <w:rPr/>
            </w:pPr>
            <w:r>
              <w:rPr>
                <w:rFonts w:eastAsia="Arial Unicode MS"/>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Arial Unicode MS"/>
              </w:rPr>
              <w:t>✔</w:t>
            </w:r>
          </w:p>
        </w:tc>
        <w:tc>
          <w:tcPr>
            <w:tcW w:w="854" w:type="dxa"/>
            <w:tcBorders/>
          </w:tcPr>
          <w:p>
            <w:pPr>
              <w:pStyle w:val="style0"/>
              <w:spacing w:after="0" w:lineRule="auto" w:line="240"/>
              <w:jc w:val="center"/>
              <w:rPr/>
            </w:pPr>
            <w:r>
              <w:rPr>
                <w:rFonts w:eastAsia="Arial Unicode MS"/>
              </w:rPr>
              <w:t>✔</w:t>
            </w:r>
          </w:p>
        </w:tc>
      </w:tr>
      <w:tr>
        <w:tblPrEx/>
        <w:trPr>
          <w:jc w:val="center"/>
        </w:trPr>
        <w:tc>
          <w:tcPr>
            <w:tcW w:w="1197" w:type="dxa"/>
            <w:tcBorders/>
          </w:tcPr>
          <w:p>
            <w:pPr>
              <w:pStyle w:val="style0"/>
              <w:spacing w:after="0" w:lineRule="auto" w:line="240"/>
              <w:jc w:val="center"/>
              <w:rPr/>
            </w:pPr>
            <w:r>
              <w:t>10. Value of research</w:t>
            </w:r>
          </w:p>
        </w:tc>
        <w:tc>
          <w:tcPr>
            <w:tcW w:w="711" w:type="dxa"/>
            <w:tcBorders/>
          </w:tcPr>
          <w:p>
            <w:pPr>
              <w:pStyle w:val="style0"/>
              <w:spacing w:after="0" w:lineRule="auto" w:line="240"/>
              <w:jc w:val="center"/>
              <w:rPr/>
            </w:pPr>
            <w:r>
              <w:rPr>
                <w:rFonts w:eastAsia="Arial Unicode MS"/>
              </w:rPr>
              <w:t>✔</w:t>
            </w:r>
          </w:p>
        </w:tc>
        <w:tc>
          <w:tcPr>
            <w:tcW w:w="731" w:type="dxa"/>
            <w:tcBorders/>
          </w:tcPr>
          <w:p>
            <w:pPr>
              <w:pStyle w:val="style0"/>
              <w:spacing w:after="0" w:lineRule="auto" w:line="240"/>
              <w:jc w:val="center"/>
              <w:rPr/>
            </w:pPr>
            <w:r>
              <w:rPr>
                <w:rFonts w:eastAsia="Arial Unicode MS"/>
              </w:rPr>
              <w:t>✔</w:t>
            </w:r>
          </w:p>
        </w:tc>
        <w:tc>
          <w:tcPr>
            <w:tcW w:w="863" w:type="dxa"/>
            <w:tcBorders/>
          </w:tcPr>
          <w:p>
            <w:pPr>
              <w:pStyle w:val="style0"/>
              <w:spacing w:after="0" w:lineRule="auto" w:line="240"/>
              <w:jc w:val="center"/>
              <w:rPr/>
            </w:pPr>
            <w:r>
              <w:rPr>
                <w:rFonts w:eastAsia="Arial Unicode MS"/>
              </w:rPr>
              <w:t>✔</w:t>
            </w:r>
          </w:p>
        </w:tc>
        <w:tc>
          <w:tcPr>
            <w:tcW w:w="749" w:type="dxa"/>
            <w:tcBorders/>
          </w:tcPr>
          <w:p>
            <w:pPr>
              <w:pStyle w:val="style0"/>
              <w:spacing w:after="0" w:lineRule="auto" w:line="240"/>
              <w:jc w:val="center"/>
              <w:rPr/>
            </w:pPr>
            <w:r>
              <w:rPr>
                <w:rFonts w:eastAsia="Arial Unicode MS"/>
              </w:rPr>
              <w:t>✔</w:t>
            </w:r>
          </w:p>
        </w:tc>
        <w:tc>
          <w:tcPr>
            <w:tcW w:w="711" w:type="dxa"/>
            <w:tcBorders/>
          </w:tcPr>
          <w:p>
            <w:pPr>
              <w:pStyle w:val="style0"/>
              <w:spacing w:after="0" w:lineRule="auto" w:line="240"/>
              <w:jc w:val="center"/>
              <w:rPr/>
            </w:pPr>
            <w:r>
              <w:rPr>
                <w:rFonts w:eastAsia="Arial Unicode MS"/>
              </w:rPr>
              <w:t>✔</w:t>
            </w:r>
          </w:p>
        </w:tc>
        <w:tc>
          <w:tcPr>
            <w:tcW w:w="864" w:type="dxa"/>
            <w:tcBorders/>
          </w:tcPr>
          <w:p>
            <w:pPr>
              <w:pStyle w:val="style0"/>
              <w:spacing w:after="0" w:lineRule="auto" w:line="240"/>
              <w:jc w:val="center"/>
              <w:rPr/>
            </w:pPr>
            <w:r>
              <w:rPr>
                <w:rFonts w:eastAsia="Arial Unicode MS"/>
              </w:rPr>
              <w:t>✔</w:t>
            </w:r>
          </w:p>
        </w:tc>
        <w:tc>
          <w:tcPr>
            <w:tcW w:w="844" w:type="dxa"/>
            <w:tcBorders/>
          </w:tcPr>
          <w:p>
            <w:pPr>
              <w:pStyle w:val="style0"/>
              <w:spacing w:after="0" w:lineRule="auto" w:line="240"/>
              <w:jc w:val="center"/>
              <w:rPr/>
            </w:pPr>
            <w:r>
              <w:rPr>
                <w:rFonts w:eastAsia="Arial Unicode MS"/>
              </w:rPr>
              <w:t>✔</w:t>
            </w:r>
          </w:p>
        </w:tc>
        <w:tc>
          <w:tcPr>
            <w:tcW w:w="978" w:type="dxa"/>
            <w:tcBorders/>
          </w:tcPr>
          <w:p>
            <w:pPr>
              <w:pStyle w:val="style0"/>
              <w:spacing w:after="0" w:lineRule="auto" w:line="240"/>
              <w:jc w:val="center"/>
              <w:rPr/>
            </w:pPr>
            <w:r>
              <w:rPr>
                <w:rFonts w:eastAsia="Arial Unicode MS"/>
              </w:rPr>
              <w:t>✔</w:t>
            </w:r>
          </w:p>
        </w:tc>
        <w:tc>
          <w:tcPr>
            <w:tcW w:w="740" w:type="dxa"/>
            <w:tcBorders/>
          </w:tcPr>
          <w:p>
            <w:pPr>
              <w:pStyle w:val="style0"/>
              <w:spacing w:after="0" w:lineRule="auto" w:line="240"/>
              <w:jc w:val="center"/>
              <w:rPr/>
            </w:pPr>
            <w:r>
              <w:rPr>
                <w:rFonts w:eastAsia="Arial Unicode MS"/>
              </w:rPr>
              <w:t>✔</w:t>
            </w:r>
          </w:p>
        </w:tc>
        <w:tc>
          <w:tcPr>
            <w:tcW w:w="854" w:type="dxa"/>
            <w:tcBorders/>
          </w:tcPr>
          <w:p>
            <w:pPr>
              <w:pStyle w:val="style0"/>
              <w:spacing w:after="0" w:lineRule="auto" w:line="240"/>
              <w:jc w:val="center"/>
              <w:rPr/>
            </w:pPr>
            <w:r>
              <w:rPr>
                <w:rFonts w:eastAsia="Arial Unicode MS"/>
              </w:rPr>
              <w:t>✔</w:t>
            </w:r>
          </w:p>
        </w:tc>
      </w:tr>
    </w:tbl>
    <w:p>
      <w:pPr>
        <w:pStyle w:val="style0"/>
        <w:rPr/>
      </w:pPr>
    </w:p>
    <w:p>
      <w:pPr>
        <w:pStyle w:val="style0"/>
        <w:spacing w:after="240"/>
        <w:rPr>
          <w:b/>
          <w:bCs/>
        </w:rPr>
      </w:pPr>
      <w:r>
        <w:rPr>
          <w:b/>
          <w:bCs/>
        </w:rPr>
        <w:t>Standards used:</w:t>
      </w:r>
    </w:p>
    <w:p>
      <w:pPr>
        <w:pStyle w:val="style0"/>
        <w:numPr>
          <w:ilvl w:val="0"/>
          <w:numId w:val="2"/>
        </w:numPr>
        <w:spacing w:after="0"/>
        <w:rPr>
          <w:highlight w:val="white"/>
        </w:rPr>
      </w:pPr>
      <w:r>
        <w:rPr>
          <w:rFonts w:eastAsia="Arial Unicode MS"/>
          <w:highlight w:val="white"/>
        </w:rPr>
        <w:t>✔</w:t>
      </w:r>
      <w:r>
        <w:rPr>
          <w:highlight w:val="white"/>
        </w:rPr>
        <w:t xml:space="preserve"> = Yes</w:t>
      </w:r>
    </w:p>
    <w:p>
      <w:pPr>
        <w:pStyle w:val="style0"/>
        <w:numPr>
          <w:ilvl w:val="0"/>
          <w:numId w:val="2"/>
        </w:numPr>
        <w:spacing w:after="0"/>
        <w:rPr>
          <w:highlight w:val="white"/>
        </w:rPr>
      </w:pPr>
      <w:r>
        <w:rPr>
          <w:rFonts w:eastAsia="Cambria Math"/>
          <w:highlight w:val="white"/>
        </w:rPr>
        <w:t>◯</w:t>
      </w:r>
      <w:r>
        <w:rPr>
          <w:highlight w:val="white"/>
        </w:rPr>
        <w:t xml:space="preserve"> = Can’t Tell</w:t>
      </w:r>
    </w:p>
    <w:p>
      <w:pPr>
        <w:pStyle w:val="style0"/>
        <w:numPr>
          <w:ilvl w:val="0"/>
          <w:numId w:val="2"/>
        </w:numPr>
        <w:spacing w:after="0"/>
        <w:rPr>
          <w:highlight w:val="white"/>
        </w:rPr>
      </w:pPr>
      <w:r>
        <w:rPr>
          <w:rFonts w:eastAsia="Arial Unicode MS"/>
          <w:highlight w:val="white"/>
        </w:rPr>
        <w:t>✖</w:t>
      </w:r>
      <w:r>
        <w:rPr>
          <w:highlight w:val="white"/>
        </w:rPr>
        <w:t xml:space="preserve"> = No</w:t>
      </w:r>
    </w:p>
    <w:p>
      <w:pPr>
        <w:pStyle w:val="style0"/>
        <w:spacing w:lineRule="auto" w:line="259"/>
        <w:jc w:val="left"/>
        <w:rPr>
          <w:highlight w:val="white"/>
        </w:rPr>
      </w:pPr>
      <w:r>
        <w:br w:type="page"/>
      </w:r>
    </w:p>
    <w:bookmarkStart w:id="82" w:name="_Toc21705"/>
    <w:p>
      <w:pPr>
        <w:pStyle w:val="style2"/>
        <w:spacing w:lineRule="auto" w:line="480"/>
        <w:rPr/>
      </w:pPr>
      <w:r>
        <w:t>Appendix 2: Coding Table for Theme Generation</w:t>
      </w:r>
      <w:bookmarkEnd w:id="82"/>
    </w:p>
    <w:tbl>
      <w:tblPr>
        <w:tblStyle w:val="style4104"/>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610"/>
        <w:gridCol w:w="1890"/>
        <w:gridCol w:w="1679"/>
        <w:gridCol w:w="2063"/>
      </w:tblGrid>
      <w:tr>
        <w:trPr/>
        <w:tc>
          <w:tcPr>
            <w:tcW w:w="3610" w:type="dxa"/>
            <w:tcBorders/>
          </w:tcPr>
          <w:p>
            <w:pPr>
              <w:pStyle w:val="style0"/>
              <w:spacing w:after="0"/>
              <w:jc w:val="center"/>
              <w:rPr>
                <w:b/>
                <w:bCs/>
              </w:rPr>
            </w:pPr>
            <w:r>
              <w:rPr>
                <w:b/>
                <w:bCs/>
              </w:rPr>
              <w:t>Extract from Studies</w:t>
            </w:r>
          </w:p>
        </w:tc>
        <w:tc>
          <w:tcPr>
            <w:tcW w:w="1890" w:type="dxa"/>
            <w:tcBorders/>
          </w:tcPr>
          <w:p>
            <w:pPr>
              <w:pStyle w:val="style0"/>
              <w:spacing w:after="0"/>
              <w:jc w:val="center"/>
              <w:rPr>
                <w:b/>
                <w:bCs/>
              </w:rPr>
            </w:pPr>
            <w:r>
              <w:rPr>
                <w:b/>
                <w:bCs/>
              </w:rPr>
              <w:t>Initial Code</w:t>
            </w:r>
          </w:p>
        </w:tc>
        <w:tc>
          <w:tcPr>
            <w:tcW w:w="1679" w:type="dxa"/>
            <w:tcBorders/>
          </w:tcPr>
          <w:p>
            <w:pPr>
              <w:pStyle w:val="style0"/>
              <w:spacing w:after="0"/>
              <w:jc w:val="center"/>
              <w:rPr>
                <w:b/>
                <w:bCs/>
              </w:rPr>
            </w:pPr>
            <w:r>
              <w:rPr>
                <w:b/>
                <w:bCs/>
              </w:rPr>
              <w:t>Category</w:t>
            </w:r>
          </w:p>
        </w:tc>
        <w:tc>
          <w:tcPr>
            <w:tcW w:w="2063" w:type="dxa"/>
            <w:tcBorders/>
          </w:tcPr>
          <w:p>
            <w:pPr>
              <w:pStyle w:val="style0"/>
              <w:spacing w:after="0"/>
              <w:jc w:val="center"/>
              <w:rPr>
                <w:b/>
                <w:bCs/>
              </w:rPr>
            </w:pPr>
            <w:r>
              <w:rPr>
                <w:b/>
                <w:bCs/>
              </w:rPr>
              <w:t>Final Theme</w:t>
            </w:r>
          </w:p>
        </w:tc>
      </w:tr>
      <w:tr>
        <w:tblPrEx/>
        <w:trPr/>
        <w:tc>
          <w:tcPr>
            <w:tcW w:w="3610" w:type="dxa"/>
            <w:tcBorders/>
          </w:tcPr>
          <w:p>
            <w:pPr>
              <w:pStyle w:val="style0"/>
              <w:spacing w:after="0"/>
              <w:jc w:val="center"/>
              <w:rPr/>
            </w:pPr>
            <w:r>
              <w:t>Awareness campaigns improved knowledge but not behaviour (Stuart et al., 2023)</w:t>
            </w:r>
          </w:p>
        </w:tc>
        <w:tc>
          <w:tcPr>
            <w:tcW w:w="1890" w:type="dxa"/>
            <w:tcBorders/>
          </w:tcPr>
          <w:p>
            <w:pPr>
              <w:pStyle w:val="style0"/>
              <w:spacing w:after="0"/>
              <w:jc w:val="center"/>
              <w:rPr/>
            </w:pPr>
            <w:r>
              <w:t>Awareness vs behaviour gap</w:t>
            </w:r>
          </w:p>
        </w:tc>
        <w:tc>
          <w:tcPr>
            <w:tcW w:w="1679" w:type="dxa"/>
            <w:tcBorders/>
          </w:tcPr>
          <w:p>
            <w:pPr>
              <w:pStyle w:val="style0"/>
              <w:spacing w:after="0"/>
              <w:jc w:val="center"/>
              <w:rPr/>
            </w:pPr>
            <w:r>
              <w:t>Programme impact</w:t>
            </w:r>
          </w:p>
        </w:tc>
        <w:tc>
          <w:tcPr>
            <w:tcW w:w="2063" w:type="dxa"/>
            <w:tcBorders/>
          </w:tcPr>
          <w:p>
            <w:pPr>
              <w:pStyle w:val="style0"/>
              <w:spacing w:after="0"/>
              <w:jc w:val="center"/>
              <w:rPr/>
            </w:pPr>
            <w:r>
              <w:t>Impact of awareness programmes</w:t>
            </w:r>
          </w:p>
        </w:tc>
      </w:tr>
      <w:tr>
        <w:tblPrEx/>
        <w:trPr/>
        <w:tc>
          <w:tcPr>
            <w:tcW w:w="3610" w:type="dxa"/>
            <w:tcBorders/>
          </w:tcPr>
          <w:p>
            <w:pPr>
              <w:pStyle w:val="style0"/>
              <w:spacing w:after="0"/>
              <w:jc w:val="center"/>
              <w:rPr/>
            </w:pPr>
            <w:r>
              <w:t>Educational interventions increase literacy (Walsh &amp; Foster, 2022)</w:t>
            </w:r>
          </w:p>
        </w:tc>
        <w:tc>
          <w:tcPr>
            <w:tcW w:w="1890" w:type="dxa"/>
            <w:tcBorders/>
          </w:tcPr>
          <w:p>
            <w:pPr>
              <w:pStyle w:val="style0"/>
              <w:spacing w:after="0"/>
              <w:jc w:val="center"/>
              <w:rPr/>
            </w:pPr>
            <w:r>
              <w:t>Mental health literacy</w:t>
            </w:r>
          </w:p>
        </w:tc>
        <w:tc>
          <w:tcPr>
            <w:tcW w:w="1679" w:type="dxa"/>
            <w:tcBorders/>
          </w:tcPr>
          <w:p>
            <w:pPr>
              <w:pStyle w:val="style0"/>
              <w:spacing w:after="0"/>
              <w:jc w:val="center"/>
              <w:rPr/>
            </w:pPr>
            <w:r>
              <w:t>Awareness outcomes</w:t>
            </w:r>
          </w:p>
        </w:tc>
        <w:tc>
          <w:tcPr>
            <w:tcW w:w="2063" w:type="dxa"/>
            <w:tcBorders/>
          </w:tcPr>
          <w:p>
            <w:pPr>
              <w:pStyle w:val="style0"/>
              <w:spacing w:after="0"/>
              <w:jc w:val="center"/>
              <w:rPr/>
            </w:pPr>
            <w:r>
              <w:t>Impact of awareness programmes</w:t>
            </w:r>
          </w:p>
        </w:tc>
      </w:tr>
      <w:tr>
        <w:tblPrEx/>
        <w:trPr/>
        <w:tc>
          <w:tcPr>
            <w:tcW w:w="3610" w:type="dxa"/>
            <w:tcBorders/>
          </w:tcPr>
          <w:p>
            <w:pPr>
              <w:pStyle w:val="style0"/>
              <w:spacing w:after="0"/>
              <w:jc w:val="center"/>
              <w:rPr/>
            </w:pPr>
            <w:r>
              <w:t>Young people labelled as weak or attention-seeking (Ansell et al., 2024)</w:t>
            </w:r>
          </w:p>
        </w:tc>
        <w:tc>
          <w:tcPr>
            <w:tcW w:w="1890" w:type="dxa"/>
            <w:tcBorders/>
          </w:tcPr>
          <w:p>
            <w:pPr>
              <w:pStyle w:val="style0"/>
              <w:spacing w:after="0"/>
              <w:jc w:val="center"/>
              <w:rPr/>
            </w:pPr>
            <w:r>
              <w:t>Negative stereotyping</w:t>
            </w:r>
          </w:p>
        </w:tc>
        <w:tc>
          <w:tcPr>
            <w:tcW w:w="1679" w:type="dxa"/>
            <w:tcBorders/>
          </w:tcPr>
          <w:p>
            <w:pPr>
              <w:pStyle w:val="style0"/>
              <w:spacing w:after="0"/>
              <w:jc w:val="center"/>
              <w:rPr/>
            </w:pPr>
            <w:r>
              <w:t>Social stigma</w:t>
            </w:r>
          </w:p>
        </w:tc>
        <w:tc>
          <w:tcPr>
            <w:tcW w:w="2063" w:type="dxa"/>
            <w:tcBorders/>
          </w:tcPr>
          <w:p>
            <w:pPr>
              <w:pStyle w:val="style0"/>
              <w:spacing w:after="0"/>
              <w:jc w:val="center"/>
              <w:rPr/>
            </w:pPr>
            <w:r>
              <w:t>Young adults’ experiences</w:t>
            </w:r>
          </w:p>
        </w:tc>
      </w:tr>
      <w:tr>
        <w:tblPrEx/>
        <w:trPr/>
        <w:tc>
          <w:tcPr>
            <w:tcW w:w="3610" w:type="dxa"/>
            <w:tcBorders/>
          </w:tcPr>
          <w:p>
            <w:pPr>
              <w:pStyle w:val="style0"/>
              <w:spacing w:after="0"/>
              <w:jc w:val="center"/>
              <w:rPr/>
            </w:pPr>
            <w:r>
              <w:t>Fear of judgment leads to non-disclosure (Huggett et al., 2018)</w:t>
            </w:r>
          </w:p>
        </w:tc>
        <w:tc>
          <w:tcPr>
            <w:tcW w:w="1890" w:type="dxa"/>
            <w:tcBorders/>
          </w:tcPr>
          <w:p>
            <w:pPr>
              <w:pStyle w:val="style0"/>
              <w:spacing w:after="0"/>
              <w:jc w:val="center"/>
              <w:rPr/>
            </w:pPr>
            <w:r>
              <w:t>Anticipated stigma</w:t>
            </w:r>
          </w:p>
        </w:tc>
        <w:tc>
          <w:tcPr>
            <w:tcW w:w="1679" w:type="dxa"/>
            <w:tcBorders/>
          </w:tcPr>
          <w:p>
            <w:pPr>
              <w:pStyle w:val="style0"/>
              <w:spacing w:after="0"/>
              <w:jc w:val="center"/>
              <w:rPr/>
            </w:pPr>
            <w:r>
              <w:t>Behavioural response</w:t>
            </w:r>
          </w:p>
        </w:tc>
        <w:tc>
          <w:tcPr>
            <w:tcW w:w="2063" w:type="dxa"/>
            <w:tcBorders/>
          </w:tcPr>
          <w:p>
            <w:pPr>
              <w:pStyle w:val="style0"/>
              <w:spacing w:after="0"/>
              <w:jc w:val="center"/>
              <w:rPr/>
            </w:pPr>
            <w:r>
              <w:t>Young adults’ experiences</w:t>
            </w:r>
          </w:p>
        </w:tc>
      </w:tr>
      <w:tr>
        <w:tblPrEx/>
        <w:trPr/>
        <w:tc>
          <w:tcPr>
            <w:tcW w:w="3610" w:type="dxa"/>
            <w:tcBorders/>
          </w:tcPr>
          <w:p>
            <w:pPr>
              <w:pStyle w:val="style0"/>
              <w:spacing w:after="0"/>
              <w:jc w:val="center"/>
              <w:rPr/>
            </w:pPr>
            <w:r>
              <w:t>Preference for friends over professionals (Laidlaw et al., 2016)</w:t>
            </w:r>
          </w:p>
        </w:tc>
        <w:tc>
          <w:tcPr>
            <w:tcW w:w="1890" w:type="dxa"/>
            <w:tcBorders/>
          </w:tcPr>
          <w:p>
            <w:pPr>
              <w:pStyle w:val="style0"/>
              <w:spacing w:after="0"/>
              <w:jc w:val="center"/>
              <w:rPr/>
            </w:pPr>
            <w:r>
              <w:t>Informal help preference</w:t>
            </w:r>
          </w:p>
        </w:tc>
        <w:tc>
          <w:tcPr>
            <w:tcW w:w="1679" w:type="dxa"/>
            <w:tcBorders/>
          </w:tcPr>
          <w:p>
            <w:pPr>
              <w:pStyle w:val="style0"/>
              <w:spacing w:after="0"/>
              <w:jc w:val="center"/>
              <w:rPr/>
            </w:pPr>
            <w:r>
              <w:t>Support systems</w:t>
            </w:r>
          </w:p>
        </w:tc>
        <w:tc>
          <w:tcPr>
            <w:tcW w:w="2063" w:type="dxa"/>
            <w:tcBorders/>
          </w:tcPr>
          <w:p>
            <w:pPr>
              <w:pStyle w:val="style0"/>
              <w:spacing w:after="0"/>
              <w:jc w:val="center"/>
              <w:rPr/>
            </w:pPr>
            <w:r>
              <w:t>Programme components</w:t>
            </w:r>
          </w:p>
        </w:tc>
      </w:tr>
      <w:tr>
        <w:tblPrEx/>
        <w:trPr/>
        <w:tc>
          <w:tcPr>
            <w:tcW w:w="3610" w:type="dxa"/>
            <w:tcBorders/>
          </w:tcPr>
          <w:p>
            <w:pPr>
              <w:pStyle w:val="style0"/>
              <w:spacing w:after="0"/>
              <w:jc w:val="center"/>
              <w:rPr/>
            </w:pPr>
            <w:r>
              <w:t>Peer support reduces stigma (Holding et al., 2022)</w:t>
            </w:r>
          </w:p>
        </w:tc>
        <w:tc>
          <w:tcPr>
            <w:tcW w:w="1890" w:type="dxa"/>
            <w:tcBorders/>
          </w:tcPr>
          <w:p>
            <w:pPr>
              <w:pStyle w:val="style0"/>
              <w:spacing w:after="0"/>
              <w:jc w:val="center"/>
              <w:rPr/>
            </w:pPr>
            <w:r>
              <w:t>Peer influence</w:t>
            </w:r>
          </w:p>
        </w:tc>
        <w:tc>
          <w:tcPr>
            <w:tcW w:w="1679" w:type="dxa"/>
            <w:tcBorders/>
          </w:tcPr>
          <w:p>
            <w:pPr>
              <w:pStyle w:val="style0"/>
              <w:spacing w:after="0"/>
              <w:jc w:val="center"/>
              <w:rPr/>
            </w:pPr>
            <w:r>
              <w:t>Intervention strategy</w:t>
            </w:r>
          </w:p>
        </w:tc>
        <w:tc>
          <w:tcPr>
            <w:tcW w:w="2063" w:type="dxa"/>
            <w:tcBorders/>
          </w:tcPr>
          <w:p>
            <w:pPr>
              <w:pStyle w:val="style0"/>
              <w:spacing w:after="0"/>
              <w:jc w:val="center"/>
              <w:rPr/>
            </w:pPr>
            <w:r>
              <w:t>Programme components</w:t>
            </w:r>
          </w:p>
        </w:tc>
      </w:tr>
      <w:tr>
        <w:tblPrEx/>
        <w:trPr/>
        <w:tc>
          <w:tcPr>
            <w:tcW w:w="3610" w:type="dxa"/>
            <w:tcBorders/>
          </w:tcPr>
          <w:p>
            <w:pPr>
              <w:pStyle w:val="style0"/>
              <w:spacing w:after="0"/>
              <w:jc w:val="center"/>
              <w:rPr/>
            </w:pPr>
            <w:r>
              <w:t>Programmes seen as performative (Finan &amp; Foulkes, 2025)</w:t>
            </w:r>
          </w:p>
        </w:tc>
        <w:tc>
          <w:tcPr>
            <w:tcW w:w="1890" w:type="dxa"/>
            <w:tcBorders/>
          </w:tcPr>
          <w:p>
            <w:pPr>
              <w:pStyle w:val="style0"/>
              <w:spacing w:after="0"/>
              <w:jc w:val="center"/>
              <w:rPr/>
            </w:pPr>
            <w:r>
              <w:t>Lack of authenticity</w:t>
            </w:r>
          </w:p>
        </w:tc>
        <w:tc>
          <w:tcPr>
            <w:tcW w:w="1679" w:type="dxa"/>
            <w:tcBorders/>
          </w:tcPr>
          <w:p>
            <w:pPr>
              <w:pStyle w:val="style0"/>
              <w:spacing w:after="0"/>
              <w:jc w:val="center"/>
              <w:rPr/>
            </w:pPr>
            <w:r>
              <w:t>Programme limitations</w:t>
            </w:r>
          </w:p>
        </w:tc>
        <w:tc>
          <w:tcPr>
            <w:tcW w:w="2063" w:type="dxa"/>
            <w:tcBorders/>
          </w:tcPr>
          <w:p>
            <w:pPr>
              <w:pStyle w:val="style0"/>
              <w:spacing w:after="0"/>
              <w:jc w:val="center"/>
              <w:rPr/>
            </w:pPr>
            <w:r>
              <w:t>Gaps and future directions</w:t>
            </w:r>
          </w:p>
        </w:tc>
      </w:tr>
      <w:tr>
        <w:tblPrEx/>
        <w:trPr/>
        <w:tc>
          <w:tcPr>
            <w:tcW w:w="3610" w:type="dxa"/>
            <w:tcBorders/>
          </w:tcPr>
          <w:p>
            <w:pPr>
              <w:pStyle w:val="style0"/>
              <w:spacing w:after="0"/>
              <w:jc w:val="center"/>
              <w:rPr/>
            </w:pPr>
            <w:r>
              <w:t>Socioeconomic factors influence stigma (Lee &amp; Wong, 2024)</w:t>
            </w:r>
          </w:p>
        </w:tc>
        <w:tc>
          <w:tcPr>
            <w:tcW w:w="1890" w:type="dxa"/>
            <w:tcBorders/>
          </w:tcPr>
          <w:p>
            <w:pPr>
              <w:pStyle w:val="style0"/>
              <w:spacing w:after="0"/>
              <w:jc w:val="center"/>
              <w:rPr/>
            </w:pPr>
            <w:r>
              <w:t>Structural inequality</w:t>
            </w:r>
          </w:p>
        </w:tc>
        <w:tc>
          <w:tcPr>
            <w:tcW w:w="1679" w:type="dxa"/>
            <w:tcBorders/>
          </w:tcPr>
          <w:p>
            <w:pPr>
              <w:pStyle w:val="style0"/>
              <w:spacing w:after="0"/>
              <w:jc w:val="center"/>
              <w:rPr/>
            </w:pPr>
            <w:r>
              <w:t>Systemic barriers</w:t>
            </w:r>
          </w:p>
        </w:tc>
        <w:tc>
          <w:tcPr>
            <w:tcW w:w="2063" w:type="dxa"/>
            <w:tcBorders/>
          </w:tcPr>
          <w:p>
            <w:pPr>
              <w:pStyle w:val="style0"/>
              <w:spacing w:after="0"/>
              <w:jc w:val="center"/>
              <w:rPr/>
            </w:pPr>
            <w:r>
              <w:t>Gaps and future directions</w:t>
            </w:r>
          </w:p>
        </w:tc>
      </w:tr>
    </w:tbl>
    <w:p>
      <w:pPr>
        <w:pStyle w:val="style0"/>
        <w:rPr>
          <w:highlight w:val="white"/>
        </w:rPr>
      </w:pPr>
    </w:p>
    <w:p>
      <w:pPr>
        <w:pStyle w:val="style0"/>
        <w:rPr/>
      </w:pPr>
    </w:p>
    <w:p>
      <w:pPr>
        <w:pStyle w:val="style0"/>
        <w:rPr/>
      </w:pPr>
    </w:p>
    <w:p>
      <w:pPr>
        <w:pStyle w:val="style0"/>
        <w:spacing w:after="240"/>
        <w:rPr/>
      </w:pPr>
    </w:p>
    <w:p>
      <w:pPr>
        <w:pStyle w:val="style0"/>
        <w:spacing w:after="240"/>
        <w:rPr/>
      </w:pPr>
    </w:p>
    <w:p>
      <w:pPr>
        <w:pStyle w:val="style0"/>
        <w:spacing w:after="240"/>
        <w:rPr/>
      </w:pPr>
    </w:p>
    <w:p>
      <w:pPr>
        <w:pStyle w:val="style0"/>
        <w:spacing w:after="240"/>
        <w:rPr/>
      </w:pPr>
    </w:p>
    <w:p>
      <w:pPr>
        <w:pStyle w:val="style0"/>
        <w:spacing w:after="240"/>
        <w:rPr/>
      </w:pPr>
    </w:p>
    <w:bookmarkStart w:id="83" w:name="_heading=h.adhkl2l1tpwx" w:colFirst="0" w:colLast="0"/>
    <w:bookmarkEnd w:id="83"/>
    <w:p>
      <w:pPr>
        <w:pStyle w:val="style0"/>
        <w:spacing w:lineRule="auto" w:line="259"/>
        <w:jc w:val="left"/>
        <w:rPr>
          <w:b/>
          <w:bCs/>
          <w:sz w:val="26"/>
          <w:szCs w:val="26"/>
        </w:rPr>
      </w:pPr>
    </w:p>
    <w:bookmarkStart w:id="84" w:name="_Toc17752"/>
    <w:p>
      <w:pPr>
        <w:pStyle w:val="style2"/>
        <w:spacing w:lineRule="auto" w:line="480"/>
        <w:rPr/>
      </w:pPr>
      <w:r>
        <w:t>Appendix 3- Data Extraction Table</w:t>
      </w:r>
      <w:bookmarkEnd w:id="84"/>
    </w:p>
    <w:tbl>
      <w:tblPr>
        <w:tblStyle w:val="style4105"/>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18"/>
        <w:gridCol w:w="1112"/>
        <w:gridCol w:w="1560"/>
        <w:gridCol w:w="1996"/>
        <w:gridCol w:w="1501"/>
        <w:gridCol w:w="1755"/>
      </w:tblGrid>
      <w:tr>
        <w:trPr/>
        <w:tc>
          <w:tcPr>
            <w:tcW w:w="1318" w:type="dxa"/>
            <w:tcBorders/>
          </w:tcPr>
          <w:p>
            <w:pPr>
              <w:pStyle w:val="style0"/>
              <w:spacing w:after="0" w:lineRule="auto" w:line="240"/>
              <w:jc w:val="left"/>
              <w:rPr/>
            </w:pPr>
            <w:r>
              <w:rPr>
                <w:b/>
                <w:bCs/>
              </w:rPr>
              <w:t>Author(s) (Year)</w:t>
            </w:r>
          </w:p>
        </w:tc>
        <w:tc>
          <w:tcPr>
            <w:tcW w:w="1112" w:type="dxa"/>
            <w:tcBorders/>
          </w:tcPr>
          <w:p>
            <w:pPr>
              <w:pStyle w:val="style0"/>
              <w:spacing w:after="0" w:lineRule="auto" w:line="240"/>
              <w:jc w:val="left"/>
              <w:rPr/>
            </w:pPr>
            <w:r>
              <w:rPr>
                <w:b/>
                <w:bCs/>
              </w:rPr>
              <w:t>Country</w:t>
            </w:r>
          </w:p>
        </w:tc>
        <w:tc>
          <w:tcPr>
            <w:tcW w:w="1560" w:type="dxa"/>
            <w:tcBorders/>
          </w:tcPr>
          <w:p>
            <w:pPr>
              <w:pStyle w:val="style0"/>
              <w:spacing w:after="0" w:lineRule="auto" w:line="240"/>
              <w:jc w:val="left"/>
              <w:rPr/>
            </w:pPr>
            <w:r>
              <w:rPr>
                <w:b/>
                <w:bCs/>
              </w:rPr>
              <w:t>Aim of Study</w:t>
            </w:r>
          </w:p>
        </w:tc>
        <w:tc>
          <w:tcPr>
            <w:tcW w:w="1996" w:type="dxa"/>
            <w:tcBorders/>
          </w:tcPr>
          <w:p>
            <w:pPr>
              <w:pStyle w:val="style0"/>
              <w:spacing w:after="0" w:lineRule="auto" w:line="240"/>
              <w:jc w:val="left"/>
              <w:rPr/>
            </w:pPr>
            <w:r>
              <w:rPr>
                <w:b/>
                <w:bCs/>
              </w:rPr>
              <w:t>Sample Characteristics</w:t>
            </w:r>
          </w:p>
        </w:tc>
        <w:tc>
          <w:tcPr>
            <w:tcW w:w="1501" w:type="dxa"/>
            <w:tcBorders/>
          </w:tcPr>
          <w:p>
            <w:pPr>
              <w:pStyle w:val="style0"/>
              <w:spacing w:after="0" w:lineRule="auto" w:line="240"/>
              <w:jc w:val="left"/>
              <w:rPr/>
            </w:pPr>
            <w:r>
              <w:rPr>
                <w:b/>
                <w:bCs/>
              </w:rPr>
              <w:t>Methodology</w:t>
            </w:r>
          </w:p>
        </w:tc>
        <w:tc>
          <w:tcPr>
            <w:tcW w:w="1755" w:type="dxa"/>
            <w:tcBorders/>
          </w:tcPr>
          <w:p>
            <w:pPr>
              <w:pStyle w:val="style0"/>
              <w:spacing w:after="0" w:lineRule="auto" w:line="240"/>
              <w:jc w:val="left"/>
              <w:rPr/>
            </w:pPr>
            <w:r>
              <w:rPr>
                <w:b/>
                <w:bCs/>
              </w:rPr>
              <w:t>Key Findings Related to Stigma/Barriers</w:t>
            </w:r>
          </w:p>
        </w:tc>
      </w:tr>
      <w:tr>
        <w:tblPrEx/>
        <w:trPr/>
        <w:tc>
          <w:tcPr>
            <w:tcW w:w="1318" w:type="dxa"/>
            <w:tcBorders/>
          </w:tcPr>
          <w:p>
            <w:pPr>
              <w:pStyle w:val="style0"/>
              <w:spacing w:after="0" w:lineRule="auto" w:line="240"/>
              <w:jc w:val="left"/>
              <w:rPr/>
            </w:pPr>
            <w:r>
              <w:rPr>
                <w:b/>
                <w:bCs/>
              </w:rPr>
              <w:t xml:space="preserve">Ansell </w:t>
            </w:r>
            <w:r>
              <w:rPr>
                <w:b/>
                <w:bCs/>
                <w:i/>
                <w:iCs/>
              </w:rPr>
              <w:t>et al.</w:t>
            </w:r>
            <w:r>
              <w:rPr>
                <w:b/>
                <w:bCs/>
              </w:rPr>
              <w:t xml:space="preserve"> (2024)</w:t>
            </w:r>
          </w:p>
        </w:tc>
        <w:tc>
          <w:tcPr>
            <w:tcW w:w="1112" w:type="dxa"/>
            <w:tcBorders/>
          </w:tcPr>
          <w:p>
            <w:pPr>
              <w:pStyle w:val="style0"/>
              <w:spacing w:after="0" w:lineRule="auto" w:line="240"/>
              <w:jc w:val="left"/>
              <w:rPr/>
            </w:pPr>
            <w:r>
              <w:t>UK</w:t>
            </w:r>
          </w:p>
        </w:tc>
        <w:tc>
          <w:tcPr>
            <w:tcW w:w="1560" w:type="dxa"/>
            <w:tcBorders/>
          </w:tcPr>
          <w:p>
            <w:pPr>
              <w:pStyle w:val="style0"/>
              <w:spacing w:after="0" w:lineRule="auto" w:line="240"/>
              <w:jc w:val="left"/>
              <w:rPr/>
            </w:pPr>
            <w:r>
              <w:t>To explore the stigma experiences of young people living with anxiety and depression.</w:t>
            </w:r>
          </w:p>
        </w:tc>
        <w:tc>
          <w:tcPr>
            <w:tcW w:w="1996" w:type="dxa"/>
            <w:tcBorders/>
          </w:tcPr>
          <w:p>
            <w:pPr>
              <w:pStyle w:val="style0"/>
              <w:spacing w:after="0" w:lineRule="auto" w:line="240"/>
              <w:jc w:val="left"/>
              <w:rPr/>
            </w:pPr>
            <w:r>
              <w:t>13 young people aged 16-24 with self-reported anxiety/depression.</w:t>
            </w:r>
          </w:p>
        </w:tc>
        <w:tc>
          <w:tcPr>
            <w:tcW w:w="1501" w:type="dxa"/>
            <w:tcBorders/>
          </w:tcPr>
          <w:p>
            <w:pPr>
              <w:pStyle w:val="style0"/>
              <w:spacing w:after="0" w:lineRule="auto" w:line="240"/>
              <w:jc w:val="left"/>
              <w:rPr/>
            </w:pPr>
            <w:r>
              <w:t>Qualitative; semi-structured interviews; thematic analysis.</w:t>
            </w:r>
          </w:p>
        </w:tc>
        <w:tc>
          <w:tcPr>
            <w:tcW w:w="1755" w:type="dxa"/>
            <w:tcBorders/>
          </w:tcPr>
          <w:p>
            <w:pPr>
              <w:pStyle w:val="style0"/>
              <w:spacing w:after="0" w:lineRule="auto" w:line="240"/>
              <w:jc w:val="left"/>
              <w:rPr/>
            </w:pPr>
            <w:r>
              <w:t>Stigma experiences (perceived, enacted, internalised) cause profound shame and isolation, acting as a major barrier to help-seeking.</w:t>
            </w:r>
          </w:p>
        </w:tc>
      </w:tr>
      <w:tr>
        <w:tblPrEx/>
        <w:trPr/>
        <w:tc>
          <w:tcPr>
            <w:tcW w:w="1318" w:type="dxa"/>
            <w:tcBorders/>
          </w:tcPr>
          <w:p>
            <w:pPr>
              <w:pStyle w:val="style0"/>
              <w:spacing w:after="0" w:lineRule="auto" w:line="240"/>
              <w:jc w:val="left"/>
              <w:rPr/>
            </w:pPr>
            <w:r>
              <w:rPr>
                <w:b/>
                <w:bCs/>
              </w:rPr>
              <w:t>Lee and Wong (2024)</w:t>
            </w:r>
          </w:p>
        </w:tc>
        <w:tc>
          <w:tcPr>
            <w:tcW w:w="1112" w:type="dxa"/>
            <w:tcBorders/>
          </w:tcPr>
          <w:p>
            <w:pPr>
              <w:pStyle w:val="style0"/>
              <w:spacing w:after="0" w:lineRule="auto" w:line="240"/>
              <w:jc w:val="left"/>
              <w:rPr/>
            </w:pPr>
            <w:r>
              <w:t>UK (London)</w:t>
            </w:r>
          </w:p>
        </w:tc>
        <w:tc>
          <w:tcPr>
            <w:tcW w:w="1560" w:type="dxa"/>
            <w:tcBorders/>
          </w:tcPr>
          <w:p>
            <w:pPr>
              <w:pStyle w:val="style0"/>
              <w:spacing w:after="0" w:lineRule="auto" w:line="240"/>
              <w:jc w:val="left"/>
              <w:rPr/>
            </w:pPr>
            <w:r>
              <w:t>To understand mental health challenges, inequalities, and support needs of diverse youth during COVID-19.</w:t>
            </w:r>
          </w:p>
        </w:tc>
        <w:tc>
          <w:tcPr>
            <w:tcW w:w="1996" w:type="dxa"/>
            <w:tcBorders/>
          </w:tcPr>
          <w:p>
            <w:pPr>
              <w:pStyle w:val="style0"/>
              <w:spacing w:after="0" w:lineRule="auto" w:line="240"/>
              <w:jc w:val="left"/>
              <w:rPr/>
            </w:pPr>
            <w:r>
              <w:t>20 adolescents aged 14-25 years</w:t>
            </w:r>
          </w:p>
        </w:tc>
        <w:tc>
          <w:tcPr>
            <w:tcW w:w="1501" w:type="dxa"/>
            <w:tcBorders/>
          </w:tcPr>
          <w:p>
            <w:pPr>
              <w:pStyle w:val="style0"/>
              <w:spacing w:after="0" w:lineRule="auto" w:line="240"/>
              <w:jc w:val="left"/>
              <w:rPr/>
            </w:pPr>
            <w:r>
              <w:t>Qualitative; remote semi-structured interviews; thematic analysis.</w:t>
            </w:r>
          </w:p>
        </w:tc>
        <w:tc>
          <w:tcPr>
            <w:tcW w:w="1755" w:type="dxa"/>
            <w:tcBorders/>
          </w:tcPr>
          <w:p>
            <w:pPr>
              <w:pStyle w:val="style0"/>
              <w:spacing w:after="0" w:lineRule="auto" w:line="240"/>
              <w:jc w:val="left"/>
              <w:rPr/>
            </w:pPr>
            <w:r>
              <w:t>The pandemic exacerbated existing inequalities. Stigma, lack of culturally sensitive support, and disrupted services were key barriers.</w:t>
            </w:r>
          </w:p>
        </w:tc>
      </w:tr>
      <w:tr>
        <w:tblPrEx/>
        <w:trPr/>
        <w:tc>
          <w:tcPr>
            <w:tcW w:w="1318" w:type="dxa"/>
            <w:tcBorders/>
          </w:tcPr>
          <w:p>
            <w:pPr>
              <w:pStyle w:val="style0"/>
              <w:spacing w:after="0" w:lineRule="auto" w:line="240"/>
              <w:jc w:val="left"/>
              <w:rPr/>
            </w:pPr>
            <w:r>
              <w:rPr>
                <w:b/>
                <w:bCs/>
              </w:rPr>
              <w:t xml:space="preserve">Huggett </w:t>
            </w:r>
            <w:r>
              <w:rPr>
                <w:b/>
                <w:bCs/>
                <w:i/>
                <w:iCs/>
              </w:rPr>
              <w:t>et al.</w:t>
            </w:r>
            <w:r>
              <w:rPr>
                <w:b/>
                <w:bCs/>
              </w:rPr>
              <w:t xml:space="preserve"> (2018)</w:t>
            </w:r>
          </w:p>
        </w:tc>
        <w:tc>
          <w:tcPr>
            <w:tcW w:w="1112" w:type="dxa"/>
            <w:tcBorders/>
          </w:tcPr>
          <w:p>
            <w:pPr>
              <w:pStyle w:val="style0"/>
              <w:spacing w:after="0" w:lineRule="auto" w:line="240"/>
              <w:jc w:val="left"/>
              <w:rPr/>
            </w:pPr>
            <w:r>
              <w:t>UK</w:t>
            </w:r>
          </w:p>
        </w:tc>
        <w:tc>
          <w:tcPr>
            <w:tcW w:w="1560" w:type="dxa"/>
            <w:tcBorders/>
          </w:tcPr>
          <w:p>
            <w:pPr>
              <w:pStyle w:val="style0"/>
              <w:spacing w:after="0" w:lineRule="auto" w:line="240"/>
              <w:jc w:val="left"/>
              <w:rPr/>
            </w:pPr>
            <w:r>
              <w:t>To explore the lived experiences of stigma among individuals with mental health problems.</w:t>
            </w:r>
          </w:p>
        </w:tc>
        <w:tc>
          <w:tcPr>
            <w:tcW w:w="1996" w:type="dxa"/>
            <w:tcBorders/>
          </w:tcPr>
          <w:p>
            <w:pPr>
              <w:pStyle w:val="style0"/>
              <w:spacing w:after="0" w:lineRule="auto" w:line="240"/>
              <w:jc w:val="left"/>
              <w:rPr/>
            </w:pPr>
            <w:r>
              <w:t xml:space="preserve">Participants 18 years or older </w:t>
            </w:r>
          </w:p>
        </w:tc>
        <w:tc>
          <w:tcPr>
            <w:tcW w:w="1501" w:type="dxa"/>
            <w:tcBorders/>
          </w:tcPr>
          <w:p>
            <w:pPr>
              <w:pStyle w:val="style0"/>
              <w:spacing w:after="0" w:lineRule="auto" w:line="240"/>
              <w:jc w:val="left"/>
              <w:rPr/>
            </w:pPr>
            <w:r>
              <w:t>Qualitative; semi-structured interviews; thematic analysis.</w:t>
            </w:r>
          </w:p>
        </w:tc>
        <w:tc>
          <w:tcPr>
            <w:tcW w:w="1755" w:type="dxa"/>
            <w:tcBorders/>
          </w:tcPr>
          <w:p>
            <w:pPr>
              <w:pStyle w:val="style0"/>
              <w:spacing w:after="0" w:lineRule="auto" w:line="240"/>
              <w:jc w:val="left"/>
              <w:rPr/>
            </w:pPr>
            <w:r>
              <w:t>Enacted, anticipated, and internalised stigma create a vicious cycle of shame, social withdrawal, and a barrier to recovery.</w:t>
            </w:r>
          </w:p>
        </w:tc>
      </w:tr>
      <w:tr>
        <w:tblPrEx/>
        <w:trPr/>
        <w:tc>
          <w:tcPr>
            <w:tcW w:w="1318" w:type="dxa"/>
            <w:tcBorders/>
          </w:tcPr>
          <w:p>
            <w:pPr>
              <w:pStyle w:val="style0"/>
              <w:spacing w:after="0" w:lineRule="auto" w:line="240"/>
              <w:jc w:val="left"/>
              <w:rPr/>
            </w:pPr>
            <w:r>
              <w:rPr>
                <w:b/>
                <w:bCs/>
              </w:rPr>
              <w:t xml:space="preserve">Birken </w:t>
            </w:r>
            <w:r>
              <w:rPr>
                <w:b/>
                <w:bCs/>
                <w:i/>
                <w:iCs/>
              </w:rPr>
              <w:t xml:space="preserve">et al. </w:t>
            </w:r>
            <w:r>
              <w:rPr>
                <w:b/>
                <w:bCs/>
              </w:rPr>
              <w:t>(2023)</w:t>
            </w:r>
          </w:p>
        </w:tc>
        <w:tc>
          <w:tcPr>
            <w:tcW w:w="1112" w:type="dxa"/>
            <w:tcBorders/>
          </w:tcPr>
          <w:p>
            <w:pPr>
              <w:pStyle w:val="style0"/>
              <w:spacing w:after="0" w:lineRule="auto" w:line="240"/>
              <w:jc w:val="left"/>
              <w:rPr/>
            </w:pPr>
            <w:r>
              <w:t>UK (England)</w:t>
            </w:r>
          </w:p>
        </w:tc>
        <w:tc>
          <w:tcPr>
            <w:tcW w:w="1560" w:type="dxa"/>
            <w:tcBorders/>
          </w:tcPr>
          <w:p>
            <w:pPr>
              <w:pStyle w:val="style0"/>
              <w:spacing w:after="0" w:lineRule="auto" w:line="240"/>
              <w:jc w:val="left"/>
              <w:rPr/>
            </w:pPr>
            <w:r>
              <w:t>To explore experiences of loneliness in adults with pre-existing mental health conditions.</w:t>
            </w:r>
          </w:p>
        </w:tc>
        <w:tc>
          <w:tcPr>
            <w:tcW w:w="1996" w:type="dxa"/>
            <w:tcBorders/>
          </w:tcPr>
          <w:p>
            <w:pPr>
              <w:pStyle w:val="style0"/>
              <w:spacing w:after="0" w:lineRule="auto" w:line="240"/>
              <w:jc w:val="left"/>
              <w:rPr/>
            </w:pPr>
            <w:r>
              <w:t>59 participants.</w:t>
            </w:r>
          </w:p>
        </w:tc>
        <w:tc>
          <w:tcPr>
            <w:tcW w:w="1501" w:type="dxa"/>
            <w:tcBorders/>
          </w:tcPr>
          <w:p>
            <w:pPr>
              <w:pStyle w:val="style0"/>
              <w:spacing w:after="0" w:lineRule="auto" w:line="240"/>
              <w:jc w:val="left"/>
              <w:rPr/>
            </w:pPr>
            <w:r>
              <w:t>Qualitative; participatory design with semi-structured interviews; thematic analysis.</w:t>
            </w:r>
          </w:p>
        </w:tc>
        <w:tc>
          <w:tcPr>
            <w:tcW w:w="1755" w:type="dxa"/>
            <w:tcBorders/>
          </w:tcPr>
          <w:p>
            <w:pPr>
              <w:pStyle w:val="style0"/>
              <w:spacing w:after="0" w:lineRule="auto" w:line="240"/>
              <w:jc w:val="left"/>
              <w:rPr/>
            </w:pPr>
            <w:r>
              <w:t>Loneliness intertwined with stigma and mental health. Stigma fuels "differentness" and social disconnection, hindering meaningful connection.</w:t>
            </w:r>
          </w:p>
        </w:tc>
      </w:tr>
      <w:tr>
        <w:tblPrEx/>
        <w:trPr/>
        <w:tc>
          <w:tcPr>
            <w:tcW w:w="1318" w:type="dxa"/>
            <w:tcBorders/>
          </w:tcPr>
          <w:p>
            <w:pPr>
              <w:pStyle w:val="style0"/>
              <w:spacing w:after="0" w:lineRule="auto" w:line="240"/>
              <w:jc w:val="left"/>
              <w:rPr/>
            </w:pPr>
            <w:r>
              <w:rPr>
                <w:b/>
                <w:bCs/>
              </w:rPr>
              <w:t xml:space="preserve">Stuart </w:t>
            </w:r>
            <w:r>
              <w:rPr>
                <w:b/>
                <w:bCs/>
                <w:i/>
                <w:iCs/>
              </w:rPr>
              <w:t xml:space="preserve">et al. </w:t>
            </w:r>
            <w:r>
              <w:rPr>
                <w:b/>
                <w:bCs/>
              </w:rPr>
              <w:t>(2023)</w:t>
            </w:r>
          </w:p>
        </w:tc>
        <w:tc>
          <w:tcPr>
            <w:tcW w:w="1112" w:type="dxa"/>
            <w:tcBorders/>
          </w:tcPr>
          <w:p>
            <w:pPr>
              <w:pStyle w:val="style0"/>
              <w:spacing w:after="0" w:lineRule="auto" w:line="240"/>
              <w:jc w:val="left"/>
              <w:rPr/>
            </w:pPr>
            <w:r>
              <w:t>UK (England)</w:t>
            </w:r>
          </w:p>
        </w:tc>
        <w:tc>
          <w:tcPr>
            <w:tcW w:w="1560" w:type="dxa"/>
            <w:tcBorders/>
          </w:tcPr>
          <w:p>
            <w:pPr>
              <w:pStyle w:val="style0"/>
              <w:spacing w:after="0" w:lineRule="auto" w:line="240"/>
              <w:jc w:val="left"/>
              <w:rPr/>
            </w:pPr>
            <w:r>
              <w:t xml:space="preserve">To evaluate public experiences and perceptions </w:t>
            </w:r>
            <w:r>
              <w:t>of the 'Every Mind Matters' mental health campaign.</w:t>
            </w:r>
          </w:p>
        </w:tc>
        <w:tc>
          <w:tcPr>
            <w:tcW w:w="1996" w:type="dxa"/>
            <w:tcBorders/>
          </w:tcPr>
          <w:p>
            <w:pPr>
              <w:pStyle w:val="style0"/>
              <w:spacing w:after="0" w:lineRule="auto" w:line="240"/>
              <w:jc w:val="left"/>
              <w:rPr/>
            </w:pPr>
            <w:r>
              <w:t>20 interviews were conducted</w:t>
            </w:r>
          </w:p>
        </w:tc>
        <w:tc>
          <w:tcPr>
            <w:tcW w:w="1501" w:type="dxa"/>
            <w:tcBorders/>
          </w:tcPr>
          <w:p>
            <w:pPr>
              <w:pStyle w:val="style0"/>
              <w:spacing w:after="0" w:lineRule="auto" w:line="240"/>
              <w:jc w:val="left"/>
              <w:rPr/>
            </w:pPr>
            <w:r>
              <w:t xml:space="preserve">Qualitative; semi-structured interviews; </w:t>
            </w:r>
            <w:r>
              <w:t>framework analysis.</w:t>
            </w:r>
          </w:p>
        </w:tc>
        <w:tc>
          <w:tcPr>
            <w:tcW w:w="1755" w:type="dxa"/>
            <w:tcBorders/>
          </w:tcPr>
          <w:p>
            <w:pPr>
              <w:pStyle w:val="style0"/>
              <w:spacing w:after="0" w:lineRule="auto" w:line="240"/>
              <w:jc w:val="left"/>
              <w:rPr/>
            </w:pPr>
            <w:r>
              <w:t xml:space="preserve">The campaign raised awareness but did not bridge the </w:t>
            </w:r>
            <w:r>
              <w:t>"awareness-to-action gap". Superficial content failed those with complex needs; systemic barriers remained.</w:t>
            </w:r>
          </w:p>
        </w:tc>
      </w:tr>
      <w:tr>
        <w:tblPrEx/>
        <w:trPr/>
        <w:tc>
          <w:tcPr>
            <w:tcW w:w="1318" w:type="dxa"/>
            <w:tcBorders/>
          </w:tcPr>
          <w:p>
            <w:pPr>
              <w:pStyle w:val="style0"/>
              <w:spacing w:after="0" w:lineRule="auto" w:line="240"/>
              <w:jc w:val="left"/>
              <w:rPr/>
            </w:pPr>
            <w:r>
              <w:rPr>
                <w:b/>
                <w:bCs/>
              </w:rPr>
              <w:t>Finan and Foulkes (2025)</w:t>
            </w:r>
          </w:p>
        </w:tc>
        <w:tc>
          <w:tcPr>
            <w:tcW w:w="1112" w:type="dxa"/>
            <w:tcBorders/>
          </w:tcPr>
          <w:p>
            <w:pPr>
              <w:pStyle w:val="style0"/>
              <w:spacing w:after="0" w:lineRule="auto" w:line="240"/>
              <w:jc w:val="left"/>
              <w:rPr/>
            </w:pPr>
            <w:r>
              <w:t>UK</w:t>
            </w:r>
          </w:p>
        </w:tc>
        <w:tc>
          <w:tcPr>
            <w:tcW w:w="1560" w:type="dxa"/>
            <w:tcBorders/>
          </w:tcPr>
          <w:p>
            <w:pPr>
              <w:pStyle w:val="style0"/>
              <w:spacing w:after="0" w:lineRule="auto" w:line="240"/>
              <w:jc w:val="left"/>
              <w:rPr/>
            </w:pPr>
            <w:r>
              <w:t>To explore undergraduate attitudes towards university mental health awareness efforts.</w:t>
            </w:r>
          </w:p>
        </w:tc>
        <w:tc>
          <w:tcPr>
            <w:tcW w:w="1996" w:type="dxa"/>
            <w:tcBorders/>
          </w:tcPr>
          <w:p>
            <w:pPr>
              <w:pStyle w:val="style0"/>
              <w:spacing w:after="0" w:lineRule="auto" w:line="240"/>
              <w:jc w:val="left"/>
              <w:rPr/>
            </w:pPr>
            <w:r>
              <w:t>15 undergraduates between 18 and 24 years</w:t>
            </w:r>
          </w:p>
        </w:tc>
        <w:tc>
          <w:tcPr>
            <w:tcW w:w="1501" w:type="dxa"/>
            <w:tcBorders/>
          </w:tcPr>
          <w:p>
            <w:pPr>
              <w:pStyle w:val="style0"/>
              <w:spacing w:after="0" w:lineRule="auto" w:line="240"/>
              <w:jc w:val="left"/>
              <w:rPr/>
            </w:pPr>
            <w:r>
              <w:t>Qualitative: focus groups and interviews; thematic analysis.</w:t>
            </w:r>
          </w:p>
        </w:tc>
        <w:tc>
          <w:tcPr>
            <w:tcW w:w="1755" w:type="dxa"/>
            <w:tcBorders/>
          </w:tcPr>
          <w:p>
            <w:pPr>
              <w:pStyle w:val="style0"/>
              <w:spacing w:after="0" w:lineRule="auto" w:line="240"/>
              <w:jc w:val="left"/>
              <w:rPr/>
            </w:pPr>
            <w:r>
              <w:t>Students viewed university efforts as "disingenuous box-ticking," leading to disengagement. Perceived lack of authentic institutional support was a key barrier.</w:t>
            </w:r>
          </w:p>
        </w:tc>
      </w:tr>
      <w:tr>
        <w:tblPrEx/>
        <w:trPr/>
        <w:tc>
          <w:tcPr>
            <w:tcW w:w="1318" w:type="dxa"/>
            <w:tcBorders/>
          </w:tcPr>
          <w:p>
            <w:pPr>
              <w:pStyle w:val="style0"/>
              <w:spacing w:after="0" w:lineRule="auto" w:line="240"/>
              <w:jc w:val="left"/>
              <w:rPr/>
            </w:pPr>
            <w:r>
              <w:rPr>
                <w:b/>
                <w:bCs/>
              </w:rPr>
              <w:t xml:space="preserve">Laidlaw </w:t>
            </w:r>
            <w:r>
              <w:rPr>
                <w:b/>
                <w:bCs/>
                <w:i/>
                <w:iCs/>
              </w:rPr>
              <w:t>et al.</w:t>
            </w:r>
            <w:r>
              <w:rPr>
                <w:b/>
                <w:bCs/>
              </w:rPr>
              <w:t xml:space="preserve"> (2016)</w:t>
            </w:r>
          </w:p>
        </w:tc>
        <w:tc>
          <w:tcPr>
            <w:tcW w:w="1112" w:type="dxa"/>
            <w:tcBorders/>
          </w:tcPr>
          <w:p>
            <w:pPr>
              <w:pStyle w:val="style0"/>
              <w:spacing w:after="0" w:lineRule="auto" w:line="240"/>
              <w:jc w:val="left"/>
              <w:rPr/>
            </w:pPr>
            <w:r>
              <w:t>UK</w:t>
            </w:r>
          </w:p>
        </w:tc>
        <w:tc>
          <w:tcPr>
            <w:tcW w:w="1560" w:type="dxa"/>
            <w:tcBorders/>
          </w:tcPr>
          <w:p>
            <w:pPr>
              <w:pStyle w:val="style0"/>
              <w:spacing w:after="0" w:lineRule="auto" w:line="240"/>
              <w:jc w:val="left"/>
              <w:rPr/>
            </w:pPr>
            <w:r>
              <w:t>To understand student perceptions of mental health, well-being, and help-seeking.</w:t>
            </w:r>
          </w:p>
        </w:tc>
        <w:tc>
          <w:tcPr>
            <w:tcW w:w="1996" w:type="dxa"/>
            <w:tcBorders/>
          </w:tcPr>
          <w:p>
            <w:pPr>
              <w:pStyle w:val="style0"/>
              <w:spacing w:after="0" w:lineRule="auto" w:line="240"/>
              <w:jc w:val="left"/>
              <w:rPr/>
            </w:pPr>
            <w:r>
              <w:t>20 Undergraduate students at a UK university.</w:t>
            </w:r>
          </w:p>
        </w:tc>
        <w:tc>
          <w:tcPr>
            <w:tcW w:w="1501" w:type="dxa"/>
            <w:tcBorders/>
          </w:tcPr>
          <w:p>
            <w:pPr>
              <w:pStyle w:val="style0"/>
              <w:spacing w:after="0" w:lineRule="auto" w:line="240"/>
              <w:jc w:val="left"/>
              <w:rPr/>
            </w:pPr>
            <w:r>
              <w:t>Qualitative: focus groups; thematic analysis.</w:t>
            </w:r>
          </w:p>
        </w:tc>
        <w:tc>
          <w:tcPr>
            <w:tcW w:w="1755" w:type="dxa"/>
            <w:tcBorders/>
          </w:tcPr>
          <w:p>
            <w:pPr>
              <w:pStyle w:val="style0"/>
              <w:spacing w:after="0" w:lineRule="auto" w:line="240"/>
              <w:jc w:val="left"/>
              <w:rPr/>
            </w:pPr>
            <w:r>
              <w:t>Students distinguished "everyday stress" from "severe illness," avoiding formal services for the former. Self-reliance and fear of stigma were key help-seeking barriers.</w:t>
            </w:r>
          </w:p>
        </w:tc>
      </w:tr>
      <w:tr>
        <w:tblPrEx/>
        <w:trPr/>
        <w:tc>
          <w:tcPr>
            <w:tcW w:w="1318" w:type="dxa"/>
            <w:tcBorders/>
          </w:tcPr>
          <w:p>
            <w:pPr>
              <w:pStyle w:val="style0"/>
              <w:spacing w:after="0" w:lineRule="auto" w:line="240"/>
              <w:jc w:val="left"/>
              <w:rPr/>
            </w:pPr>
            <w:r>
              <w:rPr>
                <w:b/>
                <w:bCs/>
              </w:rPr>
              <w:t>Walsh and Foster (2022)</w:t>
            </w:r>
          </w:p>
        </w:tc>
        <w:tc>
          <w:tcPr>
            <w:tcW w:w="1112" w:type="dxa"/>
            <w:tcBorders/>
          </w:tcPr>
          <w:p>
            <w:pPr>
              <w:pStyle w:val="style0"/>
              <w:spacing w:after="0" w:lineRule="auto" w:line="240"/>
              <w:jc w:val="left"/>
              <w:rPr/>
            </w:pPr>
            <w:r>
              <w:t>UK</w:t>
            </w:r>
          </w:p>
        </w:tc>
        <w:tc>
          <w:tcPr>
            <w:tcW w:w="1560" w:type="dxa"/>
            <w:tcBorders/>
          </w:tcPr>
          <w:p>
            <w:pPr>
              <w:pStyle w:val="style0"/>
              <w:spacing w:after="0" w:lineRule="auto" w:line="240"/>
              <w:jc w:val="left"/>
              <w:rPr/>
            </w:pPr>
            <w:r>
              <w:t>To critically review traditional anti-stigma programmes and propose an alternative theoretical approach.</w:t>
            </w:r>
          </w:p>
        </w:tc>
        <w:tc>
          <w:tcPr>
            <w:tcW w:w="1996" w:type="dxa"/>
            <w:tcBorders/>
          </w:tcPr>
          <w:p>
            <w:pPr>
              <w:pStyle w:val="style0"/>
              <w:spacing w:after="0" w:lineRule="auto" w:line="240"/>
              <w:jc w:val="left"/>
              <w:rPr/>
            </w:pPr>
            <w:r>
              <w:t xml:space="preserve">19 interviews, 20 focus groups, and 529 news reports </w:t>
            </w:r>
          </w:p>
        </w:tc>
        <w:tc>
          <w:tcPr>
            <w:tcW w:w="1501" w:type="dxa"/>
            <w:tcBorders/>
          </w:tcPr>
          <w:p>
            <w:pPr>
              <w:pStyle w:val="style0"/>
              <w:spacing w:after="0" w:lineRule="auto" w:line="240"/>
              <w:jc w:val="left"/>
              <w:rPr/>
            </w:pPr>
            <w:r>
              <w:t>Interviews</w:t>
            </w:r>
          </w:p>
        </w:tc>
        <w:tc>
          <w:tcPr>
            <w:tcW w:w="1755" w:type="dxa"/>
            <w:tcBorders/>
          </w:tcPr>
          <w:p>
            <w:pPr>
              <w:pStyle w:val="style0"/>
              <w:spacing w:after="0" w:lineRule="auto" w:line="240"/>
              <w:jc w:val="left"/>
              <w:rPr/>
            </w:pPr>
            <w:r>
              <w:t>Argues that traditional individual-focused programmes are limited. Proposes systemic, behaviour-change oriented approaches targeting structural discrimination.</w:t>
            </w:r>
          </w:p>
        </w:tc>
      </w:tr>
      <w:tr>
        <w:tblPrEx/>
        <w:trPr/>
        <w:tc>
          <w:tcPr>
            <w:tcW w:w="1318" w:type="dxa"/>
            <w:tcBorders/>
          </w:tcPr>
          <w:p>
            <w:pPr>
              <w:pStyle w:val="style0"/>
              <w:spacing w:after="0" w:lineRule="auto" w:line="240"/>
              <w:jc w:val="left"/>
              <w:rPr/>
            </w:pPr>
            <w:r>
              <w:rPr>
                <w:b/>
                <w:bCs/>
              </w:rPr>
              <w:t xml:space="preserve">Holding </w:t>
            </w:r>
            <w:r>
              <w:rPr>
                <w:b/>
                <w:bCs/>
                <w:i/>
                <w:iCs/>
              </w:rPr>
              <w:t>et al.</w:t>
            </w:r>
            <w:r>
              <w:rPr>
                <w:b/>
                <w:bCs/>
              </w:rPr>
              <w:t xml:space="preserve"> (2022)</w:t>
            </w:r>
          </w:p>
        </w:tc>
        <w:tc>
          <w:tcPr>
            <w:tcW w:w="1112" w:type="dxa"/>
            <w:tcBorders/>
          </w:tcPr>
          <w:p>
            <w:pPr>
              <w:pStyle w:val="style0"/>
              <w:spacing w:after="0" w:lineRule="auto" w:line="240"/>
              <w:jc w:val="left"/>
              <w:rPr/>
            </w:pPr>
            <w:r>
              <w:t>UK (England)</w:t>
            </w:r>
          </w:p>
        </w:tc>
        <w:tc>
          <w:tcPr>
            <w:tcW w:w="1560" w:type="dxa"/>
            <w:tcBorders/>
          </w:tcPr>
          <w:p>
            <w:pPr>
              <w:pStyle w:val="style0"/>
              <w:spacing w:after="0" w:lineRule="auto" w:line="240"/>
              <w:jc w:val="left"/>
              <w:rPr/>
            </w:pPr>
            <w:r>
              <w:t>To explore young people's perspectives on what constitutes effective mental health support.</w:t>
            </w:r>
          </w:p>
        </w:tc>
        <w:tc>
          <w:tcPr>
            <w:tcW w:w="1996" w:type="dxa"/>
            <w:tcBorders/>
          </w:tcPr>
          <w:p>
            <w:pPr>
              <w:pStyle w:val="style0"/>
              <w:spacing w:after="0" w:lineRule="auto" w:line="240"/>
              <w:jc w:val="left"/>
              <w:rPr/>
            </w:pPr>
            <w:r>
              <w:t xml:space="preserve">18 participants aged 13 to 21 years </w:t>
            </w:r>
          </w:p>
        </w:tc>
        <w:tc>
          <w:tcPr>
            <w:tcW w:w="1501" w:type="dxa"/>
            <w:tcBorders/>
          </w:tcPr>
          <w:p>
            <w:pPr>
              <w:pStyle w:val="style0"/>
              <w:spacing w:after="0" w:lineRule="auto" w:line="240"/>
              <w:jc w:val="left"/>
              <w:rPr/>
            </w:pPr>
            <w:r>
              <w:t>Qualitative; semi-structured interviews and focus groups; thematic analysis.</w:t>
            </w:r>
          </w:p>
        </w:tc>
        <w:tc>
          <w:tcPr>
            <w:tcW w:w="1755" w:type="dxa"/>
            <w:tcBorders/>
          </w:tcPr>
          <w:p>
            <w:pPr>
              <w:pStyle w:val="style0"/>
              <w:spacing w:after="0" w:lineRule="auto" w:line="240"/>
              <w:jc w:val="left"/>
              <w:rPr/>
            </w:pPr>
            <w:r>
              <w:t>Young people prioritise trusting, empathetic, and non-judgemental relationships. System navigation, long waits, and impersonal services were major barriers.</w:t>
            </w:r>
          </w:p>
        </w:tc>
      </w:tr>
      <w:tr>
        <w:tblPrEx/>
        <w:trPr/>
        <w:tc>
          <w:tcPr>
            <w:tcW w:w="1318" w:type="dxa"/>
            <w:tcBorders/>
          </w:tcPr>
          <w:p>
            <w:pPr>
              <w:pStyle w:val="style0"/>
              <w:spacing w:after="0" w:lineRule="auto" w:line="240"/>
              <w:jc w:val="left"/>
              <w:rPr>
                <w:b/>
                <w:bCs/>
              </w:rPr>
            </w:pPr>
            <w:r>
              <w:rPr>
                <w:b/>
                <w:bCs/>
                <w:highlight w:val="white"/>
              </w:rPr>
              <w:t>Prizeman et</w:t>
            </w:r>
            <w:r>
              <w:rPr>
                <w:b/>
                <w:bCs/>
                <w:i/>
                <w:iCs/>
              </w:rPr>
              <w:t xml:space="preserve"> al.</w:t>
            </w:r>
            <w:r>
              <w:rPr>
                <w:b/>
                <w:bCs/>
              </w:rPr>
              <w:t xml:space="preserve"> (2024)</w:t>
            </w:r>
          </w:p>
        </w:tc>
        <w:tc>
          <w:tcPr>
            <w:tcW w:w="1112" w:type="dxa"/>
            <w:tcBorders/>
          </w:tcPr>
          <w:p>
            <w:pPr>
              <w:pStyle w:val="style0"/>
              <w:spacing w:after="0" w:lineRule="auto" w:line="240"/>
              <w:jc w:val="left"/>
              <w:rPr/>
            </w:pPr>
            <w:r>
              <w:t>UK</w:t>
            </w:r>
          </w:p>
        </w:tc>
        <w:tc>
          <w:tcPr>
            <w:tcW w:w="1560" w:type="dxa"/>
            <w:tcBorders/>
          </w:tcPr>
          <w:p>
            <w:pPr>
              <w:pStyle w:val="style0"/>
              <w:spacing w:after="0" w:lineRule="auto" w:line="240"/>
              <w:jc w:val="left"/>
              <w:rPr/>
            </w:pPr>
            <w:r>
              <w:t>To explore how mental health stigma influences disclosure, secrecy, loneliness, and social isolation among young people with depression.</w:t>
            </w:r>
          </w:p>
        </w:tc>
        <w:tc>
          <w:tcPr>
            <w:tcW w:w="1996" w:type="dxa"/>
            <w:tcBorders/>
          </w:tcPr>
          <w:p>
            <w:pPr>
              <w:pStyle w:val="style0"/>
              <w:spacing w:after="0" w:lineRule="auto" w:line="240"/>
              <w:jc w:val="left"/>
              <w:rPr/>
            </w:pPr>
            <w:r>
              <w:t>28 young people aged 18–25 with high depression</w:t>
            </w:r>
          </w:p>
        </w:tc>
        <w:tc>
          <w:tcPr>
            <w:tcW w:w="1501" w:type="dxa"/>
            <w:tcBorders/>
          </w:tcPr>
          <w:p>
            <w:pPr>
              <w:pStyle w:val="style0"/>
              <w:spacing w:after="0" w:lineRule="auto" w:line="240"/>
              <w:jc w:val="left"/>
              <w:rPr/>
            </w:pPr>
            <w:r>
              <w:t xml:space="preserve">Qualitative study using semi-structured interviews </w:t>
            </w:r>
          </w:p>
        </w:tc>
        <w:tc>
          <w:tcPr>
            <w:tcW w:w="1755" w:type="dxa"/>
            <w:tcBorders/>
          </w:tcPr>
          <w:p>
            <w:pPr>
              <w:pStyle w:val="style0"/>
              <w:spacing w:after="0" w:lineRule="auto" w:line="240"/>
              <w:jc w:val="left"/>
              <w:rPr/>
            </w:pPr>
            <w:r>
              <w:t>Stigma strongly influenced decisions to disclose or conceal depression. Fear of judgment and discrimination led to secrecy, increasing loneliness and social isolation.</w:t>
            </w:r>
          </w:p>
        </w:tc>
      </w:tr>
    </w:tbl>
    <w:p>
      <w:pPr>
        <w:pStyle w:val="style0"/>
        <w:rPr/>
      </w:pPr>
    </w:p>
    <w:p>
      <w:pPr>
        <w:pStyle w:val="style0"/>
        <w:spacing w:after="200"/>
        <w:rPr>
          <w:b/>
          <w:bCs/>
        </w:rPr>
      </w:pPr>
      <w:r>
        <w:br w:type="page"/>
      </w:r>
    </w:p>
    <w:bookmarkStart w:id="85" w:name="_Toc32054"/>
    <w:p>
      <w:pPr>
        <w:pStyle w:val="style2"/>
        <w:spacing w:lineRule="auto" w:line="480"/>
        <w:rPr/>
      </w:pPr>
      <w:r>
        <w:t>Appendix 4: Summary Table of Themes, Sub-Themes, And Supporting Studies</w:t>
      </w:r>
      <w:bookmarkEnd w:id="85"/>
    </w:p>
    <w:tbl>
      <w:tblPr>
        <w:tblStyle w:val="style4106"/>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406"/>
        <w:gridCol w:w="2684"/>
        <w:gridCol w:w="4152"/>
      </w:tblGrid>
      <w:tr>
        <w:trPr>
          <w:trHeight w:val="300" w:hRule="atLeast"/>
        </w:trPr>
        <w:tc>
          <w:tcPr>
            <w:tcW w:w="2406" w:type="dxa"/>
            <w:tcBorders/>
          </w:tcPr>
          <w:p>
            <w:pPr>
              <w:pStyle w:val="style0"/>
              <w:spacing w:after="0" w:lineRule="auto" w:line="240"/>
              <w:rPr>
                <w:b/>
                <w:bCs/>
              </w:rPr>
            </w:pPr>
            <w:r>
              <w:rPr>
                <w:b/>
                <w:bCs/>
              </w:rPr>
              <w:t>Themes </w:t>
            </w:r>
          </w:p>
        </w:tc>
        <w:tc>
          <w:tcPr>
            <w:tcW w:w="2684" w:type="dxa"/>
            <w:tcBorders/>
          </w:tcPr>
          <w:p>
            <w:pPr>
              <w:pStyle w:val="style0"/>
              <w:spacing w:after="0" w:lineRule="auto" w:line="240"/>
              <w:rPr>
                <w:b/>
                <w:bCs/>
              </w:rPr>
            </w:pPr>
            <w:r>
              <w:rPr>
                <w:b/>
                <w:bCs/>
              </w:rPr>
              <w:t>Sub-Themes </w:t>
            </w:r>
          </w:p>
        </w:tc>
        <w:tc>
          <w:tcPr>
            <w:tcW w:w="4152" w:type="dxa"/>
            <w:tcBorders/>
          </w:tcPr>
          <w:p>
            <w:pPr>
              <w:pStyle w:val="style0"/>
              <w:spacing w:after="0" w:lineRule="auto" w:line="240"/>
              <w:rPr>
                <w:b/>
                <w:bCs/>
              </w:rPr>
            </w:pPr>
            <w:r>
              <w:rPr>
                <w:b/>
                <w:bCs/>
              </w:rPr>
              <w:t>Articles Where It Was Extracted </w:t>
            </w:r>
          </w:p>
        </w:tc>
      </w:tr>
      <w:tr>
        <w:tblPrEx/>
        <w:trPr>
          <w:trHeight w:val="1095" w:hRule="atLeast"/>
        </w:trPr>
        <w:tc>
          <w:tcPr>
            <w:tcW w:w="2406" w:type="dxa"/>
            <w:tcBorders/>
          </w:tcPr>
          <w:p>
            <w:pPr>
              <w:pStyle w:val="style0"/>
              <w:spacing w:after="0" w:lineRule="auto" w:line="240"/>
              <w:rPr/>
            </w:pPr>
            <w:r>
              <w:t>Impact of Community-Based Mental Health Awareness Programmes on Stigma Reduction Among Young Adults </w:t>
            </w:r>
          </w:p>
        </w:tc>
        <w:tc>
          <w:tcPr>
            <w:tcW w:w="2684" w:type="dxa"/>
            <w:tcBorders/>
          </w:tcPr>
          <w:p>
            <w:pPr>
              <w:pStyle w:val="style0"/>
              <w:spacing w:after="0" w:lineRule="auto" w:line="240"/>
              <w:rPr/>
            </w:pPr>
            <w:r>
              <w:t>• Increased mental health literacy</w:t>
            </w:r>
          </w:p>
          <w:p>
            <w:pPr>
              <w:pStyle w:val="style0"/>
              <w:spacing w:after="0" w:lineRule="auto" w:line="240"/>
              <w:rPr/>
            </w:pPr>
            <w:r>
              <w:t>• Normalisation of mental health conversations </w:t>
            </w:r>
          </w:p>
          <w:p>
            <w:pPr>
              <w:pStyle w:val="style0"/>
              <w:spacing w:after="0" w:lineRule="auto" w:line="240"/>
              <w:rPr/>
            </w:pPr>
            <w:r>
              <w:t>• Awareness-to-action gap </w:t>
            </w:r>
          </w:p>
          <w:p>
            <w:pPr>
              <w:pStyle w:val="style0"/>
              <w:spacing w:after="0" w:lineRule="auto" w:line="240"/>
              <w:rPr/>
            </w:pPr>
            <w:r>
              <w:t>• Limited behavioural change despite awareness </w:t>
            </w:r>
          </w:p>
        </w:tc>
        <w:tc>
          <w:tcPr>
            <w:tcW w:w="4152" w:type="dxa"/>
            <w:tcBorders/>
          </w:tcPr>
          <w:p>
            <w:pPr>
              <w:pStyle w:val="style0"/>
              <w:spacing w:after="0" w:lineRule="auto" w:line="240"/>
              <w:rPr/>
            </w:pPr>
            <w:r>
              <w:t>BMC Public Health (Stuart et al., 2023); International Journal of Environmental Research and Public Health (Walsh and Foster, 2022); Public Library of Science (</w:t>
            </w:r>
            <w:r>
              <w:rPr>
                <w:highlight w:val="white"/>
              </w:rPr>
              <w:t>Prizeman</w:t>
            </w:r>
            <w:r>
              <w:rPr>
                <w:i/>
                <w:iCs/>
              </w:rPr>
              <w:t xml:space="preserve"> et al</w:t>
            </w:r>
            <w:r>
              <w:t>., 2024); British Educational Research Journal (Finan and Foulkes, 2025) </w:t>
            </w:r>
          </w:p>
        </w:tc>
      </w:tr>
      <w:tr>
        <w:tblPrEx/>
        <w:trPr>
          <w:trHeight w:val="825" w:hRule="atLeast"/>
        </w:trPr>
        <w:tc>
          <w:tcPr>
            <w:tcW w:w="2406" w:type="dxa"/>
            <w:tcBorders/>
          </w:tcPr>
          <w:p>
            <w:pPr>
              <w:pStyle w:val="style0"/>
              <w:spacing w:after="0" w:lineRule="auto" w:line="240"/>
              <w:rPr/>
            </w:pPr>
            <w:r>
              <w:t>Young Adults’ Perceptions and Experiences of Mental Health within Community Settings </w:t>
            </w:r>
          </w:p>
        </w:tc>
        <w:tc>
          <w:tcPr>
            <w:tcW w:w="2684" w:type="dxa"/>
            <w:tcBorders/>
          </w:tcPr>
          <w:p>
            <w:pPr>
              <w:pStyle w:val="style0"/>
              <w:spacing w:after="0" w:lineRule="auto" w:line="240"/>
              <w:rPr/>
            </w:pPr>
            <w:r>
              <w:t>• Enacted/public stigma and discrimination </w:t>
            </w:r>
          </w:p>
          <w:p>
            <w:pPr>
              <w:pStyle w:val="style0"/>
              <w:spacing w:after="0" w:lineRule="auto" w:line="240"/>
              <w:rPr/>
            </w:pPr>
            <w:r>
              <w:t>• Internalised stigma (self-stigma) </w:t>
            </w:r>
          </w:p>
          <w:p>
            <w:pPr>
              <w:pStyle w:val="style0"/>
              <w:spacing w:after="0" w:lineRule="auto" w:line="240"/>
              <w:rPr/>
            </w:pPr>
            <w:r>
              <w:t>• Anticipated stigma </w:t>
            </w:r>
          </w:p>
          <w:p>
            <w:pPr>
              <w:pStyle w:val="style0"/>
              <w:spacing w:after="0" w:lineRule="auto" w:line="240"/>
              <w:rPr/>
            </w:pPr>
            <w:r>
              <w:t>• Social isolation and loneliness </w:t>
            </w:r>
          </w:p>
          <w:p>
            <w:pPr>
              <w:pStyle w:val="style0"/>
              <w:spacing w:after="0" w:lineRule="auto" w:line="240"/>
              <w:rPr/>
            </w:pPr>
            <w:r>
              <w:t>• Intersectional inequalities </w:t>
            </w:r>
          </w:p>
        </w:tc>
        <w:tc>
          <w:tcPr>
            <w:tcW w:w="4152" w:type="dxa"/>
            <w:tcBorders/>
          </w:tcPr>
          <w:p>
            <w:pPr>
              <w:pStyle w:val="style0"/>
              <w:spacing w:after="0" w:lineRule="auto" w:line="240"/>
              <w:rPr/>
            </w:pPr>
            <w:r>
              <w:t xml:space="preserve">Journal of Child and Family Studies (Ansell </w:t>
            </w:r>
            <w:r>
              <w:rPr>
                <w:i/>
                <w:iCs/>
              </w:rPr>
              <w:t xml:space="preserve">et al., </w:t>
            </w:r>
            <w:r>
              <w:t xml:space="preserve">2024); Psychology and Psychotherapy: Theory, Research and Practice (Huggett </w:t>
            </w:r>
            <w:r>
              <w:rPr>
                <w:i/>
                <w:iCs/>
              </w:rPr>
              <w:t>et al.,</w:t>
            </w:r>
            <w:r>
              <w:t xml:space="preserve"> 2018); </w:t>
            </w:r>
            <w:r>
              <w:t>PLoS</w:t>
            </w:r>
            <w:r>
              <w:t xml:space="preserve"> One (Birken et al., 2023); BMJ Open (Lee &amp; Wong, 2024) </w:t>
            </w:r>
          </w:p>
        </w:tc>
      </w:tr>
      <w:tr>
        <w:tblPrEx/>
        <w:trPr>
          <w:trHeight w:val="1095" w:hRule="atLeast"/>
        </w:trPr>
        <w:tc>
          <w:tcPr>
            <w:tcW w:w="2406" w:type="dxa"/>
            <w:tcBorders/>
          </w:tcPr>
          <w:p>
            <w:pPr>
              <w:pStyle w:val="style0"/>
              <w:spacing w:after="0" w:lineRule="auto" w:line="240"/>
              <w:rPr/>
            </w:pPr>
            <w:r>
              <w:t>Key Components and Strategies of Community-Based Programmes that Influence Stigma Reduction </w:t>
            </w:r>
          </w:p>
        </w:tc>
        <w:tc>
          <w:tcPr>
            <w:tcW w:w="2684" w:type="dxa"/>
            <w:tcBorders/>
          </w:tcPr>
          <w:p>
            <w:pPr>
              <w:pStyle w:val="style0"/>
              <w:spacing w:after="0" w:lineRule="auto" w:line="240"/>
              <w:rPr/>
            </w:pPr>
            <w:r>
              <w:t>• Peer support and authentic relationships </w:t>
            </w:r>
          </w:p>
          <w:p>
            <w:pPr>
              <w:pStyle w:val="style0"/>
              <w:spacing w:after="0" w:lineRule="auto" w:line="240"/>
              <w:rPr/>
            </w:pPr>
            <w:r>
              <w:t>• Youth co-production and participatory design </w:t>
            </w:r>
          </w:p>
          <w:p>
            <w:pPr>
              <w:pStyle w:val="style0"/>
              <w:spacing w:after="0" w:lineRule="auto" w:line="240"/>
              <w:rPr/>
            </w:pPr>
            <w:r>
              <w:t>• Culturally sensitive and inclusive services </w:t>
            </w:r>
          </w:p>
          <w:p>
            <w:pPr>
              <w:pStyle w:val="style0"/>
              <w:spacing w:after="0" w:lineRule="auto" w:line="240"/>
              <w:rPr/>
            </w:pPr>
            <w:r>
              <w:t>• Integration within community settings (schools/universities) </w:t>
            </w:r>
          </w:p>
          <w:p>
            <w:pPr>
              <w:pStyle w:val="style0"/>
              <w:spacing w:after="0" w:lineRule="auto" w:line="240"/>
              <w:rPr/>
            </w:pPr>
            <w:r>
              <w:t>• Relationship-centred and non-judgemental approaches </w:t>
            </w:r>
          </w:p>
        </w:tc>
        <w:tc>
          <w:tcPr>
            <w:tcW w:w="4152" w:type="dxa"/>
            <w:tcBorders/>
          </w:tcPr>
          <w:p>
            <w:pPr>
              <w:pStyle w:val="style0"/>
              <w:spacing w:after="0" w:lineRule="auto" w:line="240"/>
              <w:rPr/>
            </w:pPr>
            <w:r>
              <w:t xml:space="preserve">Health and Social Care in the Community (Holding </w:t>
            </w:r>
            <w:r>
              <w:rPr>
                <w:i/>
                <w:iCs/>
              </w:rPr>
              <w:t>et al.,</w:t>
            </w:r>
            <w:r>
              <w:t xml:space="preserve"> 2022); Studies in Higher Education (Laidlaw </w:t>
            </w:r>
            <w:r>
              <w:rPr>
                <w:i/>
                <w:iCs/>
              </w:rPr>
              <w:t>et al.,</w:t>
            </w:r>
            <w:r>
              <w:t xml:space="preserve"> 2016); Journal of Child and Family Studies (Ansell </w:t>
            </w:r>
            <w:r>
              <w:rPr>
                <w:i/>
                <w:iCs/>
              </w:rPr>
              <w:t>et al.,</w:t>
            </w:r>
            <w:r>
              <w:t xml:space="preserve"> 2024); BMJ Open (Lee and Wong, 2024); International Journal of Environmental Research and Public Health (Walsh and Foster, 2022) </w:t>
            </w:r>
          </w:p>
        </w:tc>
      </w:tr>
      <w:tr>
        <w:tblPrEx/>
        <w:trPr>
          <w:trHeight w:val="1095" w:hRule="atLeast"/>
        </w:trPr>
        <w:tc>
          <w:tcPr>
            <w:tcW w:w="2406" w:type="dxa"/>
            <w:tcBorders/>
          </w:tcPr>
          <w:p>
            <w:pPr>
              <w:pStyle w:val="style0"/>
              <w:spacing w:after="0" w:lineRule="auto" w:line="240"/>
              <w:rPr/>
            </w:pPr>
            <w:r>
              <w:t>Gaps, Limitations, and Future Directions in Research on Community-Based Mental Health Awareness Programmes </w:t>
            </w:r>
          </w:p>
        </w:tc>
        <w:tc>
          <w:tcPr>
            <w:tcW w:w="2684" w:type="dxa"/>
            <w:tcBorders/>
          </w:tcPr>
          <w:p>
            <w:pPr>
              <w:pStyle w:val="style0"/>
              <w:spacing w:after="0" w:lineRule="auto" w:line="240"/>
              <w:rPr/>
            </w:pPr>
            <w:r>
              <w:t>• Superficial or performative awareness campaigns </w:t>
            </w:r>
          </w:p>
          <w:p>
            <w:pPr>
              <w:pStyle w:val="style0"/>
              <w:spacing w:after="0" w:lineRule="auto" w:line="240"/>
              <w:rPr/>
            </w:pPr>
            <w:r>
              <w:t>• Structural and systemic barriers • Socioeconomic inequalities </w:t>
            </w:r>
          </w:p>
          <w:p>
            <w:pPr>
              <w:pStyle w:val="style0"/>
              <w:spacing w:after="0" w:lineRule="auto" w:line="240"/>
              <w:rPr/>
            </w:pPr>
            <w:r>
              <w:t>• Lack of long-term evaluation </w:t>
            </w:r>
          </w:p>
          <w:p>
            <w:pPr>
              <w:pStyle w:val="style0"/>
              <w:spacing w:after="0" w:lineRule="auto" w:line="240"/>
              <w:rPr/>
            </w:pPr>
            <w:r>
              <w:t>• Need for multi-level behavioural interventions </w:t>
            </w:r>
          </w:p>
        </w:tc>
        <w:tc>
          <w:tcPr>
            <w:tcW w:w="4152" w:type="dxa"/>
            <w:tcBorders/>
          </w:tcPr>
          <w:p>
            <w:pPr>
              <w:pStyle w:val="style0"/>
              <w:spacing w:after="0" w:lineRule="auto" w:line="240"/>
              <w:rPr/>
            </w:pPr>
            <w:r>
              <w:t xml:space="preserve">British Educational Research Journal (Finan and Foulkes, 2025); BMC Public Health (Stuart </w:t>
            </w:r>
            <w:r>
              <w:rPr>
                <w:i/>
                <w:iCs/>
              </w:rPr>
              <w:t xml:space="preserve">et al., </w:t>
            </w:r>
            <w:r>
              <w:t>2023); International Journal of Environmental Research and Public Health (Walsh and Foster, 2022); Public Library of Science (</w:t>
            </w:r>
            <w:r>
              <w:rPr>
                <w:highlight w:val="white"/>
              </w:rPr>
              <w:t>Prizeman</w:t>
            </w:r>
            <w:r>
              <w:rPr>
                <w:i/>
                <w:iCs/>
              </w:rPr>
              <w:t xml:space="preserve"> et al</w:t>
            </w:r>
            <w:r>
              <w:t>., 2024); BMJ Open (Lee and Wong, 2024) </w:t>
            </w:r>
          </w:p>
        </w:tc>
      </w:tr>
    </w:tbl>
    <w:p>
      <w:pPr>
        <w:pStyle w:val="style0"/>
        <w:rPr>
          <w:b/>
          <w:bCs/>
        </w:rPr>
      </w:pPr>
    </w:p>
    <w:p>
      <w:pPr>
        <w:pStyle w:val="style0"/>
        <w:rPr>
          <w:b/>
          <w:bCs/>
        </w:rPr>
      </w:pPr>
    </w:p>
    <w:p>
      <w:pPr>
        <w:pStyle w:val="style0"/>
        <w:rPr/>
      </w:pPr>
    </w:p>
    <w:p>
      <w:pPr>
        <w:pStyle w:val="style0"/>
        <w:rPr/>
      </w:pPr>
      <w:r>
        <w:t>.</w:t>
      </w:r>
    </w:p>
    <w:sectPr>
      <w:headerReference w:type="default" r:id="rId4"/>
      <w:footerReference w:type="default" r:id="rId5"/>
      <w:pgSz w:w="11906" w:h="16838" w:orient="portrait"/>
      <w:pgMar w:top="1440" w:right="1800" w:bottom="1440" w:left="1800" w:header="708" w:footer="708"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2020404"/>
    <w:charset w:val="00"/>
    <w:family w:val="modern"/>
    <w:pitch w:val="fixed"/>
    <w:sig w:usb0="E0002EFF" w:usb1="C0007843"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Georgia">
    <w:altName w:val="Georgia"/>
    <w:panose1 w:val="02040502050004020303"/>
    <w:charset w:val="00"/>
    <w:family w:val="roman"/>
    <w:pitch w:val="variable"/>
    <w:sig w:usb0="00000287" w:usb1="00000000" w:usb2="00000000" w:usb3="00000000" w:csb0="0000009F" w:csb1="00000000"/>
  </w:font>
  <w:font w:name="Cambria Math">
    <w:altName w:val="Cambria Math"/>
    <w:panose1 w:val="02040503050004030204"/>
    <w:charset w:val="00"/>
    <w:family w:val="roman"/>
    <w:pitch w:val="variable"/>
    <w:sig w:usb0="E00006FF" w:usb1="420024FF" w:usb2="02000000" w:usb3="00000000" w:csb0="0000019F" w:csb1="00000000"/>
  </w:font>
  <w:font w:name="Arial Unicode MS">
    <w:altName w:val="Arial Unicode MS"/>
    <w:panose1 w:val="020b0604020002020204"/>
    <w:charset w:val="80"/>
    <w:family w:val="swiss"/>
    <w:pitch w:val="variable"/>
    <w:sig w:usb0="F7FFAFFF" w:usb1="E9DFFFFF" w:usb2="0000003F" w:usb3="00000000" w:csb0="003F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single" w:sz="12" w:space="11" w:color="4f81bd"/>
      </w:pBdr>
      <w:tabs>
        <w:tab w:val="left" w:leader="none" w:pos="622"/>
      </w:tabs>
      <w:spacing w:after="0"/>
      <w:rPr>
        <w:rFonts w:ascii="Calibri" w:cs="宋体" w:eastAsia="宋体" w:hAnsi="Calibri"/>
        <w:color w:val="365f91"/>
        <w:sz w:val="26"/>
        <w:szCs w:val="26"/>
      </w:rPr>
    </w:pPr>
    <w:r>
      <w:rPr>
        <w:rFonts w:ascii="Calibri" w:cs="宋体" w:eastAsia="宋体" w:hAnsi="Calibri"/>
        <w:color w:val="365f91"/>
        <w:sz w:val="26"/>
        <w:szCs w:val="26"/>
      </w:rPr>
      <w:fldChar w:fldCharType="begin"/>
    </w:r>
    <w:r>
      <w:rPr>
        <w:rFonts w:ascii="Calibri" w:cs="宋体" w:eastAsia="宋体" w:hAnsi="Calibri"/>
        <w:color w:val="365f91"/>
        <w:sz w:val="26"/>
        <w:szCs w:val="26"/>
      </w:rPr>
      <w:instrText xml:space="preserve"> PAGE   \* MERGEFORMAT </w:instrText>
    </w:r>
    <w:r>
      <w:rPr>
        <w:rFonts w:ascii="Calibri" w:cs="宋体" w:eastAsia="宋体" w:hAnsi="Calibri"/>
        <w:color w:val="365f91"/>
        <w:sz w:val="26"/>
        <w:szCs w:val="26"/>
      </w:rPr>
      <w:fldChar w:fldCharType="separate"/>
    </w:r>
    <w:r>
      <w:rPr>
        <w:rFonts w:ascii="Calibri" w:cs="宋体" w:eastAsia="宋体" w:hAnsi="Calibri"/>
        <w:noProof/>
        <w:color w:val="365f91"/>
        <w:sz w:val="26"/>
        <w:szCs w:val="26"/>
      </w:rPr>
      <w:t>33</w:t>
    </w:r>
    <w:r>
      <w:rPr>
        <w:rFonts w:ascii="Calibri" w:cs="宋体" w:eastAsia="宋体" w:hAnsi="Calibri"/>
        <w:color w:val="365f91"/>
        <w:sz w:val="26"/>
        <w:szCs w:val="26"/>
      </w:rPr>
      <w:fldChar w:fldCharType="end"/>
    </w:r>
  </w:p>
  <w:p>
    <w:pPr>
      <w:pStyle w:val="style0"/>
      <w:tabs>
        <w:tab w:val="center" w:leader="none" w:pos="4513"/>
        <w:tab w:val="right" w:leader="none" w:pos="9026"/>
      </w:tabs>
      <w:spacing w:after="0" w:lineRule="auto" w:line="240"/>
      <w:rPr>
        <w:color w:val="000000"/>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tabs>
        <w:tab w:val="center" w:leader="none" w:pos="4513"/>
        <w:tab w:val="right" w:leader="none" w:pos="9026"/>
      </w:tabs>
      <w:spacing w:after="0" w:lineRule="auto" w:line="240"/>
      <w:rPr>
        <w:color w:val="000000"/>
      </w:rPr>
    </w:pPr>
  </w:p>
  <w:p>
    <w:pPr>
      <w:pStyle w:val="style0"/>
      <w:tabs>
        <w:tab w:val="center" w:leader="none" w:pos="4513"/>
        <w:tab w:val="right" w:leader="none" w:pos="9026"/>
      </w:tabs>
      <w:spacing w:after="0" w:lineRule="auto" w:line="240"/>
      <w:rPr>
        <w:color w:val="00000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2315068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
    <w:nsid w:val="00000001"/>
    <w:multiLevelType w:val="multilevel"/>
    <w:tmpl w:val="4BD97ADF"/>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lang w:val="en-IN" w:bidi="ar-SA" w:eastAsia="en-IN"/>
      </w:rPr>
    </w:rPrDefault>
    <w:pPrDefault>
      <w:pPr/>
    </w:pPrDefault>
  </w:docDefaults>
  <w:style w:type="paragraph" w:default="1" w:styleId="style0">
    <w:name w:val="Normal"/>
    <w:next w:val="style0"/>
    <w:qFormat/>
    <w:pPr>
      <w:spacing w:after="160" w:lineRule="auto" w:line="360"/>
      <w:jc w:val="both"/>
    </w:pPr>
    <w:rPr>
      <w:sz w:val="22"/>
      <w:szCs w:val="24"/>
      <w:lang w:val="en-GB" w:eastAsia="en-GB"/>
    </w:rPr>
  </w:style>
  <w:style w:type="paragraph" w:styleId="style1">
    <w:name w:val="heading 1"/>
    <w:basedOn w:val="style0"/>
    <w:next w:val="style0"/>
    <w:qFormat/>
    <w:uiPriority w:val="9"/>
    <w:pPr>
      <w:keepNext/>
      <w:keepLines/>
      <w:spacing w:before="240" w:after="0"/>
      <w:jc w:val="center"/>
      <w:outlineLvl w:val="0"/>
    </w:pPr>
    <w:rPr>
      <w:b/>
      <w:bCs/>
      <w:sz w:val="28"/>
      <w:szCs w:val="28"/>
    </w:rPr>
  </w:style>
  <w:style w:type="paragraph" w:styleId="style2">
    <w:name w:val="heading 2"/>
    <w:basedOn w:val="style0"/>
    <w:next w:val="style0"/>
    <w:qFormat/>
    <w:uiPriority w:val="9"/>
    <w:pPr>
      <w:keepNext/>
      <w:keepLines/>
      <w:spacing w:before="40" w:after="0"/>
      <w:outlineLvl w:val="1"/>
    </w:pPr>
    <w:rPr>
      <w:b/>
      <w:bCs/>
      <w:sz w:val="26"/>
      <w:szCs w:val="26"/>
    </w:rPr>
  </w:style>
  <w:style w:type="paragraph" w:styleId="style3">
    <w:name w:val="heading 3"/>
    <w:basedOn w:val="style0"/>
    <w:next w:val="style0"/>
    <w:qFormat/>
    <w:uiPriority w:val="9"/>
    <w:pPr>
      <w:keepNext/>
      <w:keepLines/>
      <w:spacing w:before="40" w:after="0"/>
      <w:outlineLvl w:val="2"/>
    </w:pPr>
    <w:rPr>
      <w:b/>
      <w:bCs/>
    </w:rPr>
  </w:style>
  <w:style w:type="paragraph" w:styleId="style4">
    <w:name w:val="heading 4"/>
    <w:basedOn w:val="style0"/>
    <w:next w:val="style0"/>
    <w:qFormat/>
    <w:uiPriority w:val="9"/>
    <w:pPr>
      <w:keepNext/>
      <w:keepLines/>
      <w:spacing w:before="40" w:after="0"/>
      <w:outlineLvl w:val="3"/>
    </w:pPr>
    <w:rPr>
      <w:rFonts w:ascii="Calibri" w:cs="Calibri" w:eastAsia="Calibri" w:hAnsi="Calibri"/>
      <w:i/>
      <w:iCs/>
      <w:color w:val="2f5496"/>
    </w:rPr>
  </w:style>
  <w:style w:type="paragraph" w:styleId="style5">
    <w:name w:val="heading 5"/>
    <w:basedOn w:val="style0"/>
    <w:next w:val="style0"/>
    <w:qFormat/>
    <w:uiPriority w:val="9"/>
    <w:pPr>
      <w:keepNext/>
      <w:keepLines/>
      <w:spacing w:before="220" w:after="40"/>
      <w:outlineLvl w:val="4"/>
    </w:pPr>
    <w:rPr>
      <w:b/>
      <w:bCs/>
      <w:szCs w:val="22"/>
    </w:rPr>
  </w:style>
  <w:style w:type="paragraph" w:styleId="style6">
    <w:name w:val="heading 6"/>
    <w:basedOn w:val="style0"/>
    <w:next w:val="style0"/>
    <w:qFormat/>
    <w:uiPriority w:val="9"/>
    <w:pPr>
      <w:keepNext/>
      <w:keepLines/>
      <w:spacing w:before="200" w:after="40"/>
      <w:outlineLvl w:val="5"/>
    </w:pPr>
    <w:rPr>
      <w:b/>
      <w:bCs/>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53">
    <w:name w:val="Balloon Text"/>
    <w:basedOn w:val="style0"/>
    <w:next w:val="style153"/>
    <w:link w:val="style4107"/>
    <w:qFormat/>
    <w:uiPriority w:val="99"/>
    <w:pPr>
      <w:spacing w:after="0" w:lineRule="auto" w:line="240"/>
    </w:pPr>
    <w:rPr>
      <w:rFonts w:ascii="Tahoma" w:cs="Tahoma" w:hAnsi="Tahoma"/>
      <w:sz w:val="16"/>
      <w:szCs w:val="16"/>
    </w:rPr>
  </w:style>
  <w:style w:type="paragraph" w:styleId="style34">
    <w:name w:val="caption"/>
    <w:basedOn w:val="style0"/>
    <w:next w:val="style0"/>
    <w:qFormat/>
    <w:uiPriority w:val="35"/>
    <w:pPr>
      <w:spacing w:after="200" w:lineRule="auto" w:line="240"/>
    </w:pPr>
    <w:rPr>
      <w:i/>
      <w:iCs/>
      <w:color w:val="1f497d"/>
      <w:sz w:val="18"/>
      <w:szCs w:val="18"/>
    </w:rPr>
  </w:style>
  <w:style w:type="character" w:styleId="style88">
    <w:name w:val="Emphasis"/>
    <w:basedOn w:val="style65"/>
    <w:next w:val="style88"/>
    <w:qFormat/>
    <w:uiPriority w:val="20"/>
    <w:rPr>
      <w:i/>
      <w:iCs/>
    </w:rPr>
  </w:style>
  <w:style w:type="paragraph" w:styleId="style32">
    <w:name w:val="footer"/>
    <w:basedOn w:val="style0"/>
    <w:next w:val="style32"/>
    <w:link w:val="style4109"/>
    <w:qFormat/>
    <w:uiPriority w:val="99"/>
    <w:pPr>
      <w:tabs>
        <w:tab w:val="center" w:leader="none" w:pos="4513"/>
        <w:tab w:val="right" w:leader="none" w:pos="9026"/>
      </w:tabs>
      <w:spacing w:after="0" w:lineRule="auto" w:line="240"/>
    </w:pPr>
    <w:rPr/>
  </w:style>
  <w:style w:type="paragraph" w:styleId="style31">
    <w:name w:val="header"/>
    <w:basedOn w:val="style0"/>
    <w:next w:val="style31"/>
    <w:link w:val="style4108"/>
    <w:qFormat/>
    <w:uiPriority w:val="99"/>
    <w:pPr>
      <w:tabs>
        <w:tab w:val="center" w:leader="none" w:pos="4513"/>
        <w:tab w:val="right" w:leader="none" w:pos="9026"/>
      </w:tabs>
      <w:spacing w:after="0" w:lineRule="auto" w:line="240"/>
    </w:pPr>
    <w:rPr/>
  </w:style>
  <w:style w:type="character" w:styleId="style85">
    <w:name w:val="Hyperlink"/>
    <w:basedOn w:val="style65"/>
    <w:next w:val="style85"/>
    <w:qFormat/>
    <w:uiPriority w:val="99"/>
    <w:rPr>
      <w:color w:val="0000ff"/>
      <w:u w:val="single"/>
    </w:rPr>
  </w:style>
  <w:style w:type="paragraph" w:styleId="style94">
    <w:name w:val="Normal (Web)"/>
    <w:basedOn w:val="style0"/>
    <w:next w:val="style94"/>
    <w:qFormat/>
    <w:uiPriority w:val="99"/>
    <w:pPr>
      <w:spacing w:before="100" w:beforeAutospacing="true" w:after="100" w:afterAutospacing="true" w:lineRule="auto" w:line="240"/>
      <w:jc w:val="left"/>
    </w:pPr>
    <w:rPr>
      <w:rFonts w:ascii="Times New Roman" w:cs="Times New Roman" w:eastAsia="Times New Roman" w:hAnsi="Times New Roman"/>
      <w:lang w:val="en-US" w:eastAsia="en-US"/>
    </w:rPr>
  </w:style>
  <w:style w:type="character" w:styleId="style87">
    <w:name w:val="Strong"/>
    <w:basedOn w:val="style65"/>
    <w:next w:val="style87"/>
    <w:qFormat/>
    <w:uiPriority w:val="22"/>
    <w:rPr>
      <w:b/>
      <w:bCs/>
    </w:rPr>
  </w:style>
  <w:style w:type="paragraph" w:styleId="style74">
    <w:name w:val="Subtitle"/>
    <w:basedOn w:val="style0"/>
    <w:next w:val="style0"/>
    <w:qFormat/>
    <w:uiPriority w:val="11"/>
    <w:pPr>
      <w:keepNext/>
      <w:keepLines/>
      <w:spacing w:before="360" w:after="80"/>
    </w:pPr>
    <w:rPr>
      <w:rFonts w:ascii="Georgia" w:cs="Georgia" w:eastAsia="Georgia" w:hAnsi="Georgia"/>
      <w:i/>
      <w:iCs/>
      <w:color w:val="666666"/>
      <w:sz w:val="48"/>
      <w:szCs w:val="48"/>
    </w:rPr>
  </w:style>
  <w:style w:type="table" w:styleId="style154">
    <w:name w:val="Table Grid"/>
    <w:basedOn w:val="style105"/>
    <w:next w:val="style154"/>
    <w:qFormat/>
    <w:uiPriority w:val="39"/>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35">
    <w:name w:val="table of figures"/>
    <w:basedOn w:val="style0"/>
    <w:next w:val="style0"/>
    <w:qFormat/>
    <w:uiPriority w:val="99"/>
    <w:pPr>
      <w:spacing w:after="0"/>
    </w:pPr>
    <w:rPr/>
  </w:style>
  <w:style w:type="paragraph" w:styleId="style62">
    <w:name w:val="Title"/>
    <w:basedOn w:val="style0"/>
    <w:next w:val="style0"/>
    <w:qFormat/>
    <w:uiPriority w:val="10"/>
    <w:pPr>
      <w:keepNext/>
      <w:keepLines/>
      <w:spacing w:before="480" w:after="120"/>
    </w:pPr>
    <w:rPr>
      <w:b/>
      <w:bCs/>
      <w:sz w:val="72"/>
      <w:szCs w:val="72"/>
    </w:rPr>
  </w:style>
  <w:style w:type="paragraph" w:styleId="style19">
    <w:name w:val="toc 1"/>
    <w:basedOn w:val="style0"/>
    <w:next w:val="style0"/>
    <w:qFormat/>
    <w:uiPriority w:val="39"/>
    <w:pPr>
      <w:spacing w:after="100"/>
    </w:pPr>
    <w:rPr/>
  </w:style>
  <w:style w:type="paragraph" w:styleId="style20">
    <w:name w:val="toc 2"/>
    <w:basedOn w:val="style0"/>
    <w:next w:val="style0"/>
    <w:qFormat/>
    <w:uiPriority w:val="39"/>
    <w:pPr>
      <w:spacing w:after="100"/>
      <w:ind w:left="240"/>
    </w:pPr>
    <w:rPr/>
  </w:style>
  <w:style w:type="paragraph" w:styleId="style21">
    <w:name w:val="toc 3"/>
    <w:basedOn w:val="style0"/>
    <w:next w:val="style0"/>
    <w:qFormat/>
    <w:uiPriority w:val="39"/>
    <w:pPr>
      <w:spacing w:after="100"/>
      <w:ind w:left="480"/>
    </w:pPr>
    <w:rPr/>
  </w:style>
  <w:style w:type="table" w:customStyle="1" w:styleId="style4097">
    <w:name w:val="TableNormal"/>
    <w:next w:val="style4097"/>
    <w:qFormat/>
    <w:pPr/>
    <w:rPr/>
    <w:tblPr>
      <w:tblCellMar>
        <w:top w:w="100" w:type="dxa"/>
        <w:left w:w="100" w:type="dxa"/>
        <w:bottom w:w="100" w:type="dxa"/>
        <w:right w:w="100" w:type="dxa"/>
      </w:tblCellMar>
    </w:tblPr>
    <w:tcPr>
      <w:tcBorders/>
    </w:tcPr>
  </w:style>
  <w:style w:type="table" w:customStyle="1" w:styleId="style4098">
    <w:name w:val="_Style 12"/>
    <w:basedOn w:val="style4097"/>
    <w:next w:val="style4098"/>
    <w:qFormat/>
    <w:pPr/>
    <w:rPr/>
    <w:tblPr>
      <w:tblCellMar>
        <w:top w:w="0" w:type="dxa"/>
        <w:left w:w="115" w:type="dxa"/>
        <w:bottom w:w="0" w:type="dxa"/>
        <w:right w:w="115" w:type="dxa"/>
      </w:tblCellMar>
    </w:tblPr>
    <w:tcPr>
      <w:tcBorders/>
    </w:tcPr>
  </w:style>
  <w:style w:type="table" w:customStyle="1" w:styleId="style4099">
    <w:name w:val="_Style 13"/>
    <w:basedOn w:val="style4097"/>
    <w:next w:val="style4099"/>
    <w:qFormat/>
    <w:pPr/>
    <w:rPr/>
    <w:tblPr>
      <w:tblCellMar>
        <w:top w:w="0" w:type="dxa"/>
        <w:left w:w="108" w:type="dxa"/>
        <w:bottom w:w="0" w:type="dxa"/>
        <w:right w:w="108" w:type="dxa"/>
      </w:tblCellMar>
    </w:tblPr>
    <w:tcPr>
      <w:tcBorders/>
    </w:tcPr>
  </w:style>
  <w:style w:type="table" w:customStyle="1" w:styleId="style4100">
    <w:name w:val="_Style 14"/>
    <w:basedOn w:val="style4097"/>
    <w:next w:val="style4100"/>
    <w:qFormat/>
    <w:pPr/>
    <w:rPr/>
    <w:tblPr>
      <w:tblCellMar>
        <w:top w:w="0" w:type="dxa"/>
        <w:left w:w="0" w:type="dxa"/>
        <w:bottom w:w="0" w:type="dxa"/>
        <w:right w:w="0" w:type="dxa"/>
      </w:tblCellMar>
    </w:tblPr>
    <w:tcPr>
      <w:tcBorders/>
    </w:tcPr>
  </w:style>
  <w:style w:type="table" w:customStyle="1" w:styleId="style4101">
    <w:name w:val="_Style 15"/>
    <w:basedOn w:val="style4097"/>
    <w:next w:val="style4101"/>
    <w:qFormat/>
    <w:pPr/>
    <w:rPr/>
    <w:tblPr>
      <w:tblCellMar>
        <w:top w:w="0" w:type="dxa"/>
        <w:left w:w="0" w:type="dxa"/>
        <w:bottom w:w="0" w:type="dxa"/>
        <w:right w:w="0" w:type="dxa"/>
      </w:tblCellMar>
    </w:tblPr>
    <w:tcPr>
      <w:tcBorders/>
    </w:tcPr>
  </w:style>
  <w:style w:type="table" w:customStyle="1" w:styleId="style4102">
    <w:name w:val="_Style 16"/>
    <w:basedOn w:val="style4097"/>
    <w:next w:val="style4102"/>
    <w:qFormat/>
    <w:pPr/>
    <w:rPr/>
    <w:tblPr>
      <w:tblCellMar>
        <w:top w:w="0" w:type="dxa"/>
        <w:left w:w="108" w:type="dxa"/>
        <w:bottom w:w="0" w:type="dxa"/>
        <w:right w:w="108" w:type="dxa"/>
      </w:tblCellMar>
    </w:tblPr>
    <w:tcPr>
      <w:tcBorders/>
    </w:tcPr>
  </w:style>
  <w:style w:type="table" w:customStyle="1" w:styleId="style4103">
    <w:name w:val="_Style 17"/>
    <w:basedOn w:val="style4097"/>
    <w:next w:val="style4103"/>
    <w:qFormat/>
    <w:pPr/>
    <w:rPr/>
    <w:tblPr>
      <w:tblCellMar>
        <w:top w:w="0" w:type="dxa"/>
        <w:left w:w="108" w:type="dxa"/>
        <w:bottom w:w="0" w:type="dxa"/>
        <w:right w:w="108" w:type="dxa"/>
      </w:tblCellMar>
    </w:tblPr>
    <w:tcPr>
      <w:tcBorders/>
    </w:tcPr>
  </w:style>
  <w:style w:type="table" w:customStyle="1" w:styleId="style4104">
    <w:name w:val="_Style 18"/>
    <w:basedOn w:val="style4097"/>
    <w:next w:val="style4104"/>
    <w:qFormat/>
    <w:pPr/>
    <w:rPr/>
    <w:tblPr>
      <w:tblCellMar>
        <w:top w:w="0" w:type="dxa"/>
        <w:left w:w="108" w:type="dxa"/>
        <w:bottom w:w="0" w:type="dxa"/>
        <w:right w:w="108" w:type="dxa"/>
      </w:tblCellMar>
    </w:tblPr>
    <w:tcPr>
      <w:tcBorders/>
    </w:tcPr>
  </w:style>
  <w:style w:type="table" w:customStyle="1" w:styleId="style4105">
    <w:name w:val="_Style 19"/>
    <w:basedOn w:val="style4097"/>
    <w:next w:val="style4105"/>
    <w:qFormat/>
    <w:pPr/>
    <w:rPr/>
    <w:tblPr>
      <w:tblCellMar>
        <w:top w:w="0" w:type="dxa"/>
        <w:left w:w="108" w:type="dxa"/>
        <w:bottom w:w="0" w:type="dxa"/>
        <w:right w:w="108" w:type="dxa"/>
      </w:tblCellMar>
    </w:tblPr>
    <w:tcPr>
      <w:tcBorders/>
    </w:tcPr>
  </w:style>
  <w:style w:type="table" w:customStyle="1" w:styleId="style4106">
    <w:name w:val="_Style 20"/>
    <w:basedOn w:val="style4097"/>
    <w:next w:val="style4106"/>
    <w:qFormat/>
    <w:pPr/>
    <w:rPr/>
    <w:tblPr>
      <w:tblCellMar>
        <w:top w:w="0" w:type="dxa"/>
        <w:left w:w="108" w:type="dxa"/>
        <w:bottom w:w="0" w:type="dxa"/>
        <w:right w:w="108" w:type="dxa"/>
      </w:tblCellMar>
    </w:tblPr>
    <w:tcPr>
      <w:tcBorders/>
    </w:tcPr>
  </w:style>
  <w:style w:type="character" w:customStyle="1" w:styleId="style4107">
    <w:name w:val="Balloon Text Char"/>
    <w:basedOn w:val="style65"/>
    <w:next w:val="style4107"/>
    <w:link w:val="style153"/>
    <w:qFormat/>
    <w:uiPriority w:val="99"/>
    <w:rPr>
      <w:rFonts w:ascii="Tahoma" w:cs="Tahoma" w:hAnsi="Tahoma"/>
      <w:sz w:val="16"/>
      <w:szCs w:val="16"/>
    </w:rPr>
  </w:style>
  <w:style w:type="paragraph" w:styleId="style179">
    <w:name w:val="List Paragraph"/>
    <w:basedOn w:val="style0"/>
    <w:next w:val="style179"/>
    <w:qFormat/>
    <w:uiPriority w:val="34"/>
    <w:pPr>
      <w:ind w:left="720"/>
      <w:contextualSpacing/>
    </w:pPr>
    <w:rPr/>
  </w:style>
  <w:style w:type="character" w:customStyle="1" w:styleId="style4108">
    <w:name w:val="Header Char_416ac030-1f1f-4d6d-b5e1-1e9ac1e169e9"/>
    <w:basedOn w:val="style65"/>
    <w:next w:val="style4108"/>
    <w:link w:val="style31"/>
    <w:qFormat/>
    <w:uiPriority w:val="99"/>
    <w:rPr>
      <w:sz w:val="22"/>
    </w:rPr>
  </w:style>
  <w:style w:type="character" w:customStyle="1" w:styleId="style4109">
    <w:name w:val="Footer Char_617d8f4b-b608-4d5b-a933-025e8fc30a1f"/>
    <w:basedOn w:val="style65"/>
    <w:next w:val="style4109"/>
    <w:link w:val="style32"/>
    <w:qFormat/>
    <w:uiPriority w:val="99"/>
    <w:rPr>
      <w:sz w:val="22"/>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header" Target="header1.xml"/><Relationship Id="rId11" Type="http://schemas.openxmlformats.org/officeDocument/2006/relationships/customXml" Target="../customXml/item2.xml"/><Relationship Id="rId10" Type="http://schemas.openxmlformats.org/officeDocument/2006/relationships/customXml" Target="../customXml/item1.xml"/><Relationship Id="rId9" Type="http://schemas.openxmlformats.org/officeDocument/2006/relationships/theme" Target="theme/theme1.xml"/><Relationship Id="rId5" Type="http://schemas.openxmlformats.org/officeDocument/2006/relationships/footer" Target="footer2.xml"/><Relationship Id="rId6" Type="http://schemas.openxmlformats.org/officeDocument/2006/relationships/styles" Target="styles.xml"/><Relationship Id="rId7"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pgpaasH6bMb2MhQ1eZF1jMVSEQ==">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</go:docsCustomData>
</go:gDocsCustomXmlDataStorage>
</file>

<file path=customXml/itemProps1.xml><?xml version="1.0" encoding="utf-8"?>
<ds:datastoreItem xmlns:ds="http://schemas.openxmlformats.org/officeDocument/2006/customXml" ds:itemID="{BC4CF469-ECE6-4FB0-AC97-93519ED17F6F}">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Words>21873</Words>
  <Pages>1</Pages>
  <Characters>130605</Characters>
  <Application>WPS Office</Application>
  <DocSecurity>0</DocSecurity>
  <Paragraphs>1011</Paragraphs>
  <ScaleCrop>false</ScaleCrop>
  <LinksUpToDate>false</LinksUpToDate>
  <CharactersWithSpaces>151800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2026-05-08T12:40:00Z</dcterms:created>
  <dc:creator>WPS Office</dc:creator>
  <lastModifiedBy>SM-A325F</lastModifiedBy>
  <dcterms:modified xsi:type="dcterms:W3CDTF">2026-05-08T15:58:07Z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7bfe830d-0713-449a-9a46-df3aa4286f32</vt:lpwstr>
  </property>
  <property fmtid="{D5CDD505-2E9C-101B-9397-08002B2CF9AE}" pid="3" name="KSOTemplateDocerSaveRecord">
    <vt:lpwstr>eyJoZGlkIjoiN2E0ZWVkZDJmNTI2NWMzZDY2ZDY1ZGI3YjdkNDhlZmMiLCJ1c2VySWQiOiI1Njc1NjA4NjcyNTUifQ==</vt:lpwstr>
  </property>
  <property fmtid="{D5CDD505-2E9C-101B-9397-08002B2CF9AE}" pid="4" name="KSOProductBuildVer">
    <vt:lpwstr>1033-12.1.0.25862</vt:lpwstr>
  </property>
  <property fmtid="{D5CDD505-2E9C-101B-9397-08002B2CF9AE}" pid="5" name="ICV">
    <vt:lpwstr>F68D830F206741B1A57BB7A82BF054E5_12</vt:lpwstr>
  </property>
</Properties>
</file>